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56DC06B" w14:textId="5F80B034" w:rsidR="00686D6C" w:rsidRDefault="00B92C75">
      <w:pPr>
        <w:spacing w:after="200" w:line="360" w:lineRule="auto"/>
      </w:pPr>
      <w:r>
        <w:rPr>
          <w:noProof/>
        </w:rPr>
        <w:drawing>
          <wp:inline distT="0" distB="0" distL="0" distR="0" wp14:anchorId="66F4A117" wp14:editId="34D5A804">
            <wp:extent cx="3564948" cy="1070725"/>
            <wp:effectExtent l="0" t="0" r="3810" b="0"/>
            <wp:docPr id="1878388433" name="image1.jpg" descr="UWTSD logo | Discover Dylan Thomas"/>
            <wp:cNvGraphicFramePr/>
            <a:graphic xmlns:a="http://schemas.openxmlformats.org/drawingml/2006/main">
              <a:graphicData uri="http://schemas.openxmlformats.org/drawingml/2006/picture">
                <pic:pic xmlns:pic="http://schemas.openxmlformats.org/drawingml/2006/picture">
                  <pic:nvPicPr>
                    <pic:cNvPr id="0" name="image1.jpg" descr="UWTSD logo | Discover Dylan Thomas"/>
                    <pic:cNvPicPr preferRelativeResize="0"/>
                  </pic:nvPicPr>
                  <pic:blipFill>
                    <a:blip r:embed="rId7"/>
                    <a:srcRect/>
                    <a:stretch>
                      <a:fillRect/>
                    </a:stretch>
                  </pic:blipFill>
                  <pic:spPr>
                    <a:xfrm>
                      <a:off x="0" y="0"/>
                      <a:ext cx="3564948" cy="1070725"/>
                    </a:xfrm>
                    <a:prstGeom prst="rect">
                      <a:avLst/>
                    </a:prstGeom>
                    <a:ln/>
                  </pic:spPr>
                </pic:pic>
              </a:graphicData>
            </a:graphic>
          </wp:inline>
        </w:drawing>
      </w:r>
    </w:p>
    <w:p w14:paraId="4E7BAB07" w14:textId="77777777" w:rsidR="00686D6C" w:rsidRDefault="00686D6C">
      <w:pPr>
        <w:spacing w:after="200" w:line="360" w:lineRule="auto"/>
      </w:pPr>
    </w:p>
    <w:p w14:paraId="795D036E" w14:textId="77777777" w:rsidR="00686D6C" w:rsidRDefault="00C22850">
      <w:pPr>
        <w:spacing w:after="120" w:line="360" w:lineRule="auto"/>
        <w:jc w:val="center"/>
      </w:pPr>
      <w:r>
        <w:rPr>
          <w:b/>
          <w:bCs/>
          <w:sz w:val="28"/>
          <w:szCs w:val="28"/>
        </w:rPr>
        <w:t>BSc (Hons) Health and Social Care</w:t>
      </w:r>
    </w:p>
    <w:p w14:paraId="005995A4" w14:textId="77777777" w:rsidR="00686D6C" w:rsidRDefault="00C22850">
      <w:pPr>
        <w:spacing w:after="120" w:line="360" w:lineRule="auto"/>
        <w:jc w:val="center"/>
      </w:pPr>
      <w:r>
        <w:rPr>
          <w:b/>
          <w:bCs/>
          <w:sz w:val="26"/>
          <w:szCs w:val="26"/>
        </w:rPr>
        <w:t>BMHP5019 – Introduction to Independent Research Skills</w:t>
      </w:r>
    </w:p>
    <w:p w14:paraId="07CE5FAA" w14:textId="77777777" w:rsidR="00686D6C" w:rsidRDefault="00686D6C">
      <w:pPr>
        <w:spacing w:after="400" w:line="360" w:lineRule="auto"/>
      </w:pPr>
    </w:p>
    <w:p w14:paraId="1338C13F" w14:textId="77777777" w:rsidR="00686D6C" w:rsidRDefault="00C22850">
      <w:pPr>
        <w:spacing w:after="120" w:line="360" w:lineRule="auto"/>
        <w:jc w:val="center"/>
      </w:pPr>
      <w:r>
        <w:rPr>
          <w:b/>
          <w:bCs/>
          <w:sz w:val="26"/>
          <w:szCs w:val="26"/>
        </w:rPr>
        <w:t>Component 1: Written Assignment (Research Proposal)</w:t>
      </w:r>
    </w:p>
    <w:p w14:paraId="035A507E" w14:textId="77777777" w:rsidR="00686D6C" w:rsidRDefault="00686D6C">
      <w:pPr>
        <w:spacing w:after="200" w:line="360" w:lineRule="auto"/>
      </w:pPr>
    </w:p>
    <w:p w14:paraId="3ACEA85C" w14:textId="77777777" w:rsidR="00686D6C" w:rsidRDefault="00C22850">
      <w:pPr>
        <w:spacing w:after="120" w:line="360" w:lineRule="auto"/>
        <w:jc w:val="center"/>
      </w:pPr>
      <w:r>
        <w:rPr>
          <w:i/>
          <w:iCs/>
          <w:sz w:val="24"/>
          <w:szCs w:val="24"/>
        </w:rPr>
        <w:t>Burnout among health and social care staff in the UK: a proposal for a scoping review</w:t>
      </w:r>
    </w:p>
    <w:p w14:paraId="251DA48F" w14:textId="77777777" w:rsidR="00686D6C" w:rsidRDefault="00686D6C">
      <w:pPr>
        <w:spacing w:after="600" w:line="360" w:lineRule="auto"/>
      </w:pPr>
    </w:p>
    <w:p w14:paraId="7D3EB68C" w14:textId="2AA9144B" w:rsidR="00686D6C" w:rsidRDefault="00C22850">
      <w:pPr>
        <w:spacing w:after="120" w:line="360" w:lineRule="auto"/>
        <w:jc w:val="center"/>
      </w:pPr>
      <w:r>
        <w:t xml:space="preserve">Student name: </w:t>
      </w:r>
      <w:r w:rsidR="00B26A34">
        <w:t>Andreea Anca</w:t>
      </w:r>
    </w:p>
    <w:p w14:paraId="69EE0654" w14:textId="611878EF" w:rsidR="00686D6C" w:rsidRDefault="00C22850">
      <w:pPr>
        <w:spacing w:after="120" w:line="360" w:lineRule="auto"/>
        <w:jc w:val="center"/>
      </w:pPr>
      <w:r>
        <w:t xml:space="preserve">Student ID number: </w:t>
      </w:r>
      <w:r w:rsidR="00B26A34" w:rsidRPr="00B26A34">
        <w:rPr>
          <w:lang w:val="nl-NL"/>
        </w:rPr>
        <w:t>2327259</w:t>
      </w:r>
    </w:p>
    <w:p w14:paraId="6B75ACE3" w14:textId="77777777" w:rsidR="00686D6C" w:rsidRDefault="00C22850">
      <w:pPr>
        <w:spacing w:after="120" w:line="360" w:lineRule="auto"/>
        <w:jc w:val="center"/>
      </w:pPr>
      <w:r>
        <w:t>Lecturer: Bianca Sanfilippo</w:t>
      </w:r>
    </w:p>
    <w:p w14:paraId="1C7681A5" w14:textId="77777777" w:rsidR="00686D6C" w:rsidRDefault="00C22850">
      <w:pPr>
        <w:spacing w:after="120" w:line="360" w:lineRule="auto"/>
        <w:jc w:val="center"/>
      </w:pPr>
      <w:r>
        <w:t>Submission date: 14 August 2026</w:t>
      </w:r>
    </w:p>
    <w:p w14:paraId="0958501E" w14:textId="77777777" w:rsidR="00686D6C" w:rsidRDefault="00C22850">
      <w:pPr>
        <w:spacing w:after="120" w:line="360" w:lineRule="auto"/>
        <w:jc w:val="center"/>
      </w:pPr>
      <w:r>
        <w:t>Word count: 432</w:t>
      </w:r>
    </w:p>
    <w:p w14:paraId="1C0632B7" w14:textId="77777777" w:rsidR="00686D6C" w:rsidRDefault="00C22850">
      <w:r>
        <w:br w:type="page"/>
      </w:r>
    </w:p>
    <w:p w14:paraId="34D46994" w14:textId="77777777" w:rsidR="00686D6C" w:rsidRDefault="00C22850">
      <w:pPr>
        <w:spacing w:before="200" w:after="120" w:line="360" w:lineRule="auto"/>
      </w:pPr>
      <w:r>
        <w:rPr>
          <w:b/>
          <w:bCs/>
        </w:rPr>
        <w:lastRenderedPageBreak/>
        <w:t>Contents</w:t>
      </w:r>
    </w:p>
    <w:p w14:paraId="53E31719" w14:textId="77777777" w:rsidR="00686D6C" w:rsidRDefault="00C22850">
      <w:pPr>
        <w:tabs>
          <w:tab w:val="right" w:leader="dot" w:pos="9026"/>
        </w:tabs>
        <w:spacing w:after="120" w:line="360" w:lineRule="auto"/>
      </w:pPr>
      <w:r>
        <w:t>1. Topic, review question and objectives</w:t>
      </w:r>
      <w:r>
        <w:tab/>
        <w:t>3</w:t>
      </w:r>
    </w:p>
    <w:p w14:paraId="49FA0D19" w14:textId="77777777" w:rsidR="00686D6C" w:rsidRDefault="00C22850">
      <w:pPr>
        <w:tabs>
          <w:tab w:val="right" w:leader="dot" w:pos="9026"/>
        </w:tabs>
        <w:spacing w:after="120" w:line="360" w:lineRule="auto"/>
      </w:pPr>
      <w:r>
        <w:t>2. Rationale</w:t>
      </w:r>
      <w:r>
        <w:tab/>
        <w:t>3</w:t>
      </w:r>
    </w:p>
    <w:p w14:paraId="18D54AF5" w14:textId="77777777" w:rsidR="00686D6C" w:rsidRDefault="00C22850">
      <w:pPr>
        <w:tabs>
          <w:tab w:val="right" w:leader="dot" w:pos="9026"/>
        </w:tabs>
        <w:spacing w:after="120" w:line="360" w:lineRule="auto"/>
      </w:pPr>
      <w:r>
        <w:t>3. Methods</w:t>
      </w:r>
      <w:r>
        <w:tab/>
        <w:t>4</w:t>
      </w:r>
    </w:p>
    <w:p w14:paraId="49A9486F" w14:textId="77777777" w:rsidR="00686D6C" w:rsidRDefault="00C22850">
      <w:pPr>
        <w:tabs>
          <w:tab w:val="right" w:leader="dot" w:pos="9026"/>
        </w:tabs>
        <w:spacing w:after="120" w:line="360" w:lineRule="auto"/>
      </w:pPr>
      <w:r>
        <w:t>4. Ethical considerations</w:t>
      </w:r>
      <w:r>
        <w:tab/>
        <w:t>4</w:t>
      </w:r>
    </w:p>
    <w:p w14:paraId="7E4CA356" w14:textId="77777777" w:rsidR="00686D6C" w:rsidRDefault="00C22850">
      <w:pPr>
        <w:tabs>
          <w:tab w:val="right" w:leader="dot" w:pos="9026"/>
        </w:tabs>
        <w:spacing w:after="120" w:line="360" w:lineRule="auto"/>
      </w:pPr>
      <w:r>
        <w:t>References</w:t>
      </w:r>
      <w:r>
        <w:tab/>
        <w:t>5</w:t>
      </w:r>
    </w:p>
    <w:p w14:paraId="5D23125A" w14:textId="77777777" w:rsidR="00686D6C" w:rsidRDefault="00C22850">
      <w:r>
        <w:br w:type="page"/>
      </w:r>
    </w:p>
    <w:p w14:paraId="2583E721" w14:textId="77777777" w:rsidR="00686D6C" w:rsidRDefault="00C22850">
      <w:pPr>
        <w:spacing w:before="200" w:after="120" w:line="360" w:lineRule="auto"/>
      </w:pPr>
      <w:r>
        <w:rPr>
          <w:b/>
          <w:bCs/>
        </w:rPr>
        <w:lastRenderedPageBreak/>
        <w:t>1. Topic, review question and objectives</w:t>
      </w:r>
    </w:p>
    <w:p w14:paraId="5046AE0F" w14:textId="2D68A564" w:rsidR="00686D6C" w:rsidRDefault="00C22850">
      <w:pPr>
        <w:spacing w:after="200" w:line="360" w:lineRule="auto"/>
        <w:jc w:val="both"/>
      </w:pPr>
      <w:r>
        <w:t>The topic of this</w:t>
      </w:r>
      <w:r w:rsidR="00030F5C">
        <w:t xml:space="preserve"> suggestion</w:t>
      </w:r>
      <w:r w:rsidR="001C2F38">
        <w:t xml:space="preserve"> </w:t>
      </w:r>
      <w:r>
        <w:t>is burnout among health and social care staff in the United Kingdom. The review question is: what is known from recent peer-reviewed literature about the prevalence of burnout among UK health and social care staff, the factors that contribute to it, and its consequences for the workforce? The objectives are to map the recent evidence on burnout in this workforce, to identify the main contributing factors, and to describe its consequences for staff wellbeing, retention and quality of care.</w:t>
      </w:r>
    </w:p>
    <w:p w14:paraId="429063D2" w14:textId="77777777" w:rsidR="00686D6C" w:rsidRDefault="00C22850">
      <w:pPr>
        <w:spacing w:before="200" w:after="120" w:line="360" w:lineRule="auto"/>
      </w:pPr>
      <w:r>
        <w:rPr>
          <w:b/>
          <w:bCs/>
        </w:rPr>
        <w:t>2. Rationale</w:t>
      </w:r>
    </w:p>
    <w:p w14:paraId="3852381F" w14:textId="77777777" w:rsidR="00686D6C" w:rsidRDefault="00C22850">
      <w:pPr>
        <w:spacing w:after="200" w:line="360" w:lineRule="auto"/>
        <w:jc w:val="both"/>
      </w:pPr>
      <w:r>
        <w:t>Burnout is a current and serious problem for the UK health and social care workforce. In the latest NHS Staff Survey, 30% of staff reported often or always feeling burnt out because of their work, and 42% had felt unwell from work-related stress (NHS England, 2025). The picture is similar in social care, where a recent survey found that around a third of workers in England were experiencing likely burnout (Davies et al., 2025), in a sector with about 111,000 vacant posts and a turnover rate of 23.1% (Skills</w:t>
      </w:r>
      <w:r>
        <w:t xml:space="preserve"> for Care, 2025). A systematic review also reported high levels of burnout among NHS mental health professionals, linked mostly to organisational factors such as workload (</w:t>
      </w:r>
      <w:r>
        <w:t>Sideri et al., 2025). The Health and Social Care Committee (2021) described workforce burnout as an emergency that affects staff health, retention and the delivery of safe care. Mapping the recent evidence is therefore relevant for practice, because it can help services understand and support their staff better.</w:t>
      </w:r>
    </w:p>
    <w:p w14:paraId="453FC604" w14:textId="77777777" w:rsidR="00686D6C" w:rsidRDefault="00C22850">
      <w:r>
        <w:br w:type="page"/>
      </w:r>
    </w:p>
    <w:p w14:paraId="3A9C6F9B" w14:textId="77777777" w:rsidR="00686D6C" w:rsidRDefault="00C22850">
      <w:pPr>
        <w:spacing w:before="200" w:after="120" w:line="360" w:lineRule="auto"/>
      </w:pPr>
      <w:r>
        <w:rPr>
          <w:b/>
          <w:bCs/>
        </w:rPr>
        <w:lastRenderedPageBreak/>
        <w:t>3. Methods</w:t>
      </w:r>
    </w:p>
    <w:p w14:paraId="1E725338" w14:textId="77777777" w:rsidR="00686D6C" w:rsidRDefault="00C22850">
      <w:pPr>
        <w:spacing w:after="200" w:line="360" w:lineRule="auto"/>
        <w:jc w:val="both"/>
      </w:pPr>
      <w:r>
        <w:t xml:space="preserve">I will carry out a scoping review of peer-reviewed primary and secondary studies, following the five-stage framework of Arksey and O'Malley (2005) and the updated JBI guidance (Peters et al., 2020). For data collection, I will search CINAHL, PubMed and PsycINFO for studies published in English in the last five years that focus on burnout in UK health and social care settings. Titles and abstracts, and then full texts, will be screened against inclusion and exclusion criteria. For data analysis, key details </w:t>
      </w:r>
      <w:r>
        <w:t xml:space="preserve">of each study (author, year, setting, sample, methods and findings) will be charted in an extraction table and </w:t>
      </w:r>
      <w:r>
        <w:t>summarised descriptively into themes. The results will be reported following the PRISMA-ScR checklist (Tricco et al., 2018).</w:t>
      </w:r>
    </w:p>
    <w:p w14:paraId="22EF50E1" w14:textId="77777777" w:rsidR="00686D6C" w:rsidRDefault="00C22850">
      <w:pPr>
        <w:spacing w:before="200" w:after="120" w:line="360" w:lineRule="auto"/>
      </w:pPr>
      <w:r>
        <w:rPr>
          <w:b/>
          <w:bCs/>
        </w:rPr>
        <w:t>4. Ethical considerations</w:t>
      </w:r>
    </w:p>
    <w:p w14:paraId="51FE90CB" w14:textId="4A915BD4" w:rsidR="00686D6C" w:rsidRDefault="00C22850">
      <w:pPr>
        <w:spacing w:after="200" w:line="360" w:lineRule="auto"/>
        <w:jc w:val="both"/>
      </w:pPr>
      <w:r>
        <w:t xml:space="preserve">Because this is secondary research based only on published studies, no human participants are </w:t>
      </w:r>
      <w:r w:rsidR="00AF1A87">
        <w:t>involved,</w:t>
      </w:r>
      <w:r>
        <w:t xml:space="preserve"> and formal NHS ethical approval is not required. Ethical practice is still important, however. I will follow the University's research ethics policy, report the findings of the included studies honestly and without misrepresentation, avoid plagiarism by referencing all sources correctly in the Harvard style, and give preference to studies that report appropriate ethical approval.</w:t>
      </w:r>
    </w:p>
    <w:p w14:paraId="2E059968" w14:textId="77777777" w:rsidR="00686D6C" w:rsidRDefault="00C22850">
      <w:r>
        <w:br w:type="page"/>
      </w:r>
    </w:p>
    <w:p w14:paraId="27DB0692" w14:textId="77777777" w:rsidR="00686D6C" w:rsidRDefault="00C22850">
      <w:pPr>
        <w:spacing w:before="200" w:after="120" w:line="360" w:lineRule="auto"/>
      </w:pPr>
      <w:r>
        <w:rPr>
          <w:b/>
          <w:bCs/>
        </w:rPr>
        <w:lastRenderedPageBreak/>
        <w:t>References</w:t>
      </w:r>
    </w:p>
    <w:p w14:paraId="1897D613" w14:textId="77777777" w:rsidR="00686D6C" w:rsidRDefault="00C22850">
      <w:pPr>
        <w:spacing w:after="200" w:line="360" w:lineRule="auto"/>
      </w:pPr>
      <w:r>
        <w:t xml:space="preserve">Arksey, H. and O'Malley, L. (2005) 'Scoping studies: towards a methodological framework', </w:t>
      </w:r>
      <w:r>
        <w:rPr>
          <w:i/>
          <w:iCs/>
        </w:rPr>
        <w:t>International Journal of Social Research Methodology</w:t>
      </w:r>
      <w:r>
        <w:t>, 8(1), pp. 19–32.</w:t>
      </w:r>
    </w:p>
    <w:p w14:paraId="13FC51E0" w14:textId="77777777" w:rsidR="00686D6C" w:rsidRDefault="00C22850">
      <w:pPr>
        <w:spacing w:after="200" w:line="360" w:lineRule="auto"/>
      </w:pPr>
      <w:r>
        <w:t xml:space="preserve">Davies, S. et al. (2025) '“Living with Covid”: well-being, burnout, and moral injury in England's adult social care workforce – a survey study', </w:t>
      </w:r>
      <w:r>
        <w:rPr>
          <w:i/>
          <w:iCs/>
        </w:rPr>
        <w:t>Journal of Long-Term Care</w:t>
      </w:r>
      <w:r>
        <w:t>, 2025, pp. 168–181.</w:t>
      </w:r>
    </w:p>
    <w:p w14:paraId="51DDAFFA" w14:textId="77777777" w:rsidR="00686D6C" w:rsidRDefault="00C22850">
      <w:pPr>
        <w:spacing w:after="200" w:line="360" w:lineRule="auto"/>
      </w:pPr>
      <w:r>
        <w:t xml:space="preserve">Health and Social Care Committee (2021) </w:t>
      </w:r>
      <w:r>
        <w:rPr>
          <w:i/>
          <w:iCs/>
        </w:rPr>
        <w:t>Workforce burnout and resilience in the NHS and social care. Second Report of Session 2021–22</w:t>
      </w:r>
      <w:r>
        <w:t>, HC 22. London: House of Commons. Available at: https://committees.parliament.uk/publications/6158/documents/68766/default/ (Accessed: 27 July 2026).</w:t>
      </w:r>
    </w:p>
    <w:p w14:paraId="40B4ED1A" w14:textId="77777777" w:rsidR="00686D6C" w:rsidRDefault="00C22850">
      <w:pPr>
        <w:spacing w:after="200" w:line="360" w:lineRule="auto"/>
      </w:pPr>
      <w:r>
        <w:t xml:space="preserve">NHS England (2025) </w:t>
      </w:r>
      <w:r>
        <w:rPr>
          <w:i/>
          <w:iCs/>
        </w:rPr>
        <w:t>NHS Staff Survey 2024: national results briefing</w:t>
      </w:r>
      <w:r>
        <w:t>. Available at: https://www.nhsstaffsurveys.com/results/national-results/ (Accessed: 27 July 2026).</w:t>
      </w:r>
    </w:p>
    <w:p w14:paraId="77F8CBC5" w14:textId="77777777" w:rsidR="00686D6C" w:rsidRDefault="00C22850">
      <w:pPr>
        <w:spacing w:after="200" w:line="360" w:lineRule="auto"/>
      </w:pPr>
      <w:r>
        <w:t xml:space="preserve">Peters, M.D.J. et al. (2020) 'Updated methodological guidance for the conduct of scoping reviews', </w:t>
      </w:r>
      <w:r>
        <w:rPr>
          <w:i/>
          <w:iCs/>
        </w:rPr>
        <w:t>JBI Evidence Synthesis</w:t>
      </w:r>
      <w:r>
        <w:t>, 18(10), pp. 2119–2126.</w:t>
      </w:r>
    </w:p>
    <w:p w14:paraId="1EAE2FCB" w14:textId="77777777" w:rsidR="00686D6C" w:rsidRDefault="00C22850">
      <w:pPr>
        <w:spacing w:after="200" w:line="360" w:lineRule="auto"/>
      </w:pPr>
      <w:r>
        <w:t>Sideri, A.D., Kipoulas</w:t>
      </w:r>
      <w:r>
        <w:t xml:space="preserve">, E., Leddy, A. and Hackmann, C. (2025) 'Prevalence and risk factors of burnout among mental health professionals in the NHS: a systematic review', </w:t>
      </w:r>
      <w:r>
        <w:rPr>
          <w:i/>
          <w:iCs/>
        </w:rPr>
        <w:t>Counselling and Psychotherapy Research</w:t>
      </w:r>
      <w:r>
        <w:t>, 25(4), e70055.</w:t>
      </w:r>
    </w:p>
    <w:p w14:paraId="1B6C2F87" w14:textId="77777777" w:rsidR="00686D6C" w:rsidRDefault="00C22850">
      <w:pPr>
        <w:spacing w:after="200" w:line="360" w:lineRule="auto"/>
      </w:pPr>
      <w:r>
        <w:t xml:space="preserve">Skills for Care (2025) </w:t>
      </w:r>
      <w:r>
        <w:rPr>
          <w:i/>
          <w:iCs/>
        </w:rPr>
        <w:t>The state of the adult social care sector and workforce in England 2025</w:t>
      </w:r>
      <w:r>
        <w:t>. Leeds: Skills for Care.</w:t>
      </w:r>
    </w:p>
    <w:p w14:paraId="20680B09" w14:textId="77777777" w:rsidR="00686D6C" w:rsidRDefault="00C22850">
      <w:pPr>
        <w:spacing w:after="200" w:line="360" w:lineRule="auto"/>
      </w:pPr>
      <w:r>
        <w:t xml:space="preserve">Tricco, A.C. et al. (2018) 'PRISMA extension for scoping reviews (PRISMA-ScR): checklist and explanation', </w:t>
      </w:r>
      <w:r>
        <w:rPr>
          <w:i/>
          <w:iCs/>
        </w:rPr>
        <w:t>Annals of Internal Medicine</w:t>
      </w:r>
      <w:r>
        <w:t>, 169(7), pp. 467–473.</w:t>
      </w:r>
    </w:p>
    <w:sectPr w:rsidR="00686D6C">
      <w:footerReference w:type="default" r:id="rId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2688C83" w14:textId="77777777" w:rsidR="006078F2" w:rsidRDefault="006078F2">
      <w:r>
        <w:separator/>
      </w:r>
    </w:p>
  </w:endnote>
  <w:endnote w:type="continuationSeparator" w:id="0">
    <w:p w14:paraId="6A5125AC" w14:textId="77777777" w:rsidR="006078F2" w:rsidRDefault="006078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5989E0F" w14:textId="77777777" w:rsidR="00686D6C" w:rsidRDefault="00C22850">
    <w:pPr>
      <w:jc w:val="center"/>
    </w:pPr>
    <w:r>
      <w:rPr>
        <w:sz w:val="20"/>
        <w:szCs w:val="20"/>
      </w:rPr>
      <w:fldChar w:fldCharType="begin"/>
    </w:r>
    <w:r>
      <w:rPr>
        <w:sz w:val="20"/>
        <w:szCs w:val="20"/>
      </w:rPr>
      <w:instrText>PAGE</w:instrText>
    </w:r>
    <w:r>
      <w:rPr>
        <w:sz w:val="20"/>
        <w:szCs w:val="20"/>
      </w:rPr>
      <w:fldChar w:fldCharType="separate"/>
    </w:r>
    <w:r w:rsidR="00B26A34">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2CD48CD" w14:textId="77777777" w:rsidR="006078F2" w:rsidRDefault="006078F2">
      <w:r>
        <w:separator/>
      </w:r>
    </w:p>
  </w:footnote>
  <w:footnote w:type="continuationSeparator" w:id="0">
    <w:p w14:paraId="19E5ECA3" w14:textId="77777777" w:rsidR="006078F2" w:rsidRDefault="006078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3540812"/>
    <w:multiLevelType w:val="hybridMultilevel"/>
    <w:tmpl w:val="26BECF62"/>
    <w:lvl w:ilvl="0" w:tplc="9ADED0DC">
      <w:start w:val="1"/>
      <w:numFmt w:val="bullet"/>
      <w:lvlText w:val="●"/>
      <w:lvlJc w:val="left"/>
      <w:pPr>
        <w:ind w:left="720" w:hanging="360"/>
      </w:pPr>
    </w:lvl>
    <w:lvl w:ilvl="1" w:tplc="21F89D4A">
      <w:start w:val="1"/>
      <w:numFmt w:val="bullet"/>
      <w:lvlText w:val="○"/>
      <w:lvlJc w:val="left"/>
      <w:pPr>
        <w:ind w:left="1440" w:hanging="360"/>
      </w:pPr>
    </w:lvl>
    <w:lvl w:ilvl="2" w:tplc="A3B013F2">
      <w:start w:val="1"/>
      <w:numFmt w:val="bullet"/>
      <w:lvlText w:val="■"/>
      <w:lvlJc w:val="left"/>
      <w:pPr>
        <w:ind w:left="2160" w:hanging="360"/>
      </w:pPr>
    </w:lvl>
    <w:lvl w:ilvl="3" w:tplc="88C6BA06">
      <w:start w:val="1"/>
      <w:numFmt w:val="bullet"/>
      <w:lvlText w:val="●"/>
      <w:lvlJc w:val="left"/>
      <w:pPr>
        <w:ind w:left="2880" w:hanging="360"/>
      </w:pPr>
    </w:lvl>
    <w:lvl w:ilvl="4" w:tplc="219CBA2C">
      <w:start w:val="1"/>
      <w:numFmt w:val="bullet"/>
      <w:lvlText w:val="○"/>
      <w:lvlJc w:val="left"/>
      <w:pPr>
        <w:ind w:left="3600" w:hanging="360"/>
      </w:pPr>
    </w:lvl>
    <w:lvl w:ilvl="5" w:tplc="C81EC6E8">
      <w:start w:val="1"/>
      <w:numFmt w:val="bullet"/>
      <w:lvlText w:val="■"/>
      <w:lvlJc w:val="left"/>
      <w:pPr>
        <w:ind w:left="4320" w:hanging="360"/>
      </w:pPr>
    </w:lvl>
    <w:lvl w:ilvl="6" w:tplc="52003B20">
      <w:start w:val="1"/>
      <w:numFmt w:val="bullet"/>
      <w:lvlText w:val="●"/>
      <w:lvlJc w:val="left"/>
      <w:pPr>
        <w:ind w:left="5040" w:hanging="360"/>
      </w:pPr>
    </w:lvl>
    <w:lvl w:ilvl="7" w:tplc="AE6E4484">
      <w:start w:val="1"/>
      <w:numFmt w:val="bullet"/>
      <w:lvlText w:val="●"/>
      <w:lvlJc w:val="left"/>
      <w:pPr>
        <w:ind w:left="5760" w:hanging="360"/>
      </w:pPr>
    </w:lvl>
    <w:lvl w:ilvl="8" w:tplc="E1C4D778">
      <w:start w:val="1"/>
      <w:numFmt w:val="bullet"/>
      <w:lvlText w:val="●"/>
      <w:lvlJc w:val="left"/>
      <w:pPr>
        <w:ind w:left="6480" w:hanging="360"/>
      </w:pPr>
    </w:lvl>
  </w:abstractNum>
  <w:num w:numId="1" w16cid:durableId="1912157555">
    <w:abstractNumId w:val="0"/>
    <w:lvlOverride w:ilvl="0">
      <w:startOverride w:val="1"/>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7"/>
  <w:displayBackgroundShape/>
  <w:proofState w:spelling="clean"/>
  <w:revisionView w:formatting="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6D6C"/>
    <w:rsid w:val="00030F5C"/>
    <w:rsid w:val="000C1114"/>
    <w:rsid w:val="001C2F38"/>
    <w:rsid w:val="003E253F"/>
    <w:rsid w:val="004F779B"/>
    <w:rsid w:val="006078F2"/>
    <w:rsid w:val="00686D6C"/>
    <w:rsid w:val="006A2E54"/>
    <w:rsid w:val="00AF1A87"/>
    <w:rsid w:val="00B26A34"/>
    <w:rsid w:val="00B92C75"/>
    <w:rsid w:val="00C22850"/>
    <w:rsid w:val="00C37D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C55BA"/>
  <w15:docId w15:val="{BD676041-89C6-4898-800B-31FAB4BF12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uiPriority w:val="9"/>
    <w:qFormat/>
    <w:pPr>
      <w:outlineLvl w:val="0"/>
    </w:pPr>
    <w:rPr>
      <w:color w:val="2E74B5"/>
      <w:sz w:val="32"/>
      <w:szCs w:val="32"/>
    </w:rPr>
  </w:style>
  <w:style w:type="paragraph" w:styleId="Titlu2">
    <w:name w:val="heading 2"/>
    <w:uiPriority w:val="9"/>
    <w:semiHidden/>
    <w:unhideWhenUsed/>
    <w:qFormat/>
    <w:pPr>
      <w:outlineLvl w:val="1"/>
    </w:pPr>
    <w:rPr>
      <w:color w:val="2E74B5"/>
      <w:sz w:val="26"/>
      <w:szCs w:val="26"/>
    </w:rPr>
  </w:style>
  <w:style w:type="paragraph" w:styleId="Titlu3">
    <w:name w:val="heading 3"/>
    <w:uiPriority w:val="9"/>
    <w:semiHidden/>
    <w:unhideWhenUsed/>
    <w:qFormat/>
    <w:pPr>
      <w:outlineLvl w:val="2"/>
    </w:pPr>
    <w:rPr>
      <w:color w:val="1F4D78"/>
      <w:sz w:val="24"/>
      <w:szCs w:val="24"/>
    </w:rPr>
  </w:style>
  <w:style w:type="paragraph" w:styleId="Titlu4">
    <w:name w:val="heading 4"/>
    <w:uiPriority w:val="9"/>
    <w:semiHidden/>
    <w:unhideWhenUsed/>
    <w:qFormat/>
    <w:pPr>
      <w:outlineLvl w:val="3"/>
    </w:pPr>
    <w:rPr>
      <w:i/>
      <w:iCs/>
      <w:color w:val="2E74B5"/>
    </w:rPr>
  </w:style>
  <w:style w:type="paragraph" w:styleId="Titlu5">
    <w:name w:val="heading 5"/>
    <w:uiPriority w:val="9"/>
    <w:semiHidden/>
    <w:unhideWhenUsed/>
    <w:qFormat/>
    <w:pPr>
      <w:outlineLvl w:val="4"/>
    </w:pPr>
    <w:rPr>
      <w:color w:val="2E74B5"/>
    </w:rPr>
  </w:style>
  <w:style w:type="paragraph" w:styleId="Titlu6">
    <w:name w:val="heading 6"/>
    <w:uiPriority w:val="9"/>
    <w:semiHidden/>
    <w:unhideWhenUsed/>
    <w:qFormat/>
    <w:pPr>
      <w:outlineLvl w:val="5"/>
    </w:pPr>
    <w:rPr>
      <w:color w:val="1F4D7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uiPriority w:val="10"/>
    <w:qFormat/>
    <w:rPr>
      <w:sz w:val="56"/>
      <w:szCs w:val="56"/>
    </w:rPr>
  </w:style>
  <w:style w:type="paragraph" w:customStyle="1" w:styleId="Strong1">
    <w:name w:val="Strong1"/>
    <w:qFormat/>
    <w:rPr>
      <w:b/>
      <w:bCs/>
    </w:rPr>
  </w:style>
  <w:style w:type="paragraph" w:styleId="Listparagraf">
    <w:name w:val="List Paragraph"/>
    <w:qFormat/>
  </w:style>
  <w:style w:type="character" w:styleId="Hyperlink">
    <w:name w:val="Hyperlink"/>
    <w:uiPriority w:val="99"/>
    <w:unhideWhenUsed/>
    <w:rPr>
      <w:color w:val="0563C1"/>
      <w:u w:val="single"/>
    </w:rPr>
  </w:style>
  <w:style w:type="character" w:styleId="Referinnotdesubsol">
    <w:name w:val="footnote reference"/>
    <w:uiPriority w:val="99"/>
    <w:semiHidden/>
    <w:unhideWhenUsed/>
    <w:rPr>
      <w:vertAlign w:val="superscript"/>
    </w:rPr>
  </w:style>
  <w:style w:type="paragraph" w:styleId="Textnotdesubsol">
    <w:name w:val="footnote text"/>
    <w:link w:val="TextnotdesubsolCaracter"/>
    <w:uiPriority w:val="99"/>
    <w:semiHidden/>
    <w:unhideWhenUsed/>
    <w:rPr>
      <w:sz w:val="20"/>
      <w:szCs w:val="20"/>
    </w:rPr>
  </w:style>
  <w:style w:type="character" w:customStyle="1" w:styleId="TextnotdesubsolCaracter">
    <w:name w:val="Text notă de subsol Caracter"/>
    <w:link w:val="Textnotdesubsol"/>
    <w:uiPriority w:val="99"/>
    <w:semiHidden/>
    <w:unhideWhenUsed/>
    <w:rPr>
      <w:sz w:val="20"/>
      <w:szCs w:val="20"/>
    </w:rPr>
  </w:style>
  <w:style w:type="character" w:styleId="Referinnotdefinal">
    <w:name w:val="endnote reference"/>
    <w:uiPriority w:val="99"/>
    <w:semiHidden/>
    <w:unhideWhenUsed/>
    <w:rPr>
      <w:vertAlign w:val="superscript"/>
    </w:rPr>
  </w:style>
  <w:style w:type="paragraph" w:styleId="Textnotdefinal">
    <w:name w:val="endnote text"/>
    <w:link w:val="TextnotdefinalCaracter"/>
    <w:uiPriority w:val="99"/>
    <w:semiHidden/>
    <w:unhideWhenUsed/>
    <w:rPr>
      <w:sz w:val="20"/>
      <w:szCs w:val="20"/>
    </w:rPr>
  </w:style>
  <w:style w:type="character" w:customStyle="1" w:styleId="TextnotdefinalCaracter">
    <w:name w:val="Text notă de final Caracter"/>
    <w:link w:val="Textnotdefinal"/>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TotalTime>
  <Pages>5</Pages>
  <Words>706</Words>
  <Characters>4095</Characters>
  <Application>Microsoft Office Word</Application>
  <DocSecurity>0</DocSecurity>
  <Lines>34</Lines>
  <Paragraphs>9</Paragraphs>
  <ScaleCrop>false</ScaleCrop>
  <Company/>
  <LinksUpToDate>false</LinksUpToDate>
  <CharactersWithSpaces>4792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Andreea Anca (2327259)</cp:lastModifiedBy>
  <cp:revision>8</cp:revision>
  <dcterms:created xsi:type="dcterms:W3CDTF">2026-07-27T16:47:00Z</dcterms:created>
  <dcterms:modified xsi:type="dcterms:W3CDTF">2026-08-04T20:09:00Z</dcterms:modified>
</cp:coreProperties>
</file>