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3C444" w14:textId="77777777" w:rsidR="00463881" w:rsidRPr="00E37427" w:rsidRDefault="00463881" w:rsidP="00E37427">
      <w:pPr>
        <w:spacing w:before="100" w:beforeAutospacing="1" w:after="100" w:afterAutospacing="1" w:line="360" w:lineRule="auto"/>
        <w:jc w:val="both"/>
        <w:rPr>
          <w:rFonts w:ascii="Arial" w:eastAsia="Arial" w:hAnsi="Arial" w:cs="Arial"/>
          <w:kern w:val="0"/>
          <w:sz w:val="22"/>
          <w:szCs w:val="22"/>
          <w:lang w:eastAsia="en-IN"/>
          <w14:ligatures w14:val="none"/>
        </w:rPr>
      </w:pPr>
      <w:r w:rsidRPr="00E37427">
        <w:rPr>
          <w:rFonts w:ascii="Arial" w:eastAsia="Times New Roman" w:hAnsi="Arial" w:cs="Arial"/>
          <w:noProof/>
          <w:kern w:val="0"/>
          <w:sz w:val="22"/>
          <w:szCs w:val="22"/>
          <w:lang w:eastAsia="en-IN"/>
          <w14:ligatures w14:val="none"/>
        </w:rPr>
        <w:drawing>
          <wp:anchor distT="0" distB="0" distL="114300" distR="114300" simplePos="0" relativeHeight="251659264" behindDoc="0" locked="0" layoutInCell="1" hidden="0" allowOverlap="1" wp14:anchorId="7DEC08C2" wp14:editId="7BBE95F6">
            <wp:simplePos x="0" y="0"/>
            <wp:positionH relativeFrom="column">
              <wp:posOffset>-354187</wp:posOffset>
            </wp:positionH>
            <wp:positionV relativeFrom="paragraph">
              <wp:posOffset>-593213</wp:posOffset>
            </wp:positionV>
            <wp:extent cx="1809750" cy="723900"/>
            <wp:effectExtent l="0" t="0" r="0" b="0"/>
            <wp:wrapNone/>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7D7D181A"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43128E83"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39F2152D"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1723342B" w14:textId="462D5029"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val="nl-NL" w:eastAsia="en-IN"/>
          <w14:ligatures w14:val="none"/>
        </w:rPr>
      </w:pPr>
      <w:r w:rsidRPr="00B37915">
        <w:rPr>
          <w:rFonts w:ascii="Arial" w:eastAsia="Arial" w:hAnsi="Arial" w:cs="Arial"/>
          <w:b/>
          <w:bCs/>
          <w:kern w:val="0"/>
          <w:sz w:val="32"/>
          <w:szCs w:val="32"/>
          <w:lang w:val="nl-NL" w:eastAsia="en-IN"/>
          <w14:ligatures w14:val="none"/>
        </w:rPr>
        <w:t>Student name</w:t>
      </w:r>
      <w:r w:rsidRPr="00B37915">
        <w:rPr>
          <w:rFonts w:ascii="Arial" w:eastAsia="Arial" w:hAnsi="Arial" w:cs="Arial"/>
          <w:kern w:val="0"/>
          <w:sz w:val="32"/>
          <w:szCs w:val="32"/>
          <w:lang w:val="nl-NL" w:eastAsia="en-IN"/>
          <w14:ligatures w14:val="none"/>
        </w:rPr>
        <w:t>:</w:t>
      </w:r>
      <w:r w:rsidR="00917F90" w:rsidRPr="00B37915">
        <w:rPr>
          <w:rFonts w:ascii="Arial" w:eastAsia="Arial" w:hAnsi="Arial" w:cs="Arial"/>
          <w:kern w:val="0"/>
          <w:sz w:val="32"/>
          <w:szCs w:val="32"/>
          <w:lang w:val="nl-NL" w:eastAsia="en-IN"/>
          <w14:ligatures w14:val="none"/>
        </w:rPr>
        <w:t xml:space="preserve"> </w:t>
      </w:r>
      <w:r w:rsidRPr="00B37915">
        <w:rPr>
          <w:rFonts w:ascii="Arial" w:eastAsia="Arial" w:hAnsi="Arial" w:cs="Arial"/>
          <w:kern w:val="0"/>
          <w:sz w:val="32"/>
          <w:szCs w:val="32"/>
          <w:lang w:val="nl-NL" w:eastAsia="en-IN"/>
          <w14:ligatures w14:val="none"/>
        </w:rPr>
        <w:t>Anna Poznanska</w:t>
      </w:r>
    </w:p>
    <w:p w14:paraId="3C9520C6" w14:textId="536921D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val="nl-NL" w:eastAsia="en-IN"/>
          <w14:ligatures w14:val="none"/>
        </w:rPr>
      </w:pPr>
      <w:r w:rsidRPr="00B37915">
        <w:rPr>
          <w:rFonts w:ascii="Arial" w:eastAsia="Arial" w:hAnsi="Arial" w:cs="Arial"/>
          <w:b/>
          <w:bCs/>
          <w:kern w:val="0"/>
          <w:sz w:val="32"/>
          <w:szCs w:val="32"/>
          <w:lang w:val="nl-NL" w:eastAsia="en-IN"/>
          <w14:ligatures w14:val="none"/>
        </w:rPr>
        <w:t>Student ID:</w:t>
      </w:r>
      <w:r w:rsidR="00917F90" w:rsidRPr="00B37915">
        <w:rPr>
          <w:rFonts w:ascii="Arial" w:eastAsia="Arial" w:hAnsi="Arial" w:cs="Arial"/>
          <w:b/>
          <w:bCs/>
          <w:kern w:val="0"/>
          <w:sz w:val="32"/>
          <w:szCs w:val="32"/>
          <w:lang w:val="nl-NL" w:eastAsia="en-IN"/>
          <w14:ligatures w14:val="none"/>
        </w:rPr>
        <w:t xml:space="preserve"> </w:t>
      </w:r>
      <w:r w:rsidRPr="00B37915">
        <w:rPr>
          <w:rFonts w:ascii="Arial" w:eastAsia="Arial" w:hAnsi="Arial" w:cs="Arial"/>
          <w:kern w:val="0"/>
          <w:sz w:val="32"/>
          <w:szCs w:val="32"/>
          <w:lang w:val="nl-NL" w:eastAsia="en-IN"/>
          <w14:ligatures w14:val="none"/>
        </w:rPr>
        <w:t>2442414</w:t>
      </w:r>
    </w:p>
    <w:p w14:paraId="40172CE3" w14:textId="2ECC4CD4"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Module name:</w:t>
      </w:r>
      <w:r w:rsidRPr="00B37915">
        <w:rPr>
          <w:rFonts w:ascii="Arial" w:eastAsia="Arial" w:hAnsi="Arial" w:cs="Arial"/>
          <w:kern w:val="0"/>
          <w:sz w:val="32"/>
          <w:szCs w:val="32"/>
          <w:lang w:eastAsia="en-IN"/>
          <w14:ligatures w14:val="none"/>
        </w:rPr>
        <w:t xml:space="preserve"> Principles of Health and Social Care Practice</w:t>
      </w:r>
    </w:p>
    <w:p w14:paraId="5421DBF4" w14:textId="2F91D47F"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Component:</w:t>
      </w:r>
      <w:r w:rsidRPr="00B37915">
        <w:rPr>
          <w:rFonts w:ascii="Arial" w:eastAsia="Arial" w:hAnsi="Arial" w:cs="Arial"/>
          <w:kern w:val="0"/>
          <w:sz w:val="32"/>
          <w:szCs w:val="32"/>
          <w:lang w:eastAsia="en-IN"/>
          <w14:ligatures w14:val="none"/>
        </w:rPr>
        <w:t xml:space="preserve"> </w:t>
      </w:r>
      <w:r w:rsidR="002C651F">
        <w:rPr>
          <w:rFonts w:ascii="Arial" w:eastAsia="Arial" w:hAnsi="Arial" w:cs="Arial"/>
          <w:kern w:val="0"/>
          <w:sz w:val="32"/>
          <w:szCs w:val="32"/>
          <w:lang w:eastAsia="en-IN"/>
          <w14:ligatures w14:val="none"/>
        </w:rPr>
        <w:t xml:space="preserve">2 </w:t>
      </w:r>
      <w:r w:rsidR="002C651F" w:rsidRPr="002C651F">
        <w:rPr>
          <w:rFonts w:ascii="Arial" w:eastAsia="Arial" w:hAnsi="Arial" w:cs="Arial"/>
          <w:kern w:val="0"/>
          <w:sz w:val="32"/>
          <w:szCs w:val="32"/>
          <w:lang w:eastAsia="en-IN"/>
          <w14:ligatures w14:val="none"/>
        </w:rPr>
        <w:t>(Essay)</w:t>
      </w:r>
    </w:p>
    <w:p w14:paraId="31FFF12A" w14:textId="7777777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Module code:</w:t>
      </w:r>
      <w:r w:rsidRPr="00B37915">
        <w:rPr>
          <w:rFonts w:ascii="Arial" w:eastAsia="Arial" w:hAnsi="Arial" w:cs="Arial"/>
          <w:kern w:val="0"/>
          <w:sz w:val="32"/>
          <w:szCs w:val="32"/>
          <w:lang w:eastAsia="en-IN"/>
          <w14:ligatures w14:val="none"/>
        </w:rPr>
        <w:t xml:space="preserve"> BMHP5016 </w:t>
      </w:r>
    </w:p>
    <w:p w14:paraId="42D3A3B6" w14:textId="7777777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Lecturer name:</w:t>
      </w:r>
      <w:r w:rsidRPr="00B37915">
        <w:rPr>
          <w:rFonts w:ascii="Arial" w:eastAsia="Arial" w:hAnsi="Arial" w:cs="Arial"/>
          <w:kern w:val="0"/>
          <w:sz w:val="32"/>
          <w:szCs w:val="32"/>
          <w:lang w:eastAsia="en-IN"/>
          <w14:ligatures w14:val="none"/>
        </w:rPr>
        <w:t xml:space="preserve"> Sam Parker</w:t>
      </w:r>
    </w:p>
    <w:p w14:paraId="4C3C5396"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Times New Roman" w:hAnsi="Arial" w:cs="Arial"/>
          <w:kern w:val="0"/>
          <w:sz w:val="32"/>
          <w:szCs w:val="32"/>
          <w:lang w:eastAsia="en-IN"/>
          <w14:ligatures w14:val="none"/>
        </w:rPr>
        <w:br w:type="page"/>
      </w:r>
    </w:p>
    <w:p w14:paraId="415F6C7F" w14:textId="77777777" w:rsidR="00463881" w:rsidRPr="00B37915" w:rsidRDefault="00463881" w:rsidP="00E37427">
      <w:pPr>
        <w:spacing w:before="100" w:beforeAutospacing="1" w:after="100" w:afterAutospacing="1" w:line="360" w:lineRule="auto"/>
        <w:jc w:val="both"/>
        <w:rPr>
          <w:rFonts w:ascii="Arial" w:eastAsia="Arial" w:hAnsi="Arial" w:cs="Arial"/>
          <w:b/>
          <w:bCs/>
          <w:kern w:val="0"/>
          <w:sz w:val="32"/>
          <w:szCs w:val="32"/>
          <w:lang w:eastAsia="en-IN"/>
          <w14:ligatures w14:val="none"/>
        </w:rPr>
      </w:pPr>
      <w:r w:rsidRPr="00B37915">
        <w:rPr>
          <w:rFonts w:ascii="Arial" w:eastAsia="Arial" w:hAnsi="Arial" w:cs="Arial"/>
          <w:b/>
          <w:bCs/>
          <w:kern w:val="0"/>
          <w:sz w:val="32"/>
          <w:szCs w:val="32"/>
          <w:lang w:eastAsia="en-IN"/>
          <w14:ligatures w14:val="none"/>
        </w:rPr>
        <w:lastRenderedPageBreak/>
        <w:t>Table of contents</w:t>
      </w:r>
    </w:p>
    <w:sdt>
      <w:sdtPr>
        <w:rPr>
          <w:rFonts w:ascii="Arial" w:eastAsia="Times New Roman" w:hAnsi="Arial" w:cs="Arial"/>
          <w:kern w:val="0"/>
          <w:sz w:val="22"/>
          <w:szCs w:val="22"/>
          <w:lang w:eastAsia="en-IN"/>
          <w14:ligatures w14:val="none"/>
        </w:rPr>
        <w:id w:val="1949585871"/>
        <w:docPartObj>
          <w:docPartGallery w:val="Table of Contents"/>
          <w:docPartUnique/>
        </w:docPartObj>
      </w:sdtPr>
      <w:sdtEndPr>
        <w:rPr>
          <w:rFonts w:asciiTheme="minorHAnsi" w:eastAsiaTheme="minorHAnsi" w:hAnsiTheme="minorHAnsi" w:cstheme="minorBidi"/>
          <w:noProof/>
          <w:kern w:val="2"/>
          <w:sz w:val="24"/>
          <w:szCs w:val="24"/>
          <w14:ligatures w14:val="standardContextual"/>
        </w:rPr>
      </w:sdtEndPr>
      <w:sdtContent>
        <w:p w14:paraId="055F3303" w14:textId="0615C7FE" w:rsidR="00463881" w:rsidRPr="00E37427" w:rsidRDefault="00463881" w:rsidP="00E37427">
          <w:pPr>
            <w:keepNext/>
            <w:keepLines/>
            <w:spacing w:before="100" w:beforeAutospacing="1" w:after="100" w:afterAutospacing="1" w:line="360" w:lineRule="auto"/>
            <w:rPr>
              <w:rFonts w:ascii="Arial" w:eastAsia="Times New Roman" w:hAnsi="Arial" w:cs="Arial"/>
              <w:b/>
              <w:bCs/>
              <w:kern w:val="0"/>
              <w:sz w:val="22"/>
              <w:szCs w:val="22"/>
              <w:lang w:eastAsia="en-IN"/>
              <w14:ligatures w14:val="none"/>
            </w:rPr>
          </w:pPr>
        </w:p>
        <w:p w14:paraId="06B75E23" w14:textId="1DF3457C" w:rsidR="00A42B92" w:rsidRDefault="00463881">
          <w:pPr>
            <w:pStyle w:val="TOC1"/>
            <w:rPr>
              <w:rFonts w:eastAsiaTheme="minorEastAsia"/>
              <w:noProof/>
              <w:lang w:eastAsia="en-GB"/>
            </w:rPr>
          </w:pPr>
          <w:r w:rsidRPr="00B37915">
            <w:rPr>
              <w:rFonts w:ascii="Arial" w:eastAsia="Times New Roman" w:hAnsi="Arial" w:cs="Arial"/>
              <w:b/>
              <w:bCs/>
              <w:kern w:val="0"/>
              <w:sz w:val="28"/>
              <w:szCs w:val="28"/>
              <w:lang w:eastAsia="en-IN"/>
              <w14:ligatures w14:val="none"/>
            </w:rPr>
            <w:fldChar w:fldCharType="begin"/>
          </w:r>
          <w:r w:rsidRPr="00B37915">
            <w:rPr>
              <w:rFonts w:ascii="Arial" w:eastAsia="Times New Roman" w:hAnsi="Arial" w:cs="Arial"/>
              <w:b/>
              <w:bCs/>
              <w:kern w:val="0"/>
              <w:sz w:val="28"/>
              <w:szCs w:val="28"/>
              <w:lang w:eastAsia="en-IN"/>
              <w14:ligatures w14:val="none"/>
            </w:rPr>
            <w:instrText xml:space="preserve"> TOC \o "1-3" \h \z \u </w:instrText>
          </w:r>
          <w:r w:rsidRPr="00B37915">
            <w:rPr>
              <w:rFonts w:ascii="Arial" w:eastAsia="Times New Roman" w:hAnsi="Arial" w:cs="Arial"/>
              <w:b/>
              <w:bCs/>
              <w:kern w:val="0"/>
              <w:sz w:val="28"/>
              <w:szCs w:val="28"/>
              <w:lang w:eastAsia="en-IN"/>
              <w14:ligatures w14:val="none"/>
            </w:rPr>
            <w:fldChar w:fldCharType="separate"/>
          </w:r>
          <w:hyperlink w:anchor="_Toc238474391" w:history="1">
            <w:r w:rsidR="00A42B92" w:rsidRPr="00C04862">
              <w:rPr>
                <w:rStyle w:val="Hyperlink"/>
                <w:rFonts w:ascii="Arial" w:hAnsi="Arial" w:cs="Arial"/>
                <w:noProof/>
                <w:lang w:val="en-US"/>
              </w:rPr>
              <w:t>Introduction</w:t>
            </w:r>
            <w:r w:rsidR="00A42B92">
              <w:rPr>
                <w:noProof/>
                <w:webHidden/>
              </w:rPr>
              <w:tab/>
            </w:r>
            <w:r w:rsidR="00A42B92">
              <w:rPr>
                <w:noProof/>
                <w:webHidden/>
              </w:rPr>
              <w:fldChar w:fldCharType="begin"/>
            </w:r>
            <w:r w:rsidR="00A42B92">
              <w:rPr>
                <w:noProof/>
                <w:webHidden/>
              </w:rPr>
              <w:instrText xml:space="preserve"> PAGEREF _Toc238474391 \h </w:instrText>
            </w:r>
            <w:r w:rsidR="00A42B92">
              <w:rPr>
                <w:noProof/>
                <w:webHidden/>
              </w:rPr>
            </w:r>
            <w:r w:rsidR="00A42B92">
              <w:rPr>
                <w:noProof/>
                <w:webHidden/>
              </w:rPr>
              <w:fldChar w:fldCharType="separate"/>
            </w:r>
            <w:r w:rsidR="00A42B92">
              <w:rPr>
                <w:noProof/>
                <w:webHidden/>
              </w:rPr>
              <w:t>3</w:t>
            </w:r>
            <w:r w:rsidR="00A42B92">
              <w:rPr>
                <w:noProof/>
                <w:webHidden/>
              </w:rPr>
              <w:fldChar w:fldCharType="end"/>
            </w:r>
          </w:hyperlink>
        </w:p>
        <w:p w14:paraId="43A32C0C" w14:textId="34622CDE" w:rsidR="00A42B92" w:rsidRDefault="00A42B92">
          <w:pPr>
            <w:pStyle w:val="TOC1"/>
            <w:rPr>
              <w:rFonts w:eastAsiaTheme="minorEastAsia"/>
              <w:noProof/>
              <w:lang w:eastAsia="en-GB"/>
            </w:rPr>
          </w:pPr>
          <w:hyperlink w:anchor="_Toc238474392" w:history="1">
            <w:r w:rsidRPr="00C04862">
              <w:rPr>
                <w:rStyle w:val="Hyperlink"/>
                <w:rFonts w:ascii="Arial" w:hAnsi="Arial" w:cs="Arial"/>
                <w:noProof/>
                <w:lang w:val="en-US"/>
              </w:rPr>
              <w:t>The Emergence and Development of the Social Model of Disability</w:t>
            </w:r>
            <w:r>
              <w:rPr>
                <w:noProof/>
                <w:webHidden/>
              </w:rPr>
              <w:tab/>
            </w:r>
            <w:r>
              <w:rPr>
                <w:noProof/>
                <w:webHidden/>
              </w:rPr>
              <w:fldChar w:fldCharType="begin"/>
            </w:r>
            <w:r>
              <w:rPr>
                <w:noProof/>
                <w:webHidden/>
              </w:rPr>
              <w:instrText xml:space="preserve"> PAGEREF _Toc238474392 \h </w:instrText>
            </w:r>
            <w:r>
              <w:rPr>
                <w:noProof/>
                <w:webHidden/>
              </w:rPr>
            </w:r>
            <w:r>
              <w:rPr>
                <w:noProof/>
                <w:webHidden/>
              </w:rPr>
              <w:fldChar w:fldCharType="separate"/>
            </w:r>
            <w:r>
              <w:rPr>
                <w:noProof/>
                <w:webHidden/>
              </w:rPr>
              <w:t>3</w:t>
            </w:r>
            <w:r>
              <w:rPr>
                <w:noProof/>
                <w:webHidden/>
              </w:rPr>
              <w:fldChar w:fldCharType="end"/>
            </w:r>
          </w:hyperlink>
        </w:p>
        <w:p w14:paraId="65DD9F33" w14:textId="42A5C1ED" w:rsidR="00A42B92" w:rsidRDefault="00A42B92">
          <w:pPr>
            <w:pStyle w:val="TOC1"/>
            <w:rPr>
              <w:rFonts w:eastAsiaTheme="minorEastAsia"/>
              <w:noProof/>
              <w:lang w:eastAsia="en-GB"/>
            </w:rPr>
          </w:pPr>
          <w:hyperlink w:anchor="_Toc238474393" w:history="1">
            <w:r w:rsidRPr="00C04862">
              <w:rPr>
                <w:rStyle w:val="Hyperlink"/>
                <w:rFonts w:ascii="Arial" w:hAnsi="Arial" w:cs="Arial"/>
                <w:noProof/>
                <w:lang w:val="en-US"/>
              </w:rPr>
              <w:t>Application to Health and Social Care Policy and Practice</w:t>
            </w:r>
            <w:r>
              <w:rPr>
                <w:noProof/>
                <w:webHidden/>
              </w:rPr>
              <w:tab/>
            </w:r>
            <w:r>
              <w:rPr>
                <w:noProof/>
                <w:webHidden/>
              </w:rPr>
              <w:fldChar w:fldCharType="begin"/>
            </w:r>
            <w:r>
              <w:rPr>
                <w:noProof/>
                <w:webHidden/>
              </w:rPr>
              <w:instrText xml:space="preserve"> PAGEREF _Toc238474393 \h </w:instrText>
            </w:r>
            <w:r>
              <w:rPr>
                <w:noProof/>
                <w:webHidden/>
              </w:rPr>
            </w:r>
            <w:r>
              <w:rPr>
                <w:noProof/>
                <w:webHidden/>
              </w:rPr>
              <w:fldChar w:fldCharType="separate"/>
            </w:r>
            <w:r>
              <w:rPr>
                <w:noProof/>
                <w:webHidden/>
              </w:rPr>
              <w:t>5</w:t>
            </w:r>
            <w:r>
              <w:rPr>
                <w:noProof/>
                <w:webHidden/>
              </w:rPr>
              <w:fldChar w:fldCharType="end"/>
            </w:r>
          </w:hyperlink>
        </w:p>
        <w:p w14:paraId="02315560" w14:textId="5E378394" w:rsidR="00A42B92" w:rsidRDefault="00A42B92">
          <w:pPr>
            <w:pStyle w:val="TOC1"/>
            <w:rPr>
              <w:rFonts w:eastAsiaTheme="minorEastAsia"/>
              <w:noProof/>
              <w:lang w:eastAsia="en-GB"/>
            </w:rPr>
          </w:pPr>
          <w:hyperlink w:anchor="_Toc238474394" w:history="1">
            <w:r w:rsidRPr="00C04862">
              <w:rPr>
                <w:rStyle w:val="Hyperlink"/>
                <w:rFonts w:ascii="Arial" w:hAnsi="Arial" w:cs="Arial"/>
                <w:noProof/>
                <w:lang w:val="en-US"/>
              </w:rPr>
              <w:t>Recommendations for Health and Social Care Policy and Practice</w:t>
            </w:r>
            <w:r>
              <w:rPr>
                <w:noProof/>
                <w:webHidden/>
              </w:rPr>
              <w:tab/>
            </w:r>
            <w:r>
              <w:rPr>
                <w:noProof/>
                <w:webHidden/>
              </w:rPr>
              <w:fldChar w:fldCharType="begin"/>
            </w:r>
            <w:r>
              <w:rPr>
                <w:noProof/>
                <w:webHidden/>
              </w:rPr>
              <w:instrText xml:space="preserve"> PAGEREF _Toc238474394 \h </w:instrText>
            </w:r>
            <w:r>
              <w:rPr>
                <w:noProof/>
                <w:webHidden/>
              </w:rPr>
            </w:r>
            <w:r>
              <w:rPr>
                <w:noProof/>
                <w:webHidden/>
              </w:rPr>
              <w:fldChar w:fldCharType="separate"/>
            </w:r>
            <w:r>
              <w:rPr>
                <w:noProof/>
                <w:webHidden/>
              </w:rPr>
              <w:t>7</w:t>
            </w:r>
            <w:r>
              <w:rPr>
                <w:noProof/>
                <w:webHidden/>
              </w:rPr>
              <w:fldChar w:fldCharType="end"/>
            </w:r>
          </w:hyperlink>
        </w:p>
        <w:p w14:paraId="39A5024A" w14:textId="5FFA4686" w:rsidR="00A42B92" w:rsidRDefault="00A42B92">
          <w:pPr>
            <w:pStyle w:val="TOC1"/>
            <w:rPr>
              <w:rFonts w:eastAsiaTheme="minorEastAsia"/>
              <w:noProof/>
              <w:lang w:eastAsia="en-GB"/>
            </w:rPr>
          </w:pPr>
          <w:hyperlink w:anchor="_Toc238474395" w:history="1">
            <w:r w:rsidRPr="00C04862">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_Toc238474395 \h </w:instrText>
            </w:r>
            <w:r>
              <w:rPr>
                <w:noProof/>
                <w:webHidden/>
              </w:rPr>
            </w:r>
            <w:r>
              <w:rPr>
                <w:noProof/>
                <w:webHidden/>
              </w:rPr>
              <w:fldChar w:fldCharType="separate"/>
            </w:r>
            <w:r>
              <w:rPr>
                <w:noProof/>
                <w:webHidden/>
              </w:rPr>
              <w:t>8</w:t>
            </w:r>
            <w:r>
              <w:rPr>
                <w:noProof/>
                <w:webHidden/>
              </w:rPr>
              <w:fldChar w:fldCharType="end"/>
            </w:r>
          </w:hyperlink>
        </w:p>
        <w:p w14:paraId="0A55B67E" w14:textId="39BEB0C2" w:rsidR="00A42B92" w:rsidRDefault="00A42B92">
          <w:pPr>
            <w:pStyle w:val="TOC1"/>
            <w:rPr>
              <w:rFonts w:eastAsiaTheme="minorEastAsia"/>
              <w:noProof/>
              <w:lang w:eastAsia="en-GB"/>
            </w:rPr>
          </w:pPr>
          <w:hyperlink w:anchor="_Toc238474396" w:history="1">
            <w:r w:rsidRPr="00C04862">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_Toc238474396 \h </w:instrText>
            </w:r>
            <w:r>
              <w:rPr>
                <w:noProof/>
                <w:webHidden/>
              </w:rPr>
            </w:r>
            <w:r>
              <w:rPr>
                <w:noProof/>
                <w:webHidden/>
              </w:rPr>
              <w:fldChar w:fldCharType="separate"/>
            </w:r>
            <w:r>
              <w:rPr>
                <w:noProof/>
                <w:webHidden/>
              </w:rPr>
              <w:t>9</w:t>
            </w:r>
            <w:r>
              <w:rPr>
                <w:noProof/>
                <w:webHidden/>
              </w:rPr>
              <w:fldChar w:fldCharType="end"/>
            </w:r>
          </w:hyperlink>
        </w:p>
        <w:p w14:paraId="47E9E3E8" w14:textId="1546AF95" w:rsidR="00463881" w:rsidRPr="00E37427" w:rsidRDefault="00463881" w:rsidP="00B37915">
          <w:pPr>
            <w:pStyle w:val="TOC1"/>
            <w:rPr>
              <w:lang w:eastAsia="en-IN"/>
            </w:rPr>
            <w:sectPr w:rsidR="00463881" w:rsidRPr="00E37427" w:rsidSect="00917F90">
              <w:footerReference w:type="default" r:id="rId7"/>
              <w:pgSz w:w="11906" w:h="16838"/>
              <w:pgMar w:top="1440" w:right="1440" w:bottom="1440" w:left="1440" w:header="708" w:footer="708" w:gutter="0"/>
              <w:pgNumType w:start="1"/>
              <w:cols w:space="708"/>
              <w:docGrid w:linePitch="360"/>
            </w:sectPr>
          </w:pPr>
          <w:r w:rsidRPr="00B37915">
            <w:rPr>
              <w:noProof/>
              <w:sz w:val="28"/>
              <w:szCs w:val="28"/>
              <w:lang w:eastAsia="en-IN"/>
            </w:rPr>
            <w:fldChar w:fldCharType="end"/>
          </w:r>
        </w:p>
      </w:sdtContent>
    </w:sdt>
    <w:p w14:paraId="6D96F356" w14:textId="77777777" w:rsidR="00A87833" w:rsidRPr="00B37915" w:rsidRDefault="00A87833" w:rsidP="00B37915">
      <w:pPr>
        <w:pStyle w:val="Heading1"/>
        <w:rPr>
          <w:rFonts w:ascii="Arial" w:hAnsi="Arial" w:cs="Arial"/>
          <w:sz w:val="28"/>
          <w:szCs w:val="28"/>
          <w:lang w:val="en-US"/>
        </w:rPr>
      </w:pPr>
      <w:bookmarkStart w:id="0" w:name="_Toc238474391"/>
      <w:r w:rsidRPr="00B37915">
        <w:rPr>
          <w:rFonts w:ascii="Arial" w:hAnsi="Arial" w:cs="Arial"/>
          <w:sz w:val="28"/>
          <w:szCs w:val="28"/>
          <w:lang w:val="en-US"/>
        </w:rPr>
        <w:lastRenderedPageBreak/>
        <w:t>Introduction</w:t>
      </w:r>
      <w:bookmarkEnd w:id="0"/>
    </w:p>
    <w:p w14:paraId="1D5C8DA2" w14:textId="77777777" w:rsidR="005C55C1" w:rsidRPr="005C55C1" w:rsidRDefault="005C55C1" w:rsidP="005C55C1">
      <w:pPr>
        <w:spacing w:before="100" w:beforeAutospacing="1" w:after="100" w:afterAutospacing="1" w:line="360" w:lineRule="auto"/>
        <w:rPr>
          <w:rFonts w:ascii="Arial" w:hAnsi="Arial" w:cs="Arial"/>
          <w:sz w:val="22"/>
          <w:szCs w:val="22"/>
        </w:rPr>
      </w:pPr>
      <w:r w:rsidRPr="005C55C1">
        <w:rPr>
          <w:rFonts w:ascii="Arial" w:hAnsi="Arial" w:cs="Arial"/>
          <w:sz w:val="22"/>
          <w:szCs w:val="22"/>
        </w:rPr>
        <w:t>Person-centred care recognises people as active participants in decisions about their health, care and support (NICE, 2021). The social model of disability is an important foundation for this approach. It argues that disability is created by social and environmental barriers rather than by impairment itself. UPIAS (1976) first explained the difference between impairment and disability. Oliver (1983) later developed this idea into the social model of disability. This shifted attention away from viewing the individual as the problem and towards identifying barriers that prevent participation.</w:t>
      </w:r>
    </w:p>
    <w:p w14:paraId="02B24C48" w14:textId="77777777" w:rsidR="005C55C1" w:rsidRPr="005C55C1" w:rsidRDefault="005C55C1" w:rsidP="005C55C1">
      <w:pPr>
        <w:spacing w:before="100" w:beforeAutospacing="1" w:after="100" w:afterAutospacing="1" w:line="360" w:lineRule="auto"/>
        <w:rPr>
          <w:rFonts w:ascii="Arial" w:hAnsi="Arial" w:cs="Arial"/>
          <w:sz w:val="22"/>
          <w:szCs w:val="22"/>
        </w:rPr>
      </w:pPr>
      <w:r w:rsidRPr="005C55C1">
        <w:rPr>
          <w:rFonts w:ascii="Arial" w:hAnsi="Arial" w:cs="Arial"/>
          <w:sz w:val="22"/>
          <w:szCs w:val="22"/>
        </w:rPr>
        <w:t>In NHS acute hospital services, these barriers may include inaccessible buildings, poor communication, negative attitudes and inflexible procedures. Applying the social model can therefore support reasonable adjustments, shared decision making and greater patient choice. However, critics argue that the model does not fully recognise pain, illness and individual clinical needs (Shakespeare and Watson, 2001).</w:t>
      </w:r>
    </w:p>
    <w:p w14:paraId="0D252420" w14:textId="77777777" w:rsidR="005C55C1" w:rsidRPr="005C55C1" w:rsidRDefault="005C55C1" w:rsidP="005C55C1">
      <w:pPr>
        <w:spacing w:before="100" w:beforeAutospacing="1" w:after="100" w:afterAutospacing="1" w:line="360" w:lineRule="auto"/>
        <w:rPr>
          <w:rFonts w:ascii="Arial" w:hAnsi="Arial" w:cs="Arial"/>
          <w:sz w:val="22"/>
          <w:szCs w:val="22"/>
        </w:rPr>
      </w:pPr>
      <w:r w:rsidRPr="005C55C1">
        <w:rPr>
          <w:rFonts w:ascii="Arial" w:hAnsi="Arial" w:cs="Arial"/>
          <w:sz w:val="22"/>
          <w:szCs w:val="22"/>
        </w:rPr>
        <w:t>This essay critically examines the emergence and development of the social model, the criticisms made against it and the responses to these criticisms. It also considers its application to health and social care policy and NHS hospital practice. It argues that the social model remains essential to person-centred care but is most effective when combined with human-rights-based and biopsychosocial approaches.</w:t>
      </w:r>
    </w:p>
    <w:p w14:paraId="77AAE46B" w14:textId="77777777" w:rsidR="002C651F" w:rsidRPr="00E37427" w:rsidRDefault="002C651F" w:rsidP="00E37427">
      <w:pPr>
        <w:spacing w:before="100" w:beforeAutospacing="1" w:after="100" w:afterAutospacing="1" w:line="360" w:lineRule="auto"/>
        <w:rPr>
          <w:rFonts w:ascii="Arial" w:hAnsi="Arial" w:cs="Arial"/>
          <w:sz w:val="22"/>
          <w:szCs w:val="22"/>
          <w:lang w:val="en-US"/>
        </w:rPr>
      </w:pPr>
    </w:p>
    <w:p w14:paraId="698DF24F" w14:textId="17D27E97" w:rsidR="00C42F62" w:rsidRPr="00E37427" w:rsidRDefault="005C55C1" w:rsidP="00E37427">
      <w:pPr>
        <w:pStyle w:val="Heading1"/>
        <w:spacing w:before="100" w:beforeAutospacing="1" w:after="100" w:afterAutospacing="1" w:line="360" w:lineRule="auto"/>
        <w:rPr>
          <w:rFonts w:ascii="Arial" w:hAnsi="Arial" w:cs="Arial"/>
          <w:sz w:val="28"/>
          <w:szCs w:val="28"/>
          <w:lang w:val="en-US"/>
        </w:rPr>
      </w:pPr>
      <w:bookmarkStart w:id="1" w:name="_Toc238474392"/>
      <w:r w:rsidRPr="005C55C1">
        <w:rPr>
          <w:rFonts w:ascii="Arial" w:hAnsi="Arial" w:cs="Arial"/>
          <w:sz w:val="28"/>
          <w:szCs w:val="28"/>
          <w:lang w:val="en-US"/>
        </w:rPr>
        <w:t>The Emergence and Development of the Social Model of Disability</w:t>
      </w:r>
      <w:bookmarkEnd w:id="1"/>
    </w:p>
    <w:p w14:paraId="4F88CC68" w14:textId="2BF50A53"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Before the social model was developed, disability was usually understood through the medical model. This model viewed disability as the result of an illness, injury or impairment within the person. Support therefore focused mainly on treatment, rehabilitation and helping the individual adapt to existing services. Medical care may be essential, but this approach can reduce a person to a diagnosis. It can also overlook how environments, services and attitudes limit participation (Oliver, 1983).</w:t>
      </w:r>
    </w:p>
    <w:p w14:paraId="52FCB8AA" w14:textId="7299D4E9"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The social model emerged from the British disability rights movement. Disabled people challenged their exclusion from society and their dependence on services controlled mainly by professionals. UPIAS (1976) explained that impairment refers to a person’s physical, sensory or mental condition, while disability is created by social barriers that prevent full participation. Oliver (1983) later developed this idea into the social model of disability. The </w:t>
      </w:r>
      <w:r w:rsidRPr="005C55C1">
        <w:rPr>
          <w:rFonts w:ascii="Arial" w:hAnsi="Arial" w:cs="Arial"/>
          <w:sz w:val="22"/>
          <w:szCs w:val="22"/>
          <w:lang w:val="en-US"/>
        </w:rPr>
        <w:lastRenderedPageBreak/>
        <w:t xml:space="preserve">model shifted attention away from viewing the individual as the problem and instead focused on inaccessible environments, negative attitudes and inflexible services. This was an important change because disabled people were </w:t>
      </w:r>
      <w:proofErr w:type="spellStart"/>
      <w:r w:rsidRPr="005C55C1">
        <w:rPr>
          <w:rFonts w:ascii="Arial" w:hAnsi="Arial" w:cs="Arial"/>
          <w:sz w:val="22"/>
          <w:szCs w:val="22"/>
          <w:lang w:val="en-US"/>
        </w:rPr>
        <w:t>recognised</w:t>
      </w:r>
      <w:proofErr w:type="spellEnd"/>
      <w:r w:rsidRPr="005C55C1">
        <w:rPr>
          <w:rFonts w:ascii="Arial" w:hAnsi="Arial" w:cs="Arial"/>
          <w:sz w:val="22"/>
          <w:szCs w:val="22"/>
          <w:lang w:val="en-US"/>
        </w:rPr>
        <w:t xml:space="preserve"> as citizens with rights rather than passive recipients of care.</w:t>
      </w:r>
    </w:p>
    <w:p w14:paraId="2DDFB029" w14:textId="1289E8C8"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Over time, the model influenced disability studies, independent-living movements and health and social care policy. It supported ideas such as equality, autonomy, choice and participation. These principles are also central to person-centred care. The United Nations Convention on the Rights of Persons with Disabilities later presented accessibility, dignity and participation as rights rather than optional support (United Nations, 2006). Lawson and Beckett (2021) explain that the social and human-rights models can work together. The social model identifies barriers, while the human-rights model places duties on governments and </w:t>
      </w:r>
      <w:proofErr w:type="spellStart"/>
      <w:r w:rsidRPr="005C55C1">
        <w:rPr>
          <w:rFonts w:ascii="Arial" w:hAnsi="Arial" w:cs="Arial"/>
          <w:sz w:val="22"/>
          <w:szCs w:val="22"/>
          <w:lang w:val="en-US"/>
        </w:rPr>
        <w:t>organisations</w:t>
      </w:r>
      <w:proofErr w:type="spellEnd"/>
      <w:r w:rsidRPr="005C55C1">
        <w:rPr>
          <w:rFonts w:ascii="Arial" w:hAnsi="Arial" w:cs="Arial"/>
          <w:sz w:val="22"/>
          <w:szCs w:val="22"/>
          <w:lang w:val="en-US"/>
        </w:rPr>
        <w:t xml:space="preserve"> to address them. The WHO (2001) also introduced the biopsychosocial model through the International Classification of Functioning, Disability and Health. This model considers medical, personal and environmental factors. However, it still assesses the individual’s functioning, which makes it different from the stronger social focus of the original model.</w:t>
      </w:r>
    </w:p>
    <w:p w14:paraId="382FC3B1" w14:textId="4FB3F721"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Despite its influence, the social model has been </w:t>
      </w:r>
      <w:proofErr w:type="spellStart"/>
      <w:r w:rsidRPr="005C55C1">
        <w:rPr>
          <w:rFonts w:ascii="Arial" w:hAnsi="Arial" w:cs="Arial"/>
          <w:sz w:val="22"/>
          <w:szCs w:val="22"/>
          <w:lang w:val="en-US"/>
        </w:rPr>
        <w:t>criticised</w:t>
      </w:r>
      <w:proofErr w:type="spellEnd"/>
      <w:r w:rsidRPr="005C55C1">
        <w:rPr>
          <w:rFonts w:ascii="Arial" w:hAnsi="Arial" w:cs="Arial"/>
          <w:sz w:val="22"/>
          <w:szCs w:val="22"/>
          <w:lang w:val="en-US"/>
        </w:rPr>
        <w:t xml:space="preserve">. Shakespeare and Watson (2001) argue that the separation between impairment and disability can be too simple. Removing social barriers may improve participation, but it cannot always remove pain, fatigue or the effects of a progressive illness. The model was also developed mainly from the experiences of people with physical impairments. As a result, it may be more difficult to apply to people with learning disabilities, autistic people or people with severe mental illness. It does not always show how disability may </w:t>
      </w:r>
      <w:proofErr w:type="gramStart"/>
      <w:r w:rsidRPr="005C55C1">
        <w:rPr>
          <w:rFonts w:ascii="Arial" w:hAnsi="Arial" w:cs="Arial"/>
          <w:sz w:val="22"/>
          <w:szCs w:val="22"/>
          <w:lang w:val="en-US"/>
        </w:rPr>
        <w:t>combine with</w:t>
      </w:r>
      <w:proofErr w:type="gramEnd"/>
      <w:r w:rsidRPr="005C55C1">
        <w:rPr>
          <w:rFonts w:ascii="Arial" w:hAnsi="Arial" w:cs="Arial"/>
          <w:sz w:val="22"/>
          <w:szCs w:val="22"/>
          <w:lang w:val="en-US"/>
        </w:rPr>
        <w:t xml:space="preserve"> gender, ethnicity or poverty to create further </w:t>
      </w:r>
      <w:proofErr w:type="gramStart"/>
      <w:r w:rsidRPr="005C55C1">
        <w:rPr>
          <w:rFonts w:ascii="Arial" w:hAnsi="Arial" w:cs="Arial"/>
          <w:sz w:val="22"/>
          <w:szCs w:val="22"/>
          <w:lang w:val="en-US"/>
        </w:rPr>
        <w:t>disadvantage</w:t>
      </w:r>
      <w:proofErr w:type="gramEnd"/>
      <w:r w:rsidRPr="005C55C1">
        <w:rPr>
          <w:rFonts w:ascii="Arial" w:hAnsi="Arial" w:cs="Arial"/>
          <w:sz w:val="22"/>
          <w:szCs w:val="22"/>
          <w:lang w:val="en-US"/>
        </w:rPr>
        <w:t>. There are also practical limitations. Identifying a barrier does not automatically explain which adjustment will be effective or how services should balance personal choice, clinical needs and safety.</w:t>
      </w:r>
    </w:p>
    <w:p w14:paraId="66C41FEC" w14:textId="1B7328E8" w:rsidR="00C42F62" w:rsidRPr="00E37427"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However, these limitations do not mean that the social model should be rejected. Oliver (2013) explained that it was designed to show collective disadvantage rather than describe every part of an individual’s experience. Adam and </w:t>
      </w:r>
      <w:proofErr w:type="spellStart"/>
      <w:r w:rsidRPr="005C55C1">
        <w:rPr>
          <w:rFonts w:ascii="Arial" w:hAnsi="Arial" w:cs="Arial"/>
          <w:sz w:val="22"/>
          <w:szCs w:val="22"/>
          <w:lang w:val="en-US"/>
        </w:rPr>
        <w:t>Koutsoklenis</w:t>
      </w:r>
      <w:proofErr w:type="spellEnd"/>
      <w:r w:rsidRPr="005C55C1">
        <w:rPr>
          <w:rFonts w:ascii="Arial" w:hAnsi="Arial" w:cs="Arial"/>
          <w:sz w:val="22"/>
          <w:szCs w:val="22"/>
          <w:lang w:val="en-US"/>
        </w:rPr>
        <w:t xml:space="preserve"> (2023) also argue that the model remains important because it reveals how society continues to exclude disabled people. Zaks (2024) distinguishes appropriate healthcare from attempts to make disabled people appear or behave as non-disabled people. This means that treatment can remain part of person-centred care when it responds to the person’s needs and choices. Therefore, the social model is most effective when it is combined with human-rights-based and </w:t>
      </w:r>
      <w:r w:rsidRPr="005C55C1">
        <w:rPr>
          <w:rFonts w:ascii="Arial" w:hAnsi="Arial" w:cs="Arial"/>
          <w:sz w:val="22"/>
          <w:szCs w:val="22"/>
          <w:lang w:val="en-US"/>
        </w:rPr>
        <w:lastRenderedPageBreak/>
        <w:t xml:space="preserve">biopsychosocial approaches. This keeps attention on social barriers while also </w:t>
      </w:r>
      <w:proofErr w:type="spellStart"/>
      <w:r w:rsidRPr="005C55C1">
        <w:rPr>
          <w:rFonts w:ascii="Arial" w:hAnsi="Arial" w:cs="Arial"/>
          <w:sz w:val="22"/>
          <w:szCs w:val="22"/>
          <w:lang w:val="en-US"/>
        </w:rPr>
        <w:t>recognising</w:t>
      </w:r>
      <w:proofErr w:type="spellEnd"/>
      <w:r w:rsidRPr="005C55C1">
        <w:rPr>
          <w:rFonts w:ascii="Arial" w:hAnsi="Arial" w:cs="Arial"/>
          <w:sz w:val="22"/>
          <w:szCs w:val="22"/>
          <w:lang w:val="en-US"/>
        </w:rPr>
        <w:t xml:space="preserve"> individual experiences and clinical needs.</w:t>
      </w:r>
    </w:p>
    <w:p w14:paraId="54084AB3" w14:textId="77777777" w:rsidR="002B37DC" w:rsidRPr="00E37427" w:rsidRDefault="002B37DC" w:rsidP="00E37427">
      <w:pPr>
        <w:spacing w:before="100" w:beforeAutospacing="1" w:after="100" w:afterAutospacing="1" w:line="360" w:lineRule="auto"/>
        <w:rPr>
          <w:rFonts w:ascii="Arial" w:hAnsi="Arial" w:cs="Arial"/>
          <w:sz w:val="22"/>
          <w:szCs w:val="22"/>
          <w:lang w:val="en-US"/>
        </w:rPr>
      </w:pPr>
    </w:p>
    <w:p w14:paraId="0D73C47F" w14:textId="30E72939" w:rsidR="004724B1" w:rsidRPr="00E37427" w:rsidRDefault="005C55C1" w:rsidP="00E37427">
      <w:pPr>
        <w:pStyle w:val="Heading1"/>
        <w:spacing w:before="100" w:beforeAutospacing="1" w:after="100" w:afterAutospacing="1" w:line="360" w:lineRule="auto"/>
        <w:rPr>
          <w:rFonts w:ascii="Arial" w:hAnsi="Arial" w:cs="Arial"/>
          <w:sz w:val="28"/>
          <w:szCs w:val="28"/>
          <w:lang w:val="en-US"/>
        </w:rPr>
      </w:pPr>
      <w:bookmarkStart w:id="2" w:name="_Toc238474393"/>
      <w:r w:rsidRPr="005C55C1">
        <w:rPr>
          <w:rFonts w:ascii="Arial" w:hAnsi="Arial" w:cs="Arial"/>
          <w:sz w:val="28"/>
          <w:szCs w:val="28"/>
          <w:lang w:val="en-US"/>
        </w:rPr>
        <w:t>Application to Health and Social Care Policy and Practice</w:t>
      </w:r>
      <w:bookmarkEnd w:id="2"/>
    </w:p>
    <w:p w14:paraId="55E5FA32" w14:textId="4E29F47A"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The influence of the social model can be seen in UK health and social care policy. The Equality Act 2010 requires service providers to make reasonable adjustments when disabled people would otherwise experience a substantial disadvantage. This reflects the social model because </w:t>
      </w:r>
      <w:proofErr w:type="spellStart"/>
      <w:r w:rsidRPr="005C55C1">
        <w:rPr>
          <w:rFonts w:ascii="Arial" w:hAnsi="Arial" w:cs="Arial"/>
          <w:sz w:val="22"/>
          <w:szCs w:val="22"/>
          <w:lang w:val="en-US"/>
        </w:rPr>
        <w:t>organisations</w:t>
      </w:r>
      <w:proofErr w:type="spellEnd"/>
      <w:r w:rsidRPr="005C55C1">
        <w:rPr>
          <w:rFonts w:ascii="Arial" w:hAnsi="Arial" w:cs="Arial"/>
          <w:sz w:val="22"/>
          <w:szCs w:val="22"/>
          <w:lang w:val="en-US"/>
        </w:rPr>
        <w:t xml:space="preserve"> are expected to change their environments, information or procedures instead of expecting the person to adapt. However, the Act also defines disability through a physical or mental impairment that has a substantial and long-term effect on the person’s daily activities (Equality Act 2010). The legislation therefore combines social and individual approaches. This shows that policy does not always follow one model of disability in a clear or consistent way.</w:t>
      </w:r>
    </w:p>
    <w:p w14:paraId="393F478B" w14:textId="3A94C4A9"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The Care Act 2014 also supports principles linked to </w:t>
      </w:r>
      <w:proofErr w:type="gramStart"/>
      <w:r w:rsidRPr="005C55C1">
        <w:rPr>
          <w:rFonts w:ascii="Arial" w:hAnsi="Arial" w:cs="Arial"/>
          <w:sz w:val="22"/>
          <w:szCs w:val="22"/>
          <w:lang w:val="en-US"/>
        </w:rPr>
        <w:t>the social</w:t>
      </w:r>
      <w:proofErr w:type="gramEnd"/>
      <w:r w:rsidRPr="005C55C1">
        <w:rPr>
          <w:rFonts w:ascii="Arial" w:hAnsi="Arial" w:cs="Arial"/>
          <w:sz w:val="22"/>
          <w:szCs w:val="22"/>
          <w:lang w:val="en-US"/>
        </w:rPr>
        <w:t xml:space="preserve"> model and person-centred care. It requires local authorities to promote wellbeing, dignity, control and participation. It also states that the person’s wishes, feelings and beliefs should be considered. Although the Act mainly applies to adult social care, these principles are relevant when hospitals work with social care services during assessment and discharge planning. At an international level, the United Nations Convention on the Rights of Persons with Disabilities identifies accessibility and equal access to healthcare as human rights (United Nations, 2006). NICE guidance also promotes care based on each person’s strengths, preferences and needs, together with shared decision making (NICE, 2018; NICE, 2021).</w:t>
      </w:r>
    </w:p>
    <w:p w14:paraId="4BA86B19" w14:textId="77777777"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In NHS practice, the Accessible Information Standard provides a clear example of the social model in action. NHS and publicly funded adult social care services must identify, record, flag, share, meet and review people’s communication and information needs (NHS England, 2025). Adjustments may include easy-read information, large print, Braille, longer appointments, communication aids or support from a British Sign Language interpreter. These changes remove barriers without treating the person’s impairment as the problem. However, the existence of a standard does not guarantee that staff will apply it consistently.</w:t>
      </w:r>
    </w:p>
    <w:p w14:paraId="1721827D" w14:textId="77777777" w:rsidR="005C55C1" w:rsidRPr="005C55C1" w:rsidRDefault="005C55C1" w:rsidP="005C55C1">
      <w:pPr>
        <w:spacing w:before="100" w:beforeAutospacing="1" w:after="100" w:afterAutospacing="1" w:line="360" w:lineRule="auto"/>
        <w:rPr>
          <w:rFonts w:ascii="Arial" w:hAnsi="Arial" w:cs="Arial"/>
          <w:sz w:val="22"/>
          <w:szCs w:val="22"/>
          <w:lang w:val="en-US"/>
        </w:rPr>
      </w:pPr>
    </w:p>
    <w:p w14:paraId="068143C2" w14:textId="78496726"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lastRenderedPageBreak/>
        <w:t xml:space="preserve">Within acute hospitals, physical accessibility is </w:t>
      </w:r>
      <w:proofErr w:type="gramStart"/>
      <w:r w:rsidRPr="005C55C1">
        <w:rPr>
          <w:rFonts w:ascii="Arial" w:hAnsi="Arial" w:cs="Arial"/>
          <w:sz w:val="22"/>
          <w:szCs w:val="22"/>
          <w:lang w:val="en-US"/>
        </w:rPr>
        <w:t>one</w:t>
      </w:r>
      <w:proofErr w:type="gramEnd"/>
      <w:r w:rsidRPr="005C55C1">
        <w:rPr>
          <w:rFonts w:ascii="Arial" w:hAnsi="Arial" w:cs="Arial"/>
          <w:sz w:val="22"/>
          <w:szCs w:val="22"/>
          <w:lang w:val="en-US"/>
        </w:rPr>
        <w:t xml:space="preserve"> important area of application. Patients may face barriers such as inaccessible entrances, toilets or examination rooms, unclear signs and unsuitable lifts. Tsami and </w:t>
      </w:r>
      <w:proofErr w:type="spellStart"/>
      <w:r w:rsidRPr="005C55C1">
        <w:rPr>
          <w:rFonts w:ascii="Arial" w:hAnsi="Arial" w:cs="Arial"/>
          <w:sz w:val="22"/>
          <w:szCs w:val="22"/>
          <w:lang w:val="en-US"/>
        </w:rPr>
        <w:t>Chrysikou</w:t>
      </w:r>
      <w:proofErr w:type="spellEnd"/>
      <w:r w:rsidRPr="005C55C1">
        <w:rPr>
          <w:rFonts w:ascii="Arial" w:hAnsi="Arial" w:cs="Arial"/>
          <w:sz w:val="22"/>
          <w:szCs w:val="22"/>
          <w:lang w:val="en-US"/>
        </w:rPr>
        <w:t xml:space="preserve"> (2024) found that general building standards do not always meet the full range of needs experienced by disabled people in healthcare facilities. Standards often focus more strongly on wheelchair access than on sensory or communication needs. This shows one limitation of a </w:t>
      </w:r>
      <w:proofErr w:type="spellStart"/>
      <w:r w:rsidRPr="005C55C1">
        <w:rPr>
          <w:rFonts w:ascii="Arial" w:hAnsi="Arial" w:cs="Arial"/>
          <w:sz w:val="22"/>
          <w:szCs w:val="22"/>
          <w:lang w:val="en-US"/>
        </w:rPr>
        <w:t>standardised</w:t>
      </w:r>
      <w:proofErr w:type="spellEnd"/>
      <w:r w:rsidRPr="005C55C1">
        <w:rPr>
          <w:rFonts w:ascii="Arial" w:hAnsi="Arial" w:cs="Arial"/>
          <w:sz w:val="22"/>
          <w:szCs w:val="22"/>
          <w:lang w:val="en-US"/>
        </w:rPr>
        <w:t xml:space="preserve"> approach: a building may meet basic legal requirements but </w:t>
      </w:r>
      <w:proofErr w:type="gramStart"/>
      <w:r w:rsidRPr="005C55C1">
        <w:rPr>
          <w:rFonts w:ascii="Arial" w:hAnsi="Arial" w:cs="Arial"/>
          <w:sz w:val="22"/>
          <w:szCs w:val="22"/>
          <w:lang w:val="en-US"/>
        </w:rPr>
        <w:t>still remain</w:t>
      </w:r>
      <w:proofErr w:type="gramEnd"/>
      <w:r w:rsidRPr="005C55C1">
        <w:rPr>
          <w:rFonts w:ascii="Arial" w:hAnsi="Arial" w:cs="Arial"/>
          <w:sz w:val="22"/>
          <w:szCs w:val="22"/>
          <w:lang w:val="en-US"/>
        </w:rPr>
        <w:t xml:space="preserve"> difficult for some people to use.</w:t>
      </w:r>
    </w:p>
    <w:p w14:paraId="34038924" w14:textId="33072241"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Communication, digital systems and staff attitudes can create further barriers. Online appointment systems, hospital websites and electronic forms may be difficult to use with screen readers or other assistive technology. Government monitoring found accessibility problems in nearly all the public-sector websites and applications it examined (Government Digital Service, 2024). </w:t>
      </w:r>
      <w:proofErr w:type="spellStart"/>
      <w:r w:rsidRPr="005C55C1">
        <w:rPr>
          <w:rFonts w:ascii="Arial" w:hAnsi="Arial" w:cs="Arial"/>
          <w:sz w:val="22"/>
          <w:szCs w:val="22"/>
          <w:lang w:val="en-US"/>
        </w:rPr>
        <w:t>Debevc</w:t>
      </w:r>
      <w:proofErr w:type="spellEnd"/>
      <w:r w:rsidRPr="005C55C1">
        <w:rPr>
          <w:rFonts w:ascii="Arial" w:hAnsi="Arial" w:cs="Arial"/>
          <w:sz w:val="22"/>
          <w:szCs w:val="22"/>
          <w:lang w:val="en-US"/>
        </w:rPr>
        <w:t xml:space="preserve"> et al. (2023) also found that existing methods of monitoring website accessibility have limitations and require improvement. Barriers can also arise when staff speak mainly to a carer instead of the patient, make assumptions about mental capacity or fail to provide enough time for communication. The CQC (2022) found that people with learning disabilities and autistic people did not always receive care adapted to their individual needs during hospital stays. More recent findings continue to show that healthcare staff do not always understand or provide reasonable adjustments consistently (CQC, 2025). This suggests that the values within policy have not yet been fully translated into everyday practice.</w:t>
      </w:r>
    </w:p>
    <w:p w14:paraId="51DFFAE0" w14:textId="382F2714" w:rsidR="006F525E"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Applying the social model can improve autonomy, communication, informed consent and patient safety. It can also reduce distress and support more equal access to treatment. However, reasonable adjustments must be </w:t>
      </w:r>
      <w:proofErr w:type="spellStart"/>
      <w:r w:rsidRPr="005C55C1">
        <w:rPr>
          <w:rFonts w:ascii="Arial" w:hAnsi="Arial" w:cs="Arial"/>
          <w:sz w:val="22"/>
          <w:szCs w:val="22"/>
          <w:lang w:val="en-US"/>
        </w:rPr>
        <w:t>personalised</w:t>
      </w:r>
      <w:proofErr w:type="spellEnd"/>
      <w:r w:rsidRPr="005C55C1">
        <w:rPr>
          <w:rFonts w:ascii="Arial" w:hAnsi="Arial" w:cs="Arial"/>
          <w:sz w:val="22"/>
          <w:szCs w:val="22"/>
          <w:lang w:val="en-US"/>
        </w:rPr>
        <w:t xml:space="preserve"> because the same impairment may affect people in different ways. Limited time, staffing, funding and training may also affect implementation. There is a further risk that recording an adjustment becomes a tick-box activity without changing the patient’s experience. Most importantly, the social model cannot replace appropriate clinical assessment and treatment. A patient may need both medical care for pain or illness and changes to the environment or service. Therefore, effective person-centred hospital care requires the social model to guide the removal of barriers while clinical practice continues to respond to the person’s individual health needs.</w:t>
      </w:r>
    </w:p>
    <w:p w14:paraId="03FB095B" w14:textId="77777777" w:rsidR="006F525E" w:rsidRDefault="006F525E">
      <w:pPr>
        <w:rPr>
          <w:rFonts w:ascii="Arial" w:hAnsi="Arial" w:cs="Arial"/>
          <w:sz w:val="22"/>
          <w:szCs w:val="22"/>
          <w:lang w:val="en-US"/>
        </w:rPr>
      </w:pPr>
      <w:r>
        <w:rPr>
          <w:rFonts w:ascii="Arial" w:hAnsi="Arial" w:cs="Arial"/>
          <w:sz w:val="22"/>
          <w:szCs w:val="22"/>
          <w:lang w:val="en-US"/>
        </w:rPr>
        <w:br w:type="page"/>
      </w:r>
    </w:p>
    <w:p w14:paraId="7C3106F1" w14:textId="472ECFB0" w:rsidR="008F1F6B" w:rsidRPr="00E37427" w:rsidRDefault="005C55C1" w:rsidP="00E37427">
      <w:pPr>
        <w:pStyle w:val="Heading1"/>
        <w:spacing w:before="100" w:beforeAutospacing="1" w:after="100" w:afterAutospacing="1" w:line="360" w:lineRule="auto"/>
        <w:rPr>
          <w:rFonts w:ascii="Arial" w:hAnsi="Arial" w:cs="Arial"/>
          <w:sz w:val="28"/>
          <w:szCs w:val="28"/>
          <w:lang w:val="en-US"/>
        </w:rPr>
      </w:pPr>
      <w:bookmarkStart w:id="3" w:name="_Toc238474394"/>
      <w:r w:rsidRPr="005C55C1">
        <w:rPr>
          <w:rFonts w:ascii="Arial" w:hAnsi="Arial" w:cs="Arial"/>
          <w:sz w:val="28"/>
          <w:szCs w:val="28"/>
          <w:lang w:val="en-US"/>
        </w:rPr>
        <w:lastRenderedPageBreak/>
        <w:t>Recommendations for Health and Social Care Policy and Practice</w:t>
      </w:r>
      <w:bookmarkEnd w:id="3"/>
    </w:p>
    <w:p w14:paraId="654FD083" w14:textId="278A58CD"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The discussion shows that disability policy is often stronger than its application in hospital practice. NHS </w:t>
      </w:r>
      <w:proofErr w:type="spellStart"/>
      <w:r w:rsidRPr="005C55C1">
        <w:rPr>
          <w:rFonts w:ascii="Arial" w:hAnsi="Arial" w:cs="Arial"/>
          <w:sz w:val="22"/>
          <w:szCs w:val="22"/>
          <w:lang w:val="en-US"/>
        </w:rPr>
        <w:t>organisations</w:t>
      </w:r>
      <w:proofErr w:type="spellEnd"/>
      <w:r w:rsidRPr="005C55C1">
        <w:rPr>
          <w:rFonts w:ascii="Arial" w:hAnsi="Arial" w:cs="Arial"/>
          <w:sz w:val="22"/>
          <w:szCs w:val="22"/>
          <w:lang w:val="en-US"/>
        </w:rPr>
        <w:t xml:space="preserve"> should therefore move from responding to individual complaints </w:t>
      </w:r>
      <w:proofErr w:type="gramStart"/>
      <w:r w:rsidRPr="005C55C1">
        <w:rPr>
          <w:rFonts w:ascii="Arial" w:hAnsi="Arial" w:cs="Arial"/>
          <w:sz w:val="22"/>
          <w:szCs w:val="22"/>
          <w:lang w:val="en-US"/>
        </w:rPr>
        <w:t>towards</w:t>
      </w:r>
      <w:proofErr w:type="gramEnd"/>
      <w:r w:rsidRPr="005C55C1">
        <w:rPr>
          <w:rFonts w:ascii="Arial" w:hAnsi="Arial" w:cs="Arial"/>
          <w:sz w:val="22"/>
          <w:szCs w:val="22"/>
          <w:lang w:val="en-US"/>
        </w:rPr>
        <w:t xml:space="preserve"> preventing barriers before they affect patients. This requires changes to service design, staff practice and </w:t>
      </w:r>
      <w:proofErr w:type="spellStart"/>
      <w:r w:rsidRPr="005C55C1">
        <w:rPr>
          <w:rFonts w:ascii="Arial" w:hAnsi="Arial" w:cs="Arial"/>
          <w:sz w:val="22"/>
          <w:szCs w:val="22"/>
          <w:lang w:val="en-US"/>
        </w:rPr>
        <w:t>organisational</w:t>
      </w:r>
      <w:proofErr w:type="spellEnd"/>
      <w:r w:rsidRPr="005C55C1">
        <w:rPr>
          <w:rFonts w:ascii="Arial" w:hAnsi="Arial" w:cs="Arial"/>
          <w:sz w:val="22"/>
          <w:szCs w:val="22"/>
          <w:lang w:val="en-US"/>
        </w:rPr>
        <w:t xml:space="preserve"> accountability.</w:t>
      </w:r>
    </w:p>
    <w:p w14:paraId="7351AB01" w14:textId="017D81ED"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First, disabled people should be involved in designing, reviewing and evaluating hospital services. This should include patients with physical, sensory, learning and mental health disabilities. Co-production can help hospitals understand barriers that may not be </w:t>
      </w:r>
      <w:proofErr w:type="spellStart"/>
      <w:r w:rsidRPr="005C55C1">
        <w:rPr>
          <w:rFonts w:ascii="Arial" w:hAnsi="Arial" w:cs="Arial"/>
          <w:sz w:val="22"/>
          <w:szCs w:val="22"/>
          <w:lang w:val="en-US"/>
        </w:rPr>
        <w:t>recognised</w:t>
      </w:r>
      <w:proofErr w:type="spellEnd"/>
      <w:r w:rsidRPr="005C55C1">
        <w:rPr>
          <w:rFonts w:ascii="Arial" w:hAnsi="Arial" w:cs="Arial"/>
          <w:sz w:val="22"/>
          <w:szCs w:val="22"/>
          <w:lang w:val="en-US"/>
        </w:rPr>
        <w:t xml:space="preserve"> by professionals alone. It can also improve trust and give service users greater influence over decisions that affect them (Browne and Dorris, 2022). However, involvement can become tokenistic if patients are consulted after decisions have already been made. Hospitals should therefore involve disabled people from the beginning, provide accessible information and offer appropriate payment and support for their contribution.</w:t>
      </w:r>
    </w:p>
    <w:p w14:paraId="4E41D98B" w14:textId="46EDFF38"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Second, NHS trusts should carry out regular accessibility audits covering buildings, digital systems, communication and hospital procedures. The results should lead to measurable actions with clear deadlines and named responsibility. This would help </w:t>
      </w:r>
      <w:proofErr w:type="spellStart"/>
      <w:r w:rsidRPr="005C55C1">
        <w:rPr>
          <w:rFonts w:ascii="Arial" w:hAnsi="Arial" w:cs="Arial"/>
          <w:sz w:val="22"/>
          <w:szCs w:val="22"/>
          <w:lang w:val="en-US"/>
        </w:rPr>
        <w:t>organisations</w:t>
      </w:r>
      <w:proofErr w:type="spellEnd"/>
      <w:r w:rsidRPr="005C55C1">
        <w:rPr>
          <w:rFonts w:ascii="Arial" w:hAnsi="Arial" w:cs="Arial"/>
          <w:sz w:val="22"/>
          <w:szCs w:val="22"/>
          <w:lang w:val="en-US"/>
        </w:rPr>
        <w:t xml:space="preserve"> identify barriers before they cause harm or exclusion. Nevertheless, audits may become checklist exercises and cannot represent every person’s experience. They should therefore include direct patient feedback and be reviewed by people with different disabilities.</w:t>
      </w:r>
    </w:p>
    <w:p w14:paraId="6BC4AF67" w14:textId="3364E1EF"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 xml:space="preserve">Third, hospitals should consistently apply the Accessible Information Standard and the Reasonable Adjustment Digital Flag. Communication and adjustment needs should be identified, recorded, shared and reviewed throughout referral, admission, treatment and discharge (NHS England, 2025). This could improve continuity of care and prevent patients from repeatedly explaining their needs. However, recording an adjustment does not guarantee that staff will provide it. Information must remain accurate, staff must act on </w:t>
      </w:r>
      <w:proofErr w:type="gramStart"/>
      <w:r w:rsidRPr="005C55C1">
        <w:rPr>
          <w:rFonts w:ascii="Arial" w:hAnsi="Arial" w:cs="Arial"/>
          <w:sz w:val="22"/>
          <w:szCs w:val="22"/>
          <w:lang w:val="en-US"/>
        </w:rPr>
        <w:t>it</w:t>
      </w:r>
      <w:proofErr w:type="gramEnd"/>
      <w:r w:rsidRPr="005C55C1">
        <w:rPr>
          <w:rFonts w:ascii="Arial" w:hAnsi="Arial" w:cs="Arial"/>
          <w:sz w:val="22"/>
          <w:szCs w:val="22"/>
          <w:lang w:val="en-US"/>
        </w:rPr>
        <w:t xml:space="preserve"> and patients should be able to check or update their recorded needs.</w:t>
      </w:r>
    </w:p>
    <w:p w14:paraId="0FEF86F5" w14:textId="7DDFC4D0" w:rsidR="005C55C1" w:rsidRPr="005C55C1"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t>Staff training should also explain the social model, reasonable adjustments, accessible communication and shared decision making. Training should be repeated and offered in accessible and flexible formats, including online and face-to-face options. However, one training session is unlikely to change established attitudes. Its impact should therefore be assessed through patient feedback, staff observation and evidence that adjustments are being made.</w:t>
      </w:r>
    </w:p>
    <w:p w14:paraId="4A4D7D3F" w14:textId="73192AC2" w:rsidR="008F1F6B" w:rsidRPr="00E37427" w:rsidRDefault="005C55C1" w:rsidP="005C55C1">
      <w:pPr>
        <w:spacing w:before="100" w:beforeAutospacing="1" w:after="100" w:afterAutospacing="1" w:line="360" w:lineRule="auto"/>
        <w:rPr>
          <w:rFonts w:ascii="Arial" w:hAnsi="Arial" w:cs="Arial"/>
          <w:sz w:val="22"/>
          <w:szCs w:val="22"/>
          <w:lang w:val="en-US"/>
        </w:rPr>
      </w:pPr>
      <w:r w:rsidRPr="005C55C1">
        <w:rPr>
          <w:rFonts w:ascii="Arial" w:hAnsi="Arial" w:cs="Arial"/>
          <w:sz w:val="22"/>
          <w:szCs w:val="22"/>
          <w:lang w:val="en-US"/>
        </w:rPr>
        <w:lastRenderedPageBreak/>
        <w:t>Finally, disability inclusion could be included within the social and governance areas of NHS environmental, social and governance reporting. Relevant measures could include patient experience, completion of accessibility actions and the provision of reasonable adjustments. This would support SDG 3 on health and wellbeing, SDG 10 on reduced inequalities, SDG 11 on inclusive environments and SDG 16 on accountable institutions (United Nations, 2015). The main risk is that reporting becomes a tick-box activity. For this reason, hospitals should measure improvements in patient experiences and outcomes, rather than only counting audits or training sessions.</w:t>
      </w:r>
    </w:p>
    <w:p w14:paraId="686C309A" w14:textId="4A7DB9FC" w:rsidR="00A87833" w:rsidRPr="00A87833" w:rsidRDefault="00A87833" w:rsidP="00A87833">
      <w:pPr>
        <w:pStyle w:val="Heading1"/>
        <w:rPr>
          <w:rFonts w:ascii="Arial" w:hAnsi="Arial" w:cs="Arial"/>
          <w:sz w:val="28"/>
          <w:szCs w:val="28"/>
          <w:lang w:val="en-US"/>
        </w:rPr>
      </w:pPr>
      <w:bookmarkStart w:id="4" w:name="_Toc238474395"/>
      <w:r w:rsidRPr="00A87833">
        <w:rPr>
          <w:rFonts w:ascii="Arial" w:hAnsi="Arial" w:cs="Arial"/>
          <w:sz w:val="28"/>
          <w:szCs w:val="28"/>
          <w:lang w:val="en-US"/>
        </w:rPr>
        <w:t>Conclusion</w:t>
      </w:r>
      <w:bookmarkEnd w:id="4"/>
    </w:p>
    <w:p w14:paraId="141EE763" w14:textId="321F9280" w:rsidR="00A42B92" w:rsidRPr="00A42B92" w:rsidRDefault="00A42B92" w:rsidP="00A42B92">
      <w:pPr>
        <w:spacing w:before="100" w:beforeAutospacing="1" w:after="100" w:afterAutospacing="1" w:line="360" w:lineRule="auto"/>
        <w:rPr>
          <w:rFonts w:ascii="Arial" w:hAnsi="Arial" w:cs="Arial"/>
          <w:sz w:val="22"/>
          <w:szCs w:val="22"/>
          <w:lang w:val="en-US"/>
        </w:rPr>
      </w:pPr>
      <w:r w:rsidRPr="00A42B92">
        <w:rPr>
          <w:rFonts w:ascii="Arial" w:hAnsi="Arial" w:cs="Arial"/>
          <w:sz w:val="22"/>
          <w:szCs w:val="22"/>
          <w:lang w:val="en-US"/>
        </w:rPr>
        <w:t xml:space="preserve">This essay shows that the social model of disability provides an important foundation for person-centred care. It challenged the medical model by shifting attention away from the individual and towards the social, environmental and </w:t>
      </w:r>
      <w:proofErr w:type="spellStart"/>
      <w:r w:rsidRPr="00A42B92">
        <w:rPr>
          <w:rFonts w:ascii="Arial" w:hAnsi="Arial" w:cs="Arial"/>
          <w:sz w:val="22"/>
          <w:szCs w:val="22"/>
          <w:lang w:val="en-US"/>
        </w:rPr>
        <w:t>organisational</w:t>
      </w:r>
      <w:proofErr w:type="spellEnd"/>
      <w:r w:rsidRPr="00A42B92">
        <w:rPr>
          <w:rFonts w:ascii="Arial" w:hAnsi="Arial" w:cs="Arial"/>
          <w:sz w:val="22"/>
          <w:szCs w:val="22"/>
          <w:lang w:val="en-US"/>
        </w:rPr>
        <w:t xml:space="preserve"> barriers that restrict participation. This approach has influenced disability rights, legislation and NHS policies relating to reasonable adjustments and accessible information.</w:t>
      </w:r>
    </w:p>
    <w:p w14:paraId="7FA1EBF6" w14:textId="378A453F" w:rsidR="00A42B92" w:rsidRPr="00A42B92" w:rsidRDefault="00A42B92" w:rsidP="00A42B92">
      <w:pPr>
        <w:spacing w:before="100" w:beforeAutospacing="1" w:after="100" w:afterAutospacing="1" w:line="360" w:lineRule="auto"/>
        <w:rPr>
          <w:rFonts w:ascii="Arial" w:hAnsi="Arial" w:cs="Arial"/>
          <w:sz w:val="22"/>
          <w:szCs w:val="22"/>
          <w:lang w:val="en-US"/>
        </w:rPr>
      </w:pPr>
      <w:r w:rsidRPr="00A42B92">
        <w:rPr>
          <w:rFonts w:ascii="Arial" w:hAnsi="Arial" w:cs="Arial"/>
          <w:sz w:val="22"/>
          <w:szCs w:val="22"/>
          <w:lang w:val="en-US"/>
        </w:rPr>
        <w:t>However, the discussion has also shown that policy does not always lead to consistent practice. Disabled patients may still experience inaccessible environments, communication difficulties, negative attitudes and inflexible hospital procedures. The social model also has limitations because it does not fully explain the effects of pain, illness or individual clinical needs. It is therefore most effective when combined with human-rights-based and biopsychosocial approaches.</w:t>
      </w:r>
    </w:p>
    <w:p w14:paraId="7B01A416" w14:textId="4E8F4EFD" w:rsidR="00771723" w:rsidRDefault="00A42B92" w:rsidP="00A42B92">
      <w:pPr>
        <w:spacing w:before="100" w:beforeAutospacing="1" w:after="100" w:afterAutospacing="1" w:line="360" w:lineRule="auto"/>
        <w:rPr>
          <w:rFonts w:ascii="Arial" w:hAnsi="Arial" w:cs="Arial"/>
          <w:sz w:val="22"/>
          <w:szCs w:val="22"/>
          <w:lang w:val="en-US"/>
        </w:rPr>
      </w:pPr>
      <w:r w:rsidRPr="00A42B92">
        <w:rPr>
          <w:rFonts w:ascii="Arial" w:hAnsi="Arial" w:cs="Arial"/>
          <w:sz w:val="22"/>
          <w:szCs w:val="22"/>
          <w:lang w:val="en-US"/>
        </w:rPr>
        <w:t xml:space="preserve">Greater co-production, accessibility audits, effective staff training and stronger monitoring of reasonable adjustments could improve hospital care. Overall, removing barriers while </w:t>
      </w:r>
      <w:proofErr w:type="spellStart"/>
      <w:r w:rsidRPr="00A42B92">
        <w:rPr>
          <w:rFonts w:ascii="Arial" w:hAnsi="Arial" w:cs="Arial"/>
          <w:sz w:val="22"/>
          <w:szCs w:val="22"/>
          <w:lang w:val="en-US"/>
        </w:rPr>
        <w:t>recognising</w:t>
      </w:r>
      <w:proofErr w:type="spellEnd"/>
      <w:r w:rsidRPr="00A42B92">
        <w:rPr>
          <w:rFonts w:ascii="Arial" w:hAnsi="Arial" w:cs="Arial"/>
          <w:sz w:val="22"/>
          <w:szCs w:val="22"/>
          <w:lang w:val="en-US"/>
        </w:rPr>
        <w:t xml:space="preserve"> individual needs can support safer, more equal and genuinely person-centred NHS services.</w:t>
      </w:r>
    </w:p>
    <w:p w14:paraId="7E871402" w14:textId="77777777" w:rsidR="00A87833" w:rsidRDefault="00A87833" w:rsidP="00A87833">
      <w:pPr>
        <w:spacing w:before="100" w:beforeAutospacing="1" w:after="100" w:afterAutospacing="1" w:line="360" w:lineRule="auto"/>
        <w:rPr>
          <w:rFonts w:ascii="Arial" w:hAnsi="Arial" w:cs="Arial"/>
          <w:sz w:val="22"/>
          <w:szCs w:val="22"/>
          <w:lang w:val="en-US"/>
        </w:rPr>
      </w:pPr>
    </w:p>
    <w:p w14:paraId="0109BC16" w14:textId="77777777" w:rsidR="00A87833" w:rsidRDefault="00A87833" w:rsidP="00A87833">
      <w:pPr>
        <w:spacing w:before="100" w:beforeAutospacing="1" w:after="100" w:afterAutospacing="1" w:line="360" w:lineRule="auto"/>
        <w:rPr>
          <w:rFonts w:ascii="Arial" w:hAnsi="Arial" w:cs="Arial"/>
          <w:sz w:val="22"/>
          <w:szCs w:val="22"/>
          <w:lang w:val="en-US"/>
        </w:rPr>
        <w:sectPr w:rsidR="00A87833">
          <w:pgSz w:w="11906" w:h="16838"/>
          <w:pgMar w:top="1440" w:right="1440" w:bottom="1440" w:left="1440" w:header="708" w:footer="708" w:gutter="0"/>
          <w:cols w:space="708"/>
          <w:docGrid w:linePitch="360"/>
        </w:sectPr>
      </w:pPr>
    </w:p>
    <w:p w14:paraId="5A686DB3" w14:textId="77777777" w:rsidR="00A54A0D" w:rsidRPr="00A42B92" w:rsidRDefault="00A54A0D" w:rsidP="00A42B92">
      <w:pPr>
        <w:pStyle w:val="Heading1"/>
        <w:rPr>
          <w:rFonts w:ascii="Arial" w:eastAsia="Times New Roman" w:hAnsi="Arial" w:cs="Arial"/>
          <w:sz w:val="28"/>
          <w:szCs w:val="28"/>
          <w:lang w:eastAsia="en-GB"/>
        </w:rPr>
      </w:pPr>
      <w:bookmarkStart w:id="5" w:name="_Toc238474396"/>
      <w:r w:rsidRPr="00A42B92">
        <w:rPr>
          <w:rFonts w:ascii="Arial" w:eastAsia="Times New Roman" w:hAnsi="Arial" w:cs="Arial"/>
          <w:sz w:val="28"/>
          <w:szCs w:val="28"/>
          <w:lang w:eastAsia="en-GB"/>
        </w:rPr>
        <w:lastRenderedPageBreak/>
        <w:t>Reference List</w:t>
      </w:r>
      <w:bookmarkEnd w:id="5"/>
    </w:p>
    <w:p w14:paraId="1796B3D2"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Adam, S. and </w:t>
      </w:r>
      <w:proofErr w:type="spellStart"/>
      <w:r w:rsidRPr="00362C03">
        <w:rPr>
          <w:rFonts w:ascii="Arial" w:eastAsia="Times New Roman" w:hAnsi="Arial" w:cs="Arial"/>
          <w:kern w:val="0"/>
          <w:sz w:val="22"/>
          <w:szCs w:val="22"/>
          <w:lang w:eastAsia="en-GB"/>
          <w14:ligatures w14:val="none"/>
        </w:rPr>
        <w:t>Koutsoklenis</w:t>
      </w:r>
      <w:proofErr w:type="spellEnd"/>
      <w:r w:rsidRPr="00362C03">
        <w:rPr>
          <w:rFonts w:ascii="Arial" w:eastAsia="Times New Roman" w:hAnsi="Arial" w:cs="Arial"/>
          <w:kern w:val="0"/>
          <w:sz w:val="22"/>
          <w:szCs w:val="22"/>
          <w:lang w:eastAsia="en-GB"/>
          <w14:ligatures w14:val="none"/>
        </w:rPr>
        <w:t xml:space="preserve">, A. (2023) ‘Who needs the social model of disability?’, </w:t>
      </w:r>
      <w:r w:rsidRPr="00362C03">
        <w:rPr>
          <w:rFonts w:ascii="Arial" w:eastAsia="Times New Roman" w:hAnsi="Arial" w:cs="Arial"/>
          <w:i/>
          <w:iCs/>
          <w:kern w:val="0"/>
          <w:sz w:val="22"/>
          <w:szCs w:val="22"/>
          <w:lang w:eastAsia="en-GB"/>
          <w14:ligatures w14:val="none"/>
        </w:rPr>
        <w:t>Frontiers in Sociology</w:t>
      </w:r>
      <w:r w:rsidRPr="00362C03">
        <w:rPr>
          <w:rFonts w:ascii="Arial" w:eastAsia="Times New Roman" w:hAnsi="Arial" w:cs="Arial"/>
          <w:kern w:val="0"/>
          <w:sz w:val="22"/>
          <w:szCs w:val="22"/>
          <w:lang w:eastAsia="en-GB"/>
          <w14:ligatures w14:val="none"/>
        </w:rPr>
        <w:t xml:space="preserve">, 8, article 1305301. Available at: </w:t>
      </w:r>
      <w:hyperlink r:id="rId8" w:history="1">
        <w:r w:rsidRPr="00362C03">
          <w:rPr>
            <w:rFonts w:ascii="Arial" w:eastAsia="Times New Roman" w:hAnsi="Arial" w:cs="Arial"/>
            <w:color w:val="0000FF"/>
            <w:kern w:val="0"/>
            <w:sz w:val="22"/>
            <w:szCs w:val="22"/>
            <w:u w:val="single"/>
            <w:lang w:eastAsia="en-GB"/>
            <w14:ligatures w14:val="none"/>
          </w:rPr>
          <w:t>https://doi.org/10.3389/fsoc.2023.1305301</w:t>
        </w:r>
      </w:hyperlink>
      <w:r w:rsidRPr="00362C03">
        <w:rPr>
          <w:rFonts w:ascii="Arial" w:eastAsia="Times New Roman" w:hAnsi="Arial" w:cs="Arial"/>
          <w:kern w:val="0"/>
          <w:sz w:val="22"/>
          <w:szCs w:val="22"/>
          <w:lang w:eastAsia="en-GB"/>
          <w14:ligatures w14:val="none"/>
        </w:rPr>
        <w:t>.</w:t>
      </w:r>
    </w:p>
    <w:p w14:paraId="0B7D30F9"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Browne, J. and Dorris, E.R. (2022) ‘What can we learn from a human-rights based approach to disability for public and patient involvement in research?’, </w:t>
      </w:r>
      <w:r w:rsidRPr="00362C03">
        <w:rPr>
          <w:rFonts w:ascii="Arial" w:eastAsia="Times New Roman" w:hAnsi="Arial" w:cs="Arial"/>
          <w:i/>
          <w:iCs/>
          <w:kern w:val="0"/>
          <w:sz w:val="22"/>
          <w:szCs w:val="22"/>
          <w:lang w:eastAsia="en-GB"/>
          <w14:ligatures w14:val="none"/>
        </w:rPr>
        <w:t>Frontiers in Rehabilitation Sciences</w:t>
      </w:r>
      <w:r w:rsidRPr="00362C03">
        <w:rPr>
          <w:rFonts w:ascii="Arial" w:eastAsia="Times New Roman" w:hAnsi="Arial" w:cs="Arial"/>
          <w:kern w:val="0"/>
          <w:sz w:val="22"/>
          <w:szCs w:val="22"/>
          <w:lang w:eastAsia="en-GB"/>
          <w14:ligatures w14:val="none"/>
        </w:rPr>
        <w:t xml:space="preserve">, 3, article 878231. Available at: </w:t>
      </w:r>
      <w:hyperlink r:id="rId9" w:history="1">
        <w:r w:rsidRPr="00362C03">
          <w:rPr>
            <w:rFonts w:ascii="Arial" w:eastAsia="Times New Roman" w:hAnsi="Arial" w:cs="Arial"/>
            <w:color w:val="0000FF"/>
            <w:kern w:val="0"/>
            <w:sz w:val="22"/>
            <w:szCs w:val="22"/>
            <w:u w:val="single"/>
            <w:lang w:eastAsia="en-GB"/>
            <w14:ligatures w14:val="none"/>
          </w:rPr>
          <w:t>https://doi.org/10.3389/fresc.2022.878231</w:t>
        </w:r>
      </w:hyperlink>
      <w:r w:rsidRPr="00362C03">
        <w:rPr>
          <w:rFonts w:ascii="Arial" w:eastAsia="Times New Roman" w:hAnsi="Arial" w:cs="Arial"/>
          <w:kern w:val="0"/>
          <w:sz w:val="22"/>
          <w:szCs w:val="22"/>
          <w:lang w:eastAsia="en-GB"/>
          <w14:ligatures w14:val="none"/>
        </w:rPr>
        <w:t>.</w:t>
      </w:r>
    </w:p>
    <w:p w14:paraId="5CCC697B"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i/>
          <w:iCs/>
          <w:kern w:val="0"/>
          <w:sz w:val="22"/>
          <w:szCs w:val="22"/>
          <w:lang w:eastAsia="en-GB"/>
          <w14:ligatures w14:val="none"/>
        </w:rPr>
        <w:t>Care Act 2014</w:t>
      </w:r>
      <w:r w:rsidRPr="00362C03">
        <w:rPr>
          <w:rFonts w:ascii="Arial" w:eastAsia="Times New Roman" w:hAnsi="Arial" w:cs="Arial"/>
          <w:kern w:val="0"/>
          <w:sz w:val="22"/>
          <w:szCs w:val="22"/>
          <w:lang w:eastAsia="en-GB"/>
          <w14:ligatures w14:val="none"/>
        </w:rPr>
        <w:t xml:space="preserve"> (c. 23). Available at: </w:t>
      </w:r>
      <w:hyperlink r:id="rId10" w:history="1">
        <w:r w:rsidRPr="00362C03">
          <w:rPr>
            <w:rFonts w:ascii="Arial" w:eastAsia="Times New Roman" w:hAnsi="Arial" w:cs="Arial"/>
            <w:color w:val="0000FF"/>
            <w:kern w:val="0"/>
            <w:sz w:val="22"/>
            <w:szCs w:val="22"/>
            <w:u w:val="single"/>
            <w:lang w:eastAsia="en-GB"/>
            <w14:ligatures w14:val="none"/>
          </w:rPr>
          <w:t>https://www.legislation.gov.uk/ukpga/2014/23/contents</w:t>
        </w:r>
      </w:hyperlink>
      <w:r w:rsidRPr="00362C03">
        <w:rPr>
          <w:rFonts w:ascii="Arial" w:eastAsia="Times New Roman" w:hAnsi="Arial" w:cs="Arial"/>
          <w:kern w:val="0"/>
          <w:sz w:val="22"/>
          <w:szCs w:val="22"/>
          <w:lang w:eastAsia="en-GB"/>
          <w14:ligatures w14:val="none"/>
        </w:rPr>
        <w:t xml:space="preserve"> (Accessed: 24 August 2026).</w:t>
      </w:r>
    </w:p>
    <w:p w14:paraId="28F76B8A"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Care Quality Commission (2022) </w:t>
      </w:r>
      <w:r w:rsidRPr="00362C03">
        <w:rPr>
          <w:rFonts w:ascii="Arial" w:eastAsia="Times New Roman" w:hAnsi="Arial" w:cs="Arial"/>
          <w:i/>
          <w:iCs/>
          <w:kern w:val="0"/>
          <w:sz w:val="22"/>
          <w:szCs w:val="22"/>
          <w:lang w:eastAsia="en-GB"/>
          <w14:ligatures w14:val="none"/>
        </w:rPr>
        <w:t>Who I am matters: Experiences of being in hospital for people with a learning disability and autistic people</w:t>
      </w:r>
      <w:r w:rsidRPr="00362C03">
        <w:rPr>
          <w:rFonts w:ascii="Arial" w:eastAsia="Times New Roman" w:hAnsi="Arial" w:cs="Arial"/>
          <w:kern w:val="0"/>
          <w:sz w:val="22"/>
          <w:szCs w:val="22"/>
          <w:lang w:eastAsia="en-GB"/>
          <w14:ligatures w14:val="none"/>
        </w:rPr>
        <w:t xml:space="preserve">. Available at: </w:t>
      </w:r>
      <w:hyperlink r:id="rId11" w:history="1">
        <w:r w:rsidRPr="00362C03">
          <w:rPr>
            <w:rFonts w:ascii="Arial" w:eastAsia="Times New Roman" w:hAnsi="Arial" w:cs="Arial"/>
            <w:color w:val="0000FF"/>
            <w:kern w:val="0"/>
            <w:sz w:val="22"/>
            <w:szCs w:val="22"/>
            <w:u w:val="single"/>
            <w:lang w:eastAsia="en-GB"/>
            <w14:ligatures w14:val="none"/>
          </w:rPr>
          <w:t>https://www.cqc.org.uk/publication/experiences-being-hospital-people-learning-disability-and-autistic-people</w:t>
        </w:r>
      </w:hyperlink>
      <w:r w:rsidRPr="00362C03">
        <w:rPr>
          <w:rFonts w:ascii="Arial" w:eastAsia="Times New Roman" w:hAnsi="Arial" w:cs="Arial"/>
          <w:kern w:val="0"/>
          <w:sz w:val="22"/>
          <w:szCs w:val="22"/>
          <w:lang w:eastAsia="en-GB"/>
          <w14:ligatures w14:val="none"/>
        </w:rPr>
        <w:t xml:space="preserve"> (Accessed: 24 August 2026).</w:t>
      </w:r>
    </w:p>
    <w:p w14:paraId="36E552D1"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Care Quality Commission (2025) </w:t>
      </w:r>
      <w:r w:rsidRPr="00362C03">
        <w:rPr>
          <w:rFonts w:ascii="Arial" w:eastAsia="Times New Roman" w:hAnsi="Arial" w:cs="Arial"/>
          <w:i/>
          <w:iCs/>
          <w:kern w:val="0"/>
          <w:sz w:val="22"/>
          <w:szCs w:val="22"/>
          <w:lang w:eastAsia="en-GB"/>
          <w14:ligatures w14:val="none"/>
        </w:rPr>
        <w:t>The state of health care and adult social care in England 2024/25</w:t>
      </w:r>
      <w:r w:rsidRPr="00362C03">
        <w:rPr>
          <w:rFonts w:ascii="Arial" w:eastAsia="Times New Roman" w:hAnsi="Arial" w:cs="Arial"/>
          <w:kern w:val="0"/>
          <w:sz w:val="22"/>
          <w:szCs w:val="22"/>
          <w:lang w:eastAsia="en-GB"/>
          <w14:ligatures w14:val="none"/>
        </w:rPr>
        <w:t xml:space="preserve">. Available at: </w:t>
      </w:r>
      <w:hyperlink r:id="rId12" w:history="1">
        <w:r w:rsidRPr="00362C03">
          <w:rPr>
            <w:rFonts w:ascii="Arial" w:eastAsia="Times New Roman" w:hAnsi="Arial" w:cs="Arial"/>
            <w:color w:val="0000FF"/>
            <w:kern w:val="0"/>
            <w:sz w:val="22"/>
            <w:szCs w:val="22"/>
            <w:u w:val="single"/>
            <w:lang w:eastAsia="en-GB"/>
            <w14:ligatures w14:val="none"/>
          </w:rPr>
          <w:t>https://www.cqc.org.uk/publications/major-report/state-care/2024-2025</w:t>
        </w:r>
      </w:hyperlink>
      <w:r w:rsidRPr="00362C03">
        <w:rPr>
          <w:rFonts w:ascii="Arial" w:eastAsia="Times New Roman" w:hAnsi="Arial" w:cs="Arial"/>
          <w:kern w:val="0"/>
          <w:sz w:val="22"/>
          <w:szCs w:val="22"/>
          <w:lang w:eastAsia="en-GB"/>
          <w14:ligatures w14:val="none"/>
        </w:rPr>
        <w:t xml:space="preserve"> (Accessed: 24 August 2026).</w:t>
      </w:r>
    </w:p>
    <w:p w14:paraId="16A6F2EC"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362C03">
        <w:rPr>
          <w:rFonts w:ascii="Arial" w:eastAsia="Times New Roman" w:hAnsi="Arial" w:cs="Arial"/>
          <w:kern w:val="0"/>
          <w:sz w:val="22"/>
          <w:szCs w:val="22"/>
          <w:lang w:eastAsia="en-GB"/>
          <w14:ligatures w14:val="none"/>
        </w:rPr>
        <w:t>Debevc</w:t>
      </w:r>
      <w:proofErr w:type="spellEnd"/>
      <w:r w:rsidRPr="00362C03">
        <w:rPr>
          <w:rFonts w:ascii="Arial" w:eastAsia="Times New Roman" w:hAnsi="Arial" w:cs="Arial"/>
          <w:kern w:val="0"/>
          <w:sz w:val="22"/>
          <w:szCs w:val="22"/>
          <w:lang w:eastAsia="en-GB"/>
          <w14:ligatures w14:val="none"/>
        </w:rPr>
        <w:t xml:space="preserve">, M., </w:t>
      </w:r>
      <w:proofErr w:type="spellStart"/>
      <w:r w:rsidRPr="00362C03">
        <w:rPr>
          <w:rFonts w:ascii="Arial" w:eastAsia="Times New Roman" w:hAnsi="Arial" w:cs="Arial"/>
          <w:kern w:val="0"/>
          <w:sz w:val="22"/>
          <w:szCs w:val="22"/>
          <w:lang w:eastAsia="en-GB"/>
          <w14:ligatures w14:val="none"/>
        </w:rPr>
        <w:t>Škraba</w:t>
      </w:r>
      <w:proofErr w:type="spellEnd"/>
      <w:r w:rsidRPr="00362C03">
        <w:rPr>
          <w:rFonts w:ascii="Arial" w:eastAsia="Times New Roman" w:hAnsi="Arial" w:cs="Arial"/>
          <w:kern w:val="0"/>
          <w:sz w:val="22"/>
          <w:szCs w:val="22"/>
          <w:lang w:eastAsia="en-GB"/>
          <w14:ligatures w14:val="none"/>
        </w:rPr>
        <w:t xml:space="preserve">, T., </w:t>
      </w:r>
      <w:proofErr w:type="spellStart"/>
      <w:r w:rsidRPr="00362C03">
        <w:rPr>
          <w:rFonts w:ascii="Arial" w:eastAsia="Times New Roman" w:hAnsi="Arial" w:cs="Arial"/>
          <w:kern w:val="0"/>
          <w:sz w:val="22"/>
          <w:szCs w:val="22"/>
          <w:lang w:eastAsia="en-GB"/>
          <w14:ligatures w14:val="none"/>
        </w:rPr>
        <w:t>Cerovac</w:t>
      </w:r>
      <w:proofErr w:type="spellEnd"/>
      <w:r w:rsidRPr="00362C03">
        <w:rPr>
          <w:rFonts w:ascii="Arial" w:eastAsia="Times New Roman" w:hAnsi="Arial" w:cs="Arial"/>
          <w:kern w:val="0"/>
          <w:sz w:val="22"/>
          <w:szCs w:val="22"/>
          <w:lang w:eastAsia="en-GB"/>
          <w14:ligatures w14:val="none"/>
        </w:rPr>
        <w:t xml:space="preserve">, B., Kožuh, I. and Rajh, N. (2023) ‘Monitoring website accessibility: Evaluating current approaches and a proposal for improvements’, </w:t>
      </w:r>
      <w:r w:rsidRPr="00362C03">
        <w:rPr>
          <w:rFonts w:ascii="Arial" w:eastAsia="Times New Roman" w:hAnsi="Arial" w:cs="Arial"/>
          <w:i/>
          <w:iCs/>
          <w:kern w:val="0"/>
          <w:sz w:val="22"/>
          <w:szCs w:val="22"/>
          <w:lang w:eastAsia="en-GB"/>
          <w14:ligatures w14:val="none"/>
        </w:rPr>
        <w:t>Journal of Accessibility and Design for All</w:t>
      </w:r>
      <w:r w:rsidRPr="00362C03">
        <w:rPr>
          <w:rFonts w:ascii="Arial" w:eastAsia="Times New Roman" w:hAnsi="Arial" w:cs="Arial"/>
          <w:kern w:val="0"/>
          <w:sz w:val="22"/>
          <w:szCs w:val="22"/>
          <w:lang w:eastAsia="en-GB"/>
          <w14:ligatures w14:val="none"/>
        </w:rPr>
        <w:t xml:space="preserve">, 13(2), pp. 162–187. Available at: </w:t>
      </w:r>
      <w:hyperlink r:id="rId13" w:history="1">
        <w:r w:rsidRPr="00362C03">
          <w:rPr>
            <w:rFonts w:ascii="Arial" w:eastAsia="Times New Roman" w:hAnsi="Arial" w:cs="Arial"/>
            <w:color w:val="0000FF"/>
            <w:kern w:val="0"/>
            <w:sz w:val="22"/>
            <w:szCs w:val="22"/>
            <w:u w:val="single"/>
            <w:lang w:eastAsia="en-GB"/>
            <w14:ligatures w14:val="none"/>
          </w:rPr>
          <w:t>https://doi.org/10.17411/jacces.v13i2.485</w:t>
        </w:r>
      </w:hyperlink>
      <w:r w:rsidRPr="00362C03">
        <w:rPr>
          <w:rFonts w:ascii="Arial" w:eastAsia="Times New Roman" w:hAnsi="Arial" w:cs="Arial"/>
          <w:kern w:val="0"/>
          <w:sz w:val="22"/>
          <w:szCs w:val="22"/>
          <w:lang w:eastAsia="en-GB"/>
          <w14:ligatures w14:val="none"/>
        </w:rPr>
        <w:t>.</w:t>
      </w:r>
    </w:p>
    <w:p w14:paraId="1DC1F6CB"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i/>
          <w:iCs/>
          <w:kern w:val="0"/>
          <w:sz w:val="22"/>
          <w:szCs w:val="22"/>
          <w:lang w:eastAsia="en-GB"/>
          <w14:ligatures w14:val="none"/>
        </w:rPr>
        <w:t>Equality Act 2010</w:t>
      </w:r>
      <w:r w:rsidRPr="00362C03">
        <w:rPr>
          <w:rFonts w:ascii="Arial" w:eastAsia="Times New Roman" w:hAnsi="Arial" w:cs="Arial"/>
          <w:kern w:val="0"/>
          <w:sz w:val="22"/>
          <w:szCs w:val="22"/>
          <w:lang w:eastAsia="en-GB"/>
          <w14:ligatures w14:val="none"/>
        </w:rPr>
        <w:t xml:space="preserve"> (c. 15). Available at: </w:t>
      </w:r>
      <w:hyperlink r:id="rId14" w:history="1">
        <w:r w:rsidRPr="00362C03">
          <w:rPr>
            <w:rFonts w:ascii="Arial" w:eastAsia="Times New Roman" w:hAnsi="Arial" w:cs="Arial"/>
            <w:color w:val="0000FF"/>
            <w:kern w:val="0"/>
            <w:sz w:val="22"/>
            <w:szCs w:val="22"/>
            <w:u w:val="single"/>
            <w:lang w:eastAsia="en-GB"/>
            <w14:ligatures w14:val="none"/>
          </w:rPr>
          <w:t>https://www.legislation.gov.uk/ukpga/2010/15/contents</w:t>
        </w:r>
      </w:hyperlink>
      <w:r w:rsidRPr="00362C03">
        <w:rPr>
          <w:rFonts w:ascii="Arial" w:eastAsia="Times New Roman" w:hAnsi="Arial" w:cs="Arial"/>
          <w:kern w:val="0"/>
          <w:sz w:val="22"/>
          <w:szCs w:val="22"/>
          <w:lang w:eastAsia="en-GB"/>
          <w14:ligatures w14:val="none"/>
        </w:rPr>
        <w:t xml:space="preserve"> (Accessed: 24 August 2026).</w:t>
      </w:r>
    </w:p>
    <w:p w14:paraId="35257FEC"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Government Digital Service (2024) </w:t>
      </w:r>
      <w:r w:rsidRPr="00362C03">
        <w:rPr>
          <w:rFonts w:ascii="Arial" w:eastAsia="Times New Roman" w:hAnsi="Arial" w:cs="Arial"/>
          <w:i/>
          <w:iCs/>
          <w:kern w:val="0"/>
          <w:sz w:val="22"/>
          <w:szCs w:val="22"/>
          <w:lang w:eastAsia="en-GB"/>
          <w14:ligatures w14:val="none"/>
        </w:rPr>
        <w:t>Accessibility monitoring of public sector websites and mobile apps from 2022 to 2024</w:t>
      </w:r>
      <w:r w:rsidRPr="00362C03">
        <w:rPr>
          <w:rFonts w:ascii="Arial" w:eastAsia="Times New Roman" w:hAnsi="Arial" w:cs="Arial"/>
          <w:kern w:val="0"/>
          <w:sz w:val="22"/>
          <w:szCs w:val="22"/>
          <w:lang w:eastAsia="en-GB"/>
          <w14:ligatures w14:val="none"/>
        </w:rPr>
        <w:t xml:space="preserve">. Available at: </w:t>
      </w:r>
      <w:hyperlink r:id="rId15" w:history="1">
        <w:r w:rsidRPr="00362C03">
          <w:rPr>
            <w:rFonts w:ascii="Arial" w:eastAsia="Times New Roman" w:hAnsi="Arial" w:cs="Arial"/>
            <w:color w:val="0000FF"/>
            <w:kern w:val="0"/>
            <w:sz w:val="22"/>
            <w:szCs w:val="22"/>
            <w:u w:val="single"/>
            <w:lang w:eastAsia="en-GB"/>
            <w14:ligatures w14:val="none"/>
          </w:rPr>
          <w:t>https://www.gov.uk/government/publications/accessibility-monitoring-of-public-sector-websites-and-mobile-apps-from-2022-to-2024</w:t>
        </w:r>
      </w:hyperlink>
      <w:r w:rsidRPr="00362C03">
        <w:rPr>
          <w:rFonts w:ascii="Arial" w:eastAsia="Times New Roman" w:hAnsi="Arial" w:cs="Arial"/>
          <w:kern w:val="0"/>
          <w:sz w:val="22"/>
          <w:szCs w:val="22"/>
          <w:lang w:eastAsia="en-GB"/>
          <w14:ligatures w14:val="none"/>
        </w:rPr>
        <w:t xml:space="preserve"> (Accessed: 24 August 2026).</w:t>
      </w:r>
    </w:p>
    <w:p w14:paraId="7AA940B8"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Lawson, A. and Beckett, A.E. (2021) ‘The social and human rights models of disability: Towards a complementarity thesis’, </w:t>
      </w:r>
      <w:r w:rsidRPr="00362C03">
        <w:rPr>
          <w:rFonts w:ascii="Arial" w:eastAsia="Times New Roman" w:hAnsi="Arial" w:cs="Arial"/>
          <w:i/>
          <w:iCs/>
          <w:kern w:val="0"/>
          <w:sz w:val="22"/>
          <w:szCs w:val="22"/>
          <w:lang w:eastAsia="en-GB"/>
          <w14:ligatures w14:val="none"/>
        </w:rPr>
        <w:t>The International Journal of Human Rights</w:t>
      </w:r>
      <w:r w:rsidRPr="00362C03">
        <w:rPr>
          <w:rFonts w:ascii="Arial" w:eastAsia="Times New Roman" w:hAnsi="Arial" w:cs="Arial"/>
          <w:kern w:val="0"/>
          <w:sz w:val="22"/>
          <w:szCs w:val="22"/>
          <w:lang w:eastAsia="en-GB"/>
          <w14:ligatures w14:val="none"/>
        </w:rPr>
        <w:t xml:space="preserve">, 25(2), pp. 348–379. Available at: </w:t>
      </w:r>
      <w:hyperlink r:id="rId16" w:history="1">
        <w:r w:rsidRPr="00362C03">
          <w:rPr>
            <w:rFonts w:ascii="Arial" w:eastAsia="Times New Roman" w:hAnsi="Arial" w:cs="Arial"/>
            <w:color w:val="0000FF"/>
            <w:kern w:val="0"/>
            <w:sz w:val="22"/>
            <w:szCs w:val="22"/>
            <w:u w:val="single"/>
            <w:lang w:eastAsia="en-GB"/>
            <w14:ligatures w14:val="none"/>
          </w:rPr>
          <w:t>https://doi.org/10.1080/13642987.2020.1783533</w:t>
        </w:r>
      </w:hyperlink>
      <w:r w:rsidRPr="00362C03">
        <w:rPr>
          <w:rFonts w:ascii="Arial" w:eastAsia="Times New Roman" w:hAnsi="Arial" w:cs="Arial"/>
          <w:kern w:val="0"/>
          <w:sz w:val="22"/>
          <w:szCs w:val="22"/>
          <w:lang w:eastAsia="en-GB"/>
          <w14:ligatures w14:val="none"/>
        </w:rPr>
        <w:t>.</w:t>
      </w:r>
    </w:p>
    <w:p w14:paraId="4A24D7B1"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National Institute for Health and Care Excellence (2018) </w:t>
      </w:r>
      <w:r w:rsidRPr="00362C03">
        <w:rPr>
          <w:rFonts w:ascii="Arial" w:eastAsia="Times New Roman" w:hAnsi="Arial" w:cs="Arial"/>
          <w:i/>
          <w:iCs/>
          <w:kern w:val="0"/>
          <w:sz w:val="22"/>
          <w:szCs w:val="22"/>
          <w:lang w:eastAsia="en-GB"/>
          <w14:ligatures w14:val="none"/>
        </w:rPr>
        <w:t>People’s experience in adult social care services: Improving the experience of care and support for people using adult social care services</w:t>
      </w:r>
      <w:r w:rsidRPr="00362C03">
        <w:rPr>
          <w:rFonts w:ascii="Arial" w:eastAsia="Times New Roman" w:hAnsi="Arial" w:cs="Arial"/>
          <w:kern w:val="0"/>
          <w:sz w:val="22"/>
          <w:szCs w:val="22"/>
          <w:lang w:eastAsia="en-GB"/>
          <w14:ligatures w14:val="none"/>
        </w:rPr>
        <w:t xml:space="preserve"> (NG86). Available at: </w:t>
      </w:r>
      <w:hyperlink r:id="rId17" w:history="1">
        <w:r w:rsidRPr="00362C03">
          <w:rPr>
            <w:rFonts w:ascii="Arial" w:eastAsia="Times New Roman" w:hAnsi="Arial" w:cs="Arial"/>
            <w:color w:val="0000FF"/>
            <w:kern w:val="0"/>
            <w:sz w:val="22"/>
            <w:szCs w:val="22"/>
            <w:u w:val="single"/>
            <w:lang w:eastAsia="en-GB"/>
            <w14:ligatures w14:val="none"/>
          </w:rPr>
          <w:t>https://www.nice.org.uk/guidance/ng86</w:t>
        </w:r>
      </w:hyperlink>
      <w:r w:rsidRPr="00362C03">
        <w:rPr>
          <w:rFonts w:ascii="Arial" w:eastAsia="Times New Roman" w:hAnsi="Arial" w:cs="Arial"/>
          <w:kern w:val="0"/>
          <w:sz w:val="22"/>
          <w:szCs w:val="22"/>
          <w:lang w:eastAsia="en-GB"/>
          <w14:ligatures w14:val="none"/>
        </w:rPr>
        <w:t xml:space="preserve"> (Accessed: 24 August 2026).</w:t>
      </w:r>
    </w:p>
    <w:p w14:paraId="02737D18"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National Institute for Health and Care Excellence (2021) </w:t>
      </w:r>
      <w:r w:rsidRPr="00362C03">
        <w:rPr>
          <w:rFonts w:ascii="Arial" w:eastAsia="Times New Roman" w:hAnsi="Arial" w:cs="Arial"/>
          <w:i/>
          <w:iCs/>
          <w:kern w:val="0"/>
          <w:sz w:val="22"/>
          <w:szCs w:val="22"/>
          <w:lang w:eastAsia="en-GB"/>
          <w14:ligatures w14:val="none"/>
        </w:rPr>
        <w:t>Shared decision making</w:t>
      </w:r>
      <w:r w:rsidRPr="00362C03">
        <w:rPr>
          <w:rFonts w:ascii="Arial" w:eastAsia="Times New Roman" w:hAnsi="Arial" w:cs="Arial"/>
          <w:kern w:val="0"/>
          <w:sz w:val="22"/>
          <w:szCs w:val="22"/>
          <w:lang w:eastAsia="en-GB"/>
          <w14:ligatures w14:val="none"/>
        </w:rPr>
        <w:t xml:space="preserve"> (NG197). Available at: </w:t>
      </w:r>
      <w:hyperlink r:id="rId18" w:history="1">
        <w:r w:rsidRPr="00362C03">
          <w:rPr>
            <w:rFonts w:ascii="Arial" w:eastAsia="Times New Roman" w:hAnsi="Arial" w:cs="Arial"/>
            <w:color w:val="0000FF"/>
            <w:kern w:val="0"/>
            <w:sz w:val="22"/>
            <w:szCs w:val="22"/>
            <w:u w:val="single"/>
            <w:lang w:eastAsia="en-GB"/>
            <w14:ligatures w14:val="none"/>
          </w:rPr>
          <w:t>https://www.nice.org.uk/guidance/ng197</w:t>
        </w:r>
      </w:hyperlink>
      <w:r w:rsidRPr="00362C03">
        <w:rPr>
          <w:rFonts w:ascii="Arial" w:eastAsia="Times New Roman" w:hAnsi="Arial" w:cs="Arial"/>
          <w:kern w:val="0"/>
          <w:sz w:val="22"/>
          <w:szCs w:val="22"/>
          <w:lang w:eastAsia="en-GB"/>
          <w14:ligatures w14:val="none"/>
        </w:rPr>
        <w:t xml:space="preserve"> (Accessed: 24 August 2026).</w:t>
      </w:r>
    </w:p>
    <w:p w14:paraId="2392A264"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NHS England (2025a) </w:t>
      </w:r>
      <w:r w:rsidRPr="00362C03">
        <w:rPr>
          <w:rFonts w:ascii="Arial" w:eastAsia="Times New Roman" w:hAnsi="Arial" w:cs="Arial"/>
          <w:i/>
          <w:iCs/>
          <w:kern w:val="0"/>
          <w:sz w:val="22"/>
          <w:szCs w:val="22"/>
          <w:lang w:eastAsia="en-GB"/>
          <w14:ligatures w14:val="none"/>
        </w:rPr>
        <w:t>Accessible Information Standard – requirements (DAPB1605)</w:t>
      </w:r>
      <w:r w:rsidRPr="00362C03">
        <w:rPr>
          <w:rFonts w:ascii="Arial" w:eastAsia="Times New Roman" w:hAnsi="Arial" w:cs="Arial"/>
          <w:kern w:val="0"/>
          <w:sz w:val="22"/>
          <w:szCs w:val="22"/>
          <w:lang w:eastAsia="en-GB"/>
          <w14:ligatures w14:val="none"/>
        </w:rPr>
        <w:t xml:space="preserve">. Available at: </w:t>
      </w:r>
      <w:hyperlink r:id="rId19" w:history="1">
        <w:r w:rsidRPr="00362C03">
          <w:rPr>
            <w:rFonts w:ascii="Arial" w:eastAsia="Times New Roman" w:hAnsi="Arial" w:cs="Arial"/>
            <w:color w:val="0000FF"/>
            <w:kern w:val="0"/>
            <w:sz w:val="22"/>
            <w:szCs w:val="22"/>
            <w:u w:val="single"/>
            <w:lang w:eastAsia="en-GB"/>
            <w14:ligatures w14:val="none"/>
          </w:rPr>
          <w:t>https://www.england.nhs.uk/long-read/accessible-information-standard-requirements-dapb1605/</w:t>
        </w:r>
      </w:hyperlink>
      <w:r w:rsidRPr="00362C03">
        <w:rPr>
          <w:rFonts w:ascii="Arial" w:eastAsia="Times New Roman" w:hAnsi="Arial" w:cs="Arial"/>
          <w:kern w:val="0"/>
          <w:sz w:val="22"/>
          <w:szCs w:val="22"/>
          <w:lang w:eastAsia="en-GB"/>
          <w14:ligatures w14:val="none"/>
        </w:rPr>
        <w:t xml:space="preserve"> (Accessed: 24 August 2026).</w:t>
      </w:r>
    </w:p>
    <w:p w14:paraId="4B6C914C"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NHS England (2025b) </w:t>
      </w:r>
      <w:r w:rsidRPr="00362C03">
        <w:rPr>
          <w:rFonts w:ascii="Arial" w:eastAsia="Times New Roman" w:hAnsi="Arial" w:cs="Arial"/>
          <w:i/>
          <w:iCs/>
          <w:kern w:val="0"/>
          <w:sz w:val="22"/>
          <w:szCs w:val="22"/>
          <w:lang w:eastAsia="en-GB"/>
          <w14:ligatures w14:val="none"/>
        </w:rPr>
        <w:t>DAPB4019: Reasonable Adjustment Digital Flag</w:t>
      </w:r>
      <w:r w:rsidRPr="00362C03">
        <w:rPr>
          <w:rFonts w:ascii="Arial" w:eastAsia="Times New Roman" w:hAnsi="Arial" w:cs="Arial"/>
          <w:kern w:val="0"/>
          <w:sz w:val="22"/>
          <w:szCs w:val="22"/>
          <w:lang w:eastAsia="en-GB"/>
          <w14:ligatures w14:val="none"/>
        </w:rPr>
        <w:t xml:space="preserve">. Available at: </w:t>
      </w:r>
      <w:hyperlink r:id="rId20" w:history="1">
        <w:r w:rsidRPr="00362C03">
          <w:rPr>
            <w:rFonts w:ascii="Arial" w:eastAsia="Times New Roman" w:hAnsi="Arial" w:cs="Arial"/>
            <w:color w:val="0000FF"/>
            <w:kern w:val="0"/>
            <w:sz w:val="22"/>
            <w:szCs w:val="22"/>
            <w:u w:val="single"/>
            <w:lang w:eastAsia="en-GB"/>
            <w14:ligatures w14:val="none"/>
          </w:rPr>
          <w:t>https://digital.nhs.uk/data-and-information/information-standards/governance/latest-</w:t>
        </w:r>
        <w:r w:rsidRPr="00362C03">
          <w:rPr>
            <w:rFonts w:ascii="Arial" w:eastAsia="Times New Roman" w:hAnsi="Arial" w:cs="Arial"/>
            <w:color w:val="0000FF"/>
            <w:kern w:val="0"/>
            <w:sz w:val="22"/>
            <w:szCs w:val="22"/>
            <w:u w:val="single"/>
            <w:lang w:eastAsia="en-GB"/>
            <w14:ligatures w14:val="none"/>
          </w:rPr>
          <w:lastRenderedPageBreak/>
          <w:t>activity/standards-and-collections/dapb4019-reasonable-adjustment-digital-flag</w:t>
        </w:r>
      </w:hyperlink>
      <w:r w:rsidRPr="00362C03">
        <w:rPr>
          <w:rFonts w:ascii="Arial" w:eastAsia="Times New Roman" w:hAnsi="Arial" w:cs="Arial"/>
          <w:kern w:val="0"/>
          <w:sz w:val="22"/>
          <w:szCs w:val="22"/>
          <w:lang w:eastAsia="en-GB"/>
          <w14:ligatures w14:val="none"/>
        </w:rPr>
        <w:t xml:space="preserve"> (Accessed: 24 August 2026).</w:t>
      </w:r>
    </w:p>
    <w:p w14:paraId="1F0EFF95"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Oliver, M. (1983) </w:t>
      </w:r>
      <w:r w:rsidRPr="00362C03">
        <w:rPr>
          <w:rFonts w:ascii="Arial" w:eastAsia="Times New Roman" w:hAnsi="Arial" w:cs="Arial"/>
          <w:i/>
          <w:iCs/>
          <w:kern w:val="0"/>
          <w:sz w:val="22"/>
          <w:szCs w:val="22"/>
          <w:lang w:eastAsia="en-GB"/>
          <w14:ligatures w14:val="none"/>
        </w:rPr>
        <w:t>Social work with disabled people</w:t>
      </w:r>
      <w:r w:rsidRPr="00362C03">
        <w:rPr>
          <w:rFonts w:ascii="Arial" w:eastAsia="Times New Roman" w:hAnsi="Arial" w:cs="Arial"/>
          <w:kern w:val="0"/>
          <w:sz w:val="22"/>
          <w:szCs w:val="22"/>
          <w:lang w:eastAsia="en-GB"/>
          <w14:ligatures w14:val="none"/>
        </w:rPr>
        <w:t>. Basingstoke: Macmillan.</w:t>
      </w:r>
    </w:p>
    <w:p w14:paraId="1D6FAAFB"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Oliver, M. (2013) ‘The social model of disability: Thirty years on’, </w:t>
      </w:r>
      <w:r w:rsidRPr="00362C03">
        <w:rPr>
          <w:rFonts w:ascii="Arial" w:eastAsia="Times New Roman" w:hAnsi="Arial" w:cs="Arial"/>
          <w:i/>
          <w:iCs/>
          <w:kern w:val="0"/>
          <w:sz w:val="22"/>
          <w:szCs w:val="22"/>
          <w:lang w:eastAsia="en-GB"/>
          <w14:ligatures w14:val="none"/>
        </w:rPr>
        <w:t>Disability &amp; Society</w:t>
      </w:r>
      <w:r w:rsidRPr="00362C03">
        <w:rPr>
          <w:rFonts w:ascii="Arial" w:eastAsia="Times New Roman" w:hAnsi="Arial" w:cs="Arial"/>
          <w:kern w:val="0"/>
          <w:sz w:val="22"/>
          <w:szCs w:val="22"/>
          <w:lang w:eastAsia="en-GB"/>
          <w14:ligatures w14:val="none"/>
        </w:rPr>
        <w:t xml:space="preserve">, 28(7), pp. 1024–1026. Available at: </w:t>
      </w:r>
      <w:hyperlink r:id="rId21" w:history="1">
        <w:r w:rsidRPr="00362C03">
          <w:rPr>
            <w:rFonts w:ascii="Arial" w:eastAsia="Times New Roman" w:hAnsi="Arial" w:cs="Arial"/>
            <w:color w:val="0000FF"/>
            <w:kern w:val="0"/>
            <w:sz w:val="22"/>
            <w:szCs w:val="22"/>
            <w:u w:val="single"/>
            <w:lang w:eastAsia="en-GB"/>
            <w14:ligatures w14:val="none"/>
          </w:rPr>
          <w:t>https://doi.org/10.1080/09687599.2013.818773</w:t>
        </w:r>
      </w:hyperlink>
      <w:r w:rsidRPr="00362C03">
        <w:rPr>
          <w:rFonts w:ascii="Arial" w:eastAsia="Times New Roman" w:hAnsi="Arial" w:cs="Arial"/>
          <w:kern w:val="0"/>
          <w:sz w:val="22"/>
          <w:szCs w:val="22"/>
          <w:lang w:eastAsia="en-GB"/>
          <w14:ligatures w14:val="none"/>
        </w:rPr>
        <w:t>.</w:t>
      </w:r>
    </w:p>
    <w:p w14:paraId="5FFF2D55"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Shakespeare, T. and Watson, N. (2001) ‘The social model of disability: An outdated ideology?’, in </w:t>
      </w:r>
      <w:proofErr w:type="spellStart"/>
      <w:r w:rsidRPr="00362C03">
        <w:rPr>
          <w:rFonts w:ascii="Arial" w:eastAsia="Times New Roman" w:hAnsi="Arial" w:cs="Arial"/>
          <w:kern w:val="0"/>
          <w:sz w:val="22"/>
          <w:szCs w:val="22"/>
          <w:lang w:eastAsia="en-GB"/>
          <w14:ligatures w14:val="none"/>
        </w:rPr>
        <w:t>Barnartt</w:t>
      </w:r>
      <w:proofErr w:type="spellEnd"/>
      <w:r w:rsidRPr="00362C03">
        <w:rPr>
          <w:rFonts w:ascii="Arial" w:eastAsia="Times New Roman" w:hAnsi="Arial" w:cs="Arial"/>
          <w:kern w:val="0"/>
          <w:sz w:val="22"/>
          <w:szCs w:val="22"/>
          <w:lang w:eastAsia="en-GB"/>
          <w14:ligatures w14:val="none"/>
        </w:rPr>
        <w:t xml:space="preserve">, S.N. and Altman, B.M. (eds.) </w:t>
      </w:r>
      <w:r w:rsidRPr="00362C03">
        <w:rPr>
          <w:rFonts w:ascii="Arial" w:eastAsia="Times New Roman" w:hAnsi="Arial" w:cs="Arial"/>
          <w:i/>
          <w:iCs/>
          <w:kern w:val="0"/>
          <w:sz w:val="22"/>
          <w:szCs w:val="22"/>
          <w:lang w:eastAsia="en-GB"/>
          <w14:ligatures w14:val="none"/>
        </w:rPr>
        <w:t>Exploring theories and expanding methodologies: Where we are and where we need to go</w:t>
      </w:r>
      <w:r w:rsidRPr="00362C03">
        <w:rPr>
          <w:rFonts w:ascii="Arial" w:eastAsia="Times New Roman" w:hAnsi="Arial" w:cs="Arial"/>
          <w:kern w:val="0"/>
          <w:sz w:val="22"/>
          <w:szCs w:val="22"/>
          <w:lang w:eastAsia="en-GB"/>
          <w14:ligatures w14:val="none"/>
        </w:rPr>
        <w:t xml:space="preserve">. Research in Social Science and Disability, Volume 2. Amsterdam: JAI Press, pp. 9–28. Available at: </w:t>
      </w:r>
      <w:hyperlink r:id="rId22" w:history="1">
        <w:r w:rsidRPr="00362C03">
          <w:rPr>
            <w:rFonts w:ascii="Arial" w:eastAsia="Times New Roman" w:hAnsi="Arial" w:cs="Arial"/>
            <w:color w:val="0000FF"/>
            <w:kern w:val="0"/>
            <w:sz w:val="22"/>
            <w:szCs w:val="22"/>
            <w:u w:val="single"/>
            <w:lang w:eastAsia="en-GB"/>
            <w14:ligatures w14:val="none"/>
          </w:rPr>
          <w:t>https://doi.org/10.1016/S1479-3547(01)80017-8</w:t>
        </w:r>
      </w:hyperlink>
      <w:r w:rsidRPr="00362C03">
        <w:rPr>
          <w:rFonts w:ascii="Arial" w:eastAsia="Times New Roman" w:hAnsi="Arial" w:cs="Arial"/>
          <w:kern w:val="0"/>
          <w:sz w:val="22"/>
          <w:szCs w:val="22"/>
          <w:lang w:eastAsia="en-GB"/>
          <w14:ligatures w14:val="none"/>
        </w:rPr>
        <w:t>.</w:t>
      </w:r>
    </w:p>
    <w:p w14:paraId="5B7B0106"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Tsami, C.A. and </w:t>
      </w:r>
      <w:proofErr w:type="spellStart"/>
      <w:r w:rsidRPr="00362C03">
        <w:rPr>
          <w:rFonts w:ascii="Arial" w:eastAsia="Times New Roman" w:hAnsi="Arial" w:cs="Arial"/>
          <w:kern w:val="0"/>
          <w:sz w:val="22"/>
          <w:szCs w:val="22"/>
          <w:lang w:eastAsia="en-GB"/>
          <w14:ligatures w14:val="none"/>
        </w:rPr>
        <w:t>Chrysikou</w:t>
      </w:r>
      <w:proofErr w:type="spellEnd"/>
      <w:r w:rsidRPr="00362C03">
        <w:rPr>
          <w:rFonts w:ascii="Arial" w:eastAsia="Times New Roman" w:hAnsi="Arial" w:cs="Arial"/>
          <w:kern w:val="0"/>
          <w:sz w:val="22"/>
          <w:szCs w:val="22"/>
          <w:lang w:eastAsia="en-GB"/>
          <w14:ligatures w14:val="none"/>
        </w:rPr>
        <w:t xml:space="preserve">, E. (2024) ‘Towards specialized accessibility standards for healthcare facilities: A mixed-methods study on the needs of people with dis-abilities in hospitals’, </w:t>
      </w:r>
      <w:r w:rsidRPr="00362C03">
        <w:rPr>
          <w:rFonts w:ascii="Arial" w:eastAsia="Times New Roman" w:hAnsi="Arial" w:cs="Arial"/>
          <w:i/>
          <w:iCs/>
          <w:kern w:val="0"/>
          <w:sz w:val="22"/>
          <w:szCs w:val="22"/>
          <w:lang w:eastAsia="en-GB"/>
          <w14:ligatures w14:val="none"/>
        </w:rPr>
        <w:t>Studies in Health Technology and Informatics</w:t>
      </w:r>
      <w:r w:rsidRPr="00362C03">
        <w:rPr>
          <w:rFonts w:ascii="Arial" w:eastAsia="Times New Roman" w:hAnsi="Arial" w:cs="Arial"/>
          <w:kern w:val="0"/>
          <w:sz w:val="22"/>
          <w:szCs w:val="22"/>
          <w:lang w:eastAsia="en-GB"/>
          <w14:ligatures w14:val="none"/>
        </w:rPr>
        <w:t xml:space="preserve">, 319, pp. 103–115. Available at: </w:t>
      </w:r>
      <w:hyperlink r:id="rId23" w:history="1">
        <w:r w:rsidRPr="00362C03">
          <w:rPr>
            <w:rFonts w:ascii="Arial" w:eastAsia="Times New Roman" w:hAnsi="Arial" w:cs="Arial"/>
            <w:color w:val="0000FF"/>
            <w:kern w:val="0"/>
            <w:sz w:val="22"/>
            <w:szCs w:val="22"/>
            <w:u w:val="single"/>
            <w:lang w:eastAsia="en-GB"/>
            <w14:ligatures w14:val="none"/>
          </w:rPr>
          <w:t>https://doi.org/10.3233/SHTI240936</w:t>
        </w:r>
      </w:hyperlink>
      <w:r w:rsidRPr="00362C03">
        <w:rPr>
          <w:rFonts w:ascii="Arial" w:eastAsia="Times New Roman" w:hAnsi="Arial" w:cs="Arial"/>
          <w:kern w:val="0"/>
          <w:sz w:val="22"/>
          <w:szCs w:val="22"/>
          <w:lang w:eastAsia="en-GB"/>
          <w14:ligatures w14:val="none"/>
        </w:rPr>
        <w:t>.</w:t>
      </w:r>
    </w:p>
    <w:p w14:paraId="18E339A5"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Union of the Physically Impaired Against Segregation (1976) </w:t>
      </w:r>
      <w:r w:rsidRPr="00362C03">
        <w:rPr>
          <w:rFonts w:ascii="Arial" w:eastAsia="Times New Roman" w:hAnsi="Arial" w:cs="Arial"/>
          <w:i/>
          <w:iCs/>
          <w:kern w:val="0"/>
          <w:sz w:val="22"/>
          <w:szCs w:val="22"/>
          <w:lang w:eastAsia="en-GB"/>
          <w14:ligatures w14:val="none"/>
        </w:rPr>
        <w:t>Fundamental principles of disability</w:t>
      </w:r>
      <w:r w:rsidRPr="00362C03">
        <w:rPr>
          <w:rFonts w:ascii="Arial" w:eastAsia="Times New Roman" w:hAnsi="Arial" w:cs="Arial"/>
          <w:kern w:val="0"/>
          <w:sz w:val="22"/>
          <w:szCs w:val="22"/>
          <w:lang w:eastAsia="en-GB"/>
          <w14:ligatures w14:val="none"/>
        </w:rPr>
        <w:t xml:space="preserve">. London: UPIAS. Available at: </w:t>
      </w:r>
      <w:hyperlink r:id="rId24" w:history="1">
        <w:r w:rsidRPr="00362C03">
          <w:rPr>
            <w:rFonts w:ascii="Arial" w:eastAsia="Times New Roman" w:hAnsi="Arial" w:cs="Arial"/>
            <w:color w:val="0000FF"/>
            <w:kern w:val="0"/>
            <w:sz w:val="22"/>
            <w:szCs w:val="22"/>
            <w:u w:val="single"/>
            <w:lang w:eastAsia="en-GB"/>
            <w14:ligatures w14:val="none"/>
          </w:rPr>
          <w:t>https://disability-studies.leeds.ac.uk/wp-content/uploads/sites/40/library/UPIAS-fundamental-principles.pdf</w:t>
        </w:r>
      </w:hyperlink>
      <w:r w:rsidRPr="00362C03">
        <w:rPr>
          <w:rFonts w:ascii="Arial" w:eastAsia="Times New Roman" w:hAnsi="Arial" w:cs="Arial"/>
          <w:kern w:val="0"/>
          <w:sz w:val="22"/>
          <w:szCs w:val="22"/>
          <w:lang w:eastAsia="en-GB"/>
          <w14:ligatures w14:val="none"/>
        </w:rPr>
        <w:t xml:space="preserve"> (Accessed: 24 August 2026).</w:t>
      </w:r>
    </w:p>
    <w:p w14:paraId="60272916"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United Nations (2006) </w:t>
      </w:r>
      <w:r w:rsidRPr="00362C03">
        <w:rPr>
          <w:rFonts w:ascii="Arial" w:eastAsia="Times New Roman" w:hAnsi="Arial" w:cs="Arial"/>
          <w:i/>
          <w:iCs/>
          <w:kern w:val="0"/>
          <w:sz w:val="22"/>
          <w:szCs w:val="22"/>
          <w:lang w:eastAsia="en-GB"/>
          <w14:ligatures w14:val="none"/>
        </w:rPr>
        <w:t>Convention on the Rights of Persons with Disabilities</w:t>
      </w:r>
      <w:r w:rsidRPr="00362C03">
        <w:rPr>
          <w:rFonts w:ascii="Arial" w:eastAsia="Times New Roman" w:hAnsi="Arial" w:cs="Arial"/>
          <w:kern w:val="0"/>
          <w:sz w:val="22"/>
          <w:szCs w:val="22"/>
          <w:lang w:eastAsia="en-GB"/>
          <w14:ligatures w14:val="none"/>
        </w:rPr>
        <w:t xml:space="preserve">. Available at: </w:t>
      </w:r>
      <w:hyperlink r:id="rId25" w:history="1">
        <w:r w:rsidRPr="00362C03">
          <w:rPr>
            <w:rFonts w:ascii="Arial" w:eastAsia="Times New Roman" w:hAnsi="Arial" w:cs="Arial"/>
            <w:color w:val="0000FF"/>
            <w:kern w:val="0"/>
            <w:sz w:val="22"/>
            <w:szCs w:val="22"/>
            <w:u w:val="single"/>
            <w:lang w:eastAsia="en-GB"/>
            <w14:ligatures w14:val="none"/>
          </w:rPr>
          <w:t>https://social.desa.un.org/issues/disability/crpd/convention-on-the-rights-of-persons-with-disabilities-crpd</w:t>
        </w:r>
      </w:hyperlink>
      <w:r w:rsidRPr="00362C03">
        <w:rPr>
          <w:rFonts w:ascii="Arial" w:eastAsia="Times New Roman" w:hAnsi="Arial" w:cs="Arial"/>
          <w:kern w:val="0"/>
          <w:sz w:val="22"/>
          <w:szCs w:val="22"/>
          <w:lang w:eastAsia="en-GB"/>
          <w14:ligatures w14:val="none"/>
        </w:rPr>
        <w:t xml:space="preserve"> (Accessed: 24 August 2026).</w:t>
      </w:r>
    </w:p>
    <w:p w14:paraId="59600908"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United Nations (2015) </w:t>
      </w:r>
      <w:r w:rsidRPr="00362C03">
        <w:rPr>
          <w:rFonts w:ascii="Arial" w:eastAsia="Times New Roman" w:hAnsi="Arial" w:cs="Arial"/>
          <w:i/>
          <w:iCs/>
          <w:kern w:val="0"/>
          <w:sz w:val="22"/>
          <w:szCs w:val="22"/>
          <w:lang w:eastAsia="en-GB"/>
          <w14:ligatures w14:val="none"/>
        </w:rPr>
        <w:t>Transforming our world: The 2030 Agenda for Sustainable Development</w:t>
      </w:r>
      <w:r w:rsidRPr="00362C03">
        <w:rPr>
          <w:rFonts w:ascii="Arial" w:eastAsia="Times New Roman" w:hAnsi="Arial" w:cs="Arial"/>
          <w:kern w:val="0"/>
          <w:sz w:val="22"/>
          <w:szCs w:val="22"/>
          <w:lang w:eastAsia="en-GB"/>
          <w14:ligatures w14:val="none"/>
        </w:rPr>
        <w:t xml:space="preserve">. Available at: </w:t>
      </w:r>
      <w:hyperlink r:id="rId26" w:history="1">
        <w:r w:rsidRPr="00362C03">
          <w:rPr>
            <w:rFonts w:ascii="Arial" w:eastAsia="Times New Roman" w:hAnsi="Arial" w:cs="Arial"/>
            <w:color w:val="0000FF"/>
            <w:kern w:val="0"/>
            <w:sz w:val="22"/>
            <w:szCs w:val="22"/>
            <w:u w:val="single"/>
            <w:lang w:eastAsia="en-GB"/>
            <w14:ligatures w14:val="none"/>
          </w:rPr>
          <w:t>https://sdgs.un.org/publications/transforming-our-world-2030-agenda-sustainable-development-17981</w:t>
        </w:r>
      </w:hyperlink>
      <w:r w:rsidRPr="00362C03">
        <w:rPr>
          <w:rFonts w:ascii="Arial" w:eastAsia="Times New Roman" w:hAnsi="Arial" w:cs="Arial"/>
          <w:kern w:val="0"/>
          <w:sz w:val="22"/>
          <w:szCs w:val="22"/>
          <w:lang w:eastAsia="en-GB"/>
          <w14:ligatures w14:val="none"/>
        </w:rPr>
        <w:t xml:space="preserve"> (Accessed: 24 August 2026).</w:t>
      </w:r>
    </w:p>
    <w:p w14:paraId="54476227"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World Health Organization (2001) </w:t>
      </w:r>
      <w:r w:rsidRPr="00362C03">
        <w:rPr>
          <w:rFonts w:ascii="Arial" w:eastAsia="Times New Roman" w:hAnsi="Arial" w:cs="Arial"/>
          <w:i/>
          <w:iCs/>
          <w:kern w:val="0"/>
          <w:sz w:val="22"/>
          <w:szCs w:val="22"/>
          <w:lang w:eastAsia="en-GB"/>
          <w14:ligatures w14:val="none"/>
        </w:rPr>
        <w:t>International classification of functioning, disability and health: ICF</w:t>
      </w:r>
      <w:r w:rsidRPr="00362C03">
        <w:rPr>
          <w:rFonts w:ascii="Arial" w:eastAsia="Times New Roman" w:hAnsi="Arial" w:cs="Arial"/>
          <w:kern w:val="0"/>
          <w:sz w:val="22"/>
          <w:szCs w:val="22"/>
          <w:lang w:eastAsia="en-GB"/>
          <w14:ligatures w14:val="none"/>
        </w:rPr>
        <w:t xml:space="preserve">. Geneva: World Health Organization. Available at: </w:t>
      </w:r>
      <w:hyperlink r:id="rId27" w:history="1">
        <w:r w:rsidRPr="00362C03">
          <w:rPr>
            <w:rFonts w:ascii="Arial" w:eastAsia="Times New Roman" w:hAnsi="Arial" w:cs="Arial"/>
            <w:color w:val="0000FF"/>
            <w:kern w:val="0"/>
            <w:sz w:val="22"/>
            <w:szCs w:val="22"/>
            <w:u w:val="single"/>
            <w:lang w:eastAsia="en-GB"/>
            <w14:ligatures w14:val="none"/>
          </w:rPr>
          <w:t>https://iris.who.int/items/ffa4b5b5-378c-46a1-acdc-7ef20506a3f8</w:t>
        </w:r>
      </w:hyperlink>
      <w:r w:rsidRPr="00362C03">
        <w:rPr>
          <w:rFonts w:ascii="Arial" w:eastAsia="Times New Roman" w:hAnsi="Arial" w:cs="Arial"/>
          <w:kern w:val="0"/>
          <w:sz w:val="22"/>
          <w:szCs w:val="22"/>
          <w:lang w:eastAsia="en-GB"/>
          <w14:ligatures w14:val="none"/>
        </w:rPr>
        <w:t xml:space="preserve"> (Accessed: 24 August 2026).</w:t>
      </w:r>
    </w:p>
    <w:p w14:paraId="518D61BC" w14:textId="77777777" w:rsidR="00362C03" w:rsidRPr="00362C03" w:rsidRDefault="00362C03" w:rsidP="00362C03">
      <w:pPr>
        <w:spacing w:before="100" w:beforeAutospacing="1" w:after="100" w:afterAutospacing="1" w:line="240" w:lineRule="auto"/>
        <w:rPr>
          <w:rFonts w:ascii="Arial" w:eastAsia="Times New Roman" w:hAnsi="Arial" w:cs="Arial"/>
          <w:kern w:val="0"/>
          <w:sz w:val="22"/>
          <w:szCs w:val="22"/>
          <w:lang w:eastAsia="en-GB"/>
          <w14:ligatures w14:val="none"/>
        </w:rPr>
      </w:pPr>
      <w:r w:rsidRPr="00362C03">
        <w:rPr>
          <w:rFonts w:ascii="Arial" w:eastAsia="Times New Roman" w:hAnsi="Arial" w:cs="Arial"/>
          <w:kern w:val="0"/>
          <w:sz w:val="22"/>
          <w:szCs w:val="22"/>
          <w:lang w:eastAsia="en-GB"/>
          <w14:ligatures w14:val="none"/>
        </w:rPr>
        <w:t xml:space="preserve">Zaks, Z. (2024) ‘Changing the medical model of disability to the normalization model of disability: Clarifying the past to create a new future direction’, </w:t>
      </w:r>
      <w:r w:rsidRPr="00362C03">
        <w:rPr>
          <w:rFonts w:ascii="Arial" w:eastAsia="Times New Roman" w:hAnsi="Arial" w:cs="Arial"/>
          <w:i/>
          <w:iCs/>
          <w:kern w:val="0"/>
          <w:sz w:val="22"/>
          <w:szCs w:val="22"/>
          <w:lang w:eastAsia="en-GB"/>
          <w14:ligatures w14:val="none"/>
        </w:rPr>
        <w:t>Disability &amp; Society</w:t>
      </w:r>
      <w:r w:rsidRPr="00362C03">
        <w:rPr>
          <w:rFonts w:ascii="Arial" w:eastAsia="Times New Roman" w:hAnsi="Arial" w:cs="Arial"/>
          <w:kern w:val="0"/>
          <w:sz w:val="22"/>
          <w:szCs w:val="22"/>
          <w:lang w:eastAsia="en-GB"/>
          <w14:ligatures w14:val="none"/>
        </w:rPr>
        <w:t xml:space="preserve">, 39(12), pp. 3233–3260. Available at: </w:t>
      </w:r>
      <w:hyperlink r:id="rId28" w:history="1">
        <w:r w:rsidRPr="00362C03">
          <w:rPr>
            <w:rFonts w:ascii="Arial" w:eastAsia="Times New Roman" w:hAnsi="Arial" w:cs="Arial"/>
            <w:color w:val="0000FF"/>
            <w:kern w:val="0"/>
            <w:sz w:val="22"/>
            <w:szCs w:val="22"/>
            <w:u w:val="single"/>
            <w:lang w:eastAsia="en-GB"/>
            <w14:ligatures w14:val="none"/>
          </w:rPr>
          <w:t>https://doi.org/10.1080/09687599.2023.2255926</w:t>
        </w:r>
      </w:hyperlink>
      <w:r w:rsidRPr="00362C03">
        <w:rPr>
          <w:rFonts w:ascii="Arial" w:eastAsia="Times New Roman" w:hAnsi="Arial" w:cs="Arial"/>
          <w:kern w:val="0"/>
          <w:sz w:val="22"/>
          <w:szCs w:val="22"/>
          <w:lang w:eastAsia="en-GB"/>
          <w14:ligatures w14:val="none"/>
        </w:rPr>
        <w:t>.</w:t>
      </w:r>
    </w:p>
    <w:p w14:paraId="63990961" w14:textId="77777777" w:rsidR="00A87833" w:rsidRPr="00A54A0D" w:rsidRDefault="00A87833" w:rsidP="00A54A0D">
      <w:pPr>
        <w:spacing w:before="100" w:beforeAutospacing="1" w:after="100" w:afterAutospacing="1" w:line="360" w:lineRule="auto"/>
        <w:rPr>
          <w:rFonts w:ascii="Arial" w:hAnsi="Arial" w:cs="Arial"/>
          <w:sz w:val="22"/>
          <w:szCs w:val="22"/>
        </w:rPr>
      </w:pPr>
    </w:p>
    <w:p w14:paraId="15DCB963" w14:textId="77777777" w:rsidR="00A87833" w:rsidRDefault="00A87833" w:rsidP="00A87833">
      <w:pPr>
        <w:spacing w:before="100" w:beforeAutospacing="1" w:after="100" w:afterAutospacing="1" w:line="360" w:lineRule="auto"/>
        <w:rPr>
          <w:rFonts w:ascii="Arial" w:hAnsi="Arial" w:cs="Arial"/>
          <w:sz w:val="22"/>
          <w:szCs w:val="22"/>
          <w:lang w:val="en-US"/>
        </w:rPr>
      </w:pPr>
    </w:p>
    <w:p w14:paraId="33D1DEA2" w14:textId="77777777" w:rsidR="00A87833" w:rsidRPr="00E37427" w:rsidRDefault="00A87833" w:rsidP="00A87833">
      <w:pPr>
        <w:spacing w:before="100" w:beforeAutospacing="1" w:after="100" w:afterAutospacing="1" w:line="360" w:lineRule="auto"/>
        <w:rPr>
          <w:rFonts w:ascii="Arial" w:hAnsi="Arial" w:cs="Arial"/>
          <w:sz w:val="22"/>
          <w:szCs w:val="22"/>
          <w:lang w:val="en-US"/>
        </w:rPr>
      </w:pPr>
    </w:p>
    <w:sectPr w:rsidR="00A87833" w:rsidRPr="00E374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964A9" w14:textId="77777777" w:rsidR="008D2D09" w:rsidRDefault="008D2D09" w:rsidP="00463881">
      <w:pPr>
        <w:spacing w:after="0" w:line="240" w:lineRule="auto"/>
      </w:pPr>
      <w:r>
        <w:separator/>
      </w:r>
    </w:p>
  </w:endnote>
  <w:endnote w:type="continuationSeparator" w:id="0">
    <w:p w14:paraId="2244016C" w14:textId="77777777" w:rsidR="008D2D09" w:rsidRDefault="008D2D09" w:rsidP="00463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7465675"/>
      <w:docPartObj>
        <w:docPartGallery w:val="Page Numbers (Bottom of Page)"/>
        <w:docPartUnique/>
      </w:docPartObj>
    </w:sdtPr>
    <w:sdtEndPr>
      <w:rPr>
        <w:noProof/>
      </w:rPr>
    </w:sdtEndPr>
    <w:sdtContent>
      <w:p w14:paraId="2C1A548C" w14:textId="05D4E251" w:rsidR="00463881" w:rsidRDefault="00463881">
        <w:pPr>
          <w:pStyle w:val="Footer"/>
          <w:jc w:val="center"/>
        </w:pPr>
        <w:r>
          <w:rPr>
            <w:noProof/>
          </w:rPr>
          <mc:AlternateContent>
            <mc:Choice Requires="wps">
              <w:drawing>
                <wp:inline distT="0" distB="0" distL="0" distR="0" wp14:anchorId="32CDDF5D" wp14:editId="2E0B4E6E">
                  <wp:extent cx="5467350" cy="45085"/>
                  <wp:effectExtent l="9525" t="9525" r="0" b="2540"/>
                  <wp:docPr id="871987593"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shapetype w14:anchorId="2BADEA32"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92A3855" w14:textId="7F01DEFF" w:rsidR="00463881" w:rsidRDefault="004638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B76A5" w14:textId="77777777" w:rsidR="00463881" w:rsidRDefault="00463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7803A" w14:textId="77777777" w:rsidR="008D2D09" w:rsidRDefault="008D2D09" w:rsidP="00463881">
      <w:pPr>
        <w:spacing w:after="0" w:line="240" w:lineRule="auto"/>
      </w:pPr>
      <w:r>
        <w:separator/>
      </w:r>
    </w:p>
  </w:footnote>
  <w:footnote w:type="continuationSeparator" w:id="0">
    <w:p w14:paraId="784AED5F" w14:textId="77777777" w:rsidR="008D2D09" w:rsidRDefault="008D2D09" w:rsidP="004638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62"/>
    <w:rsid w:val="000064CC"/>
    <w:rsid w:val="00017D33"/>
    <w:rsid w:val="00025AD5"/>
    <w:rsid w:val="000D79A5"/>
    <w:rsid w:val="001712EB"/>
    <w:rsid w:val="002B37DC"/>
    <w:rsid w:val="002C651F"/>
    <w:rsid w:val="00362C03"/>
    <w:rsid w:val="00463881"/>
    <w:rsid w:val="004724B1"/>
    <w:rsid w:val="00484F16"/>
    <w:rsid w:val="00541B5D"/>
    <w:rsid w:val="005C55C1"/>
    <w:rsid w:val="00657605"/>
    <w:rsid w:val="006C2E33"/>
    <w:rsid w:val="006F525E"/>
    <w:rsid w:val="00746F97"/>
    <w:rsid w:val="00771723"/>
    <w:rsid w:val="007B5547"/>
    <w:rsid w:val="008D2D09"/>
    <w:rsid w:val="008E6089"/>
    <w:rsid w:val="008F1F6B"/>
    <w:rsid w:val="00917F90"/>
    <w:rsid w:val="0092309F"/>
    <w:rsid w:val="00935ED7"/>
    <w:rsid w:val="00947435"/>
    <w:rsid w:val="009565A8"/>
    <w:rsid w:val="00A42B92"/>
    <w:rsid w:val="00A54A0D"/>
    <w:rsid w:val="00A87833"/>
    <w:rsid w:val="00AC023F"/>
    <w:rsid w:val="00B37915"/>
    <w:rsid w:val="00B4731D"/>
    <w:rsid w:val="00C07500"/>
    <w:rsid w:val="00C34ED1"/>
    <w:rsid w:val="00C42F62"/>
    <w:rsid w:val="00C63627"/>
    <w:rsid w:val="00C806EB"/>
    <w:rsid w:val="00CC3260"/>
    <w:rsid w:val="00D075BD"/>
    <w:rsid w:val="00D756F4"/>
    <w:rsid w:val="00E150F3"/>
    <w:rsid w:val="00E37427"/>
    <w:rsid w:val="00E46DF8"/>
    <w:rsid w:val="00F92ECD"/>
    <w:rsid w:val="00FE5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E7A88"/>
  <w15:chartTrackingRefBased/>
  <w15:docId w15:val="{B22F5AC6-193C-4C5C-97C3-66FE126A1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F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F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F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F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F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F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F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F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F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F62"/>
    <w:rPr>
      <w:rFonts w:eastAsiaTheme="majorEastAsia" w:cstheme="majorBidi"/>
      <w:color w:val="272727" w:themeColor="text1" w:themeTint="D8"/>
    </w:rPr>
  </w:style>
  <w:style w:type="paragraph" w:styleId="Title">
    <w:name w:val="Title"/>
    <w:basedOn w:val="Normal"/>
    <w:next w:val="Normal"/>
    <w:link w:val="TitleChar"/>
    <w:uiPriority w:val="10"/>
    <w:qFormat/>
    <w:rsid w:val="00C42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F62"/>
    <w:pPr>
      <w:spacing w:before="160"/>
      <w:jc w:val="center"/>
    </w:pPr>
    <w:rPr>
      <w:i/>
      <w:iCs/>
      <w:color w:val="404040" w:themeColor="text1" w:themeTint="BF"/>
    </w:rPr>
  </w:style>
  <w:style w:type="character" w:customStyle="1" w:styleId="QuoteChar">
    <w:name w:val="Quote Char"/>
    <w:basedOn w:val="DefaultParagraphFont"/>
    <w:link w:val="Quote"/>
    <w:uiPriority w:val="29"/>
    <w:rsid w:val="00C42F62"/>
    <w:rPr>
      <w:i/>
      <w:iCs/>
      <w:color w:val="404040" w:themeColor="text1" w:themeTint="BF"/>
    </w:rPr>
  </w:style>
  <w:style w:type="paragraph" w:styleId="ListParagraph">
    <w:name w:val="List Paragraph"/>
    <w:basedOn w:val="Normal"/>
    <w:uiPriority w:val="34"/>
    <w:qFormat/>
    <w:rsid w:val="00C42F62"/>
    <w:pPr>
      <w:ind w:left="720"/>
      <w:contextualSpacing/>
    </w:pPr>
  </w:style>
  <w:style w:type="character" w:styleId="IntenseEmphasis">
    <w:name w:val="Intense Emphasis"/>
    <w:basedOn w:val="DefaultParagraphFont"/>
    <w:uiPriority w:val="21"/>
    <w:qFormat/>
    <w:rsid w:val="00C42F62"/>
    <w:rPr>
      <w:i/>
      <w:iCs/>
      <w:color w:val="0F4761" w:themeColor="accent1" w:themeShade="BF"/>
    </w:rPr>
  </w:style>
  <w:style w:type="paragraph" w:styleId="IntenseQuote">
    <w:name w:val="Intense Quote"/>
    <w:basedOn w:val="Normal"/>
    <w:next w:val="Normal"/>
    <w:link w:val="IntenseQuoteChar"/>
    <w:uiPriority w:val="30"/>
    <w:qFormat/>
    <w:rsid w:val="00C42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F62"/>
    <w:rPr>
      <w:i/>
      <w:iCs/>
      <w:color w:val="0F4761" w:themeColor="accent1" w:themeShade="BF"/>
    </w:rPr>
  </w:style>
  <w:style w:type="character" w:styleId="IntenseReference">
    <w:name w:val="Intense Reference"/>
    <w:basedOn w:val="DefaultParagraphFont"/>
    <w:uiPriority w:val="32"/>
    <w:qFormat/>
    <w:rsid w:val="00C42F62"/>
    <w:rPr>
      <w:b/>
      <w:bCs/>
      <w:smallCaps/>
      <w:color w:val="0F4761" w:themeColor="accent1" w:themeShade="BF"/>
      <w:spacing w:val="5"/>
    </w:rPr>
  </w:style>
  <w:style w:type="paragraph" w:styleId="Header">
    <w:name w:val="header"/>
    <w:basedOn w:val="Normal"/>
    <w:link w:val="HeaderChar"/>
    <w:uiPriority w:val="99"/>
    <w:unhideWhenUsed/>
    <w:rsid w:val="0046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881"/>
  </w:style>
  <w:style w:type="paragraph" w:styleId="Footer">
    <w:name w:val="footer"/>
    <w:basedOn w:val="Normal"/>
    <w:link w:val="FooterChar"/>
    <w:uiPriority w:val="99"/>
    <w:unhideWhenUsed/>
    <w:rsid w:val="0046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881"/>
  </w:style>
  <w:style w:type="paragraph" w:styleId="TOC1">
    <w:name w:val="toc 1"/>
    <w:basedOn w:val="Normal"/>
    <w:next w:val="Normal"/>
    <w:autoRedefine/>
    <w:uiPriority w:val="39"/>
    <w:unhideWhenUsed/>
    <w:rsid w:val="00B37915"/>
    <w:pPr>
      <w:tabs>
        <w:tab w:val="right" w:leader="dot" w:pos="9016"/>
      </w:tabs>
      <w:spacing w:before="100" w:beforeAutospacing="1" w:after="100" w:afterAutospacing="1" w:line="360" w:lineRule="auto"/>
    </w:pPr>
  </w:style>
  <w:style w:type="character" w:styleId="Hyperlink">
    <w:name w:val="Hyperlink"/>
    <w:basedOn w:val="DefaultParagraphFont"/>
    <w:uiPriority w:val="99"/>
    <w:unhideWhenUsed/>
    <w:rsid w:val="00463881"/>
    <w:rPr>
      <w:color w:val="467886" w:themeColor="hyperlink"/>
      <w:u w:val="single"/>
    </w:rPr>
  </w:style>
  <w:style w:type="paragraph" w:styleId="TOC2">
    <w:name w:val="toc 2"/>
    <w:basedOn w:val="Normal"/>
    <w:next w:val="Normal"/>
    <w:autoRedefine/>
    <w:uiPriority w:val="39"/>
    <w:unhideWhenUsed/>
    <w:rsid w:val="00D756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soc.2023.1305301" TargetMode="External"/><Relationship Id="rId13" Type="http://schemas.openxmlformats.org/officeDocument/2006/relationships/hyperlink" Target="https://doi.org/10.17411/jacces.v13i2.485" TargetMode="External"/><Relationship Id="rId18" Type="http://schemas.openxmlformats.org/officeDocument/2006/relationships/hyperlink" Target="https://www.nice.org.uk/guidance/ng197" TargetMode="External"/><Relationship Id="rId26" Type="http://schemas.openxmlformats.org/officeDocument/2006/relationships/hyperlink" Target="https://sdgs.un.org/publications/transforming-our-world-2030-agenda-sustainable-development-17981" TargetMode="External"/><Relationship Id="rId3" Type="http://schemas.openxmlformats.org/officeDocument/2006/relationships/webSettings" Target="webSettings.xml"/><Relationship Id="rId21" Type="http://schemas.openxmlformats.org/officeDocument/2006/relationships/hyperlink" Target="https://doi.org/10.1080/09687599.2013.818773" TargetMode="External"/><Relationship Id="rId7" Type="http://schemas.openxmlformats.org/officeDocument/2006/relationships/footer" Target="footer1.xml"/><Relationship Id="rId12" Type="http://schemas.openxmlformats.org/officeDocument/2006/relationships/hyperlink" Target="https://www.cqc.org.uk/publications/major-report/state-care/2024-2025" TargetMode="External"/><Relationship Id="rId17" Type="http://schemas.openxmlformats.org/officeDocument/2006/relationships/hyperlink" Target="https://www.nice.org.uk/guidance/ng86" TargetMode="External"/><Relationship Id="rId25" Type="http://schemas.openxmlformats.org/officeDocument/2006/relationships/hyperlink" Target="https://social.desa.un.org/issues/disability/crpd/convention-on-the-rights-of-persons-with-disabilities-crpd" TargetMode="External"/><Relationship Id="rId2" Type="http://schemas.openxmlformats.org/officeDocument/2006/relationships/settings" Target="settings.xml"/><Relationship Id="rId16" Type="http://schemas.openxmlformats.org/officeDocument/2006/relationships/hyperlink" Target="https://doi.org/10.1080/13642987.2020.1783533" TargetMode="External"/><Relationship Id="rId20" Type="http://schemas.openxmlformats.org/officeDocument/2006/relationships/hyperlink" Target="https://digital.nhs.uk/data-and-information/information-standards/governance/latest-activity/standards-and-collections/dapb4019-reasonable-adjustment-digital-flag"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qc.org.uk/publication/experiences-being-hospital-people-learning-disability-and-autistic-people" TargetMode="External"/><Relationship Id="rId24" Type="http://schemas.openxmlformats.org/officeDocument/2006/relationships/hyperlink" Target="https://disability-studies.leeds.ac.uk/wp-content/uploads/sites/40/library/UPIAS-fundamental-principles.pdf" TargetMode="External"/><Relationship Id="rId5" Type="http://schemas.openxmlformats.org/officeDocument/2006/relationships/endnotes" Target="endnotes.xml"/><Relationship Id="rId15" Type="http://schemas.openxmlformats.org/officeDocument/2006/relationships/hyperlink" Target="https://www.gov.uk/government/publications/accessibility-monitoring-of-public-sector-websites-and-mobile-apps-from-2022-to-2024" TargetMode="External"/><Relationship Id="rId23" Type="http://schemas.openxmlformats.org/officeDocument/2006/relationships/hyperlink" Target="https://doi.org/10.3233/SHTI240936" TargetMode="External"/><Relationship Id="rId28" Type="http://schemas.openxmlformats.org/officeDocument/2006/relationships/hyperlink" Target="https://doi.org/10.1080/09687599.2023.2255926"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www.england.nhs.uk/long-read/accessible-information-standard-requirements-dapb1605/" TargetMode="External"/><Relationship Id="rId4" Type="http://schemas.openxmlformats.org/officeDocument/2006/relationships/footnotes" Target="footnotes.xml"/><Relationship Id="rId9" Type="http://schemas.openxmlformats.org/officeDocument/2006/relationships/hyperlink" Target="https://doi.org/10.3389/fresc.2022.878231" TargetMode="External"/><Relationship Id="rId14" Type="http://schemas.openxmlformats.org/officeDocument/2006/relationships/hyperlink" Target="https://www.legislation.gov.uk/ukpga/2010/15/contents" TargetMode="External"/><Relationship Id="rId22" Type="http://schemas.openxmlformats.org/officeDocument/2006/relationships/hyperlink" Target="https://doi.org/10.1016/S1479-3547(01)80017-8" TargetMode="External"/><Relationship Id="rId27" Type="http://schemas.openxmlformats.org/officeDocument/2006/relationships/hyperlink" Target="https://iris.who.int/items/ffa4b5b5-378c-46a1-acdc-7ef20506a3f8" TargetMode="Externa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3365</Words>
  <Characters>19185</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2</cp:revision>
  <dcterms:created xsi:type="dcterms:W3CDTF">2026-08-30T12:53:00Z</dcterms:created>
  <dcterms:modified xsi:type="dcterms:W3CDTF">2026-08-30T12:53:00Z</dcterms:modified>
</cp:coreProperties>
</file>