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AC80CF2" w14:textId="51DE0C41" w:rsidR="00EB1B1F" w:rsidRDefault="009B4E69" w:rsidP="00B802EA">
      <w:pPr>
        <w:jc w:val="center"/>
        <w:rPr>
          <w:sz w:val="44"/>
          <w:szCs w:val="44"/>
        </w:rPr>
      </w:pPr>
      <w:bookmarkStart w:id="0" w:name="_GoBack"/>
      <w:bookmarkEnd w:id="0"/>
      <w:r>
        <w:rPr>
          <w:sz w:val="44"/>
          <w:szCs w:val="44"/>
        </w:rPr>
        <w:t>Understanding Employee Engagement</w:t>
      </w:r>
    </w:p>
    <w:p w14:paraId="5116E87A" w14:textId="77777777" w:rsidR="00B802EA" w:rsidRPr="00B802EA" w:rsidRDefault="00B802EA" w:rsidP="00B802EA">
      <w:pPr>
        <w:jc w:val="center"/>
        <w:rPr>
          <w:sz w:val="44"/>
          <w:szCs w:val="44"/>
        </w:rPr>
      </w:pPr>
    </w:p>
    <w:p w14:paraId="5A3B27E1" w14:textId="2118FA1D" w:rsidR="00B802EA" w:rsidRDefault="00B802EA" w:rsidP="00B802EA">
      <w:pPr>
        <w:jc w:val="center"/>
        <w:rPr>
          <w:sz w:val="28"/>
          <w:szCs w:val="28"/>
        </w:rPr>
      </w:pPr>
      <w:r w:rsidRPr="00B802EA">
        <w:rPr>
          <w:sz w:val="28"/>
          <w:szCs w:val="28"/>
        </w:rPr>
        <w:t>Jodie Barnett</w:t>
      </w:r>
    </w:p>
    <w:p w14:paraId="3A2A7148" w14:textId="0948B7E4" w:rsidR="00E05C7B" w:rsidRDefault="00E05C7B" w:rsidP="00B802EA">
      <w:pPr>
        <w:jc w:val="center"/>
        <w:rPr>
          <w:sz w:val="28"/>
          <w:szCs w:val="28"/>
        </w:rPr>
      </w:pPr>
    </w:p>
    <w:p w14:paraId="45C36C69" w14:textId="0EA343B5" w:rsidR="00E05C7B" w:rsidRPr="009B4E69" w:rsidRDefault="00E05C7B" w:rsidP="00B802EA">
      <w:pPr>
        <w:jc w:val="center"/>
        <w:rPr>
          <w:rFonts w:cstheme="minorHAnsi"/>
          <w:sz w:val="28"/>
          <w:szCs w:val="28"/>
        </w:rPr>
      </w:pPr>
      <w:r w:rsidRPr="009B4E69">
        <w:rPr>
          <w:rFonts w:cstheme="minorHAnsi"/>
          <w:sz w:val="28"/>
          <w:szCs w:val="28"/>
        </w:rPr>
        <w:t>CIPD course number:</w:t>
      </w:r>
      <w:r w:rsidR="009B4E69" w:rsidRPr="009B4E69">
        <w:rPr>
          <w:rFonts w:cstheme="minorHAnsi"/>
          <w:sz w:val="28"/>
          <w:szCs w:val="28"/>
        </w:rPr>
        <w:t xml:space="preserve"> 5KEEG</w:t>
      </w:r>
    </w:p>
    <w:p w14:paraId="03997253" w14:textId="30C38C35" w:rsidR="00CC1EEB" w:rsidRDefault="00CC1EEB" w:rsidP="00B802EA">
      <w:pPr>
        <w:jc w:val="center"/>
        <w:rPr>
          <w:sz w:val="28"/>
          <w:szCs w:val="28"/>
        </w:rPr>
      </w:pPr>
    </w:p>
    <w:p w14:paraId="58E68D9E" w14:textId="28347A4E" w:rsidR="00CC1EEB" w:rsidRDefault="00CC1EEB" w:rsidP="00B802EA">
      <w:pPr>
        <w:jc w:val="center"/>
        <w:rPr>
          <w:sz w:val="28"/>
          <w:szCs w:val="28"/>
        </w:rPr>
      </w:pPr>
      <w:r>
        <w:rPr>
          <w:sz w:val="28"/>
          <w:szCs w:val="28"/>
        </w:rPr>
        <w:t>CIPD Membership number: 2224083X</w:t>
      </w:r>
    </w:p>
    <w:p w14:paraId="0044DA9B" w14:textId="77777777" w:rsidR="00CC1EEB" w:rsidRDefault="00CC1EEB" w:rsidP="00B802EA">
      <w:pPr>
        <w:jc w:val="center"/>
        <w:rPr>
          <w:sz w:val="28"/>
          <w:szCs w:val="28"/>
        </w:rPr>
      </w:pPr>
    </w:p>
    <w:p w14:paraId="00751F0A" w14:textId="66172A69" w:rsidR="00CC1EEB" w:rsidRDefault="009B4E69" w:rsidP="00CC1EEB">
      <w:pPr>
        <w:rPr>
          <w:sz w:val="28"/>
          <w:szCs w:val="28"/>
        </w:rPr>
      </w:pPr>
      <w:r>
        <w:rPr>
          <w:sz w:val="28"/>
          <w:szCs w:val="28"/>
        </w:rPr>
        <w:t>Activity 1-6</w:t>
      </w:r>
      <w:r w:rsidR="00A07895">
        <w:rPr>
          <w:sz w:val="28"/>
          <w:szCs w:val="28"/>
        </w:rPr>
        <w:t xml:space="preserve"> - word count: (</w:t>
      </w:r>
      <w:r w:rsidR="000637F1">
        <w:rPr>
          <w:sz w:val="28"/>
          <w:szCs w:val="28"/>
        </w:rPr>
        <w:t xml:space="preserve">maximum </w:t>
      </w:r>
      <w:r>
        <w:rPr>
          <w:sz w:val="28"/>
          <w:szCs w:val="28"/>
        </w:rPr>
        <w:t>3</w:t>
      </w:r>
      <w:r w:rsidR="00A07895">
        <w:rPr>
          <w:sz w:val="28"/>
          <w:szCs w:val="28"/>
        </w:rPr>
        <w:t>000 words)</w:t>
      </w:r>
      <w:r w:rsidR="000637F1">
        <w:rPr>
          <w:sz w:val="28"/>
          <w:szCs w:val="28"/>
        </w:rPr>
        <w:t xml:space="preserve"> </w:t>
      </w:r>
      <w:r w:rsidR="00B04442">
        <w:rPr>
          <w:sz w:val="28"/>
          <w:szCs w:val="28"/>
        </w:rPr>
        <w:t xml:space="preserve">2,809 </w:t>
      </w:r>
      <w:r w:rsidR="000637F1">
        <w:rPr>
          <w:sz w:val="28"/>
          <w:szCs w:val="28"/>
        </w:rPr>
        <w:t>words</w:t>
      </w:r>
    </w:p>
    <w:p w14:paraId="31BCC053" w14:textId="77777777" w:rsidR="009B4E69" w:rsidRDefault="009B4E69" w:rsidP="00CC1EEB">
      <w:pPr>
        <w:rPr>
          <w:rFonts w:cs="Arial"/>
          <w:sz w:val="28"/>
          <w:szCs w:val="28"/>
        </w:rPr>
      </w:pPr>
    </w:p>
    <w:p w14:paraId="4EEE5917" w14:textId="00114626" w:rsidR="00CC1EEB" w:rsidRPr="00722608" w:rsidRDefault="00CC1EEB" w:rsidP="00CC1EEB">
      <w:pPr>
        <w:rPr>
          <w:rFonts w:cs="Arial"/>
          <w:sz w:val="28"/>
          <w:szCs w:val="28"/>
        </w:rPr>
      </w:pPr>
      <w:r w:rsidRPr="00722608">
        <w:rPr>
          <w:rFonts w:cs="Arial"/>
          <w:sz w:val="28"/>
          <w:szCs w:val="28"/>
        </w:rPr>
        <w:t>By signing below, I confirm that the work/evidence presented is my own, unaided work. I understand the regulations pertaining to candidate malpractice and the action that may be taken as a result.</w:t>
      </w:r>
    </w:p>
    <w:p w14:paraId="28DCA2EB" w14:textId="77777777" w:rsidR="00CC1EEB" w:rsidRPr="00722608" w:rsidRDefault="00CC1EEB" w:rsidP="00CC1EEB">
      <w:pPr>
        <w:rPr>
          <w:rFonts w:cs="Arial"/>
          <w:sz w:val="28"/>
          <w:szCs w:val="28"/>
        </w:rPr>
      </w:pPr>
    </w:p>
    <w:p w14:paraId="3362E9DD" w14:textId="0FB76831" w:rsidR="00CC1EEB" w:rsidRPr="00722608" w:rsidRDefault="00CC1EEB" w:rsidP="00CC1EEB">
      <w:pPr>
        <w:rPr>
          <w:rFonts w:cs="Arial"/>
          <w:sz w:val="28"/>
          <w:szCs w:val="28"/>
        </w:rPr>
      </w:pPr>
      <w:r w:rsidRPr="00722608">
        <w:rPr>
          <w:rFonts w:cs="Arial"/>
          <w:sz w:val="28"/>
          <w:szCs w:val="28"/>
        </w:rPr>
        <w:t xml:space="preserve">Signed: </w:t>
      </w:r>
      <w:r w:rsidRPr="00C263B0">
        <w:rPr>
          <w:noProof/>
          <w:lang w:eastAsia="en-GB"/>
        </w:rPr>
        <w:drawing>
          <wp:inline distT="0" distB="0" distL="0" distR="0" wp14:anchorId="0A24D980" wp14:editId="0865E3B5">
            <wp:extent cx="1362075" cy="569225"/>
            <wp:effectExtent l="0" t="0" r="0" b="2540"/>
            <wp:docPr id="1" name="Picture 1" descr="C:\Users\ss065\AppData\Local\Microsoft\Windows\Temporary Internet Files\Content.Outlook\N1OHAIR2\J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s065\AppData\Local\Microsoft\Windows\Temporary Internet Files\Content.Outlook\N1OHAIR2\JB.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85742" cy="579116"/>
                    </a:xfrm>
                    <a:prstGeom prst="rect">
                      <a:avLst/>
                    </a:prstGeom>
                    <a:noFill/>
                    <a:ln>
                      <a:noFill/>
                    </a:ln>
                  </pic:spPr>
                </pic:pic>
              </a:graphicData>
            </a:graphic>
          </wp:inline>
        </w:drawing>
      </w:r>
    </w:p>
    <w:p w14:paraId="74B28A9D" w14:textId="0E9BEB7A" w:rsidR="00CC1EEB" w:rsidRPr="00722608" w:rsidRDefault="00CC1EEB" w:rsidP="00CC1EEB">
      <w:pPr>
        <w:rPr>
          <w:rFonts w:cs="Arial"/>
          <w:sz w:val="28"/>
          <w:szCs w:val="28"/>
        </w:rPr>
      </w:pPr>
      <w:r w:rsidRPr="00722608">
        <w:rPr>
          <w:rFonts w:cs="Arial"/>
          <w:sz w:val="28"/>
          <w:szCs w:val="28"/>
        </w:rPr>
        <w:t xml:space="preserve">Date: </w:t>
      </w:r>
      <w:r>
        <w:rPr>
          <w:rFonts w:cs="Arial"/>
          <w:sz w:val="28"/>
          <w:szCs w:val="28"/>
        </w:rPr>
        <w:t xml:space="preserve">  </w:t>
      </w:r>
      <w:r w:rsidR="00B04442">
        <w:rPr>
          <w:rFonts w:cs="Arial"/>
          <w:sz w:val="28"/>
          <w:szCs w:val="28"/>
        </w:rPr>
        <w:t>18</w:t>
      </w:r>
      <w:r w:rsidR="00B04442" w:rsidRPr="00B04442">
        <w:rPr>
          <w:rFonts w:cs="Arial"/>
          <w:sz w:val="28"/>
          <w:szCs w:val="28"/>
          <w:vertAlign w:val="superscript"/>
        </w:rPr>
        <w:t>th</w:t>
      </w:r>
      <w:r w:rsidR="00B04442">
        <w:rPr>
          <w:rFonts w:cs="Arial"/>
          <w:sz w:val="28"/>
          <w:szCs w:val="28"/>
        </w:rPr>
        <w:t xml:space="preserve"> October 2020</w:t>
      </w:r>
    </w:p>
    <w:p w14:paraId="2C44A3F2" w14:textId="0A89437A" w:rsidR="00E05C7B" w:rsidRDefault="00E05C7B" w:rsidP="00B802EA">
      <w:pPr>
        <w:jc w:val="center"/>
        <w:rPr>
          <w:sz w:val="28"/>
          <w:szCs w:val="28"/>
        </w:rPr>
      </w:pPr>
    </w:p>
    <w:p w14:paraId="562F86D6" w14:textId="4EF9F9F7" w:rsidR="00B802EA" w:rsidRDefault="00B802EA" w:rsidP="00B802EA">
      <w:pPr>
        <w:jc w:val="center"/>
        <w:rPr>
          <w:sz w:val="28"/>
          <w:szCs w:val="28"/>
        </w:rPr>
      </w:pPr>
    </w:p>
    <w:p w14:paraId="66745ED2" w14:textId="7127C32B" w:rsidR="00FA7117" w:rsidRDefault="00FA7117" w:rsidP="00BE297A">
      <w:pPr>
        <w:pStyle w:val="NormalWeb"/>
        <w:rPr>
          <w:rFonts w:ascii="Arial" w:hAnsi="Arial" w:cs="Arial"/>
          <w:sz w:val="22"/>
          <w:szCs w:val="22"/>
        </w:rPr>
      </w:pPr>
    </w:p>
    <w:p w14:paraId="1D772F6D" w14:textId="3EAD502B" w:rsidR="00F871E4" w:rsidRDefault="00F871E4" w:rsidP="00BE297A">
      <w:pPr>
        <w:pStyle w:val="NormalWeb"/>
        <w:rPr>
          <w:rFonts w:ascii="Arial" w:hAnsi="Arial" w:cs="Arial"/>
          <w:sz w:val="22"/>
          <w:szCs w:val="22"/>
        </w:rPr>
      </w:pPr>
    </w:p>
    <w:p w14:paraId="19E955B1" w14:textId="77777777" w:rsidR="00BD28DB" w:rsidRDefault="00BD28DB" w:rsidP="00BE297A">
      <w:pPr>
        <w:pStyle w:val="NormalWeb"/>
        <w:rPr>
          <w:rFonts w:ascii="Arial" w:hAnsi="Arial" w:cs="Arial"/>
          <w:sz w:val="22"/>
          <w:szCs w:val="22"/>
        </w:rPr>
      </w:pPr>
    </w:p>
    <w:p w14:paraId="766F489B" w14:textId="58BEA7E4" w:rsidR="00F871E4" w:rsidRDefault="00F871E4" w:rsidP="00BE297A">
      <w:pPr>
        <w:pStyle w:val="NormalWeb"/>
        <w:rPr>
          <w:rFonts w:ascii="Arial" w:hAnsi="Arial" w:cs="Arial"/>
          <w:sz w:val="22"/>
          <w:szCs w:val="22"/>
        </w:rPr>
      </w:pPr>
    </w:p>
    <w:p w14:paraId="253BB36A" w14:textId="7E5EBE53" w:rsidR="009B4E69" w:rsidRDefault="009B4E69" w:rsidP="00BE297A">
      <w:pPr>
        <w:pStyle w:val="NormalWeb"/>
        <w:rPr>
          <w:rFonts w:ascii="Arial" w:hAnsi="Arial" w:cs="Arial"/>
          <w:sz w:val="22"/>
          <w:szCs w:val="22"/>
        </w:rPr>
      </w:pPr>
    </w:p>
    <w:p w14:paraId="639BD7D5" w14:textId="77777777" w:rsidR="009B4E69" w:rsidRDefault="009B4E69" w:rsidP="009B4E69">
      <w:pPr>
        <w:pStyle w:val="NormalWeb"/>
        <w:rPr>
          <w:rFonts w:ascii="Arial" w:hAnsi="Arial" w:cs="Arial"/>
          <w:sz w:val="22"/>
          <w:szCs w:val="22"/>
        </w:rPr>
      </w:pPr>
    </w:p>
    <w:p w14:paraId="500BC3B5" w14:textId="77777777" w:rsidR="009B4E69" w:rsidRDefault="009B4E69" w:rsidP="009B4E69">
      <w:pPr>
        <w:pStyle w:val="NormalWeb"/>
        <w:rPr>
          <w:rFonts w:ascii="Arial" w:hAnsi="Arial" w:cs="Arial"/>
          <w:sz w:val="22"/>
          <w:szCs w:val="22"/>
        </w:rPr>
      </w:pPr>
    </w:p>
    <w:p w14:paraId="347C7048" w14:textId="77B13BCA" w:rsidR="009B4E69" w:rsidRPr="00B04442" w:rsidRDefault="009B4E69" w:rsidP="00D1144F">
      <w:pPr>
        <w:pStyle w:val="NormalWeb"/>
        <w:numPr>
          <w:ilvl w:val="0"/>
          <w:numId w:val="16"/>
        </w:numPr>
        <w:ind w:left="284"/>
        <w:rPr>
          <w:rFonts w:ascii="Arial" w:hAnsi="Arial" w:cs="Arial"/>
          <w:b/>
        </w:rPr>
      </w:pPr>
      <w:r w:rsidRPr="00B04442">
        <w:rPr>
          <w:rFonts w:ascii="Arial" w:hAnsi="Arial" w:cs="Arial"/>
          <w:b/>
        </w:rPr>
        <w:lastRenderedPageBreak/>
        <w:t>Define employee engagement and explain how it relates to other concepts such as organisational commitment, employer involvement and job satisfaction.</w:t>
      </w:r>
    </w:p>
    <w:p w14:paraId="4A3125BF" w14:textId="46C8871E" w:rsidR="00D1144F" w:rsidRPr="00B04442" w:rsidRDefault="00D1144F" w:rsidP="00D1144F">
      <w:pPr>
        <w:rPr>
          <w:rFonts w:ascii="Arial" w:hAnsi="Arial" w:cs="Arial"/>
          <w:sz w:val="24"/>
          <w:szCs w:val="24"/>
        </w:rPr>
      </w:pPr>
      <w:r w:rsidRPr="00B04442">
        <w:rPr>
          <w:rFonts w:ascii="Arial" w:hAnsi="Arial" w:cs="Arial"/>
          <w:sz w:val="24"/>
          <w:szCs w:val="24"/>
        </w:rPr>
        <w:t>(MacLeod, 2020) defines employee engagement as:</w:t>
      </w:r>
    </w:p>
    <w:p w14:paraId="15F475CC" w14:textId="32E62813" w:rsidR="00D1144F" w:rsidRPr="00B04442" w:rsidRDefault="00D1144F" w:rsidP="00D1144F">
      <w:pPr>
        <w:rPr>
          <w:rFonts w:ascii="Arial" w:hAnsi="Arial" w:cs="Arial"/>
          <w:i/>
          <w:sz w:val="24"/>
          <w:szCs w:val="24"/>
        </w:rPr>
      </w:pPr>
      <w:r w:rsidRPr="00B04442">
        <w:rPr>
          <w:rFonts w:ascii="Arial" w:hAnsi="Arial" w:cs="Arial"/>
          <w:i/>
          <w:sz w:val="24"/>
          <w:szCs w:val="24"/>
        </w:rPr>
        <w:t>“Employee engagement is a workplace approach resulting in the right conditions for all members of an organisation to give of their best each day, committed to their organisation’s goals and values, motivated to contribute to organisational success, with an enhanced sense of their own well-being”.</w:t>
      </w:r>
    </w:p>
    <w:p w14:paraId="79181413" w14:textId="172B7B5F" w:rsidR="00B16F02" w:rsidRPr="00B04442" w:rsidRDefault="006B347A" w:rsidP="00B16F02">
      <w:pPr>
        <w:rPr>
          <w:rFonts w:ascii="Arial" w:hAnsi="Arial" w:cs="Arial"/>
          <w:sz w:val="24"/>
          <w:szCs w:val="24"/>
        </w:rPr>
      </w:pPr>
      <w:r w:rsidRPr="00B04442">
        <w:rPr>
          <w:rFonts w:ascii="Arial" w:hAnsi="Arial" w:cs="Arial"/>
          <w:sz w:val="24"/>
          <w:szCs w:val="24"/>
        </w:rPr>
        <w:t>It is said</w:t>
      </w:r>
      <w:r w:rsidR="0029117C" w:rsidRPr="00B04442">
        <w:rPr>
          <w:rFonts w:ascii="Arial" w:hAnsi="Arial" w:cs="Arial"/>
          <w:sz w:val="24"/>
          <w:szCs w:val="24"/>
        </w:rPr>
        <w:t xml:space="preserve"> that employee engagement is </w:t>
      </w:r>
      <w:r w:rsidR="003F59E1" w:rsidRPr="00B04442">
        <w:rPr>
          <w:rFonts w:ascii="Arial" w:hAnsi="Arial" w:cs="Arial"/>
          <w:sz w:val="24"/>
          <w:szCs w:val="24"/>
        </w:rPr>
        <w:t xml:space="preserve">reliant </w:t>
      </w:r>
      <w:r w:rsidR="0029117C" w:rsidRPr="00B04442">
        <w:rPr>
          <w:rFonts w:ascii="Arial" w:hAnsi="Arial" w:cs="Arial"/>
          <w:sz w:val="24"/>
          <w:szCs w:val="24"/>
        </w:rPr>
        <w:t xml:space="preserve">on trust, </w:t>
      </w:r>
      <w:r w:rsidR="003F59E1" w:rsidRPr="00B04442">
        <w:rPr>
          <w:rFonts w:ascii="Arial" w:hAnsi="Arial" w:cs="Arial"/>
          <w:sz w:val="24"/>
          <w:szCs w:val="24"/>
        </w:rPr>
        <w:t xml:space="preserve">reliability, commitment </w:t>
      </w:r>
      <w:r w:rsidR="0029117C" w:rsidRPr="00B04442">
        <w:rPr>
          <w:rFonts w:ascii="Arial" w:hAnsi="Arial" w:cs="Arial"/>
          <w:sz w:val="24"/>
          <w:szCs w:val="24"/>
        </w:rPr>
        <w:t>and communication between an organisation and its employees. Such an approach can increase organisational success, contribute to organisational and individual perfo</w:t>
      </w:r>
      <w:r w:rsidR="00915B42" w:rsidRPr="00B04442">
        <w:rPr>
          <w:rFonts w:ascii="Arial" w:hAnsi="Arial" w:cs="Arial"/>
          <w:sz w:val="24"/>
          <w:szCs w:val="24"/>
        </w:rPr>
        <w:t>rmance and employee well-being.</w:t>
      </w:r>
    </w:p>
    <w:p w14:paraId="09C49A5D" w14:textId="70ED56D9" w:rsidR="009F0026" w:rsidRPr="00B04442" w:rsidRDefault="009F0026" w:rsidP="00B16F02">
      <w:pPr>
        <w:rPr>
          <w:rFonts w:ascii="Arial" w:hAnsi="Arial" w:cs="Arial"/>
          <w:sz w:val="24"/>
          <w:szCs w:val="24"/>
        </w:rPr>
      </w:pPr>
      <w:r w:rsidRPr="00B04442">
        <w:rPr>
          <w:rFonts w:ascii="Arial" w:hAnsi="Arial" w:cs="Arial"/>
          <w:sz w:val="24"/>
          <w:szCs w:val="24"/>
        </w:rPr>
        <w:t>(Johns &amp; Ellis, 2016) argues that engagement is</w:t>
      </w:r>
      <w:r w:rsidR="00680107" w:rsidRPr="00B04442">
        <w:rPr>
          <w:rFonts w:ascii="Arial" w:hAnsi="Arial" w:cs="Arial"/>
          <w:sz w:val="24"/>
          <w:szCs w:val="24"/>
        </w:rPr>
        <w:t xml:space="preserve"> the heart of the working relationship between employee and employer and is </w:t>
      </w:r>
      <w:r w:rsidRPr="00B04442">
        <w:rPr>
          <w:rFonts w:ascii="Arial" w:hAnsi="Arial" w:cs="Arial"/>
          <w:sz w:val="24"/>
          <w:szCs w:val="24"/>
        </w:rPr>
        <w:t xml:space="preserve">something an employee has to offer that is not related to the employment contract. It goes beyond job satisfaction and is not purely motivation. They refer to there being three </w:t>
      </w:r>
      <w:r w:rsidR="00680107" w:rsidRPr="00B04442">
        <w:rPr>
          <w:rFonts w:ascii="Arial" w:hAnsi="Arial" w:cs="Arial"/>
          <w:sz w:val="24"/>
          <w:szCs w:val="24"/>
        </w:rPr>
        <w:t xml:space="preserve">complex </w:t>
      </w:r>
      <w:r w:rsidRPr="00B04442">
        <w:rPr>
          <w:rFonts w:ascii="Arial" w:hAnsi="Arial" w:cs="Arial"/>
          <w:sz w:val="24"/>
          <w:szCs w:val="24"/>
        </w:rPr>
        <w:t>concepts of engagement as follows:</w:t>
      </w:r>
    </w:p>
    <w:p w14:paraId="5DE37746" w14:textId="66268F0D" w:rsidR="009F0026" w:rsidRPr="00B04442" w:rsidRDefault="009F0026" w:rsidP="009F0026">
      <w:pPr>
        <w:pStyle w:val="ListParagraph"/>
        <w:numPr>
          <w:ilvl w:val="0"/>
          <w:numId w:val="19"/>
        </w:numPr>
        <w:rPr>
          <w:rFonts w:ascii="Arial" w:hAnsi="Arial" w:cs="Arial"/>
          <w:sz w:val="24"/>
          <w:szCs w:val="24"/>
        </w:rPr>
      </w:pPr>
      <w:r w:rsidRPr="00B04442">
        <w:rPr>
          <w:rFonts w:ascii="Arial" w:hAnsi="Arial" w:cs="Arial"/>
          <w:i/>
          <w:sz w:val="24"/>
          <w:szCs w:val="24"/>
        </w:rPr>
        <w:t>Physical engagement</w:t>
      </w:r>
      <w:r w:rsidRPr="00B04442">
        <w:rPr>
          <w:rFonts w:ascii="Arial" w:hAnsi="Arial" w:cs="Arial"/>
          <w:sz w:val="24"/>
          <w:szCs w:val="24"/>
        </w:rPr>
        <w:t xml:space="preserve"> </w:t>
      </w:r>
      <w:r w:rsidR="00680107" w:rsidRPr="00B04442">
        <w:rPr>
          <w:rFonts w:ascii="Arial" w:hAnsi="Arial" w:cs="Arial"/>
          <w:sz w:val="24"/>
          <w:szCs w:val="24"/>
        </w:rPr>
        <w:t>–</w:t>
      </w:r>
      <w:r w:rsidRPr="00B04442">
        <w:rPr>
          <w:rFonts w:ascii="Arial" w:hAnsi="Arial" w:cs="Arial"/>
          <w:sz w:val="24"/>
          <w:szCs w:val="24"/>
        </w:rPr>
        <w:t xml:space="preserve"> </w:t>
      </w:r>
      <w:r w:rsidR="00680107" w:rsidRPr="00B04442">
        <w:rPr>
          <w:rFonts w:ascii="Arial" w:hAnsi="Arial" w:cs="Arial"/>
          <w:sz w:val="24"/>
          <w:szCs w:val="24"/>
        </w:rPr>
        <w:t>good levels of energy as well as mental resilience and making effort whilst working.</w:t>
      </w:r>
    </w:p>
    <w:p w14:paraId="704AD13E" w14:textId="1C107CEC" w:rsidR="00680107" w:rsidRPr="00B04442" w:rsidRDefault="00680107" w:rsidP="009F0026">
      <w:pPr>
        <w:pStyle w:val="ListParagraph"/>
        <w:numPr>
          <w:ilvl w:val="0"/>
          <w:numId w:val="19"/>
        </w:numPr>
        <w:rPr>
          <w:rFonts w:ascii="Arial" w:hAnsi="Arial" w:cs="Arial"/>
          <w:sz w:val="24"/>
          <w:szCs w:val="24"/>
        </w:rPr>
      </w:pPr>
      <w:r w:rsidRPr="00B04442">
        <w:rPr>
          <w:rFonts w:ascii="Arial" w:hAnsi="Arial" w:cs="Arial"/>
          <w:i/>
          <w:sz w:val="24"/>
          <w:szCs w:val="24"/>
        </w:rPr>
        <w:t xml:space="preserve">Cognitive engagement </w:t>
      </w:r>
      <w:r w:rsidRPr="00B04442">
        <w:rPr>
          <w:rFonts w:ascii="Arial" w:hAnsi="Arial" w:cs="Arial"/>
          <w:sz w:val="24"/>
          <w:szCs w:val="24"/>
        </w:rPr>
        <w:t>– fully concentrated and absorbed in work so much that time quickly passes and finds it difficult to detach from work.</w:t>
      </w:r>
    </w:p>
    <w:p w14:paraId="3AD044FA" w14:textId="75872B8A" w:rsidR="00680107" w:rsidRPr="00B04442" w:rsidRDefault="00680107" w:rsidP="00680107">
      <w:pPr>
        <w:pStyle w:val="ListParagraph"/>
        <w:numPr>
          <w:ilvl w:val="0"/>
          <w:numId w:val="19"/>
        </w:numPr>
        <w:rPr>
          <w:rFonts w:ascii="Arial" w:hAnsi="Arial" w:cs="Arial"/>
          <w:sz w:val="24"/>
          <w:szCs w:val="24"/>
        </w:rPr>
      </w:pPr>
      <w:r w:rsidRPr="00B04442">
        <w:rPr>
          <w:rFonts w:ascii="Arial" w:hAnsi="Arial" w:cs="Arial"/>
          <w:i/>
          <w:sz w:val="24"/>
          <w:szCs w:val="24"/>
        </w:rPr>
        <w:t xml:space="preserve">Emotional engagement </w:t>
      </w:r>
      <w:r w:rsidRPr="00B04442">
        <w:rPr>
          <w:rFonts w:ascii="Arial" w:hAnsi="Arial" w:cs="Arial"/>
          <w:sz w:val="24"/>
          <w:szCs w:val="24"/>
        </w:rPr>
        <w:t>– strong involvement in work which includes high levels of enthusiasm, challenge, pride and inspiration.</w:t>
      </w:r>
    </w:p>
    <w:p w14:paraId="7A328358" w14:textId="3E63F15B" w:rsidR="00B66402" w:rsidRPr="00B04442" w:rsidRDefault="00B66402" w:rsidP="00B16F02">
      <w:pPr>
        <w:rPr>
          <w:rFonts w:ascii="Arial" w:hAnsi="Arial" w:cs="Arial"/>
          <w:sz w:val="24"/>
          <w:szCs w:val="24"/>
        </w:rPr>
      </w:pPr>
      <w:r w:rsidRPr="00B04442">
        <w:rPr>
          <w:rFonts w:ascii="Arial" w:hAnsi="Arial" w:cs="Arial"/>
          <w:sz w:val="24"/>
          <w:szCs w:val="24"/>
        </w:rPr>
        <w:t>(CIPD, 2019</w:t>
      </w:r>
      <w:r w:rsidR="003F43BD" w:rsidRPr="00B04442">
        <w:rPr>
          <w:rFonts w:ascii="Arial" w:hAnsi="Arial" w:cs="Arial"/>
          <w:sz w:val="24"/>
          <w:szCs w:val="24"/>
        </w:rPr>
        <w:t>a</w:t>
      </w:r>
      <w:r w:rsidRPr="00B04442">
        <w:rPr>
          <w:rFonts w:ascii="Arial" w:hAnsi="Arial" w:cs="Arial"/>
          <w:sz w:val="24"/>
          <w:szCs w:val="24"/>
        </w:rPr>
        <w:t>) refers to employee engag</w:t>
      </w:r>
      <w:r w:rsidR="00680107" w:rsidRPr="00B04442">
        <w:rPr>
          <w:rFonts w:ascii="Arial" w:hAnsi="Arial" w:cs="Arial"/>
          <w:sz w:val="24"/>
          <w:szCs w:val="24"/>
        </w:rPr>
        <w:t>e</w:t>
      </w:r>
      <w:r w:rsidRPr="00B04442">
        <w:rPr>
          <w:rFonts w:ascii="Arial" w:hAnsi="Arial" w:cs="Arial"/>
          <w:sz w:val="24"/>
          <w:szCs w:val="24"/>
        </w:rPr>
        <w:t>ment as the mutual additions in employment relationships, seeking the good of employees, through well-being, job satisfaction and the good of the organisation, through commitment and performance.</w:t>
      </w:r>
    </w:p>
    <w:p w14:paraId="07EB8307" w14:textId="579CD8F4" w:rsidR="00AE219A" w:rsidRPr="00B04442" w:rsidRDefault="00AE219A" w:rsidP="00AE219A">
      <w:pPr>
        <w:rPr>
          <w:rFonts w:ascii="Arial" w:hAnsi="Arial" w:cs="Arial"/>
          <w:sz w:val="24"/>
          <w:szCs w:val="24"/>
          <w:lang w:val="en-US"/>
        </w:rPr>
      </w:pPr>
      <w:r w:rsidRPr="00B04442">
        <w:rPr>
          <w:rFonts w:ascii="Arial" w:hAnsi="Arial" w:cs="Arial"/>
          <w:sz w:val="24"/>
          <w:szCs w:val="24"/>
          <w:lang w:val="en-US"/>
        </w:rPr>
        <w:t>(SHRM, 2017) refers to employee engagement being a critical driver to organisational success in the current competitive marketplace. High levels of engagement encourage retention of talent, nurture customer loyalty and improve organisational performance and stakeholder worth.</w:t>
      </w:r>
    </w:p>
    <w:p w14:paraId="429C37F8" w14:textId="4F0CE342" w:rsidR="00D1144F" w:rsidRPr="00B04442" w:rsidRDefault="00B04442" w:rsidP="00D1144F">
      <w:pPr>
        <w:rPr>
          <w:rFonts w:ascii="Arial" w:hAnsi="Arial" w:cs="Arial"/>
          <w:sz w:val="24"/>
          <w:szCs w:val="24"/>
        </w:rPr>
      </w:pPr>
      <w:sdt>
        <w:sdtPr>
          <w:rPr>
            <w:rFonts w:ascii="Arial" w:hAnsi="Arial" w:cs="Arial"/>
            <w:sz w:val="24"/>
            <w:szCs w:val="24"/>
          </w:rPr>
          <w:id w:val="-1527256901"/>
          <w:citation/>
        </w:sdtPr>
        <w:sdtEndPr/>
        <w:sdtContent>
          <w:r w:rsidR="00BC6E00" w:rsidRPr="00B04442">
            <w:rPr>
              <w:rFonts w:ascii="Arial" w:hAnsi="Arial" w:cs="Arial"/>
              <w:sz w:val="24"/>
              <w:szCs w:val="24"/>
            </w:rPr>
            <w:fldChar w:fldCharType="begin"/>
          </w:r>
          <w:r w:rsidR="00BC6E00" w:rsidRPr="00B04442">
            <w:rPr>
              <w:rFonts w:ascii="Arial" w:hAnsi="Arial" w:cs="Arial"/>
              <w:sz w:val="24"/>
              <w:szCs w:val="24"/>
            </w:rPr>
            <w:instrText xml:space="preserve"> CITATION DrA18 \l 2057 </w:instrText>
          </w:r>
          <w:r w:rsidR="00BC6E00" w:rsidRPr="00B04442">
            <w:rPr>
              <w:rFonts w:ascii="Arial" w:hAnsi="Arial" w:cs="Arial"/>
              <w:sz w:val="24"/>
              <w:szCs w:val="24"/>
            </w:rPr>
            <w:fldChar w:fldCharType="separate"/>
          </w:r>
          <w:r w:rsidR="00BC6E00" w:rsidRPr="00B04442">
            <w:rPr>
              <w:rFonts w:ascii="Arial" w:hAnsi="Arial" w:cs="Arial"/>
              <w:noProof/>
              <w:sz w:val="24"/>
              <w:szCs w:val="24"/>
            </w:rPr>
            <w:t>(Armstrong, 2018)</w:t>
          </w:r>
          <w:r w:rsidR="00BC6E00" w:rsidRPr="00B04442">
            <w:rPr>
              <w:rFonts w:ascii="Arial" w:hAnsi="Arial" w:cs="Arial"/>
              <w:sz w:val="24"/>
              <w:szCs w:val="24"/>
            </w:rPr>
            <w:fldChar w:fldCharType="end"/>
          </w:r>
        </w:sdtContent>
      </w:sdt>
      <w:r w:rsidR="00BC6E00" w:rsidRPr="00B04442">
        <w:rPr>
          <w:rFonts w:ascii="Arial" w:hAnsi="Arial" w:cs="Arial"/>
          <w:sz w:val="24"/>
          <w:szCs w:val="24"/>
        </w:rPr>
        <w:t xml:space="preserve"> emphasises the importance of engagement as this is associated with organisational performance. Engage for Success research report noted that organisations with high levels of engagement reported lower staff turnover, higher customer encouragement and larger annual profits compared to organisations displaying poor engagement.</w:t>
      </w:r>
    </w:p>
    <w:p w14:paraId="4B6D9980" w14:textId="7EE3A4F6" w:rsidR="00F96F61" w:rsidRPr="00B04442" w:rsidRDefault="00915B42" w:rsidP="00F96F61">
      <w:pPr>
        <w:rPr>
          <w:rFonts w:ascii="Arial" w:hAnsi="Arial" w:cs="Arial"/>
          <w:sz w:val="24"/>
          <w:szCs w:val="24"/>
        </w:rPr>
      </w:pPr>
      <w:r w:rsidRPr="00B04442">
        <w:rPr>
          <w:rFonts w:ascii="Arial" w:hAnsi="Arial" w:cs="Arial"/>
          <w:sz w:val="24"/>
          <w:szCs w:val="24"/>
        </w:rPr>
        <w:t>(Goyette, 2016) argues that successful employee engagement is determined by how we engage based on individual motivational styles. Organisational success is dependent on how motivation is measured and unleashed – key factors include ambition and accountability. Research identified that organisations who employ for motivational fit, invest in their people and communicate based on motivational style w</w:t>
      </w:r>
      <w:r w:rsidR="00BA3134" w:rsidRPr="00B04442">
        <w:rPr>
          <w:rFonts w:ascii="Arial" w:hAnsi="Arial" w:cs="Arial"/>
          <w:sz w:val="24"/>
          <w:szCs w:val="24"/>
        </w:rPr>
        <w:t xml:space="preserve">ere high performers. </w:t>
      </w:r>
    </w:p>
    <w:p w14:paraId="03086C19" w14:textId="77777777" w:rsidR="00F96F61" w:rsidRPr="00B04442" w:rsidRDefault="00F96F61" w:rsidP="00F96F61">
      <w:pPr>
        <w:rPr>
          <w:rFonts w:ascii="Arial" w:hAnsi="Arial" w:cs="Arial"/>
          <w:sz w:val="24"/>
          <w:szCs w:val="24"/>
        </w:rPr>
      </w:pPr>
    </w:p>
    <w:p w14:paraId="7BB0F83C" w14:textId="3F60C49A" w:rsidR="00F96F61" w:rsidRPr="00B04442" w:rsidRDefault="00F96F61" w:rsidP="00F96F61">
      <w:pPr>
        <w:pStyle w:val="ListParagraph"/>
        <w:numPr>
          <w:ilvl w:val="0"/>
          <w:numId w:val="16"/>
        </w:numPr>
        <w:ind w:left="284" w:hanging="284"/>
        <w:rPr>
          <w:rFonts w:ascii="Arial" w:hAnsi="Arial" w:cs="Arial"/>
          <w:sz w:val="24"/>
          <w:szCs w:val="24"/>
        </w:rPr>
      </w:pPr>
      <w:r w:rsidRPr="00B04442">
        <w:rPr>
          <w:rFonts w:ascii="Arial" w:hAnsi="Arial" w:cs="Arial"/>
          <w:b/>
          <w:sz w:val="24"/>
          <w:szCs w:val="24"/>
        </w:rPr>
        <w:lastRenderedPageBreak/>
        <w:t>Describe the HR, leadership and cultural elements of organisations which have high levels of employee engagement, making reference to academic literature on the subject.  You should also explain the need for aligning employee engagement with other key organisational factors.</w:t>
      </w:r>
    </w:p>
    <w:p w14:paraId="3B01F9A7" w14:textId="759B26A8" w:rsidR="00FB2D37" w:rsidRPr="00B04442" w:rsidRDefault="00AE219A" w:rsidP="00BA3134">
      <w:pPr>
        <w:rPr>
          <w:rFonts w:ascii="Arial" w:hAnsi="Arial" w:cs="Arial"/>
          <w:sz w:val="24"/>
          <w:szCs w:val="24"/>
          <w:lang w:val="en-US"/>
        </w:rPr>
      </w:pPr>
      <w:r w:rsidRPr="00B04442">
        <w:rPr>
          <w:rFonts w:ascii="Arial" w:hAnsi="Arial" w:cs="Arial"/>
          <w:sz w:val="24"/>
          <w:szCs w:val="24"/>
          <w:lang w:val="en-US"/>
        </w:rPr>
        <w:t>(SHRM, 2017) argues that top leaders around the world are prior</w:t>
      </w:r>
      <w:r w:rsidR="00192B86" w:rsidRPr="00B04442">
        <w:rPr>
          <w:rFonts w:ascii="Arial" w:hAnsi="Arial" w:cs="Arial"/>
          <w:sz w:val="24"/>
          <w:szCs w:val="24"/>
          <w:lang w:val="en-US"/>
        </w:rPr>
        <w:t xml:space="preserve">itising employee engagement </w:t>
      </w:r>
      <w:r w:rsidR="00B30C01" w:rsidRPr="00B04442">
        <w:rPr>
          <w:rFonts w:ascii="Arial" w:hAnsi="Arial" w:cs="Arial"/>
          <w:sz w:val="24"/>
          <w:szCs w:val="24"/>
          <w:lang w:val="en-US"/>
        </w:rPr>
        <w:t>by including</w:t>
      </w:r>
      <w:r w:rsidRPr="00B04442">
        <w:rPr>
          <w:rFonts w:ascii="Arial" w:hAnsi="Arial" w:cs="Arial"/>
          <w:sz w:val="24"/>
          <w:szCs w:val="24"/>
          <w:lang w:val="en-US"/>
        </w:rPr>
        <w:t xml:space="preserve"> </w:t>
      </w:r>
      <w:r w:rsidR="003D6A15" w:rsidRPr="00B04442">
        <w:rPr>
          <w:rFonts w:ascii="Arial" w:hAnsi="Arial" w:cs="Arial"/>
          <w:sz w:val="24"/>
          <w:szCs w:val="24"/>
          <w:lang w:val="en-US"/>
        </w:rPr>
        <w:t xml:space="preserve">this topic </w:t>
      </w:r>
      <w:r w:rsidRPr="00B04442">
        <w:rPr>
          <w:rFonts w:ascii="Arial" w:hAnsi="Arial" w:cs="Arial"/>
          <w:sz w:val="24"/>
          <w:szCs w:val="24"/>
          <w:lang w:val="en-US"/>
        </w:rPr>
        <w:t xml:space="preserve">in their organisational strategy. </w:t>
      </w:r>
      <w:r w:rsidR="003D6A15" w:rsidRPr="00B04442">
        <w:rPr>
          <w:rFonts w:ascii="Arial" w:hAnsi="Arial" w:cs="Arial"/>
          <w:sz w:val="24"/>
          <w:szCs w:val="24"/>
          <w:lang w:val="en-US"/>
        </w:rPr>
        <w:t>Those organisation’s with p</w:t>
      </w:r>
      <w:r w:rsidRPr="00B04442">
        <w:rPr>
          <w:rFonts w:ascii="Arial" w:hAnsi="Arial" w:cs="Arial"/>
          <w:sz w:val="24"/>
          <w:szCs w:val="24"/>
          <w:lang w:val="en-US"/>
        </w:rPr>
        <w:t xml:space="preserve">oor engagement can </w:t>
      </w:r>
      <w:r w:rsidR="00FB2D37" w:rsidRPr="00B04442">
        <w:rPr>
          <w:rFonts w:ascii="Arial" w:hAnsi="Arial" w:cs="Arial"/>
          <w:sz w:val="24"/>
          <w:szCs w:val="24"/>
          <w:lang w:val="en-US"/>
        </w:rPr>
        <w:t xml:space="preserve">significantly affect employee retention, productivity and loyalty, it </w:t>
      </w:r>
      <w:r w:rsidRPr="00B04442">
        <w:rPr>
          <w:rFonts w:ascii="Arial" w:hAnsi="Arial" w:cs="Arial"/>
          <w:sz w:val="24"/>
          <w:szCs w:val="24"/>
          <w:lang w:val="en-US"/>
        </w:rPr>
        <w:t xml:space="preserve">can also be a </w:t>
      </w:r>
      <w:r w:rsidR="00FB2D37" w:rsidRPr="00B04442">
        <w:rPr>
          <w:rFonts w:ascii="Arial" w:hAnsi="Arial" w:cs="Arial"/>
          <w:sz w:val="24"/>
          <w:szCs w:val="24"/>
          <w:lang w:val="en-US"/>
        </w:rPr>
        <w:t xml:space="preserve">key link to customer satisfaction, company reputation and </w:t>
      </w:r>
      <w:r w:rsidR="003D6A15" w:rsidRPr="00B04442">
        <w:rPr>
          <w:rFonts w:ascii="Arial" w:hAnsi="Arial" w:cs="Arial"/>
          <w:sz w:val="24"/>
          <w:szCs w:val="24"/>
          <w:lang w:val="en-US"/>
        </w:rPr>
        <w:t xml:space="preserve">the </w:t>
      </w:r>
      <w:r w:rsidR="00FB2D37" w:rsidRPr="00B04442">
        <w:rPr>
          <w:rFonts w:ascii="Arial" w:hAnsi="Arial" w:cs="Arial"/>
          <w:sz w:val="24"/>
          <w:szCs w:val="24"/>
          <w:lang w:val="en-US"/>
        </w:rPr>
        <w:t>overall stakeholder value.</w:t>
      </w:r>
      <w:r w:rsidR="00FB2D37" w:rsidRPr="00B04442">
        <w:rPr>
          <w:rFonts w:ascii="Arial" w:hAnsi="Arial" w:cs="Arial"/>
          <w:sz w:val="24"/>
          <w:szCs w:val="24"/>
        </w:rPr>
        <w:t xml:space="preserve"> </w:t>
      </w:r>
      <w:r w:rsidR="003D6A15" w:rsidRPr="00B04442">
        <w:rPr>
          <w:rFonts w:ascii="Arial" w:hAnsi="Arial" w:cs="Arial"/>
          <w:sz w:val="24"/>
          <w:szCs w:val="24"/>
        </w:rPr>
        <w:t>Some o</w:t>
      </w:r>
      <w:r w:rsidRPr="00B04442">
        <w:rPr>
          <w:rFonts w:ascii="Arial" w:hAnsi="Arial" w:cs="Arial"/>
          <w:sz w:val="24"/>
          <w:szCs w:val="24"/>
        </w:rPr>
        <w:t>rganisation</w:t>
      </w:r>
      <w:r w:rsidR="003D6A15" w:rsidRPr="00B04442">
        <w:rPr>
          <w:rFonts w:ascii="Arial" w:hAnsi="Arial" w:cs="Arial"/>
          <w:sz w:val="24"/>
          <w:szCs w:val="24"/>
        </w:rPr>
        <w:t>’</w:t>
      </w:r>
      <w:r w:rsidRPr="00B04442">
        <w:rPr>
          <w:rFonts w:ascii="Arial" w:hAnsi="Arial" w:cs="Arial"/>
          <w:sz w:val="24"/>
          <w:szCs w:val="24"/>
        </w:rPr>
        <w:t>s</w:t>
      </w:r>
      <w:r w:rsidRPr="00B04442">
        <w:rPr>
          <w:rFonts w:ascii="Arial" w:hAnsi="Arial" w:cs="Arial"/>
          <w:sz w:val="24"/>
          <w:szCs w:val="24"/>
          <w:lang w:val="en-US"/>
        </w:rPr>
        <w:t xml:space="preserve"> are </w:t>
      </w:r>
      <w:r w:rsidR="003D6A15" w:rsidRPr="00B04442">
        <w:rPr>
          <w:rFonts w:ascii="Arial" w:hAnsi="Arial" w:cs="Arial"/>
          <w:sz w:val="24"/>
          <w:szCs w:val="24"/>
          <w:lang w:val="en-US"/>
        </w:rPr>
        <w:t xml:space="preserve">very much reliant </w:t>
      </w:r>
      <w:r w:rsidRPr="00B04442">
        <w:rPr>
          <w:rFonts w:ascii="Arial" w:hAnsi="Arial" w:cs="Arial"/>
          <w:sz w:val="24"/>
          <w:szCs w:val="24"/>
          <w:lang w:val="en-US"/>
        </w:rPr>
        <w:t xml:space="preserve">on </w:t>
      </w:r>
      <w:r w:rsidR="00FB2D37" w:rsidRPr="00B04442">
        <w:rPr>
          <w:rFonts w:ascii="Arial" w:hAnsi="Arial" w:cs="Arial"/>
          <w:sz w:val="24"/>
          <w:szCs w:val="24"/>
          <w:lang w:val="en-US"/>
        </w:rPr>
        <w:t>HR</w:t>
      </w:r>
      <w:r w:rsidRPr="00B04442">
        <w:rPr>
          <w:rFonts w:ascii="Arial" w:hAnsi="Arial" w:cs="Arial"/>
          <w:sz w:val="24"/>
          <w:szCs w:val="24"/>
          <w:lang w:val="en-US"/>
        </w:rPr>
        <w:t xml:space="preserve"> professionals </w:t>
      </w:r>
      <w:r w:rsidR="00FB2D37" w:rsidRPr="00B04442">
        <w:rPr>
          <w:rFonts w:ascii="Arial" w:hAnsi="Arial" w:cs="Arial"/>
          <w:sz w:val="24"/>
          <w:szCs w:val="24"/>
          <w:lang w:val="en-US"/>
        </w:rPr>
        <w:t xml:space="preserve">to set the agenda for employee engagement and commitment to </w:t>
      </w:r>
      <w:r w:rsidRPr="00B04442">
        <w:rPr>
          <w:rFonts w:ascii="Arial" w:hAnsi="Arial" w:cs="Arial"/>
          <w:sz w:val="24"/>
          <w:szCs w:val="24"/>
          <w:lang w:val="en-US"/>
        </w:rPr>
        <w:t>form</w:t>
      </w:r>
      <w:r w:rsidR="00FB2D37" w:rsidRPr="00B04442">
        <w:rPr>
          <w:rFonts w:ascii="Arial" w:hAnsi="Arial" w:cs="Arial"/>
          <w:sz w:val="24"/>
          <w:szCs w:val="24"/>
          <w:lang w:val="en-US"/>
        </w:rPr>
        <w:t xml:space="preserve"> a competitive advantage.</w:t>
      </w:r>
    </w:p>
    <w:p w14:paraId="4D00AF68" w14:textId="1816F26F" w:rsidR="00494A1D" w:rsidRPr="00B04442" w:rsidRDefault="00885976" w:rsidP="00BA3134">
      <w:pPr>
        <w:rPr>
          <w:rFonts w:ascii="Arial" w:hAnsi="Arial" w:cs="Arial"/>
          <w:sz w:val="24"/>
          <w:szCs w:val="24"/>
          <w:lang w:val="en-US"/>
        </w:rPr>
      </w:pPr>
      <w:r w:rsidRPr="00B04442">
        <w:rPr>
          <w:rFonts w:ascii="Arial" w:hAnsi="Arial" w:cs="Arial"/>
          <w:sz w:val="24"/>
          <w:szCs w:val="24"/>
          <w:lang w:val="en-US"/>
        </w:rPr>
        <w:t xml:space="preserve">Employee engagement is influenced by many factors, this includes the workplace culture, organisational communication and management styles. Other important factors </w:t>
      </w:r>
      <w:r w:rsidR="00363166" w:rsidRPr="00B04442">
        <w:rPr>
          <w:rFonts w:ascii="Arial" w:hAnsi="Arial" w:cs="Arial"/>
          <w:sz w:val="24"/>
          <w:szCs w:val="24"/>
          <w:lang w:val="en-US"/>
        </w:rPr>
        <w:t>relate to</w:t>
      </w:r>
      <w:r w:rsidRPr="00B04442">
        <w:rPr>
          <w:rFonts w:ascii="Arial" w:hAnsi="Arial" w:cs="Arial"/>
          <w:sz w:val="24"/>
          <w:szCs w:val="24"/>
          <w:lang w:val="en-US"/>
        </w:rPr>
        <w:t xml:space="preserve"> trust and respect, leadership, and the</w:t>
      </w:r>
      <w:r w:rsidRPr="00B04442">
        <w:rPr>
          <w:rFonts w:ascii="Arial" w:hAnsi="Arial" w:cs="Arial"/>
          <w:sz w:val="24"/>
          <w:szCs w:val="24"/>
        </w:rPr>
        <w:t xml:space="preserve"> organisation’s</w:t>
      </w:r>
      <w:r w:rsidRPr="00B04442">
        <w:rPr>
          <w:rFonts w:ascii="Arial" w:hAnsi="Arial" w:cs="Arial"/>
          <w:sz w:val="24"/>
          <w:szCs w:val="24"/>
          <w:lang w:val="en-US"/>
        </w:rPr>
        <w:t xml:space="preserve"> reputation. Both individually and together, HR professionals and managers play pivotal roles in ensuring the success of the organisation’s employee engagement initiatives.</w:t>
      </w:r>
    </w:p>
    <w:p w14:paraId="779F4F0D" w14:textId="5DB692E9" w:rsidR="00885976" w:rsidRPr="00B04442" w:rsidRDefault="00885976" w:rsidP="00BA3134">
      <w:pPr>
        <w:rPr>
          <w:rFonts w:ascii="Arial" w:hAnsi="Arial" w:cs="Arial"/>
          <w:sz w:val="24"/>
          <w:szCs w:val="24"/>
        </w:rPr>
      </w:pPr>
      <w:r w:rsidRPr="00B04442">
        <w:rPr>
          <w:rFonts w:ascii="Arial" w:hAnsi="Arial" w:cs="Arial"/>
          <w:sz w:val="24"/>
          <w:szCs w:val="24"/>
          <w:lang w:val="en-US"/>
        </w:rPr>
        <w:t xml:space="preserve">(CIPD, 2017) </w:t>
      </w:r>
      <w:r w:rsidR="00E4426C" w:rsidRPr="00B04442">
        <w:rPr>
          <w:rFonts w:ascii="Arial" w:hAnsi="Arial" w:cs="Arial"/>
          <w:sz w:val="24"/>
          <w:szCs w:val="24"/>
          <w:lang w:val="en-US"/>
        </w:rPr>
        <w:t>argues that managers have one of the most important influences on employee engagement, as well as employee health and well-being. It is argued that different managerial b</w:t>
      </w:r>
      <w:r w:rsidR="00376277" w:rsidRPr="00B04442">
        <w:rPr>
          <w:rFonts w:ascii="Arial" w:hAnsi="Arial" w:cs="Arial"/>
          <w:sz w:val="24"/>
          <w:szCs w:val="24"/>
          <w:lang w:val="en-US"/>
        </w:rPr>
        <w:t xml:space="preserve">ehaviours can impact on both engagement and health and well-being, so it is important that managers understand which explicit behaviours concurrently protect/boost employee well-being. </w:t>
      </w:r>
      <w:r w:rsidR="00376277" w:rsidRPr="00B04442">
        <w:rPr>
          <w:rFonts w:ascii="Arial" w:hAnsi="Arial" w:cs="Arial"/>
          <w:b/>
          <w:i/>
          <w:sz w:val="24"/>
          <w:szCs w:val="24"/>
          <w:lang w:val="en-US"/>
        </w:rPr>
        <w:t>Figure 1</w:t>
      </w:r>
      <w:r w:rsidR="00376277" w:rsidRPr="00B04442">
        <w:rPr>
          <w:rFonts w:ascii="Arial" w:hAnsi="Arial" w:cs="Arial"/>
          <w:sz w:val="24"/>
          <w:szCs w:val="24"/>
          <w:lang w:val="en-US"/>
        </w:rPr>
        <w:t xml:space="preserve"> shows the managerial impact to successful</w:t>
      </w:r>
      <w:r w:rsidR="00376277" w:rsidRPr="00B04442">
        <w:rPr>
          <w:rFonts w:ascii="Arial" w:hAnsi="Arial" w:cs="Arial"/>
          <w:sz w:val="24"/>
          <w:szCs w:val="24"/>
        </w:rPr>
        <w:t xml:space="preserve"> organisation</w:t>
      </w:r>
      <w:r w:rsidR="00376277" w:rsidRPr="00B04442">
        <w:rPr>
          <w:rFonts w:ascii="Arial" w:hAnsi="Arial" w:cs="Arial"/>
          <w:sz w:val="24"/>
          <w:szCs w:val="24"/>
          <w:lang w:val="en-US"/>
        </w:rPr>
        <w:t xml:space="preserve"> performance</w:t>
      </w:r>
      <w:r w:rsidR="00376277" w:rsidRPr="00B04442">
        <w:rPr>
          <w:rFonts w:ascii="Arial" w:hAnsi="Arial" w:cs="Arial"/>
          <w:color w:val="494949"/>
          <w:sz w:val="24"/>
          <w:szCs w:val="24"/>
          <w:lang w:val="en-US"/>
        </w:rPr>
        <w:t>.</w:t>
      </w:r>
    </w:p>
    <w:p w14:paraId="2139114B" w14:textId="77777777" w:rsidR="00BA3134" w:rsidRPr="00B04442" w:rsidRDefault="00BA3134" w:rsidP="00BA3134">
      <w:pPr>
        <w:ind w:left="-284"/>
        <w:rPr>
          <w:rFonts w:ascii="Arial" w:hAnsi="Arial" w:cs="Arial"/>
          <w:b/>
          <w:i/>
          <w:sz w:val="24"/>
          <w:szCs w:val="24"/>
        </w:rPr>
      </w:pPr>
      <w:r w:rsidRPr="00B04442">
        <w:rPr>
          <w:rFonts w:ascii="Arial" w:hAnsi="Arial" w:cs="Arial"/>
          <w:noProof/>
          <w:sz w:val="24"/>
          <w:szCs w:val="24"/>
          <w:lang w:eastAsia="en-GB"/>
        </w:rPr>
        <w:drawing>
          <wp:inline distT="0" distB="0" distL="0" distR="0" wp14:anchorId="52AD1728" wp14:editId="27EE1834">
            <wp:extent cx="3909399" cy="2321170"/>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6940" t="24233" r="44889" b="56028"/>
                    <a:stretch/>
                  </pic:blipFill>
                  <pic:spPr bwMode="auto">
                    <a:xfrm>
                      <a:off x="0" y="0"/>
                      <a:ext cx="3937726" cy="2337989"/>
                    </a:xfrm>
                    <a:prstGeom prst="rect">
                      <a:avLst/>
                    </a:prstGeom>
                    <a:ln>
                      <a:noFill/>
                    </a:ln>
                    <a:extLst>
                      <a:ext uri="{53640926-AAD7-44D8-BBD7-CCE9431645EC}">
                        <a14:shadowObscured xmlns:a14="http://schemas.microsoft.com/office/drawing/2010/main"/>
                      </a:ext>
                    </a:extLst>
                  </pic:spPr>
                </pic:pic>
              </a:graphicData>
            </a:graphic>
          </wp:inline>
        </w:drawing>
      </w:r>
    </w:p>
    <w:p w14:paraId="1CD3FB32" w14:textId="7285D9F0" w:rsidR="00376277" w:rsidRPr="00B04442" w:rsidRDefault="00BA3134" w:rsidP="00BA3134">
      <w:pPr>
        <w:rPr>
          <w:rFonts w:ascii="Arial" w:hAnsi="Arial" w:cs="Arial"/>
          <w:i/>
          <w:sz w:val="24"/>
          <w:szCs w:val="24"/>
        </w:rPr>
      </w:pPr>
      <w:r w:rsidRPr="00B04442">
        <w:rPr>
          <w:rFonts w:ascii="Arial" w:hAnsi="Arial" w:cs="Arial"/>
          <w:b/>
          <w:i/>
          <w:sz w:val="24"/>
          <w:szCs w:val="24"/>
        </w:rPr>
        <w:t>Figure1</w:t>
      </w:r>
      <w:r w:rsidRPr="00B04442">
        <w:rPr>
          <w:rFonts w:ascii="Arial" w:hAnsi="Arial" w:cs="Arial"/>
          <w:i/>
          <w:sz w:val="24"/>
          <w:szCs w:val="24"/>
        </w:rPr>
        <w:t>: CIPD research report – phase 2, February 2017.</w:t>
      </w:r>
    </w:p>
    <w:p w14:paraId="2D65E1B3" w14:textId="32123D05" w:rsidR="00376277" w:rsidRPr="00B04442" w:rsidRDefault="00376277" w:rsidP="00BA3134">
      <w:pPr>
        <w:rPr>
          <w:rFonts w:ascii="Arial" w:hAnsi="Arial" w:cs="Arial"/>
          <w:sz w:val="24"/>
          <w:szCs w:val="24"/>
        </w:rPr>
      </w:pPr>
    </w:p>
    <w:p w14:paraId="00BBA703" w14:textId="72DAE08E" w:rsidR="0023517B" w:rsidRPr="00B04442" w:rsidRDefault="0023517B" w:rsidP="00BA3134">
      <w:pPr>
        <w:rPr>
          <w:rFonts w:ascii="Arial" w:hAnsi="Arial" w:cs="Arial"/>
          <w:sz w:val="24"/>
          <w:szCs w:val="24"/>
        </w:rPr>
      </w:pPr>
      <w:r w:rsidRPr="00B04442">
        <w:rPr>
          <w:rFonts w:ascii="Arial" w:hAnsi="Arial" w:cs="Arial"/>
          <w:sz w:val="24"/>
          <w:szCs w:val="24"/>
        </w:rPr>
        <w:t xml:space="preserve">(Deloitte, </w:t>
      </w:r>
      <w:r w:rsidR="002E5E3B" w:rsidRPr="00B04442">
        <w:rPr>
          <w:rFonts w:ascii="Arial" w:hAnsi="Arial" w:cs="Arial"/>
          <w:sz w:val="24"/>
          <w:szCs w:val="24"/>
        </w:rPr>
        <w:t xml:space="preserve">2015) </w:t>
      </w:r>
      <w:r w:rsidR="00952AF2" w:rsidRPr="00B04442">
        <w:rPr>
          <w:rFonts w:ascii="Arial" w:hAnsi="Arial" w:cs="Arial"/>
          <w:sz w:val="24"/>
          <w:szCs w:val="24"/>
        </w:rPr>
        <w:t>refers to employee engagement and culture as one of the most important topics for businesses with the issue being addressed by organisation leaders rather than just HR as previously debated. Those organisations that prioritise culture and engagement can create a culture defined by expressive work, high levels of employee engagement, job and organisation fit, as well as strong leadership that will attract talent and give them competitive advantage.</w:t>
      </w:r>
    </w:p>
    <w:p w14:paraId="7B9CB447" w14:textId="347A154D" w:rsidR="00FD1F69" w:rsidRPr="00B04442" w:rsidRDefault="00DD7731" w:rsidP="003D6A15">
      <w:pPr>
        <w:spacing w:before="240"/>
        <w:rPr>
          <w:rFonts w:ascii="Arial" w:hAnsi="Arial" w:cs="Arial"/>
          <w:sz w:val="24"/>
          <w:szCs w:val="24"/>
        </w:rPr>
      </w:pPr>
      <w:r w:rsidRPr="00B04442">
        <w:rPr>
          <w:rFonts w:ascii="Arial" w:hAnsi="Arial" w:cs="Arial"/>
          <w:sz w:val="24"/>
          <w:szCs w:val="24"/>
        </w:rPr>
        <w:lastRenderedPageBreak/>
        <w:t xml:space="preserve">(CIPD, 2012) report on “Leading culture change” </w:t>
      </w:r>
      <w:r w:rsidR="00FD1F69" w:rsidRPr="00B04442">
        <w:rPr>
          <w:rFonts w:ascii="Arial" w:hAnsi="Arial" w:cs="Arial"/>
          <w:sz w:val="24"/>
          <w:szCs w:val="24"/>
        </w:rPr>
        <w:t>refers</w:t>
      </w:r>
      <w:r w:rsidRPr="00B04442">
        <w:rPr>
          <w:rFonts w:ascii="Arial" w:hAnsi="Arial" w:cs="Arial"/>
          <w:sz w:val="24"/>
          <w:szCs w:val="24"/>
        </w:rPr>
        <w:t xml:space="preserve"> to the four key enablers of engagement as acknowledged in the </w:t>
      </w:r>
      <w:r w:rsidR="0077595C" w:rsidRPr="00B04442">
        <w:rPr>
          <w:rFonts w:ascii="Arial" w:hAnsi="Arial" w:cs="Arial"/>
          <w:sz w:val="24"/>
          <w:szCs w:val="24"/>
        </w:rPr>
        <w:t>(</w:t>
      </w:r>
      <w:r w:rsidRPr="00B04442">
        <w:rPr>
          <w:rFonts w:ascii="Arial" w:hAnsi="Arial" w:cs="Arial"/>
          <w:sz w:val="24"/>
          <w:szCs w:val="24"/>
        </w:rPr>
        <w:t>MacLeod</w:t>
      </w:r>
      <w:r w:rsidR="0077595C" w:rsidRPr="00B04442">
        <w:rPr>
          <w:rFonts w:ascii="Arial" w:hAnsi="Arial" w:cs="Arial"/>
          <w:sz w:val="24"/>
          <w:szCs w:val="24"/>
        </w:rPr>
        <w:t xml:space="preserve"> &amp; Clarke, 2009)</w:t>
      </w:r>
      <w:r w:rsidRPr="00B04442">
        <w:rPr>
          <w:rFonts w:ascii="Arial" w:hAnsi="Arial" w:cs="Arial"/>
          <w:sz w:val="24"/>
          <w:szCs w:val="24"/>
        </w:rPr>
        <w:t xml:space="preserve"> report</w:t>
      </w:r>
      <w:r w:rsidR="00FD1F69" w:rsidRPr="00B04442">
        <w:rPr>
          <w:rFonts w:ascii="Arial" w:hAnsi="Arial" w:cs="Arial"/>
          <w:sz w:val="24"/>
          <w:szCs w:val="24"/>
        </w:rPr>
        <w:t>, Engaging for Success</w:t>
      </w:r>
      <w:r w:rsidRPr="00B04442">
        <w:rPr>
          <w:rFonts w:ascii="Arial" w:hAnsi="Arial" w:cs="Arial"/>
          <w:sz w:val="24"/>
          <w:szCs w:val="24"/>
        </w:rPr>
        <w:t xml:space="preserve"> </w:t>
      </w:r>
      <w:r w:rsidR="00FD1F69" w:rsidRPr="00B04442">
        <w:rPr>
          <w:rFonts w:ascii="Arial" w:hAnsi="Arial" w:cs="Arial"/>
          <w:sz w:val="24"/>
          <w:szCs w:val="24"/>
        </w:rPr>
        <w:t>and how these principles should be adopted in any organisation that thrives for high engagement levels. These four key enablers are:</w:t>
      </w:r>
    </w:p>
    <w:p w14:paraId="3EFFF648" w14:textId="75D6F5CF" w:rsidR="003D6A15" w:rsidRPr="00B04442" w:rsidRDefault="003D6A15" w:rsidP="003D6A15">
      <w:pPr>
        <w:pStyle w:val="ListParagraph"/>
        <w:numPr>
          <w:ilvl w:val="0"/>
          <w:numId w:val="18"/>
        </w:numPr>
        <w:spacing w:before="240"/>
        <w:rPr>
          <w:rFonts w:ascii="Arial" w:hAnsi="Arial" w:cs="Arial"/>
          <w:b/>
          <w:i/>
          <w:sz w:val="24"/>
          <w:szCs w:val="24"/>
        </w:rPr>
      </w:pPr>
      <w:r w:rsidRPr="00B04442">
        <w:rPr>
          <w:rFonts w:ascii="Arial" w:hAnsi="Arial" w:cs="Arial"/>
          <w:b/>
          <w:i/>
          <w:sz w:val="24"/>
          <w:szCs w:val="24"/>
        </w:rPr>
        <w:t>Organisational purpose</w:t>
      </w:r>
    </w:p>
    <w:p w14:paraId="52A0F445" w14:textId="3A959C3C" w:rsidR="003D6A15" w:rsidRPr="00B04442" w:rsidRDefault="003D6A15" w:rsidP="003D6A15">
      <w:pPr>
        <w:spacing w:before="240"/>
        <w:ind w:left="720"/>
        <w:rPr>
          <w:rFonts w:ascii="Arial" w:hAnsi="Arial" w:cs="Arial"/>
          <w:sz w:val="24"/>
          <w:szCs w:val="24"/>
        </w:rPr>
      </w:pPr>
      <w:r w:rsidRPr="00B04442">
        <w:rPr>
          <w:rFonts w:ascii="Arial" w:hAnsi="Arial" w:cs="Arial"/>
          <w:sz w:val="24"/>
          <w:szCs w:val="24"/>
        </w:rPr>
        <w:t>Business leaders and managers should set out clear organisational purposes/goals and these should be communicated, understandably</w:t>
      </w:r>
      <w:r w:rsidR="0024520B" w:rsidRPr="00B04442">
        <w:rPr>
          <w:rFonts w:ascii="Arial" w:hAnsi="Arial" w:cs="Arial"/>
          <w:sz w:val="24"/>
          <w:szCs w:val="24"/>
        </w:rPr>
        <w:t>,</w:t>
      </w:r>
      <w:r w:rsidRPr="00B04442">
        <w:rPr>
          <w:rFonts w:ascii="Arial" w:hAnsi="Arial" w:cs="Arial"/>
          <w:sz w:val="24"/>
          <w:szCs w:val="24"/>
        </w:rPr>
        <w:t xml:space="preserve"> to all employees to buy into.</w:t>
      </w:r>
    </w:p>
    <w:p w14:paraId="03559124" w14:textId="24624FF1" w:rsidR="00FD1F69" w:rsidRPr="00B04442" w:rsidRDefault="00FD1F69" w:rsidP="003D6A15">
      <w:pPr>
        <w:pStyle w:val="ListParagraph"/>
        <w:numPr>
          <w:ilvl w:val="0"/>
          <w:numId w:val="18"/>
        </w:numPr>
        <w:spacing w:before="240"/>
        <w:rPr>
          <w:rFonts w:ascii="Arial" w:hAnsi="Arial" w:cs="Arial"/>
          <w:b/>
          <w:i/>
          <w:sz w:val="24"/>
          <w:szCs w:val="24"/>
        </w:rPr>
      </w:pPr>
      <w:r w:rsidRPr="00B04442">
        <w:rPr>
          <w:rFonts w:ascii="Arial" w:hAnsi="Arial" w:cs="Arial"/>
          <w:b/>
          <w:i/>
          <w:sz w:val="24"/>
          <w:szCs w:val="24"/>
        </w:rPr>
        <w:t>Integrity</w:t>
      </w:r>
    </w:p>
    <w:p w14:paraId="0F899DB7" w14:textId="5D0088EA" w:rsidR="001231C1" w:rsidRPr="00B04442" w:rsidRDefault="001231C1" w:rsidP="001231C1">
      <w:pPr>
        <w:spacing w:before="240"/>
        <w:ind w:left="720"/>
        <w:rPr>
          <w:rFonts w:ascii="Arial" w:hAnsi="Arial" w:cs="Arial"/>
          <w:sz w:val="24"/>
          <w:szCs w:val="24"/>
        </w:rPr>
      </w:pPr>
      <w:r w:rsidRPr="00B04442">
        <w:rPr>
          <w:rFonts w:ascii="Arial" w:hAnsi="Arial" w:cs="Arial"/>
          <w:sz w:val="24"/>
          <w:szCs w:val="24"/>
        </w:rPr>
        <w:t>An organisation should have a sense of integrity which is underpinned by behaviour that is aligned with its values.</w:t>
      </w:r>
    </w:p>
    <w:p w14:paraId="5C141955" w14:textId="789167AC" w:rsidR="00FD1F69" w:rsidRPr="00B04442" w:rsidRDefault="00FD1F69" w:rsidP="003D6A15">
      <w:pPr>
        <w:pStyle w:val="ListParagraph"/>
        <w:numPr>
          <w:ilvl w:val="0"/>
          <w:numId w:val="18"/>
        </w:numPr>
        <w:spacing w:before="240"/>
        <w:rPr>
          <w:rFonts w:ascii="Arial" w:hAnsi="Arial" w:cs="Arial"/>
          <w:b/>
          <w:i/>
          <w:sz w:val="24"/>
          <w:szCs w:val="24"/>
        </w:rPr>
      </w:pPr>
      <w:r w:rsidRPr="00B04442">
        <w:rPr>
          <w:rFonts w:ascii="Arial" w:hAnsi="Arial" w:cs="Arial"/>
          <w:b/>
          <w:i/>
          <w:sz w:val="24"/>
          <w:szCs w:val="24"/>
        </w:rPr>
        <w:t>Engaging managers</w:t>
      </w:r>
    </w:p>
    <w:p w14:paraId="43777A48" w14:textId="4D939033" w:rsidR="001231C1" w:rsidRPr="00B04442" w:rsidRDefault="001231C1" w:rsidP="001231C1">
      <w:pPr>
        <w:pStyle w:val="ListParagraph"/>
        <w:spacing w:before="240"/>
        <w:rPr>
          <w:rFonts w:ascii="Arial" w:hAnsi="Arial" w:cs="Arial"/>
          <w:sz w:val="24"/>
          <w:szCs w:val="24"/>
        </w:rPr>
      </w:pPr>
    </w:p>
    <w:p w14:paraId="310FC59A" w14:textId="3C03E6EC" w:rsidR="001231C1" w:rsidRPr="00B04442" w:rsidRDefault="000F7552" w:rsidP="001231C1">
      <w:pPr>
        <w:pStyle w:val="ListParagraph"/>
        <w:spacing w:before="240"/>
        <w:rPr>
          <w:rFonts w:ascii="Arial" w:hAnsi="Arial" w:cs="Arial"/>
          <w:sz w:val="24"/>
          <w:szCs w:val="24"/>
        </w:rPr>
      </w:pPr>
      <w:r w:rsidRPr="00B04442">
        <w:rPr>
          <w:rFonts w:ascii="Arial" w:hAnsi="Arial" w:cs="Arial"/>
          <w:sz w:val="24"/>
          <w:szCs w:val="24"/>
        </w:rPr>
        <w:t>Managers should have the right leadership/people management skills in order to successful engage with employees.</w:t>
      </w:r>
    </w:p>
    <w:p w14:paraId="27E66A95" w14:textId="77777777" w:rsidR="001231C1" w:rsidRPr="00B04442" w:rsidRDefault="001231C1" w:rsidP="001231C1">
      <w:pPr>
        <w:pStyle w:val="ListParagraph"/>
        <w:spacing w:before="240"/>
        <w:rPr>
          <w:rFonts w:ascii="Arial" w:hAnsi="Arial" w:cs="Arial"/>
          <w:sz w:val="24"/>
          <w:szCs w:val="24"/>
        </w:rPr>
      </w:pPr>
    </w:p>
    <w:p w14:paraId="4EEBEB94" w14:textId="7CBEBDA1" w:rsidR="00FD1F69" w:rsidRPr="00B04442" w:rsidRDefault="00B404CA" w:rsidP="003D6A15">
      <w:pPr>
        <w:pStyle w:val="ListParagraph"/>
        <w:numPr>
          <w:ilvl w:val="0"/>
          <w:numId w:val="18"/>
        </w:numPr>
        <w:spacing w:before="240"/>
        <w:rPr>
          <w:rFonts w:ascii="Arial" w:hAnsi="Arial" w:cs="Arial"/>
          <w:b/>
          <w:i/>
          <w:sz w:val="24"/>
          <w:szCs w:val="24"/>
        </w:rPr>
      </w:pPr>
      <w:r w:rsidRPr="00B04442">
        <w:rPr>
          <w:rFonts w:ascii="Arial" w:hAnsi="Arial" w:cs="Arial"/>
          <w:b/>
          <w:i/>
          <w:sz w:val="24"/>
          <w:szCs w:val="24"/>
        </w:rPr>
        <w:t>(E</w:t>
      </w:r>
      <w:r w:rsidR="00FD1F69" w:rsidRPr="00B04442">
        <w:rPr>
          <w:rFonts w:ascii="Arial" w:hAnsi="Arial" w:cs="Arial"/>
          <w:b/>
          <w:i/>
          <w:sz w:val="24"/>
          <w:szCs w:val="24"/>
        </w:rPr>
        <w:t>mployee) voice</w:t>
      </w:r>
    </w:p>
    <w:p w14:paraId="7887D68E" w14:textId="3F01A883" w:rsidR="00B04442" w:rsidRDefault="000F7552" w:rsidP="00B04442">
      <w:pPr>
        <w:spacing w:before="240"/>
        <w:ind w:left="720"/>
        <w:rPr>
          <w:rFonts w:ascii="Arial" w:hAnsi="Arial" w:cs="Arial"/>
          <w:sz w:val="24"/>
          <w:szCs w:val="24"/>
        </w:rPr>
      </w:pPr>
      <w:r w:rsidRPr="00B04442">
        <w:rPr>
          <w:rFonts w:ascii="Arial" w:hAnsi="Arial" w:cs="Arial"/>
          <w:sz w:val="24"/>
          <w:szCs w:val="24"/>
        </w:rPr>
        <w:t xml:space="preserve">Employees should feel able to respectfully relate their views and ideas to senior members of an organisation without feeling </w:t>
      </w:r>
      <w:r w:rsidR="00B04442">
        <w:rPr>
          <w:rFonts w:ascii="Arial" w:hAnsi="Arial" w:cs="Arial"/>
          <w:sz w:val="24"/>
          <w:szCs w:val="24"/>
        </w:rPr>
        <w:t>undermined</w:t>
      </w:r>
    </w:p>
    <w:p w14:paraId="3DAA787D" w14:textId="77777777" w:rsidR="00B04442" w:rsidRPr="00B04442" w:rsidRDefault="00B04442" w:rsidP="00B04442">
      <w:pPr>
        <w:spacing w:before="240"/>
        <w:ind w:left="720"/>
        <w:rPr>
          <w:rFonts w:ascii="Arial" w:hAnsi="Arial" w:cs="Arial"/>
          <w:sz w:val="24"/>
          <w:szCs w:val="24"/>
        </w:rPr>
      </w:pPr>
    </w:p>
    <w:p w14:paraId="041E1E5F" w14:textId="0EA55A5A" w:rsidR="0024520B" w:rsidRPr="00B04442" w:rsidRDefault="008026B7" w:rsidP="0024520B">
      <w:pPr>
        <w:pStyle w:val="ListParagraph"/>
        <w:numPr>
          <w:ilvl w:val="0"/>
          <w:numId w:val="16"/>
        </w:numPr>
        <w:spacing w:before="240"/>
        <w:rPr>
          <w:rFonts w:ascii="Arial" w:hAnsi="Arial" w:cs="Arial"/>
          <w:b/>
          <w:sz w:val="24"/>
          <w:szCs w:val="24"/>
        </w:rPr>
      </w:pPr>
      <w:r w:rsidRPr="00B04442">
        <w:rPr>
          <w:rFonts w:ascii="Arial" w:hAnsi="Arial" w:cs="Arial"/>
          <w:b/>
          <w:sz w:val="24"/>
          <w:szCs w:val="24"/>
        </w:rPr>
        <w:t>Explain why employee engagement is increasingly a valid dimension of HR strategy and practice.  The potential benefits for different stakeholders should be evaluated with reference to published sources.</w:t>
      </w:r>
    </w:p>
    <w:p w14:paraId="14E45639" w14:textId="48D8C0A9" w:rsidR="00376277" w:rsidRPr="00B04442" w:rsidRDefault="00195F7F" w:rsidP="00195F7F">
      <w:pPr>
        <w:spacing w:before="240"/>
        <w:rPr>
          <w:rFonts w:ascii="Arial" w:hAnsi="Arial" w:cs="Arial"/>
          <w:i/>
          <w:sz w:val="24"/>
          <w:szCs w:val="24"/>
        </w:rPr>
      </w:pPr>
      <w:r w:rsidRPr="00B04442">
        <w:rPr>
          <w:rFonts w:ascii="Arial" w:hAnsi="Arial" w:cs="Arial"/>
          <w:sz w:val="24"/>
          <w:szCs w:val="24"/>
          <w:lang w:val="en"/>
        </w:rPr>
        <w:t xml:space="preserve">Employees who feel engaged are clearly good workers. High engagement levels impact on employees who are known to be healthier, happier, better fulfilled and motivated. </w:t>
      </w:r>
      <w:r w:rsidR="003C2DAA" w:rsidRPr="00B04442">
        <w:rPr>
          <w:rFonts w:ascii="Arial" w:hAnsi="Arial" w:cs="Arial"/>
          <w:sz w:val="24"/>
          <w:szCs w:val="24"/>
          <w:lang w:val="en"/>
        </w:rPr>
        <w:t>(CIPD, 2019</w:t>
      </w:r>
      <w:r w:rsidR="003F43BD" w:rsidRPr="00B04442">
        <w:rPr>
          <w:rFonts w:ascii="Arial" w:hAnsi="Arial" w:cs="Arial"/>
          <w:sz w:val="24"/>
          <w:szCs w:val="24"/>
          <w:lang w:val="en"/>
        </w:rPr>
        <w:t>a</w:t>
      </w:r>
      <w:r w:rsidR="003C2DAA" w:rsidRPr="00B04442">
        <w:rPr>
          <w:rFonts w:ascii="Arial" w:hAnsi="Arial" w:cs="Arial"/>
          <w:sz w:val="24"/>
          <w:szCs w:val="24"/>
          <w:lang w:val="en"/>
        </w:rPr>
        <w:t>) states that r</w:t>
      </w:r>
      <w:r w:rsidRPr="00B04442">
        <w:rPr>
          <w:rFonts w:ascii="Arial" w:hAnsi="Arial" w:cs="Arial"/>
          <w:sz w:val="24"/>
          <w:szCs w:val="24"/>
          <w:lang w:val="en"/>
        </w:rPr>
        <w:t xml:space="preserve">esearch has frequently proven that for organisations, engagement produces higher performance, which when broken down creates positive relationships between parts of employee engagement and various other business metrics, such as productivity, staff retention, customer satisfaction, innovation and health and safety performance. </w:t>
      </w:r>
    </w:p>
    <w:p w14:paraId="62446928" w14:textId="17566F94" w:rsidR="00F92108" w:rsidRPr="00B04442" w:rsidRDefault="00F92108" w:rsidP="00F92108">
      <w:pPr>
        <w:pStyle w:val="NormalWeb"/>
        <w:rPr>
          <w:rFonts w:ascii="Arial" w:hAnsi="Arial" w:cs="Arial"/>
          <w:lang w:val="en"/>
        </w:rPr>
      </w:pPr>
      <w:r w:rsidRPr="00B04442">
        <w:rPr>
          <w:rFonts w:ascii="Arial" w:hAnsi="Arial" w:cs="Arial"/>
          <w:lang w:val="en"/>
        </w:rPr>
        <w:t>In order to develop successful employee engagement strategies, any policies and practices will make use of a range of good people management and learning and development practices. These should include focusing on employee motivation and well-being, and helping employees understand their contribution to the overall purpose, objectives and culture of an organisation.</w:t>
      </w:r>
    </w:p>
    <w:p w14:paraId="758303D0" w14:textId="55D78A12" w:rsidR="00F92108" w:rsidRPr="00B04442" w:rsidRDefault="00FB5F66" w:rsidP="00F92108">
      <w:pPr>
        <w:pStyle w:val="NormalWeb"/>
        <w:rPr>
          <w:rFonts w:ascii="Arial" w:hAnsi="Arial" w:cs="Arial"/>
          <w:lang w:val="en"/>
        </w:rPr>
      </w:pPr>
      <w:r w:rsidRPr="00B04442">
        <w:rPr>
          <w:rFonts w:ascii="Arial" w:hAnsi="Arial" w:cs="Arial"/>
          <w:lang w:val="en"/>
        </w:rPr>
        <w:t>(CIPD, 2019</w:t>
      </w:r>
      <w:r w:rsidR="003F43BD" w:rsidRPr="00B04442">
        <w:rPr>
          <w:rFonts w:ascii="Arial" w:hAnsi="Arial" w:cs="Arial"/>
          <w:lang w:val="en"/>
        </w:rPr>
        <w:t>a</w:t>
      </w:r>
      <w:r w:rsidRPr="00B04442">
        <w:rPr>
          <w:rFonts w:ascii="Arial" w:hAnsi="Arial" w:cs="Arial"/>
          <w:lang w:val="en"/>
        </w:rPr>
        <w:t xml:space="preserve">) refers to strategies </w:t>
      </w:r>
      <w:r w:rsidR="00F92108" w:rsidRPr="00B04442">
        <w:rPr>
          <w:rFonts w:ascii="Arial" w:hAnsi="Arial" w:cs="Arial"/>
          <w:lang w:val="en"/>
        </w:rPr>
        <w:t>be</w:t>
      </w:r>
      <w:r w:rsidRPr="00B04442">
        <w:rPr>
          <w:rFonts w:ascii="Arial" w:hAnsi="Arial" w:cs="Arial"/>
          <w:lang w:val="en"/>
        </w:rPr>
        <w:t>ing</w:t>
      </w:r>
      <w:r w:rsidR="00F92108" w:rsidRPr="00B04442">
        <w:rPr>
          <w:rFonts w:ascii="Arial" w:hAnsi="Arial" w:cs="Arial"/>
          <w:lang w:val="en"/>
        </w:rPr>
        <w:t xml:space="preserve"> aligned with HR policies and systems as well as being </w:t>
      </w:r>
      <w:r w:rsidRPr="00B04442">
        <w:rPr>
          <w:rFonts w:ascii="Arial" w:hAnsi="Arial" w:cs="Arial"/>
          <w:lang w:val="en"/>
        </w:rPr>
        <w:t xml:space="preserve">supported and </w:t>
      </w:r>
      <w:r w:rsidR="00F92108" w:rsidRPr="00B04442">
        <w:rPr>
          <w:rFonts w:ascii="Arial" w:hAnsi="Arial" w:cs="Arial"/>
          <w:lang w:val="en"/>
        </w:rPr>
        <w:t>communicated effectively to s</w:t>
      </w:r>
      <w:r w:rsidRPr="00B04442">
        <w:rPr>
          <w:rFonts w:ascii="Arial" w:hAnsi="Arial" w:cs="Arial"/>
          <w:lang w:val="en"/>
        </w:rPr>
        <w:t>enior leaders and line managers to adopt throughout the organisation.</w:t>
      </w:r>
    </w:p>
    <w:p w14:paraId="3F453210" w14:textId="7ACABA4D" w:rsidR="00F92108" w:rsidRPr="00B04442" w:rsidRDefault="00FB5F66" w:rsidP="00F92108">
      <w:pPr>
        <w:pStyle w:val="NormalWeb"/>
        <w:rPr>
          <w:rFonts w:ascii="Arial" w:hAnsi="Arial" w:cs="Arial"/>
          <w:lang w:val="en"/>
        </w:rPr>
      </w:pPr>
      <w:r w:rsidRPr="00B04442">
        <w:rPr>
          <w:rFonts w:ascii="Arial" w:hAnsi="Arial" w:cs="Arial"/>
          <w:lang w:val="en"/>
        </w:rPr>
        <w:lastRenderedPageBreak/>
        <w:t>It is clear that s</w:t>
      </w:r>
      <w:r w:rsidR="00F92108" w:rsidRPr="00B04442">
        <w:rPr>
          <w:rFonts w:ascii="Arial" w:hAnsi="Arial" w:cs="Arial"/>
          <w:lang w:val="en"/>
        </w:rPr>
        <w:t xml:space="preserve">ome employees will </w:t>
      </w:r>
      <w:r w:rsidRPr="00B04442">
        <w:rPr>
          <w:rFonts w:ascii="Arial" w:hAnsi="Arial" w:cs="Arial"/>
          <w:lang w:val="en"/>
        </w:rPr>
        <w:t xml:space="preserve">certainly be better </w:t>
      </w:r>
      <w:r w:rsidR="00F92108" w:rsidRPr="00B04442">
        <w:rPr>
          <w:rFonts w:ascii="Arial" w:hAnsi="Arial" w:cs="Arial"/>
          <w:lang w:val="en"/>
        </w:rPr>
        <w:t xml:space="preserve">engaged than others and </w:t>
      </w:r>
      <w:r w:rsidRPr="00B04442">
        <w:rPr>
          <w:rFonts w:ascii="Arial" w:hAnsi="Arial" w:cs="Arial"/>
          <w:lang w:val="en"/>
        </w:rPr>
        <w:t>an effective employee-job fit will also strongly</w:t>
      </w:r>
      <w:r w:rsidR="00F92108" w:rsidRPr="00B04442">
        <w:rPr>
          <w:rFonts w:ascii="Arial" w:hAnsi="Arial" w:cs="Arial"/>
          <w:lang w:val="en"/>
        </w:rPr>
        <w:t xml:space="preserve"> influence engagement. </w:t>
      </w:r>
      <w:r w:rsidRPr="00B04442">
        <w:rPr>
          <w:rFonts w:ascii="Arial" w:hAnsi="Arial" w:cs="Arial"/>
          <w:lang w:val="en"/>
        </w:rPr>
        <w:t>HR policies such as performance management, recruitment and induction are important practices for building an engaged, motivated workforce.</w:t>
      </w:r>
    </w:p>
    <w:p w14:paraId="3FAD92C3" w14:textId="4B60ED70" w:rsidR="00376277" w:rsidRPr="00B04442" w:rsidRDefault="00C352C3" w:rsidP="00BA3134">
      <w:pPr>
        <w:rPr>
          <w:rFonts w:ascii="Arial" w:hAnsi="Arial" w:cs="Arial"/>
          <w:sz w:val="24"/>
          <w:szCs w:val="24"/>
        </w:rPr>
      </w:pPr>
      <w:r w:rsidRPr="00B04442">
        <w:rPr>
          <w:rFonts w:ascii="Arial" w:hAnsi="Arial" w:cs="Arial"/>
          <w:sz w:val="24"/>
          <w:szCs w:val="24"/>
        </w:rPr>
        <w:t>(Bailey</w:t>
      </w:r>
      <w:r w:rsidR="00F22003" w:rsidRPr="00B04442">
        <w:rPr>
          <w:rFonts w:ascii="Arial" w:hAnsi="Arial" w:cs="Arial"/>
          <w:sz w:val="24"/>
          <w:szCs w:val="24"/>
        </w:rPr>
        <w:t xml:space="preserve"> at et, 2015) revealed that studies showed a positive link between engagement and a number of organisational performance outcomes, such as team performance, customer satisfaction and quality of work. Such outcomes will satisfy an organisation’s stakeholders. </w:t>
      </w:r>
    </w:p>
    <w:p w14:paraId="489AA2FD" w14:textId="015E563C" w:rsidR="00376277" w:rsidRPr="00B04442" w:rsidRDefault="002B4BA5" w:rsidP="00BA3134">
      <w:pPr>
        <w:rPr>
          <w:rFonts w:ascii="Arial" w:hAnsi="Arial" w:cs="Arial"/>
          <w:sz w:val="24"/>
          <w:szCs w:val="24"/>
        </w:rPr>
      </w:pPr>
      <w:r w:rsidRPr="00B04442">
        <w:rPr>
          <w:rFonts w:ascii="Arial" w:hAnsi="Arial" w:cs="Arial"/>
          <w:sz w:val="24"/>
          <w:szCs w:val="24"/>
        </w:rPr>
        <w:t xml:space="preserve">(Johns &amp; Ellis, 2016) argue that organisational commitment is a concept closely related to engagement as this is linked to the employee’s psychological attachment to the organisation. Although engagement can be referred to as the behaviour of an individual, it is largely recognised with performance, results and outcomes – all of which have an interest with stakeholders. </w:t>
      </w:r>
    </w:p>
    <w:p w14:paraId="1B1EF98A" w14:textId="42CAA49A" w:rsidR="002B4BA5" w:rsidRPr="00B04442" w:rsidRDefault="002B4BA5" w:rsidP="00BA3134">
      <w:pPr>
        <w:rPr>
          <w:rFonts w:ascii="Arial" w:hAnsi="Arial" w:cs="Arial"/>
          <w:sz w:val="24"/>
          <w:szCs w:val="24"/>
        </w:rPr>
      </w:pPr>
      <w:r w:rsidRPr="00B04442">
        <w:rPr>
          <w:rFonts w:ascii="Arial" w:hAnsi="Arial" w:cs="Arial"/>
          <w:sz w:val="24"/>
          <w:szCs w:val="24"/>
        </w:rPr>
        <w:t xml:space="preserve">It is argued that an engaged workforce are branded by low levels of tension </w:t>
      </w:r>
      <w:r w:rsidR="008035EE" w:rsidRPr="00B04442">
        <w:rPr>
          <w:rFonts w:ascii="Arial" w:hAnsi="Arial" w:cs="Arial"/>
          <w:sz w:val="24"/>
          <w:szCs w:val="24"/>
        </w:rPr>
        <w:t>and enjoy good mental and physical health.</w:t>
      </w:r>
    </w:p>
    <w:p w14:paraId="2684A06B" w14:textId="50BC4739" w:rsidR="00F420FB" w:rsidRPr="00B04442" w:rsidRDefault="008035EE" w:rsidP="00BA3134">
      <w:pPr>
        <w:rPr>
          <w:rFonts w:ascii="Arial" w:hAnsi="Arial" w:cs="Arial"/>
          <w:sz w:val="24"/>
          <w:szCs w:val="24"/>
        </w:rPr>
      </w:pPr>
      <w:r w:rsidRPr="00B04442">
        <w:rPr>
          <w:rFonts w:ascii="Arial" w:hAnsi="Arial" w:cs="Arial"/>
          <w:sz w:val="24"/>
          <w:szCs w:val="24"/>
        </w:rPr>
        <w:t xml:space="preserve">In 2005, large chain B&amp;Q stores revised their personnel and development strategies in order to better and sustain an engaged workforce. Such a strategy has saved the company millions on absenteeism and recruitment costs. This was implemented due to loss in sales in a single year and tackling employee engagement was perceived as essential for the company’s recovery. </w:t>
      </w:r>
      <w:r w:rsidR="00F420FB" w:rsidRPr="00B04442">
        <w:rPr>
          <w:rFonts w:ascii="Arial" w:hAnsi="Arial" w:cs="Arial"/>
          <w:sz w:val="24"/>
          <w:szCs w:val="24"/>
        </w:rPr>
        <w:t>All the workforce including Senior members were measured on performance using the Gallup Q12 instrument. It was identified that 26% of the workforce were disengaged and were given the opportunity to improve and pledge to the engagement drive or leave the company. By 2008, B&amp;Q was recognised worldwide for its employee engagement.</w:t>
      </w:r>
    </w:p>
    <w:p w14:paraId="44724858" w14:textId="74AF8835" w:rsidR="00F552F7" w:rsidRPr="00B04442" w:rsidRDefault="00F552F7" w:rsidP="00F552F7">
      <w:pPr>
        <w:rPr>
          <w:rFonts w:ascii="Arial" w:hAnsi="Arial" w:cs="Arial"/>
          <w:sz w:val="24"/>
          <w:szCs w:val="24"/>
        </w:rPr>
      </w:pPr>
    </w:p>
    <w:p w14:paraId="0D09623A" w14:textId="0AC6108C" w:rsidR="00F552F7" w:rsidRPr="00B04442" w:rsidRDefault="00F552F7" w:rsidP="00F552F7">
      <w:pPr>
        <w:pStyle w:val="ListParagraph"/>
        <w:numPr>
          <w:ilvl w:val="0"/>
          <w:numId w:val="16"/>
        </w:numPr>
        <w:rPr>
          <w:rFonts w:ascii="Arial" w:hAnsi="Arial" w:cs="Arial"/>
          <w:b/>
          <w:sz w:val="24"/>
          <w:szCs w:val="24"/>
        </w:rPr>
      </w:pPr>
      <w:r w:rsidRPr="00B04442">
        <w:rPr>
          <w:rFonts w:ascii="Arial" w:hAnsi="Arial" w:cs="Arial"/>
          <w:b/>
          <w:sz w:val="24"/>
          <w:szCs w:val="24"/>
        </w:rPr>
        <w:t>Summarise key sources of employee engagement related data, citing different examples.</w:t>
      </w:r>
    </w:p>
    <w:p w14:paraId="22C057F0" w14:textId="14743027" w:rsidR="00ED3BB4" w:rsidRPr="00B04442" w:rsidRDefault="00ED3BB4" w:rsidP="00BA3134">
      <w:pPr>
        <w:rPr>
          <w:rFonts w:ascii="Arial" w:hAnsi="Arial" w:cs="Arial"/>
          <w:sz w:val="24"/>
          <w:szCs w:val="24"/>
        </w:rPr>
      </w:pPr>
      <w:r w:rsidRPr="00B04442">
        <w:rPr>
          <w:rFonts w:ascii="Arial" w:hAnsi="Arial" w:cs="Arial"/>
          <w:sz w:val="24"/>
          <w:szCs w:val="24"/>
        </w:rPr>
        <w:t>(Lockey &amp; Wallace-Stephens, 2020) RSA report: a blueprint for good work refers to the impact of the current pandemic, COVID 19, on economic insecurities as well as labour market transforming technologies and the need for a blueprint social contract for good work.</w:t>
      </w:r>
      <w:r w:rsidR="00CB3ECC" w:rsidRPr="00B04442">
        <w:rPr>
          <w:rFonts w:ascii="Arial" w:hAnsi="Arial" w:cs="Arial"/>
          <w:sz w:val="24"/>
          <w:szCs w:val="24"/>
        </w:rPr>
        <w:t xml:space="preserve"> This contract is defined as the underlying rights and responsibilities associated with all organisations responsible for delivering work. </w:t>
      </w:r>
    </w:p>
    <w:p w14:paraId="6AD35FEE" w14:textId="15AFB5BD" w:rsidR="00ED3BB4" w:rsidRPr="00B04442" w:rsidRDefault="00CB3ECC" w:rsidP="00BA3134">
      <w:pPr>
        <w:rPr>
          <w:rFonts w:ascii="Arial" w:hAnsi="Arial" w:cs="Arial"/>
          <w:sz w:val="24"/>
          <w:szCs w:val="24"/>
        </w:rPr>
      </w:pPr>
      <w:r w:rsidRPr="00B04442">
        <w:rPr>
          <w:rFonts w:ascii="Arial" w:hAnsi="Arial" w:cs="Arial"/>
          <w:sz w:val="24"/>
          <w:szCs w:val="24"/>
        </w:rPr>
        <w:t xml:space="preserve">Research has identified </w:t>
      </w:r>
      <w:r w:rsidR="00ED3BB4" w:rsidRPr="00B04442">
        <w:rPr>
          <w:rFonts w:ascii="Arial" w:hAnsi="Arial" w:cs="Arial"/>
          <w:sz w:val="24"/>
          <w:szCs w:val="24"/>
        </w:rPr>
        <w:t>five good working practices that will encourage high levels</w:t>
      </w:r>
      <w:r w:rsidR="00C24191" w:rsidRPr="00B04442">
        <w:rPr>
          <w:rFonts w:ascii="Arial" w:hAnsi="Arial" w:cs="Arial"/>
          <w:sz w:val="24"/>
          <w:szCs w:val="24"/>
        </w:rPr>
        <w:t xml:space="preserve"> of employee engagement at a time of uncertainty.</w:t>
      </w:r>
      <w:r w:rsidR="00ED3BB4" w:rsidRPr="00B04442">
        <w:rPr>
          <w:rFonts w:ascii="Arial" w:hAnsi="Arial" w:cs="Arial"/>
          <w:sz w:val="24"/>
          <w:szCs w:val="24"/>
        </w:rPr>
        <w:t xml:space="preserve"> These being:</w:t>
      </w:r>
    </w:p>
    <w:p w14:paraId="16FC6AD4" w14:textId="0B4BE769" w:rsidR="00ED3BB4" w:rsidRPr="00B04442" w:rsidRDefault="00ED3BB4" w:rsidP="00ED3BB4">
      <w:pPr>
        <w:pStyle w:val="ListParagraph"/>
        <w:numPr>
          <w:ilvl w:val="0"/>
          <w:numId w:val="21"/>
        </w:numPr>
        <w:rPr>
          <w:rFonts w:ascii="Arial" w:hAnsi="Arial" w:cs="Arial"/>
          <w:sz w:val="24"/>
          <w:szCs w:val="24"/>
        </w:rPr>
      </w:pPr>
      <w:r w:rsidRPr="00B04442">
        <w:rPr>
          <w:rFonts w:ascii="Arial" w:hAnsi="Arial" w:cs="Arial"/>
          <w:sz w:val="24"/>
          <w:szCs w:val="24"/>
        </w:rPr>
        <w:t>Security</w:t>
      </w:r>
    </w:p>
    <w:p w14:paraId="41B9ADC3" w14:textId="2471C4E6" w:rsidR="00ED3BB4" w:rsidRPr="00B04442" w:rsidRDefault="00ED3BB4" w:rsidP="00ED3BB4">
      <w:pPr>
        <w:pStyle w:val="ListParagraph"/>
        <w:numPr>
          <w:ilvl w:val="0"/>
          <w:numId w:val="21"/>
        </w:numPr>
        <w:rPr>
          <w:rFonts w:ascii="Arial" w:hAnsi="Arial" w:cs="Arial"/>
          <w:sz w:val="24"/>
          <w:szCs w:val="24"/>
        </w:rPr>
      </w:pPr>
      <w:r w:rsidRPr="00B04442">
        <w:rPr>
          <w:rFonts w:ascii="Arial" w:hAnsi="Arial" w:cs="Arial"/>
          <w:sz w:val="24"/>
          <w:szCs w:val="24"/>
        </w:rPr>
        <w:t>Wellbeing</w:t>
      </w:r>
    </w:p>
    <w:p w14:paraId="3B9B834C" w14:textId="19A7D2D5" w:rsidR="00ED3BB4" w:rsidRPr="00B04442" w:rsidRDefault="00ED3BB4" w:rsidP="00ED3BB4">
      <w:pPr>
        <w:pStyle w:val="ListParagraph"/>
        <w:numPr>
          <w:ilvl w:val="0"/>
          <w:numId w:val="21"/>
        </w:numPr>
        <w:rPr>
          <w:rFonts w:ascii="Arial" w:hAnsi="Arial" w:cs="Arial"/>
          <w:sz w:val="24"/>
          <w:szCs w:val="24"/>
        </w:rPr>
      </w:pPr>
      <w:r w:rsidRPr="00B04442">
        <w:rPr>
          <w:rFonts w:ascii="Arial" w:hAnsi="Arial" w:cs="Arial"/>
          <w:sz w:val="24"/>
          <w:szCs w:val="24"/>
        </w:rPr>
        <w:t>Growth</w:t>
      </w:r>
    </w:p>
    <w:p w14:paraId="70E79262" w14:textId="712EB512" w:rsidR="00ED3BB4" w:rsidRPr="00B04442" w:rsidRDefault="00ED3BB4" w:rsidP="00ED3BB4">
      <w:pPr>
        <w:pStyle w:val="ListParagraph"/>
        <w:numPr>
          <w:ilvl w:val="0"/>
          <w:numId w:val="21"/>
        </w:numPr>
        <w:rPr>
          <w:rFonts w:ascii="Arial" w:hAnsi="Arial" w:cs="Arial"/>
          <w:sz w:val="24"/>
          <w:szCs w:val="24"/>
        </w:rPr>
      </w:pPr>
      <w:r w:rsidRPr="00B04442">
        <w:rPr>
          <w:rFonts w:ascii="Arial" w:hAnsi="Arial" w:cs="Arial"/>
          <w:sz w:val="24"/>
          <w:szCs w:val="24"/>
        </w:rPr>
        <w:t xml:space="preserve">Freedom </w:t>
      </w:r>
    </w:p>
    <w:p w14:paraId="27E57AB6" w14:textId="3A544B1F" w:rsidR="00ED3BB4" w:rsidRPr="00B04442" w:rsidRDefault="00ED3BB4" w:rsidP="00ED3BB4">
      <w:pPr>
        <w:pStyle w:val="ListParagraph"/>
        <w:numPr>
          <w:ilvl w:val="0"/>
          <w:numId w:val="21"/>
        </w:numPr>
        <w:rPr>
          <w:rFonts w:ascii="Arial" w:hAnsi="Arial" w:cs="Arial"/>
          <w:sz w:val="24"/>
          <w:szCs w:val="24"/>
        </w:rPr>
      </w:pPr>
      <w:r w:rsidRPr="00B04442">
        <w:rPr>
          <w:rFonts w:ascii="Arial" w:hAnsi="Arial" w:cs="Arial"/>
          <w:sz w:val="24"/>
          <w:szCs w:val="24"/>
        </w:rPr>
        <w:t>Subjective nurture</w:t>
      </w:r>
    </w:p>
    <w:p w14:paraId="4ED2AD64" w14:textId="5951CBE6" w:rsidR="00ED3BB4" w:rsidRPr="00B04442" w:rsidRDefault="00C24191" w:rsidP="00ED3BB4">
      <w:pPr>
        <w:rPr>
          <w:rFonts w:ascii="Arial" w:hAnsi="Arial" w:cs="Arial"/>
          <w:sz w:val="24"/>
          <w:szCs w:val="24"/>
        </w:rPr>
      </w:pPr>
      <w:r w:rsidRPr="00B04442">
        <w:rPr>
          <w:rFonts w:ascii="Arial" w:hAnsi="Arial" w:cs="Arial"/>
          <w:sz w:val="24"/>
          <w:szCs w:val="24"/>
        </w:rPr>
        <w:t>(CIPD, 2020)</w:t>
      </w:r>
      <w:r w:rsidRPr="00B04442">
        <w:rPr>
          <w:rFonts w:ascii="Arial" w:hAnsi="Arial" w:cs="Arial"/>
          <w:sz w:val="24"/>
          <w:szCs w:val="24"/>
        </w:rPr>
        <w:tab/>
        <w:t xml:space="preserve"> Labour market outlook report highlights the challenges that employers face as a result of the pandemic, COVID 19. </w:t>
      </w:r>
      <w:r w:rsidR="001E75CE" w:rsidRPr="00B04442">
        <w:rPr>
          <w:rFonts w:ascii="Arial" w:hAnsi="Arial" w:cs="Arial"/>
          <w:sz w:val="24"/>
          <w:szCs w:val="24"/>
        </w:rPr>
        <w:t xml:space="preserve">Shrinking job markets has resulted in an increase in redundancies and a reduction on recruitment drive over the next three </w:t>
      </w:r>
      <w:r w:rsidR="001E75CE" w:rsidRPr="00B04442">
        <w:rPr>
          <w:rFonts w:ascii="Arial" w:hAnsi="Arial" w:cs="Arial"/>
          <w:sz w:val="24"/>
          <w:szCs w:val="24"/>
        </w:rPr>
        <w:lastRenderedPageBreak/>
        <w:t xml:space="preserve">months. A survey conducted using the views of employers has recorded </w:t>
      </w:r>
      <w:r w:rsidR="009A05B7" w:rsidRPr="00B04442">
        <w:rPr>
          <w:rFonts w:ascii="Arial" w:hAnsi="Arial" w:cs="Arial"/>
          <w:sz w:val="24"/>
          <w:szCs w:val="24"/>
        </w:rPr>
        <w:t xml:space="preserve">the lowest figure for employment intentions which measures the difference between proportion of employers who expect to increase staffing numbers and those who expect to decrease.  This highlights the uncertainty that organisations are facing economically. </w:t>
      </w:r>
    </w:p>
    <w:p w14:paraId="7FBB052B" w14:textId="3CF86F1E" w:rsidR="00DE6760" w:rsidRPr="00B04442" w:rsidRDefault="009A05B7" w:rsidP="00ED3BB4">
      <w:pPr>
        <w:rPr>
          <w:rFonts w:ascii="Arial" w:hAnsi="Arial" w:cs="Arial"/>
          <w:sz w:val="24"/>
          <w:szCs w:val="24"/>
        </w:rPr>
      </w:pPr>
      <w:r w:rsidRPr="00B04442">
        <w:rPr>
          <w:rFonts w:ascii="Arial" w:hAnsi="Arial" w:cs="Arial"/>
          <w:sz w:val="24"/>
          <w:szCs w:val="24"/>
        </w:rPr>
        <w:t xml:space="preserve">The survey reported an increase in redundancy intentions, with at least 33% of employers are planning to make redundancies in the next three months (up to September 2020). Recruitment intentions have increased slightly </w:t>
      </w:r>
      <w:r w:rsidR="00DE6760" w:rsidRPr="00B04442">
        <w:rPr>
          <w:rFonts w:ascii="Arial" w:hAnsi="Arial" w:cs="Arial"/>
          <w:sz w:val="24"/>
          <w:szCs w:val="24"/>
        </w:rPr>
        <w:t>but remain far behind from previous surveys conducted prior to the current pandemic and economic uncertainty remains very much high with many employers considering the prospect of introducing a 12 month pay freeze.</w:t>
      </w:r>
    </w:p>
    <w:p w14:paraId="42B2AE6D" w14:textId="5D17E84A" w:rsidR="00DE6760" w:rsidRPr="00B04442" w:rsidRDefault="00DE6760" w:rsidP="00ED3BB4">
      <w:pPr>
        <w:rPr>
          <w:rFonts w:ascii="Arial" w:hAnsi="Arial" w:cs="Arial"/>
          <w:sz w:val="24"/>
          <w:szCs w:val="24"/>
        </w:rPr>
      </w:pPr>
      <w:r w:rsidRPr="00B04442">
        <w:rPr>
          <w:rFonts w:ascii="Arial" w:hAnsi="Arial" w:cs="Arial"/>
          <w:sz w:val="24"/>
          <w:szCs w:val="24"/>
        </w:rPr>
        <w:t>These impacts will have a diverse effect on employee engagement within any organisation.</w:t>
      </w:r>
    </w:p>
    <w:p w14:paraId="40DFCCBB" w14:textId="3FE1C098" w:rsidR="00FD55AC" w:rsidRPr="00B04442" w:rsidRDefault="00DE6760" w:rsidP="00ED3BB4">
      <w:pPr>
        <w:rPr>
          <w:rFonts w:ascii="Arial" w:hAnsi="Arial" w:cs="Arial"/>
          <w:sz w:val="24"/>
          <w:szCs w:val="24"/>
        </w:rPr>
      </w:pPr>
      <w:r w:rsidRPr="00B04442">
        <w:rPr>
          <w:rFonts w:ascii="Arial" w:hAnsi="Arial" w:cs="Arial"/>
          <w:sz w:val="24"/>
          <w:szCs w:val="24"/>
        </w:rPr>
        <w:t xml:space="preserve">(Bulow, 2019) refers to employee engagement </w:t>
      </w:r>
      <w:r w:rsidR="00FD55AC" w:rsidRPr="00B04442">
        <w:rPr>
          <w:rFonts w:ascii="Arial" w:hAnsi="Arial" w:cs="Arial"/>
          <w:sz w:val="24"/>
          <w:szCs w:val="24"/>
        </w:rPr>
        <w:t xml:space="preserve">being the biggest challenge for any HR professional in 2019 according to a survey. A survey conducted with 423 respondents, being UK HR directors, managers and executives, found that 40% determined that engagement was a major issue. </w:t>
      </w:r>
    </w:p>
    <w:p w14:paraId="0A8B29A4" w14:textId="15D3CDC5" w:rsidR="00FD55AC" w:rsidRPr="00B04442" w:rsidRDefault="00FD55AC" w:rsidP="00ED3BB4">
      <w:pPr>
        <w:rPr>
          <w:rFonts w:ascii="Arial" w:hAnsi="Arial" w:cs="Arial"/>
          <w:sz w:val="24"/>
          <w:szCs w:val="24"/>
        </w:rPr>
      </w:pPr>
      <w:r w:rsidRPr="00B04442">
        <w:rPr>
          <w:rFonts w:ascii="Arial" w:hAnsi="Arial" w:cs="Arial"/>
          <w:sz w:val="24"/>
          <w:szCs w:val="24"/>
        </w:rPr>
        <w:t>(Bulow, 2019) referred to key areas that an organisation should consider to improve engagement:</w:t>
      </w:r>
    </w:p>
    <w:p w14:paraId="7989B4E3" w14:textId="2459A742" w:rsidR="00FD55AC" w:rsidRPr="00B04442" w:rsidRDefault="00FD55AC" w:rsidP="00FD55AC">
      <w:pPr>
        <w:pStyle w:val="ListParagraph"/>
        <w:numPr>
          <w:ilvl w:val="0"/>
          <w:numId w:val="22"/>
        </w:numPr>
        <w:rPr>
          <w:rFonts w:ascii="Arial" w:hAnsi="Arial" w:cs="Arial"/>
          <w:sz w:val="24"/>
          <w:szCs w:val="24"/>
        </w:rPr>
      </w:pPr>
      <w:r w:rsidRPr="00B04442">
        <w:rPr>
          <w:rFonts w:ascii="Arial" w:hAnsi="Arial" w:cs="Arial"/>
          <w:sz w:val="24"/>
          <w:szCs w:val="24"/>
        </w:rPr>
        <w:t xml:space="preserve">Display empathy </w:t>
      </w:r>
    </w:p>
    <w:p w14:paraId="1E725FAD" w14:textId="1D8AF7F7" w:rsidR="00FD55AC" w:rsidRPr="00B04442" w:rsidRDefault="00FD55AC" w:rsidP="00FD55AC">
      <w:pPr>
        <w:pStyle w:val="ListParagraph"/>
        <w:numPr>
          <w:ilvl w:val="0"/>
          <w:numId w:val="22"/>
        </w:numPr>
        <w:rPr>
          <w:rFonts w:ascii="Arial" w:hAnsi="Arial" w:cs="Arial"/>
          <w:sz w:val="24"/>
          <w:szCs w:val="24"/>
        </w:rPr>
      </w:pPr>
      <w:r w:rsidRPr="00B04442">
        <w:rPr>
          <w:rFonts w:ascii="Arial" w:hAnsi="Arial" w:cs="Arial"/>
          <w:sz w:val="24"/>
          <w:szCs w:val="24"/>
        </w:rPr>
        <w:t xml:space="preserve">Employee recognition </w:t>
      </w:r>
    </w:p>
    <w:p w14:paraId="7757726E" w14:textId="42C188E3" w:rsidR="00FD55AC" w:rsidRPr="00B04442" w:rsidRDefault="00FD55AC" w:rsidP="00FD55AC">
      <w:pPr>
        <w:pStyle w:val="ListParagraph"/>
        <w:numPr>
          <w:ilvl w:val="0"/>
          <w:numId w:val="22"/>
        </w:numPr>
        <w:rPr>
          <w:rFonts w:ascii="Arial" w:hAnsi="Arial" w:cs="Arial"/>
          <w:sz w:val="24"/>
          <w:szCs w:val="24"/>
        </w:rPr>
      </w:pPr>
      <w:r w:rsidRPr="00B04442">
        <w:rPr>
          <w:rFonts w:ascii="Arial" w:hAnsi="Arial" w:cs="Arial"/>
          <w:sz w:val="24"/>
          <w:szCs w:val="24"/>
        </w:rPr>
        <w:t>Promote training for career development</w:t>
      </w:r>
    </w:p>
    <w:p w14:paraId="2F4A0E16" w14:textId="20C28BB0" w:rsidR="00FD55AC" w:rsidRPr="00B04442" w:rsidRDefault="00FD55AC" w:rsidP="00FD55AC">
      <w:pPr>
        <w:pStyle w:val="ListParagraph"/>
        <w:numPr>
          <w:ilvl w:val="0"/>
          <w:numId w:val="22"/>
        </w:numPr>
        <w:rPr>
          <w:rFonts w:ascii="Arial" w:hAnsi="Arial" w:cs="Arial"/>
          <w:sz w:val="24"/>
          <w:szCs w:val="24"/>
        </w:rPr>
      </w:pPr>
      <w:r w:rsidRPr="00B04442">
        <w:rPr>
          <w:rFonts w:ascii="Arial" w:hAnsi="Arial" w:cs="Arial"/>
          <w:sz w:val="24"/>
          <w:szCs w:val="24"/>
        </w:rPr>
        <w:t>Wellbeing training</w:t>
      </w:r>
    </w:p>
    <w:p w14:paraId="6275B554" w14:textId="109339B0" w:rsidR="00FD55AC" w:rsidRPr="00B04442" w:rsidRDefault="00FD55AC" w:rsidP="00FD55AC">
      <w:pPr>
        <w:pStyle w:val="ListParagraph"/>
        <w:numPr>
          <w:ilvl w:val="0"/>
          <w:numId w:val="22"/>
        </w:numPr>
        <w:rPr>
          <w:rFonts w:ascii="Arial" w:hAnsi="Arial" w:cs="Arial"/>
          <w:sz w:val="24"/>
          <w:szCs w:val="24"/>
        </w:rPr>
      </w:pPr>
      <w:r w:rsidRPr="00B04442">
        <w:rPr>
          <w:rFonts w:ascii="Arial" w:hAnsi="Arial" w:cs="Arial"/>
          <w:sz w:val="24"/>
          <w:szCs w:val="24"/>
        </w:rPr>
        <w:t>Social activities</w:t>
      </w:r>
    </w:p>
    <w:p w14:paraId="626EDFDE" w14:textId="4EBA4920" w:rsidR="00FD55AC" w:rsidRPr="00B04442" w:rsidRDefault="00FD55AC" w:rsidP="00FD55AC">
      <w:pPr>
        <w:pStyle w:val="ListParagraph"/>
        <w:numPr>
          <w:ilvl w:val="0"/>
          <w:numId w:val="22"/>
        </w:numPr>
        <w:rPr>
          <w:rFonts w:ascii="Arial" w:hAnsi="Arial" w:cs="Arial"/>
          <w:sz w:val="24"/>
          <w:szCs w:val="24"/>
        </w:rPr>
      </w:pPr>
      <w:r w:rsidRPr="00B04442">
        <w:rPr>
          <w:rFonts w:ascii="Arial" w:hAnsi="Arial" w:cs="Arial"/>
          <w:sz w:val="24"/>
          <w:szCs w:val="24"/>
        </w:rPr>
        <w:t>Lead by example</w:t>
      </w:r>
    </w:p>
    <w:p w14:paraId="4B35B667" w14:textId="013E44BC" w:rsidR="00FD55AC" w:rsidRPr="00B04442" w:rsidRDefault="00FD55AC" w:rsidP="00FD55AC">
      <w:pPr>
        <w:pStyle w:val="ListParagraph"/>
        <w:numPr>
          <w:ilvl w:val="0"/>
          <w:numId w:val="22"/>
        </w:numPr>
        <w:rPr>
          <w:rFonts w:ascii="Arial" w:hAnsi="Arial" w:cs="Arial"/>
          <w:sz w:val="24"/>
          <w:szCs w:val="24"/>
        </w:rPr>
      </w:pPr>
      <w:r w:rsidRPr="00B04442">
        <w:rPr>
          <w:rFonts w:ascii="Arial" w:hAnsi="Arial" w:cs="Arial"/>
          <w:sz w:val="24"/>
          <w:szCs w:val="24"/>
        </w:rPr>
        <w:t>Offer flexible working</w:t>
      </w:r>
    </w:p>
    <w:p w14:paraId="4CDF89F5" w14:textId="5C6940F1" w:rsidR="00FD55AC" w:rsidRPr="00B04442" w:rsidRDefault="00FD55AC" w:rsidP="00FD55AC">
      <w:pPr>
        <w:pStyle w:val="ListParagraph"/>
        <w:numPr>
          <w:ilvl w:val="0"/>
          <w:numId w:val="22"/>
        </w:numPr>
        <w:rPr>
          <w:rFonts w:ascii="Arial" w:hAnsi="Arial" w:cs="Arial"/>
          <w:sz w:val="24"/>
          <w:szCs w:val="24"/>
        </w:rPr>
      </w:pPr>
      <w:r w:rsidRPr="00B04442">
        <w:rPr>
          <w:rFonts w:ascii="Arial" w:hAnsi="Arial" w:cs="Arial"/>
          <w:sz w:val="24"/>
          <w:szCs w:val="24"/>
        </w:rPr>
        <w:t>Empower employees</w:t>
      </w:r>
    </w:p>
    <w:p w14:paraId="0EB7EA14" w14:textId="53DEE9D1" w:rsidR="00376277" w:rsidRPr="00B04442" w:rsidRDefault="00B96594" w:rsidP="00BA3134">
      <w:pPr>
        <w:rPr>
          <w:rFonts w:ascii="Arial" w:hAnsi="Arial" w:cs="Arial"/>
          <w:sz w:val="24"/>
          <w:szCs w:val="24"/>
        </w:rPr>
      </w:pPr>
      <w:r w:rsidRPr="00B04442">
        <w:rPr>
          <w:rFonts w:ascii="Arial" w:hAnsi="Arial" w:cs="Arial"/>
          <w:sz w:val="24"/>
          <w:szCs w:val="24"/>
        </w:rPr>
        <w:t>More so than ever, employees will continue to feel engaged if they are regularly communicated too and kept informed regarding organisational decisions during this ongoing pandemic situation.</w:t>
      </w:r>
    </w:p>
    <w:p w14:paraId="378FB283" w14:textId="7231B0EC" w:rsidR="00F11F4F" w:rsidRPr="00B04442" w:rsidRDefault="00B04442" w:rsidP="000C3EFB">
      <w:pPr>
        <w:pStyle w:val="NormalWeb"/>
        <w:rPr>
          <w:rFonts w:ascii="Arial" w:hAnsi="Arial" w:cs="Arial"/>
        </w:rPr>
      </w:pPr>
      <w:sdt>
        <w:sdtPr>
          <w:rPr>
            <w:rFonts w:ascii="Arial" w:hAnsi="Arial" w:cs="Arial"/>
            <w:b/>
          </w:rPr>
          <w:id w:val="-1831676508"/>
          <w:citation/>
        </w:sdtPr>
        <w:sdtEndPr/>
        <w:sdtContent>
          <w:r w:rsidR="000C3EFB" w:rsidRPr="00B04442">
            <w:rPr>
              <w:rFonts w:ascii="Arial" w:hAnsi="Arial" w:cs="Arial"/>
              <w:b/>
            </w:rPr>
            <w:fldChar w:fldCharType="begin"/>
          </w:r>
          <w:r w:rsidR="000C3EFB" w:rsidRPr="00B04442">
            <w:rPr>
              <w:rFonts w:ascii="Arial" w:hAnsi="Arial" w:cs="Arial"/>
              <w:b/>
            </w:rPr>
            <w:instrText xml:space="preserve"> CITATION Mac12 \l 2057 </w:instrText>
          </w:r>
          <w:r w:rsidR="000C3EFB" w:rsidRPr="00B04442">
            <w:rPr>
              <w:rFonts w:ascii="Arial" w:hAnsi="Arial" w:cs="Arial"/>
              <w:b/>
            </w:rPr>
            <w:fldChar w:fldCharType="separate"/>
          </w:r>
          <w:r w:rsidR="000C3EFB" w:rsidRPr="00B04442">
            <w:rPr>
              <w:rFonts w:ascii="Arial" w:hAnsi="Arial" w:cs="Arial"/>
              <w:noProof/>
            </w:rPr>
            <w:t>(MacLeod &amp; Clarke, The Four Enablers of Engagement, 2012)</w:t>
          </w:r>
          <w:r w:rsidR="000C3EFB" w:rsidRPr="00B04442">
            <w:rPr>
              <w:rFonts w:ascii="Arial" w:hAnsi="Arial" w:cs="Arial"/>
              <w:b/>
            </w:rPr>
            <w:fldChar w:fldCharType="end"/>
          </w:r>
        </w:sdtContent>
      </w:sdt>
      <w:r w:rsidR="000C3EFB" w:rsidRPr="00B04442">
        <w:rPr>
          <w:rFonts w:ascii="Arial" w:hAnsi="Arial" w:cs="Arial"/>
        </w:rPr>
        <w:t xml:space="preserve"> R</w:t>
      </w:r>
      <w:r w:rsidR="008C36CF" w:rsidRPr="00B04442">
        <w:rPr>
          <w:rFonts w:ascii="Arial" w:hAnsi="Arial" w:cs="Arial"/>
        </w:rPr>
        <w:t>esearch</w:t>
      </w:r>
      <w:r w:rsidR="000C3EFB" w:rsidRPr="00B04442">
        <w:rPr>
          <w:rFonts w:ascii="Arial" w:hAnsi="Arial" w:cs="Arial"/>
        </w:rPr>
        <w:t>:</w:t>
      </w:r>
      <w:r w:rsidR="008C36CF" w:rsidRPr="00B04442">
        <w:rPr>
          <w:rFonts w:ascii="Arial" w:hAnsi="Arial" w:cs="Arial"/>
        </w:rPr>
        <w:t xml:space="preserve"> engage for success, referred to the importance of the four enablers to successful engagement. Those organisations that had a highly engaged workforce had</w:t>
      </w:r>
      <w:r w:rsidR="00F11F4F" w:rsidRPr="00B04442">
        <w:rPr>
          <w:rFonts w:ascii="Arial" w:hAnsi="Arial" w:cs="Arial"/>
        </w:rPr>
        <w:t>:</w:t>
      </w:r>
    </w:p>
    <w:p w14:paraId="79002524" w14:textId="3C194C1E" w:rsidR="00F11F4F" w:rsidRPr="00B04442" w:rsidRDefault="008C36CF" w:rsidP="00BA3134">
      <w:pPr>
        <w:rPr>
          <w:rFonts w:ascii="Arial" w:hAnsi="Arial" w:cs="Arial"/>
          <w:sz w:val="24"/>
          <w:szCs w:val="24"/>
        </w:rPr>
      </w:pPr>
      <w:r w:rsidRPr="00B04442">
        <w:rPr>
          <w:rFonts w:ascii="Arial" w:hAnsi="Arial" w:cs="Arial"/>
          <w:i/>
          <w:sz w:val="24"/>
          <w:szCs w:val="24"/>
        </w:rPr>
        <w:t>A strategic narrative</w:t>
      </w:r>
      <w:r w:rsidRPr="00B04442">
        <w:rPr>
          <w:rFonts w:ascii="Arial" w:hAnsi="Arial" w:cs="Arial"/>
          <w:sz w:val="24"/>
          <w:szCs w:val="24"/>
        </w:rPr>
        <w:t xml:space="preserve"> – where the organisation has come from and where it intends to be in the future through common language. Gives an employee a purpose and inspiration to conduct their role</w:t>
      </w:r>
      <w:r w:rsidR="00F11F4F" w:rsidRPr="00B04442">
        <w:rPr>
          <w:rFonts w:ascii="Arial" w:hAnsi="Arial" w:cs="Arial"/>
          <w:sz w:val="24"/>
          <w:szCs w:val="24"/>
        </w:rPr>
        <w:t>.</w:t>
      </w:r>
      <w:r w:rsidRPr="00B04442">
        <w:rPr>
          <w:rFonts w:ascii="Arial" w:hAnsi="Arial" w:cs="Arial"/>
          <w:sz w:val="24"/>
          <w:szCs w:val="24"/>
        </w:rPr>
        <w:t xml:space="preserve"> </w:t>
      </w:r>
    </w:p>
    <w:p w14:paraId="63DED224" w14:textId="3B37E408" w:rsidR="00F11F4F" w:rsidRPr="00B04442" w:rsidRDefault="008C36CF" w:rsidP="00BA3134">
      <w:pPr>
        <w:rPr>
          <w:rFonts w:ascii="Arial" w:hAnsi="Arial" w:cs="Arial"/>
          <w:sz w:val="24"/>
          <w:szCs w:val="24"/>
        </w:rPr>
      </w:pPr>
      <w:r w:rsidRPr="00B04442">
        <w:rPr>
          <w:rFonts w:ascii="Arial" w:hAnsi="Arial" w:cs="Arial"/>
          <w:i/>
          <w:sz w:val="24"/>
          <w:szCs w:val="24"/>
        </w:rPr>
        <w:t>Engaging managers</w:t>
      </w:r>
      <w:r w:rsidRPr="00B04442">
        <w:rPr>
          <w:rFonts w:ascii="Arial" w:hAnsi="Arial" w:cs="Arial"/>
          <w:sz w:val="24"/>
          <w:szCs w:val="24"/>
        </w:rPr>
        <w:t xml:space="preserve"> </w:t>
      </w:r>
      <w:r w:rsidR="00F11F4F" w:rsidRPr="00B04442">
        <w:rPr>
          <w:rFonts w:ascii="Arial" w:hAnsi="Arial" w:cs="Arial"/>
          <w:sz w:val="24"/>
          <w:szCs w:val="24"/>
        </w:rPr>
        <w:t>–</w:t>
      </w:r>
      <w:r w:rsidRPr="00B04442">
        <w:rPr>
          <w:rFonts w:ascii="Arial" w:hAnsi="Arial" w:cs="Arial"/>
          <w:sz w:val="24"/>
          <w:szCs w:val="24"/>
        </w:rPr>
        <w:t xml:space="preserve"> </w:t>
      </w:r>
      <w:r w:rsidR="00F11F4F" w:rsidRPr="00B04442">
        <w:rPr>
          <w:rFonts w:ascii="Arial" w:hAnsi="Arial" w:cs="Arial"/>
          <w:sz w:val="24"/>
          <w:szCs w:val="24"/>
        </w:rPr>
        <w:t xml:space="preserve">employee is made clear of their success in their role, given scope to take a lead in role and bring creative and energy that will harness. Good working relationship, treated individually will produce better work. Coaching alone is found in the most successful organisations. Informally coaching employees at least once a week. </w:t>
      </w:r>
    </w:p>
    <w:p w14:paraId="432BE110" w14:textId="163604DA" w:rsidR="00F11F4F" w:rsidRPr="00B04442" w:rsidRDefault="00F11F4F" w:rsidP="00BA3134">
      <w:pPr>
        <w:rPr>
          <w:rFonts w:ascii="Arial" w:hAnsi="Arial" w:cs="Arial"/>
          <w:sz w:val="24"/>
          <w:szCs w:val="24"/>
        </w:rPr>
      </w:pPr>
      <w:r w:rsidRPr="00B04442">
        <w:rPr>
          <w:rFonts w:ascii="Arial" w:hAnsi="Arial" w:cs="Arial"/>
          <w:i/>
          <w:sz w:val="24"/>
          <w:szCs w:val="24"/>
        </w:rPr>
        <w:lastRenderedPageBreak/>
        <w:t>Employee voice</w:t>
      </w:r>
      <w:r w:rsidRPr="00B04442">
        <w:rPr>
          <w:rFonts w:ascii="Arial" w:hAnsi="Arial" w:cs="Arial"/>
          <w:sz w:val="24"/>
          <w:szCs w:val="24"/>
        </w:rPr>
        <w:t xml:space="preserve"> – promote a constant flow of ideas, energy from all members, develop trust and allow individuals to be part of a solution not problem. </w:t>
      </w:r>
    </w:p>
    <w:p w14:paraId="34F2974C" w14:textId="5349E750" w:rsidR="000C3EFB" w:rsidRPr="00B04442" w:rsidRDefault="00F11F4F" w:rsidP="00BA3134">
      <w:pPr>
        <w:rPr>
          <w:rFonts w:ascii="Arial" w:hAnsi="Arial" w:cs="Arial"/>
          <w:sz w:val="24"/>
          <w:szCs w:val="24"/>
        </w:rPr>
      </w:pPr>
      <w:r w:rsidRPr="00B04442">
        <w:rPr>
          <w:rFonts w:ascii="Arial" w:hAnsi="Arial" w:cs="Arial"/>
          <w:i/>
          <w:sz w:val="24"/>
          <w:szCs w:val="24"/>
        </w:rPr>
        <w:t>Integrity</w:t>
      </w:r>
      <w:r w:rsidRPr="00B04442">
        <w:rPr>
          <w:rFonts w:ascii="Arial" w:hAnsi="Arial" w:cs="Arial"/>
          <w:sz w:val="24"/>
          <w:szCs w:val="24"/>
        </w:rPr>
        <w:t xml:space="preserve"> </w:t>
      </w:r>
      <w:r w:rsidR="000C3EFB" w:rsidRPr="00B04442">
        <w:rPr>
          <w:rFonts w:ascii="Arial" w:hAnsi="Arial" w:cs="Arial"/>
          <w:sz w:val="24"/>
          <w:szCs w:val="24"/>
        </w:rPr>
        <w:t>–</w:t>
      </w:r>
      <w:r w:rsidRPr="00B04442">
        <w:rPr>
          <w:rFonts w:ascii="Arial" w:hAnsi="Arial" w:cs="Arial"/>
          <w:sz w:val="24"/>
          <w:szCs w:val="24"/>
        </w:rPr>
        <w:t xml:space="preserve"> </w:t>
      </w:r>
      <w:r w:rsidR="000C3EFB" w:rsidRPr="00B04442">
        <w:rPr>
          <w:rFonts w:ascii="Arial" w:hAnsi="Arial" w:cs="Arial"/>
          <w:sz w:val="24"/>
          <w:szCs w:val="24"/>
        </w:rPr>
        <w:t xml:space="preserve">organisation are committed to their values and reflected in day to day behaviours. </w:t>
      </w:r>
    </w:p>
    <w:p w14:paraId="154F62D4" w14:textId="218F2321" w:rsidR="000C3EFB" w:rsidRPr="00B04442" w:rsidRDefault="000C3EFB" w:rsidP="00BA3134">
      <w:pPr>
        <w:rPr>
          <w:rFonts w:ascii="Arial" w:hAnsi="Arial" w:cs="Arial"/>
          <w:sz w:val="24"/>
          <w:szCs w:val="24"/>
        </w:rPr>
      </w:pPr>
    </w:p>
    <w:p w14:paraId="0B4377BE" w14:textId="6C28DE60" w:rsidR="000C3EFB" w:rsidRPr="00B04442" w:rsidRDefault="000C3EFB" w:rsidP="000C3EFB">
      <w:pPr>
        <w:pStyle w:val="ListParagraph"/>
        <w:numPr>
          <w:ilvl w:val="0"/>
          <w:numId w:val="16"/>
        </w:numPr>
        <w:rPr>
          <w:rFonts w:ascii="Arial" w:hAnsi="Arial" w:cs="Arial"/>
          <w:sz w:val="24"/>
          <w:szCs w:val="24"/>
        </w:rPr>
      </w:pPr>
      <w:r w:rsidRPr="00B04442">
        <w:rPr>
          <w:rFonts w:ascii="Arial" w:hAnsi="Arial" w:cs="Arial"/>
          <w:b/>
          <w:sz w:val="24"/>
          <w:szCs w:val="24"/>
        </w:rPr>
        <w:t>Outline the findings of recent studies on employee engagement, including the extent to which gender, demographic and other factors influence levels of engagement.</w:t>
      </w:r>
      <w:r w:rsidRPr="00B04442">
        <w:rPr>
          <w:rFonts w:ascii="Arial" w:hAnsi="Arial" w:cs="Arial"/>
          <w:sz w:val="24"/>
          <w:szCs w:val="24"/>
        </w:rPr>
        <w:t xml:space="preserve">  </w:t>
      </w:r>
    </w:p>
    <w:p w14:paraId="2FD068AC" w14:textId="77777777" w:rsidR="000906FF" w:rsidRPr="00B04442" w:rsidRDefault="008E0A3B" w:rsidP="00BA3134">
      <w:pPr>
        <w:rPr>
          <w:rFonts w:ascii="Arial" w:hAnsi="Arial" w:cs="Arial"/>
          <w:sz w:val="24"/>
          <w:szCs w:val="24"/>
        </w:rPr>
      </w:pPr>
      <w:r w:rsidRPr="00B04442">
        <w:rPr>
          <w:rFonts w:ascii="Arial" w:hAnsi="Arial" w:cs="Arial"/>
          <w:sz w:val="24"/>
          <w:szCs w:val="24"/>
        </w:rPr>
        <w:t xml:space="preserve">(Thomas, 2018) refers to </w:t>
      </w:r>
      <w:r w:rsidR="00731D19" w:rsidRPr="00B04442">
        <w:rPr>
          <w:rFonts w:ascii="Arial" w:hAnsi="Arial" w:cs="Arial"/>
          <w:sz w:val="24"/>
          <w:szCs w:val="24"/>
        </w:rPr>
        <w:t xml:space="preserve">there being </w:t>
      </w:r>
      <w:r w:rsidRPr="00B04442">
        <w:rPr>
          <w:rFonts w:ascii="Arial" w:hAnsi="Arial" w:cs="Arial"/>
          <w:sz w:val="24"/>
          <w:szCs w:val="24"/>
        </w:rPr>
        <w:t xml:space="preserve">a number of factors and how these can adversely affect employee engagement within an organisation. </w:t>
      </w:r>
      <w:r w:rsidR="00E06137" w:rsidRPr="00B04442">
        <w:rPr>
          <w:rFonts w:ascii="Arial" w:hAnsi="Arial" w:cs="Arial"/>
          <w:sz w:val="24"/>
          <w:szCs w:val="24"/>
        </w:rPr>
        <w:t xml:space="preserve">He argues that high employee engagement is not simply related </w:t>
      </w:r>
      <w:r w:rsidR="000906FF" w:rsidRPr="00B04442">
        <w:rPr>
          <w:rFonts w:ascii="Arial" w:hAnsi="Arial" w:cs="Arial"/>
          <w:sz w:val="24"/>
          <w:szCs w:val="24"/>
        </w:rPr>
        <w:t xml:space="preserve">to how successful an </w:t>
      </w:r>
      <w:r w:rsidR="00E06137" w:rsidRPr="00B04442">
        <w:rPr>
          <w:rFonts w:ascii="Arial" w:hAnsi="Arial" w:cs="Arial"/>
          <w:sz w:val="24"/>
          <w:szCs w:val="24"/>
        </w:rPr>
        <w:t xml:space="preserve">organisations </w:t>
      </w:r>
      <w:r w:rsidR="000906FF" w:rsidRPr="00B04442">
        <w:rPr>
          <w:rFonts w:ascii="Arial" w:hAnsi="Arial" w:cs="Arial"/>
          <w:sz w:val="24"/>
          <w:szCs w:val="24"/>
        </w:rPr>
        <w:t xml:space="preserve">engagement strategy is, or how well this is implemented by managers. </w:t>
      </w:r>
    </w:p>
    <w:p w14:paraId="3CEE8552" w14:textId="77777777" w:rsidR="000906FF" w:rsidRPr="00B04442" w:rsidRDefault="000906FF" w:rsidP="00BA3134">
      <w:pPr>
        <w:rPr>
          <w:rFonts w:ascii="Arial" w:hAnsi="Arial" w:cs="Arial"/>
          <w:sz w:val="24"/>
          <w:szCs w:val="24"/>
        </w:rPr>
      </w:pPr>
      <w:r w:rsidRPr="00B04442">
        <w:rPr>
          <w:rFonts w:ascii="Arial" w:hAnsi="Arial" w:cs="Arial"/>
          <w:sz w:val="24"/>
          <w:szCs w:val="24"/>
        </w:rPr>
        <w:t>Factors can include demographic variations such as length of service and age. Although many factors are subjective based on individual circumstances and history, research has identified some links when comparing engagement levels between individuals.</w:t>
      </w:r>
    </w:p>
    <w:p w14:paraId="32163FF6" w14:textId="014AB1AD" w:rsidR="00F362FC" w:rsidRPr="00B04442" w:rsidRDefault="000906FF" w:rsidP="00BA3134">
      <w:pPr>
        <w:rPr>
          <w:rFonts w:ascii="Arial" w:hAnsi="Arial" w:cs="Arial"/>
          <w:sz w:val="24"/>
          <w:szCs w:val="24"/>
        </w:rPr>
      </w:pPr>
      <w:r w:rsidRPr="00B04442">
        <w:rPr>
          <w:rFonts w:ascii="Arial" w:hAnsi="Arial" w:cs="Arial"/>
          <w:sz w:val="24"/>
          <w:szCs w:val="24"/>
        </w:rPr>
        <w:t>It is argued that generational differences such as those employees born since 1980 are more likely to be the least engaged</w:t>
      </w:r>
      <w:r w:rsidR="00F362FC" w:rsidRPr="00B04442">
        <w:rPr>
          <w:rFonts w:ascii="Arial" w:hAnsi="Arial" w:cs="Arial"/>
          <w:sz w:val="24"/>
          <w:szCs w:val="24"/>
        </w:rPr>
        <w:t xml:space="preserve"> at the workplace wit</w:t>
      </w:r>
      <w:r w:rsidR="00912320" w:rsidRPr="00B04442">
        <w:rPr>
          <w:rFonts w:ascii="Arial" w:hAnsi="Arial" w:cs="Arial"/>
          <w:sz w:val="24"/>
          <w:szCs w:val="24"/>
        </w:rPr>
        <w:t xml:space="preserve">h around 25% in </w:t>
      </w:r>
      <w:r w:rsidR="00F362FC" w:rsidRPr="00B04442">
        <w:rPr>
          <w:rFonts w:ascii="Arial" w:hAnsi="Arial" w:cs="Arial"/>
          <w:sz w:val="24"/>
          <w:szCs w:val="24"/>
        </w:rPr>
        <w:t>the world. There are a number of factors for this such as low levels o</w:t>
      </w:r>
      <w:r w:rsidR="00912320" w:rsidRPr="00B04442">
        <w:rPr>
          <w:rFonts w:ascii="Arial" w:hAnsi="Arial" w:cs="Arial"/>
          <w:sz w:val="24"/>
          <w:szCs w:val="24"/>
        </w:rPr>
        <w:t>f seniority as well as a differentiation in</w:t>
      </w:r>
      <w:r w:rsidR="00F362FC" w:rsidRPr="00B04442">
        <w:rPr>
          <w:rFonts w:ascii="Arial" w:hAnsi="Arial" w:cs="Arial"/>
          <w:sz w:val="24"/>
          <w:szCs w:val="24"/>
        </w:rPr>
        <w:t xml:space="preserve"> work</w:t>
      </w:r>
      <w:r w:rsidR="00912320" w:rsidRPr="00B04442">
        <w:rPr>
          <w:rFonts w:ascii="Arial" w:hAnsi="Arial" w:cs="Arial"/>
          <w:sz w:val="24"/>
          <w:szCs w:val="24"/>
        </w:rPr>
        <w:t>ing</w:t>
      </w:r>
      <w:r w:rsidR="00F362FC" w:rsidRPr="00B04442">
        <w:rPr>
          <w:rFonts w:ascii="Arial" w:hAnsi="Arial" w:cs="Arial"/>
          <w:sz w:val="24"/>
          <w:szCs w:val="24"/>
        </w:rPr>
        <w:t xml:space="preserve"> attitudes. </w:t>
      </w:r>
    </w:p>
    <w:p w14:paraId="2DEB4D8A" w14:textId="77777777" w:rsidR="00F362FC" w:rsidRPr="00B04442" w:rsidRDefault="00F362FC" w:rsidP="00BA3134">
      <w:pPr>
        <w:rPr>
          <w:rFonts w:ascii="Arial" w:hAnsi="Arial" w:cs="Arial"/>
          <w:sz w:val="24"/>
          <w:szCs w:val="24"/>
        </w:rPr>
      </w:pPr>
      <w:r w:rsidRPr="00B04442">
        <w:rPr>
          <w:rFonts w:ascii="Arial" w:hAnsi="Arial" w:cs="Arial"/>
          <w:sz w:val="24"/>
          <w:szCs w:val="24"/>
        </w:rPr>
        <w:t>Another factor for engagement can relate to the organisation’s approach to work-life balance. Those more agile working businesses promoting flexible working and an increase in technological use, allows employees to have a different expectation of how work and work-life balance is met.</w:t>
      </w:r>
    </w:p>
    <w:p w14:paraId="2E962E99" w14:textId="68CD6CD9" w:rsidR="008E0A3B" w:rsidRPr="00B04442" w:rsidRDefault="00F362FC" w:rsidP="00BA3134">
      <w:pPr>
        <w:rPr>
          <w:rFonts w:ascii="Arial" w:hAnsi="Arial" w:cs="Arial"/>
          <w:sz w:val="24"/>
          <w:szCs w:val="24"/>
        </w:rPr>
      </w:pPr>
      <w:r w:rsidRPr="00B04442">
        <w:rPr>
          <w:rFonts w:ascii="Arial" w:hAnsi="Arial" w:cs="Arial"/>
          <w:sz w:val="24"/>
          <w:szCs w:val="24"/>
        </w:rPr>
        <w:t>There is no clear research to suggest that industry sectors, such as private and public, have an impact on the businesses engagement levels. However, there is evidence that there are differences in engagement between individual organisations within these sectors.</w:t>
      </w:r>
      <w:r w:rsidR="000906FF" w:rsidRPr="00B04442">
        <w:rPr>
          <w:rFonts w:ascii="Arial" w:hAnsi="Arial" w:cs="Arial"/>
          <w:sz w:val="24"/>
          <w:szCs w:val="24"/>
        </w:rPr>
        <w:t xml:space="preserve"> </w:t>
      </w:r>
    </w:p>
    <w:p w14:paraId="55FB9FC4" w14:textId="2DF86A65" w:rsidR="00AE1458" w:rsidRPr="00B04442" w:rsidRDefault="003F43BD" w:rsidP="00AE1458">
      <w:pPr>
        <w:autoSpaceDE w:val="0"/>
        <w:autoSpaceDN w:val="0"/>
        <w:adjustRightInd w:val="0"/>
        <w:spacing w:after="0" w:line="240" w:lineRule="auto"/>
        <w:rPr>
          <w:rFonts w:ascii="Arial" w:hAnsi="Arial" w:cs="Arial"/>
          <w:sz w:val="24"/>
          <w:szCs w:val="24"/>
        </w:rPr>
      </w:pPr>
      <w:r w:rsidRPr="00B04442">
        <w:rPr>
          <w:rFonts w:ascii="Arial" w:hAnsi="Arial" w:cs="Arial"/>
          <w:sz w:val="24"/>
          <w:szCs w:val="24"/>
        </w:rPr>
        <w:t>(CIPD, 2019b) article published</w:t>
      </w:r>
      <w:r w:rsidR="00560213" w:rsidRPr="00B04442">
        <w:rPr>
          <w:rFonts w:ascii="Arial" w:hAnsi="Arial" w:cs="Arial"/>
          <w:sz w:val="24"/>
          <w:szCs w:val="24"/>
        </w:rPr>
        <w:t xml:space="preserve"> in November 2019</w:t>
      </w:r>
      <w:r w:rsidRPr="00B04442">
        <w:rPr>
          <w:rFonts w:ascii="Arial" w:hAnsi="Arial" w:cs="Arial"/>
          <w:sz w:val="24"/>
          <w:szCs w:val="24"/>
        </w:rPr>
        <w:t xml:space="preserve"> based on research from the Office for National Statistics (ONS) </w:t>
      </w:r>
      <w:r w:rsidR="00B03782" w:rsidRPr="00B04442">
        <w:rPr>
          <w:rFonts w:ascii="Arial" w:hAnsi="Arial" w:cs="Arial"/>
          <w:sz w:val="24"/>
          <w:szCs w:val="24"/>
        </w:rPr>
        <w:t xml:space="preserve">found that 69% of women were satisfied with quality of work compared to 65% for men. </w:t>
      </w:r>
      <w:r w:rsidR="00AE1458" w:rsidRPr="00B04442">
        <w:rPr>
          <w:rFonts w:ascii="Arial" w:hAnsi="Arial" w:cs="Arial"/>
          <w:sz w:val="24"/>
          <w:szCs w:val="24"/>
        </w:rPr>
        <w:t xml:space="preserve">According to (Gulzar &amp; Teli, 2018) there are a number of differences between genders in relation to how engagement in one role is related to engagement in another role. Whilst a male may experience enhancement from work to family, females experience lessening from work to family. </w:t>
      </w:r>
    </w:p>
    <w:p w14:paraId="289123DB" w14:textId="77777777" w:rsidR="00AE1458" w:rsidRPr="00B04442" w:rsidRDefault="00AE1458" w:rsidP="00AE1458">
      <w:pPr>
        <w:autoSpaceDE w:val="0"/>
        <w:autoSpaceDN w:val="0"/>
        <w:adjustRightInd w:val="0"/>
        <w:spacing w:after="0" w:line="240" w:lineRule="auto"/>
        <w:rPr>
          <w:rFonts w:ascii="Arial" w:hAnsi="Arial" w:cs="Arial"/>
          <w:sz w:val="24"/>
          <w:szCs w:val="24"/>
        </w:rPr>
      </w:pPr>
    </w:p>
    <w:p w14:paraId="08E8CAE8" w14:textId="205265EC" w:rsidR="00AE1458" w:rsidRPr="00B04442" w:rsidRDefault="00AE1458" w:rsidP="00AE1458">
      <w:pPr>
        <w:autoSpaceDE w:val="0"/>
        <w:autoSpaceDN w:val="0"/>
        <w:adjustRightInd w:val="0"/>
        <w:spacing w:after="0" w:line="240" w:lineRule="auto"/>
        <w:rPr>
          <w:rFonts w:ascii="Arial" w:hAnsi="Arial" w:cs="Arial"/>
          <w:sz w:val="24"/>
          <w:szCs w:val="24"/>
        </w:rPr>
      </w:pPr>
      <w:r w:rsidRPr="00B04442">
        <w:rPr>
          <w:rFonts w:ascii="Arial" w:hAnsi="Arial" w:cs="Arial"/>
          <w:sz w:val="24"/>
          <w:szCs w:val="24"/>
        </w:rPr>
        <w:t>Equally, whilst a female may experience enrichment from family to work, a male does not experience links from family to work. Therefore, gender differences will influence the level of engagement among male and female employees. Gallup’s US</w:t>
      </w:r>
    </w:p>
    <w:p w14:paraId="1984B2F2" w14:textId="1752602F" w:rsidR="00AE1458" w:rsidRPr="00B04442" w:rsidRDefault="00AE1458" w:rsidP="00AE1458">
      <w:pPr>
        <w:autoSpaceDE w:val="0"/>
        <w:autoSpaceDN w:val="0"/>
        <w:adjustRightInd w:val="0"/>
        <w:spacing w:after="0" w:line="240" w:lineRule="auto"/>
        <w:rPr>
          <w:rFonts w:ascii="Arial" w:eastAsia="Times New Roman" w:hAnsi="Arial" w:cs="Arial"/>
          <w:bCs/>
          <w:sz w:val="24"/>
          <w:szCs w:val="24"/>
          <w:lang w:eastAsia="en-GB"/>
        </w:rPr>
      </w:pPr>
      <w:r w:rsidRPr="00B04442">
        <w:rPr>
          <w:rFonts w:ascii="Arial" w:hAnsi="Arial" w:cs="Arial"/>
          <w:sz w:val="24"/>
          <w:szCs w:val="24"/>
        </w:rPr>
        <w:t>Research found that women tend to find more fulfilment in their jobs and as a result of which are more engaged than men.</w:t>
      </w:r>
    </w:p>
    <w:p w14:paraId="60530B43" w14:textId="4B300AE0" w:rsidR="00AE1458" w:rsidRPr="00B04442" w:rsidRDefault="00AE1458" w:rsidP="00BA3134">
      <w:pPr>
        <w:rPr>
          <w:rFonts w:ascii="Arial" w:hAnsi="Arial" w:cs="Arial"/>
          <w:sz w:val="24"/>
          <w:szCs w:val="24"/>
        </w:rPr>
      </w:pPr>
    </w:p>
    <w:p w14:paraId="5756F51C" w14:textId="06AE1B1E" w:rsidR="00B03782" w:rsidRPr="00B04442" w:rsidRDefault="00B03782" w:rsidP="00BA3134">
      <w:pPr>
        <w:rPr>
          <w:rFonts w:ascii="Arial" w:eastAsia="Times New Roman" w:hAnsi="Arial" w:cs="Arial"/>
          <w:b/>
          <w:bCs/>
          <w:sz w:val="24"/>
          <w:szCs w:val="24"/>
          <w:lang w:eastAsia="en-GB"/>
        </w:rPr>
      </w:pPr>
      <w:r w:rsidRPr="00B04442">
        <w:rPr>
          <w:rFonts w:ascii="Arial" w:hAnsi="Arial" w:cs="Arial"/>
          <w:sz w:val="24"/>
          <w:szCs w:val="24"/>
        </w:rPr>
        <w:lastRenderedPageBreak/>
        <w:t>Those e</w:t>
      </w:r>
      <w:r w:rsidRPr="00B04442">
        <w:rPr>
          <w:rFonts w:ascii="Arial" w:eastAsia="Times New Roman" w:hAnsi="Arial" w:cs="Arial"/>
          <w:bCs/>
          <w:sz w:val="24"/>
          <w:szCs w:val="24"/>
          <w:lang w:eastAsia="en-GB"/>
        </w:rPr>
        <w:t>mployees who are recognised as ethnically Chinese or Indian were the most likely ethnic groups to have quality work, followed by employees who identified as ethnically White.</w:t>
      </w:r>
      <w:r w:rsidRPr="00B04442">
        <w:rPr>
          <w:rFonts w:ascii="Arial" w:eastAsia="Times New Roman" w:hAnsi="Arial" w:cs="Arial"/>
          <w:b/>
          <w:bCs/>
          <w:sz w:val="24"/>
          <w:szCs w:val="24"/>
          <w:lang w:eastAsia="en-GB"/>
        </w:rPr>
        <w:t> </w:t>
      </w:r>
    </w:p>
    <w:p w14:paraId="72755BC0" w14:textId="756DFDF3" w:rsidR="00560213" w:rsidRPr="00B04442" w:rsidRDefault="00560213" w:rsidP="00BA3134">
      <w:pPr>
        <w:rPr>
          <w:rFonts w:ascii="Arial" w:eastAsia="Times New Roman" w:hAnsi="Arial" w:cs="Arial"/>
          <w:bCs/>
          <w:sz w:val="24"/>
          <w:szCs w:val="24"/>
          <w:lang w:eastAsia="en-GB"/>
        </w:rPr>
      </w:pPr>
      <w:r w:rsidRPr="00B04442">
        <w:rPr>
          <w:rFonts w:ascii="Arial" w:eastAsia="Times New Roman" w:hAnsi="Arial" w:cs="Arial"/>
          <w:bCs/>
          <w:sz w:val="24"/>
          <w:szCs w:val="24"/>
          <w:lang w:eastAsia="en-GB"/>
        </w:rPr>
        <w:t>Those employees who have a level of educational attainment of a degree or equivalent were also found to have a better quality of work. Only 7% of UK employees were found to be in low-pay employment, of which, the majority were aged between 16 and 24 and the highest paid being between the ages of 35-44.</w:t>
      </w:r>
    </w:p>
    <w:p w14:paraId="1177D7D6" w14:textId="1C8A75FF" w:rsidR="00376277" w:rsidRPr="00B04442" w:rsidRDefault="00376277" w:rsidP="00BA3134">
      <w:pPr>
        <w:rPr>
          <w:rFonts w:ascii="Arial" w:hAnsi="Arial" w:cs="Arial"/>
          <w:sz w:val="24"/>
          <w:szCs w:val="24"/>
        </w:rPr>
      </w:pPr>
    </w:p>
    <w:p w14:paraId="06DD7DA0" w14:textId="67C6D807" w:rsidR="00912320" w:rsidRPr="00B04442" w:rsidRDefault="00912320" w:rsidP="00912320">
      <w:pPr>
        <w:pStyle w:val="ListParagraph"/>
        <w:numPr>
          <w:ilvl w:val="0"/>
          <w:numId w:val="16"/>
        </w:numPr>
        <w:rPr>
          <w:rFonts w:ascii="Arial" w:hAnsi="Arial" w:cs="Arial"/>
          <w:b/>
          <w:sz w:val="24"/>
          <w:szCs w:val="24"/>
        </w:rPr>
      </w:pPr>
      <w:r w:rsidRPr="00B04442">
        <w:rPr>
          <w:rFonts w:ascii="Arial" w:hAnsi="Arial" w:cs="Arial"/>
          <w:b/>
          <w:sz w:val="24"/>
          <w:szCs w:val="24"/>
        </w:rPr>
        <w:t>Conclude with a balanced evaluative summary of the future of employee engagement.</w:t>
      </w:r>
    </w:p>
    <w:p w14:paraId="2E1E52AC" w14:textId="522EA304" w:rsidR="000433EC" w:rsidRPr="00B04442" w:rsidRDefault="008B6208" w:rsidP="00BA3134">
      <w:pPr>
        <w:rPr>
          <w:rFonts w:ascii="Arial" w:hAnsi="Arial" w:cs="Arial"/>
          <w:sz w:val="24"/>
          <w:szCs w:val="24"/>
        </w:rPr>
      </w:pPr>
      <w:r w:rsidRPr="00B04442">
        <w:rPr>
          <w:rFonts w:ascii="Arial" w:hAnsi="Arial" w:cs="Arial"/>
          <w:sz w:val="24"/>
          <w:szCs w:val="24"/>
        </w:rPr>
        <w:t xml:space="preserve">The current pandemic is disrupting the world and is dramatically shifting how people live, interact and work. (Gallup, 2020) </w:t>
      </w:r>
      <w:r w:rsidR="004909AC" w:rsidRPr="00B04442">
        <w:rPr>
          <w:rFonts w:ascii="Arial" w:hAnsi="Arial" w:cs="Arial"/>
          <w:sz w:val="24"/>
          <w:szCs w:val="24"/>
        </w:rPr>
        <w:t>refers to the future of engagement being i</w:t>
      </w:r>
      <w:r w:rsidRPr="00B04442">
        <w:rPr>
          <w:rFonts w:ascii="Arial" w:hAnsi="Arial" w:cs="Arial"/>
          <w:sz w:val="24"/>
          <w:szCs w:val="24"/>
        </w:rPr>
        <w:t>dentified</w:t>
      </w:r>
      <w:r w:rsidR="004909AC" w:rsidRPr="00B04442">
        <w:rPr>
          <w:rFonts w:ascii="Arial" w:hAnsi="Arial" w:cs="Arial"/>
          <w:sz w:val="24"/>
          <w:szCs w:val="24"/>
        </w:rPr>
        <w:t xml:space="preserve"> using</w:t>
      </w:r>
      <w:r w:rsidRPr="00B04442">
        <w:rPr>
          <w:rFonts w:ascii="Arial" w:hAnsi="Arial" w:cs="Arial"/>
          <w:sz w:val="24"/>
          <w:szCs w:val="24"/>
        </w:rPr>
        <w:t xml:space="preserve"> 12 </w:t>
      </w:r>
      <w:r w:rsidR="004909AC" w:rsidRPr="00B04442">
        <w:rPr>
          <w:rFonts w:ascii="Arial" w:hAnsi="Arial" w:cs="Arial"/>
          <w:sz w:val="24"/>
          <w:szCs w:val="24"/>
        </w:rPr>
        <w:t>elements, known as the Q12, which link</w:t>
      </w:r>
      <w:r w:rsidRPr="00B04442">
        <w:rPr>
          <w:rFonts w:ascii="Arial" w:hAnsi="Arial" w:cs="Arial"/>
          <w:sz w:val="24"/>
          <w:szCs w:val="24"/>
        </w:rPr>
        <w:t xml:space="preserve"> with key business objectives. These e</w:t>
      </w:r>
      <w:r w:rsidR="000433EC" w:rsidRPr="00B04442">
        <w:rPr>
          <w:rFonts w:ascii="Arial" w:hAnsi="Arial" w:cs="Arial"/>
          <w:sz w:val="24"/>
          <w:szCs w:val="24"/>
        </w:rPr>
        <w:t>lements have been identified to best predict employee and team performance:</w:t>
      </w:r>
    </w:p>
    <w:p w14:paraId="160FC969" w14:textId="77777777" w:rsidR="000433EC" w:rsidRPr="00B04442" w:rsidRDefault="000433EC" w:rsidP="000433EC">
      <w:pPr>
        <w:autoSpaceDE w:val="0"/>
        <w:autoSpaceDN w:val="0"/>
        <w:adjustRightInd w:val="0"/>
        <w:spacing w:after="0" w:line="240" w:lineRule="auto"/>
        <w:rPr>
          <w:rFonts w:ascii="Arial" w:hAnsi="Arial" w:cs="Arial"/>
          <w:i/>
          <w:sz w:val="24"/>
          <w:szCs w:val="24"/>
        </w:rPr>
      </w:pPr>
      <w:r w:rsidRPr="00B04442">
        <w:rPr>
          <w:rFonts w:ascii="Arial" w:hAnsi="Arial" w:cs="Arial"/>
          <w:i/>
          <w:sz w:val="24"/>
          <w:szCs w:val="24"/>
        </w:rPr>
        <w:t>1. Do you know what is expected of you at work?</w:t>
      </w:r>
    </w:p>
    <w:p w14:paraId="76AE8913" w14:textId="77777777" w:rsidR="000433EC" w:rsidRPr="00B04442" w:rsidRDefault="000433EC" w:rsidP="000433EC">
      <w:pPr>
        <w:autoSpaceDE w:val="0"/>
        <w:autoSpaceDN w:val="0"/>
        <w:adjustRightInd w:val="0"/>
        <w:spacing w:after="0" w:line="240" w:lineRule="auto"/>
        <w:rPr>
          <w:rFonts w:ascii="Arial" w:hAnsi="Arial" w:cs="Arial"/>
          <w:i/>
          <w:sz w:val="24"/>
          <w:szCs w:val="24"/>
        </w:rPr>
      </w:pPr>
      <w:r w:rsidRPr="00B04442">
        <w:rPr>
          <w:rFonts w:ascii="Arial" w:hAnsi="Arial" w:cs="Arial"/>
          <w:i/>
          <w:sz w:val="24"/>
          <w:szCs w:val="24"/>
        </w:rPr>
        <w:t>2. Do you have the materials and equipment to do your work right?</w:t>
      </w:r>
    </w:p>
    <w:p w14:paraId="20CD8621" w14:textId="77777777" w:rsidR="000433EC" w:rsidRPr="00B04442" w:rsidRDefault="000433EC" w:rsidP="000433EC">
      <w:pPr>
        <w:autoSpaceDE w:val="0"/>
        <w:autoSpaceDN w:val="0"/>
        <w:adjustRightInd w:val="0"/>
        <w:spacing w:after="0" w:line="240" w:lineRule="auto"/>
        <w:rPr>
          <w:rFonts w:ascii="Arial" w:hAnsi="Arial" w:cs="Arial"/>
          <w:i/>
          <w:sz w:val="24"/>
          <w:szCs w:val="24"/>
        </w:rPr>
      </w:pPr>
      <w:r w:rsidRPr="00B04442">
        <w:rPr>
          <w:rFonts w:ascii="Arial" w:hAnsi="Arial" w:cs="Arial"/>
          <w:i/>
          <w:sz w:val="24"/>
          <w:szCs w:val="24"/>
        </w:rPr>
        <w:t>3. At work, do you have the opportunity to do what you do best every day?</w:t>
      </w:r>
    </w:p>
    <w:p w14:paraId="0A2321EF" w14:textId="62AFAC1C" w:rsidR="000433EC" w:rsidRPr="00B04442" w:rsidRDefault="000433EC" w:rsidP="000433EC">
      <w:pPr>
        <w:autoSpaceDE w:val="0"/>
        <w:autoSpaceDN w:val="0"/>
        <w:adjustRightInd w:val="0"/>
        <w:spacing w:after="0" w:line="240" w:lineRule="auto"/>
        <w:rPr>
          <w:rFonts w:ascii="Arial" w:hAnsi="Arial" w:cs="Arial"/>
          <w:i/>
          <w:sz w:val="24"/>
          <w:szCs w:val="24"/>
        </w:rPr>
      </w:pPr>
      <w:r w:rsidRPr="00B04442">
        <w:rPr>
          <w:rFonts w:ascii="Arial" w:hAnsi="Arial" w:cs="Arial"/>
          <w:i/>
          <w:sz w:val="24"/>
          <w:szCs w:val="24"/>
        </w:rPr>
        <w:t>4. In the last seven days, have you received recognition or praise for doing good work?</w:t>
      </w:r>
    </w:p>
    <w:p w14:paraId="00D99323" w14:textId="77777777" w:rsidR="000433EC" w:rsidRPr="00B04442" w:rsidRDefault="000433EC" w:rsidP="000433EC">
      <w:pPr>
        <w:autoSpaceDE w:val="0"/>
        <w:autoSpaceDN w:val="0"/>
        <w:adjustRightInd w:val="0"/>
        <w:spacing w:after="0" w:line="240" w:lineRule="auto"/>
        <w:rPr>
          <w:rFonts w:ascii="Arial" w:hAnsi="Arial" w:cs="Arial"/>
          <w:i/>
          <w:sz w:val="24"/>
          <w:szCs w:val="24"/>
        </w:rPr>
      </w:pPr>
      <w:r w:rsidRPr="00B04442">
        <w:rPr>
          <w:rFonts w:ascii="Arial" w:hAnsi="Arial" w:cs="Arial"/>
          <w:i/>
          <w:sz w:val="24"/>
          <w:szCs w:val="24"/>
        </w:rPr>
        <w:t>5. Does your supervisor, or someone at work, seem to care about you as a person?</w:t>
      </w:r>
    </w:p>
    <w:p w14:paraId="35EE59DE" w14:textId="77777777" w:rsidR="000433EC" w:rsidRPr="00B04442" w:rsidRDefault="000433EC" w:rsidP="000433EC">
      <w:pPr>
        <w:autoSpaceDE w:val="0"/>
        <w:autoSpaceDN w:val="0"/>
        <w:adjustRightInd w:val="0"/>
        <w:spacing w:after="0" w:line="240" w:lineRule="auto"/>
        <w:rPr>
          <w:rFonts w:ascii="Arial" w:hAnsi="Arial" w:cs="Arial"/>
          <w:i/>
          <w:sz w:val="24"/>
          <w:szCs w:val="24"/>
        </w:rPr>
      </w:pPr>
      <w:r w:rsidRPr="00B04442">
        <w:rPr>
          <w:rFonts w:ascii="Arial" w:hAnsi="Arial" w:cs="Arial"/>
          <w:i/>
          <w:sz w:val="24"/>
          <w:szCs w:val="24"/>
        </w:rPr>
        <w:t>6. Is there someone at work who encourages your development?</w:t>
      </w:r>
    </w:p>
    <w:p w14:paraId="13FA5D50" w14:textId="77777777" w:rsidR="000433EC" w:rsidRPr="00B04442" w:rsidRDefault="000433EC" w:rsidP="000433EC">
      <w:pPr>
        <w:autoSpaceDE w:val="0"/>
        <w:autoSpaceDN w:val="0"/>
        <w:adjustRightInd w:val="0"/>
        <w:spacing w:after="0" w:line="240" w:lineRule="auto"/>
        <w:rPr>
          <w:rFonts w:ascii="Arial" w:hAnsi="Arial" w:cs="Arial"/>
          <w:i/>
          <w:sz w:val="24"/>
          <w:szCs w:val="24"/>
        </w:rPr>
      </w:pPr>
      <w:r w:rsidRPr="00B04442">
        <w:rPr>
          <w:rFonts w:ascii="Arial" w:hAnsi="Arial" w:cs="Arial"/>
          <w:i/>
          <w:sz w:val="24"/>
          <w:szCs w:val="24"/>
        </w:rPr>
        <w:t>7. At work, do your opinions seem to count?</w:t>
      </w:r>
    </w:p>
    <w:p w14:paraId="06DA85D5" w14:textId="77777777" w:rsidR="000433EC" w:rsidRPr="00B04442" w:rsidRDefault="000433EC" w:rsidP="000433EC">
      <w:pPr>
        <w:autoSpaceDE w:val="0"/>
        <w:autoSpaceDN w:val="0"/>
        <w:adjustRightInd w:val="0"/>
        <w:spacing w:after="0" w:line="240" w:lineRule="auto"/>
        <w:rPr>
          <w:rFonts w:ascii="Arial" w:hAnsi="Arial" w:cs="Arial"/>
          <w:i/>
          <w:sz w:val="24"/>
          <w:szCs w:val="24"/>
        </w:rPr>
      </w:pPr>
      <w:r w:rsidRPr="00B04442">
        <w:rPr>
          <w:rFonts w:ascii="Arial" w:hAnsi="Arial" w:cs="Arial"/>
          <w:i/>
          <w:sz w:val="24"/>
          <w:szCs w:val="24"/>
        </w:rPr>
        <w:t>8. Does the mission/purpose of your company make you feel your job is important?</w:t>
      </w:r>
    </w:p>
    <w:p w14:paraId="084CDF99" w14:textId="77777777" w:rsidR="000433EC" w:rsidRPr="00B04442" w:rsidRDefault="000433EC" w:rsidP="000433EC">
      <w:pPr>
        <w:autoSpaceDE w:val="0"/>
        <w:autoSpaceDN w:val="0"/>
        <w:adjustRightInd w:val="0"/>
        <w:spacing w:after="0" w:line="240" w:lineRule="auto"/>
        <w:rPr>
          <w:rFonts w:ascii="Arial" w:hAnsi="Arial" w:cs="Arial"/>
          <w:i/>
          <w:sz w:val="24"/>
          <w:szCs w:val="24"/>
        </w:rPr>
      </w:pPr>
      <w:r w:rsidRPr="00B04442">
        <w:rPr>
          <w:rFonts w:ascii="Arial" w:hAnsi="Arial" w:cs="Arial"/>
          <w:i/>
          <w:sz w:val="24"/>
          <w:szCs w:val="24"/>
        </w:rPr>
        <w:t>9. Are your associates (fellow employees) committed to doing quality work?</w:t>
      </w:r>
    </w:p>
    <w:p w14:paraId="082AB24C" w14:textId="78F58659" w:rsidR="000433EC" w:rsidRPr="00B04442" w:rsidRDefault="000433EC" w:rsidP="000433EC">
      <w:pPr>
        <w:autoSpaceDE w:val="0"/>
        <w:autoSpaceDN w:val="0"/>
        <w:adjustRightInd w:val="0"/>
        <w:spacing w:after="0" w:line="240" w:lineRule="auto"/>
        <w:rPr>
          <w:rFonts w:ascii="Arial" w:hAnsi="Arial" w:cs="Arial"/>
          <w:i/>
          <w:sz w:val="24"/>
          <w:szCs w:val="24"/>
        </w:rPr>
      </w:pPr>
      <w:r w:rsidRPr="00B04442">
        <w:rPr>
          <w:rFonts w:ascii="Arial" w:hAnsi="Arial" w:cs="Arial"/>
          <w:i/>
          <w:sz w:val="24"/>
          <w:szCs w:val="24"/>
        </w:rPr>
        <w:t>10. Do you have a best friend at work?</w:t>
      </w:r>
    </w:p>
    <w:p w14:paraId="4F9ECDE1" w14:textId="7E2FFBB0" w:rsidR="000433EC" w:rsidRPr="00B04442" w:rsidRDefault="000433EC" w:rsidP="000433EC">
      <w:pPr>
        <w:autoSpaceDE w:val="0"/>
        <w:autoSpaceDN w:val="0"/>
        <w:adjustRightInd w:val="0"/>
        <w:spacing w:after="0" w:line="240" w:lineRule="auto"/>
        <w:rPr>
          <w:rFonts w:ascii="Arial" w:hAnsi="Arial" w:cs="Arial"/>
          <w:i/>
          <w:sz w:val="24"/>
          <w:szCs w:val="24"/>
        </w:rPr>
      </w:pPr>
      <w:r w:rsidRPr="00B04442">
        <w:rPr>
          <w:rFonts w:ascii="Arial" w:hAnsi="Arial" w:cs="Arial"/>
          <w:i/>
          <w:sz w:val="24"/>
          <w:szCs w:val="24"/>
        </w:rPr>
        <w:t>11. In the last six months, has someone at work talked to you about your progress?</w:t>
      </w:r>
    </w:p>
    <w:p w14:paraId="6E4A46E8" w14:textId="729153F9" w:rsidR="0077595C" w:rsidRPr="00B04442" w:rsidRDefault="000433EC" w:rsidP="00BA3134">
      <w:pPr>
        <w:rPr>
          <w:rFonts w:ascii="Arial" w:hAnsi="Arial" w:cs="Arial"/>
          <w:i/>
          <w:sz w:val="24"/>
          <w:szCs w:val="24"/>
        </w:rPr>
      </w:pPr>
      <w:r w:rsidRPr="00B04442">
        <w:rPr>
          <w:rFonts w:ascii="Arial" w:hAnsi="Arial" w:cs="Arial"/>
          <w:i/>
          <w:sz w:val="24"/>
          <w:szCs w:val="24"/>
        </w:rPr>
        <w:t>12. In the last year, have you had opportunities to learn and grow?</w:t>
      </w:r>
    </w:p>
    <w:p w14:paraId="4C4F79C2" w14:textId="1F0AD58F" w:rsidR="004909AC" w:rsidRPr="00B04442" w:rsidRDefault="004909AC" w:rsidP="00BA3134">
      <w:pPr>
        <w:rPr>
          <w:rFonts w:ascii="Arial" w:hAnsi="Arial" w:cs="Arial"/>
          <w:sz w:val="24"/>
          <w:szCs w:val="24"/>
        </w:rPr>
      </w:pPr>
      <w:r w:rsidRPr="00B04442">
        <w:rPr>
          <w:rFonts w:ascii="Arial" w:hAnsi="Arial" w:cs="Arial"/>
          <w:sz w:val="24"/>
          <w:szCs w:val="24"/>
        </w:rPr>
        <w:t>Organisations can refer to th</w:t>
      </w:r>
      <w:r w:rsidR="00C96F4F" w:rsidRPr="00B04442">
        <w:rPr>
          <w:rFonts w:ascii="Arial" w:hAnsi="Arial" w:cs="Arial"/>
          <w:sz w:val="24"/>
          <w:szCs w:val="24"/>
        </w:rPr>
        <w:t xml:space="preserve">e above elements in order to incorporate engagement into </w:t>
      </w:r>
      <w:r w:rsidRPr="00B04442">
        <w:rPr>
          <w:rFonts w:ascii="Arial" w:hAnsi="Arial" w:cs="Arial"/>
          <w:sz w:val="24"/>
          <w:szCs w:val="24"/>
        </w:rPr>
        <w:t xml:space="preserve">future </w:t>
      </w:r>
      <w:r w:rsidR="00C96F4F" w:rsidRPr="00B04442">
        <w:rPr>
          <w:rFonts w:ascii="Arial" w:hAnsi="Arial" w:cs="Arial"/>
          <w:sz w:val="24"/>
          <w:szCs w:val="24"/>
        </w:rPr>
        <w:t>policies and practices</w:t>
      </w:r>
      <w:r w:rsidRPr="00B04442">
        <w:rPr>
          <w:rFonts w:ascii="Arial" w:hAnsi="Arial" w:cs="Arial"/>
          <w:sz w:val="24"/>
          <w:szCs w:val="24"/>
        </w:rPr>
        <w:t>.</w:t>
      </w:r>
    </w:p>
    <w:p w14:paraId="3CF95BE3" w14:textId="53C1118A" w:rsidR="004909AC" w:rsidRPr="00B04442" w:rsidRDefault="00334E42" w:rsidP="00BA3134">
      <w:pPr>
        <w:rPr>
          <w:rFonts w:ascii="Arial" w:hAnsi="Arial" w:cs="Arial"/>
          <w:sz w:val="24"/>
          <w:szCs w:val="24"/>
        </w:rPr>
      </w:pPr>
      <w:r w:rsidRPr="00B04442">
        <w:rPr>
          <w:rFonts w:ascii="Arial" w:hAnsi="Arial" w:cs="Arial"/>
          <w:sz w:val="24"/>
          <w:szCs w:val="24"/>
        </w:rPr>
        <w:t>(Timms, 2020) argues tha</w:t>
      </w:r>
      <w:r w:rsidR="00896FDF" w:rsidRPr="00B04442">
        <w:rPr>
          <w:rFonts w:ascii="Arial" w:hAnsi="Arial" w:cs="Arial"/>
          <w:sz w:val="24"/>
          <w:szCs w:val="24"/>
        </w:rPr>
        <w:t xml:space="preserve">t future </w:t>
      </w:r>
      <w:r w:rsidRPr="00B04442">
        <w:rPr>
          <w:rFonts w:ascii="Arial" w:hAnsi="Arial" w:cs="Arial"/>
          <w:sz w:val="24"/>
          <w:szCs w:val="24"/>
        </w:rPr>
        <w:t xml:space="preserve">businesses </w:t>
      </w:r>
      <w:r w:rsidR="00896FDF" w:rsidRPr="00B04442">
        <w:rPr>
          <w:rFonts w:ascii="Arial" w:hAnsi="Arial" w:cs="Arial"/>
          <w:sz w:val="24"/>
          <w:szCs w:val="24"/>
        </w:rPr>
        <w:t>will need to measure employee energy levels as he refers to the importance of the word that begins with “e” being energy and not engagement. He argues that energy is the key to sustainable performance as not only will it form good working relationships with customers and colleagues but plays a crucial role in wellbeing.</w:t>
      </w:r>
    </w:p>
    <w:p w14:paraId="069C3593" w14:textId="77777777" w:rsidR="00ED059D" w:rsidRPr="00B04442" w:rsidRDefault="00442EA4" w:rsidP="00BA3134">
      <w:pPr>
        <w:rPr>
          <w:rFonts w:ascii="Arial" w:hAnsi="Arial" w:cs="Arial"/>
          <w:sz w:val="24"/>
          <w:szCs w:val="24"/>
        </w:rPr>
      </w:pPr>
      <w:r w:rsidRPr="00B04442">
        <w:rPr>
          <w:rFonts w:ascii="Arial" w:hAnsi="Arial" w:cs="Arial"/>
          <w:sz w:val="24"/>
          <w:szCs w:val="24"/>
        </w:rPr>
        <w:t>The impact of the Coronavirus has shifted us to adapt immediately to home</w:t>
      </w:r>
      <w:r w:rsidR="00422F55" w:rsidRPr="00B04442">
        <w:rPr>
          <w:rFonts w:ascii="Arial" w:hAnsi="Arial" w:cs="Arial"/>
          <w:sz w:val="24"/>
          <w:szCs w:val="24"/>
        </w:rPr>
        <w:t xml:space="preserve"> working life which can create poor engagement</w:t>
      </w:r>
      <w:r w:rsidR="00DF2A55" w:rsidRPr="00B04442">
        <w:rPr>
          <w:rFonts w:ascii="Arial" w:hAnsi="Arial" w:cs="Arial"/>
          <w:sz w:val="24"/>
          <w:szCs w:val="24"/>
        </w:rPr>
        <w:t xml:space="preserve"> and affect wellbeing</w:t>
      </w:r>
      <w:r w:rsidR="00422F55" w:rsidRPr="00B04442">
        <w:rPr>
          <w:rFonts w:ascii="Arial" w:hAnsi="Arial" w:cs="Arial"/>
          <w:sz w:val="24"/>
          <w:szCs w:val="24"/>
        </w:rPr>
        <w:t>. More than ever, organisations are very much reliant on the trust</w:t>
      </w:r>
      <w:r w:rsidR="00DF2A55" w:rsidRPr="00B04442">
        <w:rPr>
          <w:rFonts w:ascii="Arial" w:hAnsi="Arial" w:cs="Arial"/>
          <w:sz w:val="24"/>
          <w:szCs w:val="24"/>
        </w:rPr>
        <w:t xml:space="preserve"> of their employees to produce </w:t>
      </w:r>
      <w:r w:rsidR="00422F55" w:rsidRPr="00B04442">
        <w:rPr>
          <w:rFonts w:ascii="Arial" w:hAnsi="Arial" w:cs="Arial"/>
          <w:sz w:val="24"/>
          <w:szCs w:val="24"/>
        </w:rPr>
        <w:t>levels of performance (Gartner, 2020) argues that how organisations manage a remote workforce will have a significant impact on both engagement and wellbeing.</w:t>
      </w:r>
    </w:p>
    <w:p w14:paraId="212D3E33" w14:textId="24079B1A" w:rsidR="00442EA4" w:rsidRPr="00B04442" w:rsidRDefault="00DF2A55" w:rsidP="00BA3134">
      <w:pPr>
        <w:rPr>
          <w:rFonts w:ascii="Arial" w:hAnsi="Arial" w:cs="Arial"/>
          <w:sz w:val="24"/>
          <w:szCs w:val="24"/>
        </w:rPr>
      </w:pPr>
      <w:r w:rsidRPr="00B04442">
        <w:rPr>
          <w:rFonts w:ascii="Arial" w:hAnsi="Arial" w:cs="Arial"/>
          <w:sz w:val="24"/>
          <w:szCs w:val="24"/>
        </w:rPr>
        <w:t>(Personnel Tod</w:t>
      </w:r>
      <w:r w:rsidR="00ED059D" w:rsidRPr="00B04442">
        <w:rPr>
          <w:rFonts w:ascii="Arial" w:hAnsi="Arial" w:cs="Arial"/>
          <w:sz w:val="24"/>
          <w:szCs w:val="24"/>
        </w:rPr>
        <w:t>ay, 2020) states that a</w:t>
      </w:r>
      <w:r w:rsidRPr="00B04442">
        <w:rPr>
          <w:rFonts w:ascii="Arial" w:hAnsi="Arial" w:cs="Arial"/>
          <w:sz w:val="24"/>
          <w:szCs w:val="24"/>
        </w:rPr>
        <w:t xml:space="preserve"> common iss</w:t>
      </w:r>
      <w:r w:rsidR="00ED059D" w:rsidRPr="00B04442">
        <w:rPr>
          <w:rFonts w:ascii="Arial" w:hAnsi="Arial" w:cs="Arial"/>
          <w:sz w:val="24"/>
          <w:szCs w:val="24"/>
        </w:rPr>
        <w:t>ue with home working is t</w:t>
      </w:r>
      <w:r w:rsidRPr="00B04442">
        <w:rPr>
          <w:rFonts w:ascii="Arial" w:hAnsi="Arial" w:cs="Arial"/>
          <w:sz w:val="24"/>
          <w:szCs w:val="24"/>
        </w:rPr>
        <w:t xml:space="preserve">he fear of employee social isolation with the workplace being regarded as a social environment. A lack in social interaction could affect job performance as well as </w:t>
      </w:r>
      <w:r w:rsidR="00ED059D" w:rsidRPr="00B04442">
        <w:rPr>
          <w:rFonts w:ascii="Arial" w:hAnsi="Arial" w:cs="Arial"/>
          <w:sz w:val="24"/>
          <w:szCs w:val="24"/>
        </w:rPr>
        <w:t xml:space="preserve">inter-team relationships. It is important that employers keep in regular contact with </w:t>
      </w:r>
      <w:r w:rsidR="00ED059D" w:rsidRPr="00B04442">
        <w:rPr>
          <w:rFonts w:ascii="Arial" w:hAnsi="Arial" w:cs="Arial"/>
          <w:sz w:val="24"/>
          <w:szCs w:val="24"/>
        </w:rPr>
        <w:lastRenderedPageBreak/>
        <w:t>their employees, not just to establish whether they are working, but encourage “social time” for a catch up.</w:t>
      </w:r>
    </w:p>
    <w:p w14:paraId="75EA1E25" w14:textId="77777777" w:rsidR="00422F55" w:rsidRPr="00B04442" w:rsidRDefault="00422F55" w:rsidP="00BA3134">
      <w:pPr>
        <w:rPr>
          <w:rFonts w:ascii="Arial" w:hAnsi="Arial" w:cs="Arial"/>
          <w:sz w:val="24"/>
          <w:szCs w:val="24"/>
        </w:rPr>
      </w:pPr>
    </w:p>
    <w:p w14:paraId="33D384AB" w14:textId="2F963399" w:rsidR="00C96F4F" w:rsidRPr="00B04442" w:rsidRDefault="00442EA4" w:rsidP="00BA3134">
      <w:pPr>
        <w:rPr>
          <w:rFonts w:ascii="Arial" w:hAnsi="Arial" w:cs="Arial"/>
          <w:sz w:val="24"/>
          <w:szCs w:val="24"/>
        </w:rPr>
      </w:pPr>
      <w:r w:rsidRPr="00B04442">
        <w:rPr>
          <w:rFonts w:ascii="Arial" w:hAnsi="Arial" w:cs="Arial"/>
          <w:sz w:val="24"/>
          <w:szCs w:val="24"/>
        </w:rPr>
        <w:t>It is clear that the future of work is mov</w:t>
      </w:r>
      <w:r w:rsidR="00113C52" w:rsidRPr="00B04442">
        <w:rPr>
          <w:rFonts w:ascii="Arial" w:hAnsi="Arial" w:cs="Arial"/>
          <w:sz w:val="24"/>
          <w:szCs w:val="24"/>
        </w:rPr>
        <w:t>ing to the world of automation with many organisations already adopting robot</w:t>
      </w:r>
      <w:r w:rsidR="00B04442" w:rsidRPr="00B04442">
        <w:rPr>
          <w:rFonts w:ascii="Arial" w:hAnsi="Arial" w:cs="Arial"/>
          <w:sz w:val="24"/>
          <w:szCs w:val="24"/>
        </w:rPr>
        <w:t>ic</w:t>
      </w:r>
      <w:r w:rsidR="00113C52" w:rsidRPr="00B04442">
        <w:rPr>
          <w:rFonts w:ascii="Arial" w:hAnsi="Arial" w:cs="Arial"/>
          <w:sz w:val="24"/>
          <w:szCs w:val="24"/>
        </w:rPr>
        <w:t xml:space="preserve"> technology. It is crucial that organisations ensure that their human employees adapt to the new workplace culture as well as feeling supported in their roles. (</w:t>
      </w:r>
      <w:r w:rsidR="00C96F4F" w:rsidRPr="00B04442">
        <w:rPr>
          <w:rFonts w:ascii="Arial" w:hAnsi="Arial" w:cs="Arial"/>
          <w:sz w:val="24"/>
          <w:szCs w:val="24"/>
        </w:rPr>
        <w:t>HR Zone, 2019) believes that the interaction between human team members and technology can deliver the right performance. Technology can boost human skill sets by removing monotonous, dull daily tasks from roles but HR professionals will play an important role in developing organisational culture to create prosperity.</w:t>
      </w:r>
      <w:r w:rsidR="00B04442" w:rsidRPr="00B04442">
        <w:rPr>
          <w:rFonts w:ascii="Arial" w:hAnsi="Arial" w:cs="Arial"/>
          <w:sz w:val="24"/>
          <w:szCs w:val="24"/>
        </w:rPr>
        <w:t xml:space="preserve"> Employees who are involved and communicated too during the development of new technology will encourage positive engagement.</w:t>
      </w:r>
    </w:p>
    <w:p w14:paraId="30464B5A" w14:textId="13C57C36" w:rsidR="00B04442" w:rsidRDefault="00B04442" w:rsidP="00BA3134">
      <w:pPr>
        <w:rPr>
          <w:rFonts w:ascii="Arial" w:hAnsi="Arial" w:cs="Arial"/>
        </w:rPr>
      </w:pPr>
    </w:p>
    <w:p w14:paraId="1A3AE628" w14:textId="609C4B65" w:rsidR="00B04442" w:rsidRDefault="00B04442" w:rsidP="00BA3134">
      <w:pPr>
        <w:rPr>
          <w:rFonts w:ascii="Arial" w:hAnsi="Arial" w:cs="Arial"/>
        </w:rPr>
      </w:pPr>
    </w:p>
    <w:p w14:paraId="67054ABD" w14:textId="77777777" w:rsidR="00B04442" w:rsidRPr="004909AC" w:rsidRDefault="00B04442" w:rsidP="00BA3134">
      <w:pPr>
        <w:rPr>
          <w:rFonts w:ascii="Arial" w:hAnsi="Arial" w:cs="Arial"/>
        </w:rPr>
      </w:pPr>
    </w:p>
    <w:p w14:paraId="36DBFB79" w14:textId="304B1C30" w:rsidR="0077595C" w:rsidRDefault="0077595C" w:rsidP="00BA3134">
      <w:pPr>
        <w:rPr>
          <w:rFonts w:ascii="Arial" w:hAnsi="Arial" w:cs="Arial"/>
          <w:i/>
          <w:sz w:val="20"/>
          <w:szCs w:val="20"/>
        </w:rPr>
      </w:pPr>
    </w:p>
    <w:p w14:paraId="4C851F00" w14:textId="7E653E6A" w:rsidR="0077595C" w:rsidRDefault="0077595C" w:rsidP="00BA3134">
      <w:pPr>
        <w:rPr>
          <w:rFonts w:ascii="Arial" w:hAnsi="Arial" w:cs="Arial"/>
          <w:i/>
          <w:sz w:val="20"/>
          <w:szCs w:val="20"/>
        </w:rPr>
      </w:pPr>
    </w:p>
    <w:p w14:paraId="0D1868A3" w14:textId="7C730011" w:rsidR="00B04442" w:rsidRDefault="00B04442" w:rsidP="00BA3134">
      <w:pPr>
        <w:rPr>
          <w:rFonts w:ascii="Arial" w:hAnsi="Arial" w:cs="Arial"/>
          <w:i/>
          <w:sz w:val="20"/>
          <w:szCs w:val="20"/>
        </w:rPr>
      </w:pPr>
    </w:p>
    <w:p w14:paraId="62D6779F" w14:textId="58B7FAE2" w:rsidR="00B04442" w:rsidRDefault="00B04442" w:rsidP="00BA3134">
      <w:pPr>
        <w:rPr>
          <w:rFonts w:ascii="Arial" w:hAnsi="Arial" w:cs="Arial"/>
          <w:i/>
          <w:sz w:val="20"/>
          <w:szCs w:val="20"/>
        </w:rPr>
      </w:pPr>
    </w:p>
    <w:p w14:paraId="25208E10" w14:textId="6CF6CD1B" w:rsidR="00B04442" w:rsidRDefault="00B04442" w:rsidP="00BA3134">
      <w:pPr>
        <w:rPr>
          <w:rFonts w:ascii="Arial" w:hAnsi="Arial" w:cs="Arial"/>
          <w:i/>
          <w:sz w:val="20"/>
          <w:szCs w:val="20"/>
        </w:rPr>
      </w:pPr>
    </w:p>
    <w:p w14:paraId="53278815" w14:textId="2E9C7076" w:rsidR="00B04442" w:rsidRDefault="00B04442" w:rsidP="00BA3134">
      <w:pPr>
        <w:rPr>
          <w:rFonts w:ascii="Arial" w:hAnsi="Arial" w:cs="Arial"/>
          <w:i/>
          <w:sz w:val="20"/>
          <w:szCs w:val="20"/>
        </w:rPr>
      </w:pPr>
    </w:p>
    <w:p w14:paraId="429328BF" w14:textId="228F04F9" w:rsidR="00B04442" w:rsidRDefault="00B04442" w:rsidP="00BA3134">
      <w:pPr>
        <w:rPr>
          <w:rFonts w:ascii="Arial" w:hAnsi="Arial" w:cs="Arial"/>
          <w:i/>
          <w:sz w:val="20"/>
          <w:szCs w:val="20"/>
        </w:rPr>
      </w:pPr>
    </w:p>
    <w:p w14:paraId="63BE9946" w14:textId="220B03F3" w:rsidR="00B04442" w:rsidRDefault="00B04442" w:rsidP="00BA3134">
      <w:pPr>
        <w:rPr>
          <w:rFonts w:ascii="Arial" w:hAnsi="Arial" w:cs="Arial"/>
          <w:i/>
          <w:sz w:val="20"/>
          <w:szCs w:val="20"/>
        </w:rPr>
      </w:pPr>
    </w:p>
    <w:p w14:paraId="1BA33BE0" w14:textId="603CB57F" w:rsidR="00B04442" w:rsidRDefault="00B04442" w:rsidP="00BA3134">
      <w:pPr>
        <w:rPr>
          <w:rFonts w:ascii="Arial" w:hAnsi="Arial" w:cs="Arial"/>
          <w:i/>
          <w:sz w:val="20"/>
          <w:szCs w:val="20"/>
        </w:rPr>
      </w:pPr>
    </w:p>
    <w:p w14:paraId="140BC106" w14:textId="21F8CEA2" w:rsidR="00B04442" w:rsidRDefault="00B04442" w:rsidP="00BA3134">
      <w:pPr>
        <w:rPr>
          <w:rFonts w:ascii="Arial" w:hAnsi="Arial" w:cs="Arial"/>
          <w:i/>
          <w:sz w:val="20"/>
          <w:szCs w:val="20"/>
        </w:rPr>
      </w:pPr>
    </w:p>
    <w:p w14:paraId="611BF351" w14:textId="08525BCC" w:rsidR="00B04442" w:rsidRDefault="00B04442" w:rsidP="00BA3134">
      <w:pPr>
        <w:rPr>
          <w:rFonts w:ascii="Arial" w:hAnsi="Arial" w:cs="Arial"/>
          <w:i/>
          <w:sz w:val="20"/>
          <w:szCs w:val="20"/>
        </w:rPr>
      </w:pPr>
    </w:p>
    <w:p w14:paraId="5A984DC4" w14:textId="1FEC3BEF" w:rsidR="00B04442" w:rsidRDefault="00B04442" w:rsidP="00BA3134">
      <w:pPr>
        <w:rPr>
          <w:rFonts w:ascii="Arial" w:hAnsi="Arial" w:cs="Arial"/>
          <w:i/>
          <w:sz w:val="20"/>
          <w:szCs w:val="20"/>
        </w:rPr>
      </w:pPr>
    </w:p>
    <w:p w14:paraId="44C41099" w14:textId="30BD9014" w:rsidR="00B04442" w:rsidRDefault="00B04442" w:rsidP="00BA3134">
      <w:pPr>
        <w:rPr>
          <w:rFonts w:ascii="Arial" w:hAnsi="Arial" w:cs="Arial"/>
          <w:i/>
          <w:sz w:val="20"/>
          <w:szCs w:val="20"/>
        </w:rPr>
      </w:pPr>
    </w:p>
    <w:p w14:paraId="734D2894" w14:textId="721AA362" w:rsidR="00B04442" w:rsidRDefault="00B04442" w:rsidP="00BA3134">
      <w:pPr>
        <w:rPr>
          <w:rFonts w:ascii="Arial" w:hAnsi="Arial" w:cs="Arial"/>
          <w:i/>
          <w:sz w:val="20"/>
          <w:szCs w:val="20"/>
        </w:rPr>
      </w:pPr>
    </w:p>
    <w:p w14:paraId="02FADCEB" w14:textId="6CF9CFA7" w:rsidR="00B04442" w:rsidRDefault="00B04442" w:rsidP="00BA3134">
      <w:pPr>
        <w:rPr>
          <w:rFonts w:ascii="Arial" w:hAnsi="Arial" w:cs="Arial"/>
          <w:i/>
          <w:sz w:val="20"/>
          <w:szCs w:val="20"/>
        </w:rPr>
      </w:pPr>
    </w:p>
    <w:p w14:paraId="46A020EC" w14:textId="081BD3D5" w:rsidR="00B04442" w:rsidRDefault="00B04442" w:rsidP="00BA3134">
      <w:pPr>
        <w:rPr>
          <w:rFonts w:ascii="Arial" w:hAnsi="Arial" w:cs="Arial"/>
          <w:i/>
          <w:sz w:val="20"/>
          <w:szCs w:val="20"/>
        </w:rPr>
      </w:pPr>
    </w:p>
    <w:p w14:paraId="2E9A3A8B" w14:textId="6DC4A7C2" w:rsidR="00B04442" w:rsidRDefault="00B04442" w:rsidP="00BA3134">
      <w:pPr>
        <w:rPr>
          <w:rFonts w:ascii="Arial" w:hAnsi="Arial" w:cs="Arial"/>
          <w:i/>
          <w:sz w:val="20"/>
          <w:szCs w:val="20"/>
        </w:rPr>
      </w:pPr>
    </w:p>
    <w:p w14:paraId="2C649F56" w14:textId="2B416269" w:rsidR="00B04442" w:rsidRDefault="00B04442" w:rsidP="00BA3134">
      <w:pPr>
        <w:rPr>
          <w:rFonts w:ascii="Arial" w:hAnsi="Arial" w:cs="Arial"/>
          <w:i/>
          <w:sz w:val="20"/>
          <w:szCs w:val="20"/>
        </w:rPr>
      </w:pPr>
    </w:p>
    <w:p w14:paraId="06692A85" w14:textId="77777777" w:rsidR="00B04442" w:rsidRDefault="00B04442" w:rsidP="00BA3134">
      <w:pPr>
        <w:rPr>
          <w:rFonts w:ascii="Arial" w:hAnsi="Arial" w:cs="Arial"/>
          <w:i/>
          <w:sz w:val="20"/>
          <w:szCs w:val="20"/>
        </w:rPr>
      </w:pPr>
    </w:p>
    <w:p w14:paraId="54175A0B" w14:textId="0B90D1AA" w:rsidR="0077595C" w:rsidRDefault="0077595C" w:rsidP="00BA3134">
      <w:pPr>
        <w:rPr>
          <w:rFonts w:ascii="Arial" w:hAnsi="Arial" w:cs="Arial"/>
          <w:i/>
          <w:sz w:val="20"/>
          <w:szCs w:val="20"/>
        </w:rPr>
      </w:pPr>
    </w:p>
    <w:p w14:paraId="4DC813B7" w14:textId="0FA92CB9" w:rsidR="00B04442" w:rsidRDefault="00B04442" w:rsidP="00BA3134">
      <w:pPr>
        <w:rPr>
          <w:rFonts w:ascii="Arial" w:hAnsi="Arial" w:cs="Arial"/>
          <w:i/>
          <w:sz w:val="20"/>
          <w:szCs w:val="20"/>
        </w:rPr>
      </w:pPr>
    </w:p>
    <w:p w14:paraId="7AFB7399" w14:textId="1F4662DF" w:rsidR="009B4E69" w:rsidRDefault="00A040AC" w:rsidP="00B16F02">
      <w:pPr>
        <w:pStyle w:val="NormalWeb"/>
        <w:rPr>
          <w:rFonts w:ascii="Arial" w:hAnsi="Arial" w:cs="Arial"/>
          <w:b/>
        </w:rPr>
      </w:pPr>
      <w:r>
        <w:rPr>
          <w:rFonts w:ascii="Arial" w:hAnsi="Arial" w:cs="Arial"/>
          <w:b/>
        </w:rPr>
        <w:lastRenderedPageBreak/>
        <w:t>R</w:t>
      </w:r>
      <w:r w:rsidR="009B4E69" w:rsidRPr="009B4E69">
        <w:rPr>
          <w:rFonts w:ascii="Arial" w:hAnsi="Arial" w:cs="Arial"/>
          <w:b/>
        </w:rPr>
        <w:t>eferences</w:t>
      </w:r>
    </w:p>
    <w:p w14:paraId="1F929A46" w14:textId="71C8CEA6" w:rsidR="00BC6E00" w:rsidRDefault="00BC6E00" w:rsidP="00B16F02">
      <w:pPr>
        <w:pStyle w:val="NormalWeb"/>
        <w:rPr>
          <w:rFonts w:asciiTheme="minorHAnsi" w:hAnsiTheme="minorHAnsi" w:cstheme="minorHAnsi"/>
          <w:noProof/>
          <w:lang w:val="en-US"/>
        </w:rPr>
      </w:pPr>
      <w:r w:rsidRPr="00BC6E00">
        <w:rPr>
          <w:rFonts w:asciiTheme="minorHAnsi" w:hAnsiTheme="minorHAnsi" w:cstheme="minorHAnsi"/>
          <w:noProof/>
          <w:lang w:val="en-US"/>
        </w:rPr>
        <w:t xml:space="preserve">Armstrong, D. A. (2018). Do engagement surveys tell the whole story? </w:t>
      </w:r>
      <w:r w:rsidRPr="00BC6E00">
        <w:rPr>
          <w:rFonts w:asciiTheme="minorHAnsi" w:hAnsiTheme="minorHAnsi" w:cstheme="minorHAnsi"/>
          <w:i/>
          <w:iCs/>
          <w:noProof/>
          <w:lang w:val="en-US"/>
        </w:rPr>
        <w:t>People Management</w:t>
      </w:r>
      <w:r w:rsidRPr="00BC6E00">
        <w:rPr>
          <w:rFonts w:asciiTheme="minorHAnsi" w:hAnsiTheme="minorHAnsi" w:cstheme="minorHAnsi"/>
          <w:noProof/>
          <w:lang w:val="en-US"/>
        </w:rPr>
        <w:t>.</w:t>
      </w:r>
    </w:p>
    <w:p w14:paraId="69BC75F7" w14:textId="24948E97" w:rsidR="00C352C3" w:rsidRPr="00C352C3" w:rsidRDefault="00C352C3" w:rsidP="00C352C3">
      <w:pPr>
        <w:pStyle w:val="NormalWeb"/>
        <w:spacing w:before="240"/>
        <w:rPr>
          <w:rFonts w:asciiTheme="minorHAnsi" w:hAnsiTheme="minorHAnsi" w:cstheme="minorHAnsi"/>
          <w:noProof/>
          <w:lang w:val="en-US"/>
        </w:rPr>
      </w:pPr>
      <w:r>
        <w:rPr>
          <w:rFonts w:asciiTheme="minorHAnsi" w:hAnsiTheme="minorHAnsi" w:cstheme="minorHAnsi"/>
          <w:noProof/>
          <w:lang w:val="en-US"/>
        </w:rPr>
        <w:t xml:space="preserve">Bailey, C., Madden, A., Alfes, K., &amp; Fletcher, L. (2015). </w:t>
      </w:r>
      <w:r w:rsidRPr="00C352C3">
        <w:rPr>
          <w:rFonts w:asciiTheme="minorHAnsi" w:hAnsiTheme="minorHAnsi" w:cstheme="minorHAnsi"/>
          <w:bCs/>
          <w:i/>
          <w:color w:val="1C1D1E"/>
          <w:kern w:val="36"/>
          <w:lang w:val="en"/>
        </w:rPr>
        <w:t>The Meaning, Antecedents and Outcomes of Employee Engagement: A Narrative Synthesis</w:t>
      </w:r>
      <w:r>
        <w:rPr>
          <w:rFonts w:asciiTheme="minorHAnsi" w:hAnsiTheme="minorHAnsi" w:cstheme="minorHAnsi"/>
          <w:bCs/>
          <w:i/>
          <w:color w:val="1C1D1E"/>
          <w:kern w:val="36"/>
          <w:lang w:val="en"/>
        </w:rPr>
        <w:t xml:space="preserve"> </w:t>
      </w:r>
      <w:r>
        <w:rPr>
          <w:rFonts w:asciiTheme="minorHAnsi" w:hAnsiTheme="minorHAnsi" w:cstheme="minorHAnsi"/>
          <w:bCs/>
          <w:color w:val="1C1D1E"/>
          <w:kern w:val="36"/>
          <w:lang w:val="en"/>
        </w:rPr>
        <w:t xml:space="preserve">(Online) Available at: </w:t>
      </w:r>
      <w:hyperlink r:id="rId10" w:history="1">
        <w:r w:rsidRPr="00786533">
          <w:rPr>
            <w:rStyle w:val="Hyperlink"/>
            <w:rFonts w:asciiTheme="minorHAnsi" w:hAnsiTheme="minorHAnsi" w:cstheme="minorHAnsi"/>
            <w:bCs/>
            <w:kern w:val="36"/>
            <w:lang w:val="en"/>
          </w:rPr>
          <w:t>https://onlinelibrary.wiley.com/doi/full/10.1111/ijmr.12077</w:t>
        </w:r>
      </w:hyperlink>
      <w:r>
        <w:rPr>
          <w:rFonts w:asciiTheme="minorHAnsi" w:hAnsiTheme="minorHAnsi" w:cstheme="minorHAnsi"/>
          <w:bCs/>
          <w:color w:val="1C1D1E"/>
          <w:kern w:val="36"/>
          <w:lang w:val="en"/>
        </w:rPr>
        <w:t xml:space="preserve"> (Accessed 01 October 2020)</w:t>
      </w:r>
    </w:p>
    <w:p w14:paraId="63E6CE77" w14:textId="77C7EAE4" w:rsidR="00FD55AC" w:rsidRDefault="00B96594" w:rsidP="00B16F02">
      <w:pPr>
        <w:pStyle w:val="NormalWeb"/>
        <w:rPr>
          <w:rFonts w:asciiTheme="minorHAnsi" w:hAnsiTheme="minorHAnsi" w:cstheme="minorHAnsi"/>
          <w:noProof/>
          <w:lang w:val="en-US"/>
        </w:rPr>
      </w:pPr>
      <w:r>
        <w:rPr>
          <w:rFonts w:asciiTheme="minorHAnsi" w:hAnsiTheme="minorHAnsi" w:cstheme="minorHAnsi"/>
          <w:noProof/>
          <w:lang w:val="en-US"/>
        </w:rPr>
        <w:t xml:space="preserve">Bulow, C. (2020). </w:t>
      </w:r>
      <w:r w:rsidRPr="00B96594">
        <w:rPr>
          <w:rFonts w:asciiTheme="minorHAnsi" w:hAnsiTheme="minorHAnsi" w:cstheme="minorHAnsi"/>
          <w:i/>
          <w:noProof/>
          <w:lang w:val="en-US"/>
        </w:rPr>
        <w:t>What can you do to in</w:t>
      </w:r>
      <w:r>
        <w:rPr>
          <w:rFonts w:asciiTheme="minorHAnsi" w:hAnsiTheme="minorHAnsi" w:cstheme="minorHAnsi"/>
          <w:i/>
          <w:noProof/>
          <w:lang w:val="en-US"/>
        </w:rPr>
        <w:t>crease employee engagement in your</w:t>
      </w:r>
      <w:r w:rsidRPr="00B96594">
        <w:rPr>
          <w:rFonts w:asciiTheme="minorHAnsi" w:hAnsiTheme="minorHAnsi" w:cstheme="minorHAnsi"/>
          <w:i/>
          <w:noProof/>
          <w:lang w:val="en-US"/>
        </w:rPr>
        <w:t xml:space="preserve"> workplace</w:t>
      </w:r>
      <w:r>
        <w:rPr>
          <w:rFonts w:asciiTheme="minorHAnsi" w:hAnsiTheme="minorHAnsi" w:cstheme="minorHAnsi"/>
          <w:noProof/>
          <w:lang w:val="en-US"/>
        </w:rPr>
        <w:t xml:space="preserve"> (online) Available at: </w:t>
      </w:r>
      <w:hyperlink r:id="rId11" w:history="1">
        <w:r w:rsidRPr="00C0026A">
          <w:rPr>
            <w:rStyle w:val="Hyperlink"/>
            <w:rFonts w:asciiTheme="minorHAnsi" w:hAnsiTheme="minorHAnsi" w:cstheme="minorHAnsi"/>
            <w:noProof/>
            <w:lang w:val="en-US"/>
          </w:rPr>
          <w:t>https://edexec.co.uk/what-can-you-do-in-2020-to-increase-employee-engagement-in-your-workplace/</w:t>
        </w:r>
      </w:hyperlink>
      <w:r>
        <w:rPr>
          <w:rFonts w:asciiTheme="minorHAnsi" w:hAnsiTheme="minorHAnsi" w:cstheme="minorHAnsi"/>
          <w:noProof/>
          <w:lang w:val="en-US"/>
        </w:rPr>
        <w:t xml:space="preserve"> (Accessed 12 October 2020)</w:t>
      </w:r>
    </w:p>
    <w:p w14:paraId="3FACA832" w14:textId="5A9D698B" w:rsidR="00A040AC" w:rsidRDefault="00A040AC" w:rsidP="00B16F02">
      <w:pPr>
        <w:pStyle w:val="NormalWeb"/>
        <w:rPr>
          <w:rFonts w:asciiTheme="minorHAnsi" w:hAnsiTheme="minorHAnsi" w:cstheme="minorHAnsi"/>
          <w:noProof/>
          <w:lang w:val="en-US"/>
        </w:rPr>
      </w:pPr>
      <w:r>
        <w:rPr>
          <w:rFonts w:asciiTheme="minorHAnsi" w:hAnsiTheme="minorHAnsi" w:cstheme="minorHAnsi"/>
          <w:noProof/>
          <w:lang w:val="en-US"/>
        </w:rPr>
        <w:t xml:space="preserve">CIPD. (2012). Leading culture change (Online) Available at: </w:t>
      </w:r>
      <w:hyperlink r:id="rId12" w:history="1">
        <w:r w:rsidR="003C2DAA" w:rsidRPr="00786533">
          <w:rPr>
            <w:rStyle w:val="Hyperlink"/>
            <w:rFonts w:asciiTheme="minorHAnsi" w:hAnsiTheme="minorHAnsi" w:cstheme="minorHAnsi"/>
            <w:noProof/>
            <w:lang w:val="en-US"/>
          </w:rPr>
          <w:t>https://www.cipd.co.uk/Images/leading-culture-change-employee-engagement-and-public-service-transformation_2012_tcm18-14116.pdf</w:t>
        </w:r>
      </w:hyperlink>
      <w:r>
        <w:rPr>
          <w:rFonts w:asciiTheme="minorHAnsi" w:hAnsiTheme="minorHAnsi" w:cstheme="minorHAnsi"/>
          <w:noProof/>
          <w:lang w:val="en-US"/>
        </w:rPr>
        <w:t xml:space="preserve"> (Accessed 30 September 2020)</w:t>
      </w:r>
    </w:p>
    <w:p w14:paraId="527F4735" w14:textId="7ABFADBA" w:rsidR="00376277" w:rsidRDefault="00376277" w:rsidP="00376277">
      <w:pPr>
        <w:pStyle w:val="Bibliography"/>
        <w:rPr>
          <w:noProof/>
          <w:sz w:val="24"/>
          <w:szCs w:val="24"/>
          <w:lang w:val="en-US"/>
        </w:rPr>
      </w:pPr>
      <w:r w:rsidRPr="00376277">
        <w:rPr>
          <w:noProof/>
          <w:sz w:val="24"/>
          <w:szCs w:val="24"/>
          <w:lang w:val="en-US"/>
        </w:rPr>
        <w:t xml:space="preserve">CIPD. (2017). </w:t>
      </w:r>
      <w:r w:rsidRPr="00376277">
        <w:rPr>
          <w:i/>
          <w:iCs/>
          <w:noProof/>
          <w:sz w:val="24"/>
          <w:szCs w:val="24"/>
          <w:lang w:val="en-US"/>
        </w:rPr>
        <w:t>Developing managers to manage sustainable employee engagement, health and well-being.</w:t>
      </w:r>
      <w:r w:rsidRPr="00376277">
        <w:rPr>
          <w:noProof/>
          <w:sz w:val="24"/>
          <w:szCs w:val="24"/>
          <w:lang w:val="en-US"/>
        </w:rPr>
        <w:t xml:space="preserve"> London: CIPD.</w:t>
      </w:r>
    </w:p>
    <w:p w14:paraId="7563E972" w14:textId="511127D3" w:rsidR="00B66402" w:rsidRDefault="00B66402" w:rsidP="00B16F02">
      <w:pPr>
        <w:pStyle w:val="NormalWeb"/>
        <w:rPr>
          <w:rFonts w:asciiTheme="minorHAnsi" w:hAnsiTheme="minorHAnsi" w:cstheme="minorHAnsi"/>
          <w:noProof/>
          <w:lang w:val="en-US"/>
        </w:rPr>
      </w:pPr>
      <w:r>
        <w:rPr>
          <w:rFonts w:asciiTheme="minorHAnsi" w:hAnsiTheme="minorHAnsi" w:cstheme="minorHAnsi"/>
          <w:noProof/>
          <w:lang w:val="en-US"/>
        </w:rPr>
        <w:t>CIPD (2019</w:t>
      </w:r>
      <w:r w:rsidR="003F43BD">
        <w:rPr>
          <w:rFonts w:asciiTheme="minorHAnsi" w:hAnsiTheme="minorHAnsi" w:cstheme="minorHAnsi"/>
          <w:noProof/>
          <w:lang w:val="en-US"/>
        </w:rPr>
        <w:t>a</w:t>
      </w:r>
      <w:r>
        <w:rPr>
          <w:rFonts w:asciiTheme="minorHAnsi" w:hAnsiTheme="minorHAnsi" w:cstheme="minorHAnsi"/>
          <w:noProof/>
          <w:lang w:val="en-US"/>
        </w:rPr>
        <w:t xml:space="preserve">). </w:t>
      </w:r>
      <w:r w:rsidRPr="00B66402">
        <w:rPr>
          <w:rFonts w:asciiTheme="minorHAnsi" w:hAnsiTheme="minorHAnsi" w:cstheme="minorHAnsi"/>
          <w:i/>
          <w:noProof/>
          <w:lang w:val="en-US"/>
        </w:rPr>
        <w:t>Employee engagement and motivation</w:t>
      </w:r>
      <w:r>
        <w:rPr>
          <w:rFonts w:asciiTheme="minorHAnsi" w:hAnsiTheme="minorHAnsi" w:cstheme="minorHAnsi"/>
          <w:noProof/>
          <w:lang w:val="en-US"/>
        </w:rPr>
        <w:t xml:space="preserve"> (Online) Available at: </w:t>
      </w:r>
      <w:hyperlink r:id="rId13" w:history="1">
        <w:r w:rsidRPr="00DB0736">
          <w:rPr>
            <w:rStyle w:val="Hyperlink"/>
            <w:rFonts w:asciiTheme="minorHAnsi" w:hAnsiTheme="minorHAnsi" w:cstheme="minorHAnsi"/>
            <w:noProof/>
            <w:lang w:val="en-US"/>
          </w:rPr>
          <w:t>https://www.cipd.co.uk/knowledge/fundamentals/relations/engagement/factsheet</w:t>
        </w:r>
      </w:hyperlink>
      <w:r>
        <w:rPr>
          <w:rFonts w:asciiTheme="minorHAnsi" w:hAnsiTheme="minorHAnsi" w:cstheme="minorHAnsi"/>
          <w:noProof/>
          <w:lang w:val="en-US"/>
        </w:rPr>
        <w:t xml:space="preserve"> (Accessed 29 September 2020)</w:t>
      </w:r>
    </w:p>
    <w:p w14:paraId="5501F5D4" w14:textId="55E20D2A" w:rsidR="00C24191" w:rsidRDefault="00C24191" w:rsidP="00B16F02">
      <w:pPr>
        <w:pStyle w:val="NormalWeb"/>
        <w:rPr>
          <w:rFonts w:asciiTheme="minorHAnsi" w:hAnsiTheme="minorHAnsi" w:cstheme="minorHAnsi"/>
          <w:noProof/>
          <w:lang w:val="en-US"/>
        </w:rPr>
      </w:pPr>
      <w:r>
        <w:rPr>
          <w:rFonts w:asciiTheme="minorHAnsi" w:hAnsiTheme="minorHAnsi" w:cstheme="minorHAnsi"/>
          <w:noProof/>
          <w:lang w:val="en-US"/>
        </w:rPr>
        <w:t xml:space="preserve">CIPD (2020). </w:t>
      </w:r>
      <w:r w:rsidRPr="00C24191">
        <w:rPr>
          <w:rFonts w:asciiTheme="minorHAnsi" w:hAnsiTheme="minorHAnsi" w:cstheme="minorHAnsi"/>
          <w:i/>
          <w:noProof/>
          <w:lang w:val="en-US"/>
        </w:rPr>
        <w:t>Labour market outlook 2020</w:t>
      </w:r>
      <w:r w:rsidR="00422F55">
        <w:rPr>
          <w:rFonts w:asciiTheme="minorHAnsi" w:hAnsiTheme="minorHAnsi" w:cstheme="minorHAnsi"/>
          <w:noProof/>
          <w:lang w:val="en-US"/>
        </w:rPr>
        <w:t xml:space="preserve"> (O</w:t>
      </w:r>
      <w:r>
        <w:rPr>
          <w:rFonts w:asciiTheme="minorHAnsi" w:hAnsiTheme="minorHAnsi" w:cstheme="minorHAnsi"/>
          <w:noProof/>
          <w:lang w:val="en-US"/>
        </w:rPr>
        <w:t xml:space="preserve">nline) Available at: </w:t>
      </w:r>
      <w:hyperlink r:id="rId14" w:history="1">
        <w:r w:rsidRPr="00C0026A">
          <w:rPr>
            <w:rStyle w:val="Hyperlink"/>
            <w:rFonts w:asciiTheme="minorHAnsi" w:hAnsiTheme="minorHAnsi" w:cstheme="minorHAnsi"/>
            <w:noProof/>
            <w:lang w:val="en-US"/>
          </w:rPr>
          <w:t>https://www.cipd.co.uk/knowledge/work/trends/labour-market-outlook</w:t>
        </w:r>
      </w:hyperlink>
      <w:r>
        <w:rPr>
          <w:rFonts w:asciiTheme="minorHAnsi" w:hAnsiTheme="minorHAnsi" w:cstheme="minorHAnsi"/>
          <w:noProof/>
          <w:lang w:val="en-US"/>
        </w:rPr>
        <w:t xml:space="preserve"> (Accessed 12 October 2020)</w:t>
      </w:r>
    </w:p>
    <w:p w14:paraId="45F45522" w14:textId="7D785B7E" w:rsidR="00952AF2" w:rsidRDefault="00952AF2" w:rsidP="00B16F02">
      <w:pPr>
        <w:pStyle w:val="NormalWeb"/>
        <w:rPr>
          <w:rFonts w:asciiTheme="minorHAnsi" w:hAnsiTheme="minorHAnsi" w:cstheme="minorHAnsi"/>
          <w:noProof/>
          <w:lang w:val="en-US"/>
        </w:rPr>
      </w:pPr>
      <w:r>
        <w:rPr>
          <w:rFonts w:asciiTheme="minorHAnsi" w:hAnsiTheme="minorHAnsi" w:cstheme="minorHAnsi"/>
          <w:noProof/>
          <w:lang w:val="en-US"/>
        </w:rPr>
        <w:t xml:space="preserve">Deloitte (2015). </w:t>
      </w:r>
      <w:r w:rsidRPr="00952AF2">
        <w:rPr>
          <w:rFonts w:asciiTheme="minorHAnsi" w:hAnsiTheme="minorHAnsi" w:cstheme="minorHAnsi"/>
          <w:i/>
          <w:noProof/>
          <w:lang w:val="en-US"/>
        </w:rPr>
        <w:t>Culture and engagement: the naked organisation</w:t>
      </w:r>
      <w:r>
        <w:rPr>
          <w:rFonts w:asciiTheme="minorHAnsi" w:hAnsiTheme="minorHAnsi" w:cstheme="minorHAnsi"/>
          <w:noProof/>
          <w:lang w:val="en-US"/>
        </w:rPr>
        <w:t xml:space="preserve"> (Online) Available at: </w:t>
      </w:r>
      <w:hyperlink r:id="rId15" w:history="1">
        <w:r w:rsidRPr="009415B2">
          <w:rPr>
            <w:rStyle w:val="Hyperlink"/>
            <w:rFonts w:asciiTheme="minorHAnsi" w:hAnsiTheme="minorHAnsi" w:cstheme="minorHAnsi"/>
            <w:noProof/>
            <w:lang w:val="en-US"/>
          </w:rPr>
          <w:t>https://www2.deloitte.com/us/en/insights/focus/human-capital-trends/2015/employee-engagement-culture-human-capital-trends-2015.html</w:t>
        </w:r>
      </w:hyperlink>
      <w:r>
        <w:rPr>
          <w:rFonts w:asciiTheme="minorHAnsi" w:hAnsiTheme="minorHAnsi" w:cstheme="minorHAnsi"/>
          <w:noProof/>
          <w:lang w:val="en-US"/>
        </w:rPr>
        <w:t xml:space="preserve"> (Accessed 30 September 2020)</w:t>
      </w:r>
    </w:p>
    <w:p w14:paraId="0D5AF014" w14:textId="76F34C97" w:rsidR="00422F55" w:rsidRPr="00B04442" w:rsidRDefault="00422F55" w:rsidP="00B16F02">
      <w:pPr>
        <w:pStyle w:val="NormalWeb"/>
        <w:rPr>
          <w:rFonts w:asciiTheme="minorHAnsi" w:hAnsiTheme="minorHAnsi" w:cstheme="minorHAnsi"/>
          <w:noProof/>
          <w:lang w:val="en-US"/>
        </w:rPr>
      </w:pPr>
      <w:r>
        <w:rPr>
          <w:rFonts w:asciiTheme="minorHAnsi" w:hAnsiTheme="minorHAnsi" w:cstheme="minorHAnsi"/>
          <w:noProof/>
          <w:lang w:val="en-US"/>
        </w:rPr>
        <w:t xml:space="preserve">Gartner (2020). </w:t>
      </w:r>
      <w:r w:rsidRPr="00422F55">
        <w:rPr>
          <w:rFonts w:asciiTheme="minorHAnsi" w:hAnsiTheme="minorHAnsi" w:cstheme="minorHAnsi"/>
          <w:i/>
          <w:noProof/>
          <w:lang w:val="en-US"/>
        </w:rPr>
        <w:t>Future of work trends</w:t>
      </w:r>
      <w:r>
        <w:rPr>
          <w:rFonts w:asciiTheme="minorHAnsi" w:hAnsiTheme="minorHAnsi" w:cstheme="minorHAnsi"/>
          <w:noProof/>
          <w:lang w:val="en-US"/>
        </w:rPr>
        <w:t xml:space="preserve"> (Online) Available at: </w:t>
      </w:r>
      <w:hyperlink r:id="rId16" w:history="1">
        <w:r w:rsidRPr="001D5199">
          <w:rPr>
            <w:rStyle w:val="Hyperlink"/>
            <w:rFonts w:asciiTheme="minorHAnsi" w:hAnsiTheme="minorHAnsi" w:cstheme="minorHAnsi"/>
            <w:noProof/>
            <w:lang w:val="en-US"/>
          </w:rPr>
          <w:t>https://www.gartner.com/en/human-resources/trends/future-of-work-trends-post-covid-cpc?utm_source=google&amp;utm_medium=cpc&amp;utm_campaign=RM_EMEA_2020_HRL_CPC_LG1_ALWAYS-ON-2020&amp;utm_adgroup=107546901269&amp;utm_term=%2Bfuture%20%2Bof%20%2Bhr&amp;ad=466830742457&amp;gclid=CjwKCAjwz6_8BRBkEiwA3p02VbdGKo9Qehtd-Ej_LJdc_3BUEvnYsb4vznKPog5nG1CBzcY6j5g71RoCWRAQAvD_BwE</w:t>
        </w:r>
      </w:hyperlink>
      <w:r>
        <w:rPr>
          <w:rFonts w:asciiTheme="minorHAnsi" w:hAnsiTheme="minorHAnsi" w:cstheme="minorHAnsi"/>
          <w:noProof/>
          <w:lang w:val="en-US"/>
        </w:rPr>
        <w:t xml:space="preserve"> (Accessed 18 October </w:t>
      </w:r>
      <w:r w:rsidRPr="00B04442">
        <w:rPr>
          <w:rFonts w:asciiTheme="minorHAnsi" w:hAnsiTheme="minorHAnsi" w:cstheme="minorHAnsi"/>
          <w:noProof/>
          <w:lang w:val="en-US"/>
        </w:rPr>
        <w:t>2020)</w:t>
      </w:r>
    </w:p>
    <w:p w14:paraId="6A3ADE30" w14:textId="65E48603" w:rsidR="00915B42" w:rsidRPr="00B04442" w:rsidRDefault="00915B42" w:rsidP="00915B42">
      <w:pPr>
        <w:pStyle w:val="Bibliography"/>
        <w:rPr>
          <w:rFonts w:cstheme="minorHAnsi"/>
          <w:noProof/>
          <w:sz w:val="24"/>
          <w:szCs w:val="24"/>
          <w:lang w:val="en-US"/>
        </w:rPr>
      </w:pPr>
      <w:r w:rsidRPr="00B04442">
        <w:rPr>
          <w:rFonts w:cstheme="minorHAnsi"/>
          <w:noProof/>
          <w:sz w:val="24"/>
          <w:szCs w:val="24"/>
          <w:lang w:val="en-US"/>
        </w:rPr>
        <w:t xml:space="preserve">Goyette, K. (2016, May 26). </w:t>
      </w:r>
      <w:r w:rsidRPr="00B04442">
        <w:rPr>
          <w:rFonts w:cstheme="minorHAnsi"/>
          <w:i/>
          <w:iCs/>
          <w:noProof/>
          <w:sz w:val="24"/>
          <w:szCs w:val="24"/>
          <w:lang w:val="en-US"/>
        </w:rPr>
        <w:t>Stop trying to motivate your employees</w:t>
      </w:r>
      <w:r w:rsidRPr="00B04442">
        <w:rPr>
          <w:rFonts w:cstheme="minorHAnsi"/>
          <w:noProof/>
          <w:sz w:val="24"/>
          <w:szCs w:val="24"/>
          <w:lang w:val="en-US"/>
        </w:rPr>
        <w:t xml:space="preserve">. Retrieved from Youtube: </w:t>
      </w:r>
      <w:hyperlink r:id="rId17" w:history="1">
        <w:r w:rsidRPr="00B04442">
          <w:rPr>
            <w:rStyle w:val="Hyperlink"/>
            <w:rFonts w:cstheme="minorHAnsi"/>
            <w:noProof/>
            <w:sz w:val="24"/>
            <w:szCs w:val="24"/>
            <w:lang w:val="en-US"/>
          </w:rPr>
          <w:t>https://www.youtube.com/watch?v=7lhVUedc1a4</w:t>
        </w:r>
      </w:hyperlink>
      <w:r w:rsidRPr="00B04442">
        <w:rPr>
          <w:rFonts w:cstheme="minorHAnsi"/>
          <w:noProof/>
          <w:sz w:val="24"/>
          <w:szCs w:val="24"/>
          <w:lang w:val="en-US"/>
        </w:rPr>
        <w:t xml:space="preserve"> </w:t>
      </w:r>
    </w:p>
    <w:p w14:paraId="30758AB8" w14:textId="3E1E864D" w:rsidR="00AE1458" w:rsidRDefault="00AE1458" w:rsidP="00680107">
      <w:pPr>
        <w:rPr>
          <w:sz w:val="24"/>
          <w:szCs w:val="24"/>
          <w:lang w:val="en-US"/>
        </w:rPr>
      </w:pPr>
      <w:r>
        <w:rPr>
          <w:sz w:val="24"/>
          <w:szCs w:val="24"/>
          <w:lang w:val="en-US"/>
        </w:rPr>
        <w:t xml:space="preserve">Gulzar, S, </w:t>
      </w:r>
      <w:r w:rsidR="00912320">
        <w:rPr>
          <w:sz w:val="24"/>
          <w:szCs w:val="24"/>
          <w:lang w:val="en-US"/>
        </w:rPr>
        <w:t xml:space="preserve">Teli, M.R. (2018). </w:t>
      </w:r>
      <w:r w:rsidR="00912320" w:rsidRPr="00912320">
        <w:rPr>
          <w:i/>
          <w:sz w:val="24"/>
          <w:szCs w:val="24"/>
          <w:lang w:val="en-US"/>
        </w:rPr>
        <w:t>Arabian Journal for Business and Management Review</w:t>
      </w:r>
      <w:r w:rsidR="00912320">
        <w:rPr>
          <w:i/>
          <w:sz w:val="24"/>
          <w:szCs w:val="24"/>
          <w:lang w:val="en-US"/>
        </w:rPr>
        <w:t xml:space="preserve">. </w:t>
      </w:r>
      <w:r w:rsidR="00912320">
        <w:rPr>
          <w:sz w:val="24"/>
          <w:szCs w:val="24"/>
          <w:lang w:val="en-US"/>
        </w:rPr>
        <w:t>Volume 8.</w:t>
      </w:r>
    </w:p>
    <w:p w14:paraId="34131FC0" w14:textId="6568BEC5" w:rsidR="00B04442" w:rsidRPr="00B04442" w:rsidRDefault="00B04442" w:rsidP="00680107">
      <w:pPr>
        <w:rPr>
          <w:sz w:val="24"/>
          <w:szCs w:val="24"/>
          <w:lang w:val="en-US"/>
        </w:rPr>
      </w:pPr>
      <w:r>
        <w:rPr>
          <w:sz w:val="24"/>
          <w:szCs w:val="24"/>
          <w:lang w:val="en-US"/>
        </w:rPr>
        <w:t xml:space="preserve">HR Zone (2019). </w:t>
      </w:r>
      <w:r w:rsidRPr="00B04442">
        <w:rPr>
          <w:i/>
          <w:color w:val="232323"/>
          <w:sz w:val="24"/>
          <w:szCs w:val="24"/>
        </w:rPr>
        <w:t>Avoiding automation culture shock among your employees</w:t>
      </w:r>
      <w:r>
        <w:rPr>
          <w:i/>
          <w:color w:val="232323"/>
          <w:sz w:val="24"/>
          <w:szCs w:val="24"/>
        </w:rPr>
        <w:t xml:space="preserve"> </w:t>
      </w:r>
      <w:r>
        <w:rPr>
          <w:color w:val="232323"/>
          <w:sz w:val="24"/>
          <w:szCs w:val="24"/>
        </w:rPr>
        <w:t xml:space="preserve">(Online) Available at: </w:t>
      </w:r>
      <w:hyperlink r:id="rId18" w:history="1">
        <w:r w:rsidRPr="001D5199">
          <w:rPr>
            <w:rStyle w:val="Hyperlink"/>
            <w:sz w:val="24"/>
            <w:szCs w:val="24"/>
          </w:rPr>
          <w:t>https://www.hrzone.com/lead/future/avoiding-automation-culture-shock-among-your-employees</w:t>
        </w:r>
      </w:hyperlink>
      <w:r>
        <w:rPr>
          <w:color w:val="232323"/>
          <w:sz w:val="24"/>
          <w:szCs w:val="24"/>
        </w:rPr>
        <w:t xml:space="preserve"> (Accessed 18 October 2020)</w:t>
      </w:r>
    </w:p>
    <w:p w14:paraId="0AF604F9" w14:textId="141CD073" w:rsidR="00680107" w:rsidRDefault="00680107" w:rsidP="00680107">
      <w:pPr>
        <w:rPr>
          <w:rFonts w:eastAsia="Times New Roman" w:cstheme="minorHAnsi"/>
          <w:sz w:val="24"/>
          <w:szCs w:val="24"/>
          <w:lang w:eastAsia="en-GB"/>
        </w:rPr>
      </w:pPr>
      <w:r>
        <w:rPr>
          <w:sz w:val="24"/>
          <w:szCs w:val="24"/>
          <w:lang w:val="en-US"/>
        </w:rPr>
        <w:lastRenderedPageBreak/>
        <w:t xml:space="preserve">Johns, T, Ellis, C. (2016) </w:t>
      </w:r>
      <w:r w:rsidRPr="00680107">
        <w:rPr>
          <w:i/>
          <w:sz w:val="24"/>
          <w:szCs w:val="24"/>
          <w:lang w:val="en-US"/>
        </w:rPr>
        <w:t>Employee engagement</w:t>
      </w:r>
      <w:r>
        <w:rPr>
          <w:sz w:val="24"/>
          <w:szCs w:val="24"/>
          <w:lang w:val="en-US"/>
        </w:rPr>
        <w:t xml:space="preserve"> In: </w:t>
      </w:r>
      <w:r>
        <w:rPr>
          <w:rFonts w:eastAsia="Times New Roman" w:cstheme="minorHAnsi"/>
          <w:sz w:val="24"/>
          <w:szCs w:val="24"/>
          <w:lang w:eastAsia="en-GB"/>
        </w:rPr>
        <w:t xml:space="preserve">S. Taylor &amp; C. Woodhams, eds. </w:t>
      </w:r>
      <w:r w:rsidRPr="002522EA">
        <w:rPr>
          <w:rFonts w:eastAsia="Times New Roman" w:cstheme="minorHAnsi"/>
          <w:sz w:val="24"/>
          <w:szCs w:val="24"/>
          <w:lang w:eastAsia="en-GB"/>
        </w:rPr>
        <w:t>Human Resource Management</w:t>
      </w:r>
      <w:r>
        <w:rPr>
          <w:rFonts w:eastAsia="Times New Roman" w:cstheme="minorHAnsi"/>
          <w:sz w:val="24"/>
          <w:szCs w:val="24"/>
          <w:lang w:eastAsia="en-GB"/>
        </w:rPr>
        <w:t>: People and Organisations</w:t>
      </w:r>
      <w:r w:rsidRPr="002522EA">
        <w:rPr>
          <w:rFonts w:eastAsia="Times New Roman" w:cstheme="minorHAnsi"/>
          <w:sz w:val="24"/>
          <w:szCs w:val="24"/>
          <w:lang w:eastAsia="en-GB"/>
        </w:rPr>
        <w:t xml:space="preserve">. London: CIPD, pp. </w:t>
      </w:r>
      <w:r>
        <w:rPr>
          <w:rFonts w:eastAsia="Times New Roman" w:cstheme="minorHAnsi"/>
          <w:sz w:val="24"/>
          <w:szCs w:val="24"/>
          <w:lang w:eastAsia="en-GB"/>
        </w:rPr>
        <w:t>79-98</w:t>
      </w:r>
      <w:r w:rsidRPr="002522EA">
        <w:rPr>
          <w:rFonts w:eastAsia="Times New Roman" w:cstheme="minorHAnsi"/>
          <w:sz w:val="24"/>
          <w:szCs w:val="24"/>
          <w:lang w:eastAsia="en-GB"/>
        </w:rPr>
        <w:t>.</w:t>
      </w:r>
    </w:p>
    <w:p w14:paraId="59EF2156" w14:textId="16C2ED91" w:rsidR="00C24191" w:rsidRPr="00680107" w:rsidRDefault="00C24191" w:rsidP="00680107">
      <w:pPr>
        <w:rPr>
          <w:sz w:val="24"/>
          <w:szCs w:val="24"/>
          <w:lang w:val="en-US"/>
        </w:rPr>
      </w:pPr>
      <w:r>
        <w:rPr>
          <w:rFonts w:eastAsia="Times New Roman" w:cstheme="minorHAnsi"/>
          <w:sz w:val="24"/>
          <w:szCs w:val="24"/>
          <w:lang w:eastAsia="en-GB"/>
        </w:rPr>
        <w:t xml:space="preserve">Lockey, A, Wallace-Stephens, F. (2020) </w:t>
      </w:r>
      <w:r w:rsidRPr="00C24191">
        <w:rPr>
          <w:rFonts w:eastAsia="Times New Roman" w:cstheme="minorHAnsi"/>
          <w:i/>
          <w:sz w:val="24"/>
          <w:szCs w:val="24"/>
          <w:lang w:eastAsia="en-GB"/>
        </w:rPr>
        <w:t>RSA report: a blueprint for good work</w:t>
      </w:r>
      <w:r>
        <w:rPr>
          <w:rFonts w:eastAsia="Times New Roman" w:cstheme="minorHAnsi"/>
          <w:sz w:val="24"/>
          <w:szCs w:val="24"/>
          <w:lang w:eastAsia="en-GB"/>
        </w:rPr>
        <w:t>.</w:t>
      </w:r>
    </w:p>
    <w:p w14:paraId="1B9BB29C" w14:textId="4A8FF9DF" w:rsidR="00915B42" w:rsidRDefault="00B16F02" w:rsidP="007967F6">
      <w:pPr>
        <w:pStyle w:val="Bibliography"/>
        <w:rPr>
          <w:noProof/>
          <w:sz w:val="24"/>
          <w:szCs w:val="24"/>
          <w:lang w:val="en-US"/>
        </w:rPr>
      </w:pPr>
      <w:r w:rsidRPr="00B16F02">
        <w:rPr>
          <w:noProof/>
          <w:sz w:val="24"/>
          <w:szCs w:val="24"/>
          <w:lang w:val="en-US"/>
        </w:rPr>
        <w:t xml:space="preserve">MacLeod, D. (2020). Retrieved from Engage for Success: </w:t>
      </w:r>
      <w:hyperlink r:id="rId19" w:history="1">
        <w:r w:rsidRPr="00B16F02">
          <w:rPr>
            <w:rStyle w:val="Hyperlink"/>
            <w:noProof/>
            <w:sz w:val="24"/>
            <w:szCs w:val="24"/>
            <w:lang w:val="en-US"/>
          </w:rPr>
          <w:t>https://engageforsuccess.org/what-isemployee-engagement</w:t>
        </w:r>
      </w:hyperlink>
      <w:r w:rsidRPr="00B16F02">
        <w:rPr>
          <w:noProof/>
          <w:sz w:val="24"/>
          <w:szCs w:val="24"/>
          <w:lang w:val="en-US"/>
        </w:rPr>
        <w:t xml:space="preserve"> </w:t>
      </w:r>
    </w:p>
    <w:p w14:paraId="1071C41F" w14:textId="2DE584B2" w:rsidR="0077595C" w:rsidRDefault="0077595C" w:rsidP="0077595C">
      <w:pPr>
        <w:rPr>
          <w:sz w:val="24"/>
          <w:szCs w:val="24"/>
          <w:lang w:val="en-US"/>
        </w:rPr>
      </w:pPr>
      <w:r w:rsidRPr="0077595C">
        <w:rPr>
          <w:sz w:val="24"/>
          <w:szCs w:val="24"/>
          <w:lang w:val="en-US"/>
        </w:rPr>
        <w:t xml:space="preserve">MacLeod, D, &amp; Clarke, N. (2009). </w:t>
      </w:r>
      <w:r w:rsidRPr="0077595C">
        <w:rPr>
          <w:i/>
          <w:sz w:val="24"/>
          <w:szCs w:val="24"/>
          <w:lang w:val="en-US"/>
        </w:rPr>
        <w:t>Engage for Success</w:t>
      </w:r>
      <w:r w:rsidRPr="0077595C">
        <w:rPr>
          <w:sz w:val="24"/>
          <w:szCs w:val="24"/>
          <w:lang w:val="en-US"/>
        </w:rPr>
        <w:t xml:space="preserve"> (Online) Available at: </w:t>
      </w:r>
      <w:hyperlink r:id="rId20" w:history="1">
        <w:r w:rsidRPr="0077595C">
          <w:rPr>
            <w:rStyle w:val="Hyperlink"/>
            <w:sz w:val="24"/>
            <w:szCs w:val="24"/>
            <w:lang w:val="en-US"/>
          </w:rPr>
          <w:t>https://engageforsuccess.org/engaging-for-success</w:t>
        </w:r>
      </w:hyperlink>
      <w:r w:rsidRPr="0077595C">
        <w:rPr>
          <w:sz w:val="24"/>
          <w:szCs w:val="24"/>
          <w:lang w:val="en-US"/>
        </w:rPr>
        <w:t xml:space="preserve"> (Accessed 30 September 2020)</w:t>
      </w:r>
    </w:p>
    <w:p w14:paraId="4ACF7DA7" w14:textId="48E37314" w:rsidR="000C3EFB" w:rsidRDefault="000C3EFB" w:rsidP="00912320">
      <w:pPr>
        <w:pStyle w:val="Bibliography"/>
        <w:ind w:hanging="11"/>
        <w:rPr>
          <w:noProof/>
          <w:sz w:val="24"/>
          <w:szCs w:val="24"/>
          <w:lang w:val="en-US"/>
        </w:rPr>
      </w:pPr>
      <w:r w:rsidRPr="000C3EFB">
        <w:rPr>
          <w:noProof/>
          <w:sz w:val="24"/>
          <w:szCs w:val="24"/>
          <w:lang w:val="en-US"/>
        </w:rPr>
        <w:t>MacLeod, D., &amp; Clarke, N. (2012, June 1). The Four Enablers of Engagement.</w:t>
      </w:r>
      <w:r w:rsidR="00912320">
        <w:rPr>
          <w:noProof/>
          <w:sz w:val="24"/>
          <w:szCs w:val="24"/>
          <w:lang w:val="en-US"/>
        </w:rPr>
        <w:t xml:space="preserve"> Retrived from Youtube: </w:t>
      </w:r>
      <w:hyperlink r:id="rId21" w:history="1">
        <w:r w:rsidR="00912320" w:rsidRPr="00C0026A">
          <w:rPr>
            <w:rStyle w:val="Hyperlink"/>
            <w:noProof/>
            <w:sz w:val="24"/>
            <w:szCs w:val="24"/>
            <w:lang w:val="en-US"/>
          </w:rPr>
          <w:t>https://www.youtube.com/watch?v=w3XKLhKyM1Y</w:t>
        </w:r>
      </w:hyperlink>
      <w:r w:rsidR="00912320">
        <w:rPr>
          <w:noProof/>
          <w:sz w:val="24"/>
          <w:szCs w:val="24"/>
          <w:lang w:val="en-US"/>
        </w:rPr>
        <w:t xml:space="preserve"> </w:t>
      </w:r>
    </w:p>
    <w:p w14:paraId="58C2AB0B" w14:textId="2F393BD7" w:rsidR="00113C52" w:rsidRPr="00113C52" w:rsidRDefault="00113C52" w:rsidP="00113C52">
      <w:pPr>
        <w:rPr>
          <w:sz w:val="24"/>
          <w:szCs w:val="24"/>
          <w:lang w:val="en-US"/>
        </w:rPr>
      </w:pPr>
      <w:r w:rsidRPr="00113C52">
        <w:rPr>
          <w:sz w:val="24"/>
          <w:szCs w:val="24"/>
          <w:lang w:val="en-US"/>
        </w:rPr>
        <w:t>Personnel Today (2020).</w:t>
      </w:r>
      <w:r w:rsidRPr="00113C52">
        <w:rPr>
          <w:i/>
          <w:sz w:val="24"/>
          <w:szCs w:val="24"/>
          <w:lang w:val="en-US"/>
        </w:rPr>
        <w:t xml:space="preserve"> Coronavirus: Four things to consider when encouraging home working </w:t>
      </w:r>
      <w:r>
        <w:rPr>
          <w:sz w:val="24"/>
          <w:szCs w:val="24"/>
          <w:lang w:val="en-US"/>
        </w:rPr>
        <w:t xml:space="preserve">(Online) Available at: </w:t>
      </w:r>
      <w:hyperlink r:id="rId22" w:history="1">
        <w:r w:rsidRPr="001D5199">
          <w:rPr>
            <w:rStyle w:val="Hyperlink"/>
            <w:sz w:val="24"/>
            <w:szCs w:val="24"/>
            <w:lang w:val="en-US"/>
          </w:rPr>
          <w:t>https://www.personneltoday.com/hr/coronavirus-home-working-considerations/</w:t>
        </w:r>
      </w:hyperlink>
      <w:r>
        <w:rPr>
          <w:sz w:val="24"/>
          <w:szCs w:val="24"/>
          <w:lang w:val="en-US"/>
        </w:rPr>
        <w:t xml:space="preserve"> (Accessed 18 October 2020)</w:t>
      </w:r>
    </w:p>
    <w:p w14:paraId="680C6E86" w14:textId="1B804A4A" w:rsidR="007967F6" w:rsidRPr="007967F6" w:rsidRDefault="007967F6" w:rsidP="007967F6">
      <w:pPr>
        <w:rPr>
          <w:sz w:val="24"/>
          <w:szCs w:val="24"/>
          <w:lang w:val="en-US"/>
        </w:rPr>
      </w:pPr>
      <w:r w:rsidRPr="007967F6">
        <w:rPr>
          <w:sz w:val="24"/>
          <w:szCs w:val="24"/>
          <w:lang w:val="en-US"/>
        </w:rPr>
        <w:t xml:space="preserve">SHRM (2017). </w:t>
      </w:r>
      <w:r w:rsidRPr="007967F6">
        <w:rPr>
          <w:i/>
          <w:sz w:val="24"/>
          <w:szCs w:val="24"/>
          <w:lang w:val="en-US"/>
        </w:rPr>
        <w:t>Developing and Sustaining Employee Engagement</w:t>
      </w:r>
      <w:r>
        <w:rPr>
          <w:i/>
          <w:sz w:val="24"/>
          <w:szCs w:val="24"/>
          <w:lang w:val="en-US"/>
        </w:rPr>
        <w:t xml:space="preserve"> </w:t>
      </w:r>
      <w:r>
        <w:rPr>
          <w:sz w:val="24"/>
          <w:szCs w:val="24"/>
          <w:lang w:val="en-US"/>
        </w:rPr>
        <w:t xml:space="preserve">(Online) Available at: </w:t>
      </w:r>
      <w:hyperlink r:id="rId23" w:history="1">
        <w:r w:rsidRPr="00BC3F28">
          <w:rPr>
            <w:rStyle w:val="Hyperlink"/>
            <w:sz w:val="24"/>
            <w:szCs w:val="24"/>
            <w:lang w:val="en-US"/>
          </w:rPr>
          <w:t>https://www.shrm.org/resourcesandtools/tools-and-samples/toolkits/pages/sustainingemployeeengagement.aspx</w:t>
        </w:r>
      </w:hyperlink>
      <w:r>
        <w:rPr>
          <w:sz w:val="24"/>
          <w:szCs w:val="24"/>
          <w:lang w:val="en-US"/>
        </w:rPr>
        <w:t xml:space="preserve"> (Accessed 29 September 2020)</w:t>
      </w:r>
    </w:p>
    <w:p w14:paraId="19892110" w14:textId="3C137ADA" w:rsidR="00376277" w:rsidRPr="00AE1458" w:rsidRDefault="00AE1458" w:rsidP="00376277">
      <w:pPr>
        <w:rPr>
          <w:sz w:val="24"/>
          <w:szCs w:val="24"/>
        </w:rPr>
      </w:pPr>
      <w:r w:rsidRPr="00AE1458">
        <w:rPr>
          <w:sz w:val="24"/>
          <w:szCs w:val="24"/>
        </w:rPr>
        <w:t xml:space="preserve">Thomas, C. (2018). </w:t>
      </w:r>
      <w:r w:rsidRPr="00AE1458">
        <w:rPr>
          <w:i/>
          <w:sz w:val="24"/>
          <w:szCs w:val="24"/>
        </w:rPr>
        <w:t>How demographic factors affect employee engagement</w:t>
      </w:r>
      <w:r>
        <w:rPr>
          <w:sz w:val="24"/>
          <w:szCs w:val="24"/>
        </w:rPr>
        <w:t xml:space="preserve"> (Online) Available at: </w:t>
      </w:r>
      <w:hyperlink r:id="rId24" w:history="1">
        <w:r w:rsidRPr="00C0026A">
          <w:rPr>
            <w:rStyle w:val="Hyperlink"/>
            <w:sz w:val="24"/>
            <w:szCs w:val="24"/>
          </w:rPr>
          <w:t>https://www.activeconsultancy.com/blog/112/how_demographic_factors_affect_employee_engagement</w:t>
        </w:r>
      </w:hyperlink>
      <w:r>
        <w:rPr>
          <w:sz w:val="24"/>
          <w:szCs w:val="24"/>
        </w:rPr>
        <w:t xml:space="preserve"> (Accessed 14 October 2020)</w:t>
      </w:r>
    </w:p>
    <w:p w14:paraId="673D3A7B" w14:textId="7095C7D0" w:rsidR="000C3EFB" w:rsidRPr="00B04442" w:rsidRDefault="00896FDF" w:rsidP="00376277">
      <w:pPr>
        <w:rPr>
          <w:sz w:val="24"/>
          <w:szCs w:val="24"/>
        </w:rPr>
      </w:pPr>
      <w:r w:rsidRPr="00B04442">
        <w:rPr>
          <w:sz w:val="24"/>
          <w:szCs w:val="24"/>
        </w:rPr>
        <w:t xml:space="preserve">Timms, P. (2020). </w:t>
      </w:r>
      <w:r w:rsidRPr="00B04442">
        <w:rPr>
          <w:i/>
          <w:sz w:val="24"/>
          <w:szCs w:val="24"/>
        </w:rPr>
        <w:t>Three predictions for HR in 2020</w:t>
      </w:r>
      <w:r w:rsidRPr="00B04442">
        <w:rPr>
          <w:sz w:val="24"/>
          <w:szCs w:val="24"/>
        </w:rPr>
        <w:t xml:space="preserve"> (Online) Available at: </w:t>
      </w:r>
      <w:hyperlink r:id="rId25" w:history="1">
        <w:r w:rsidRPr="00B04442">
          <w:rPr>
            <w:rStyle w:val="Hyperlink"/>
            <w:sz w:val="24"/>
            <w:szCs w:val="24"/>
          </w:rPr>
          <w:t>https://www.hrzone.com/lead/culture/three-predictions-for-hr-in-2020</w:t>
        </w:r>
      </w:hyperlink>
      <w:r w:rsidRPr="00B04442">
        <w:rPr>
          <w:sz w:val="24"/>
          <w:szCs w:val="24"/>
        </w:rPr>
        <w:t xml:space="preserve"> (</w:t>
      </w:r>
      <w:r w:rsidR="00B04442">
        <w:rPr>
          <w:sz w:val="24"/>
          <w:szCs w:val="24"/>
        </w:rPr>
        <w:t xml:space="preserve">Accessed 18 </w:t>
      </w:r>
      <w:r w:rsidRPr="00B04442">
        <w:rPr>
          <w:sz w:val="24"/>
          <w:szCs w:val="24"/>
        </w:rPr>
        <w:t>October 2020)</w:t>
      </w:r>
    </w:p>
    <w:p w14:paraId="18252106" w14:textId="77777777" w:rsidR="00896FDF" w:rsidRDefault="00896FDF" w:rsidP="00376277"/>
    <w:p w14:paraId="23465607" w14:textId="5C5F001E" w:rsidR="000C3EFB" w:rsidRDefault="000C3EFB" w:rsidP="00376277"/>
    <w:p w14:paraId="439453DE" w14:textId="2C6244BD" w:rsidR="000C3EFB" w:rsidRDefault="000C3EFB" w:rsidP="00376277"/>
    <w:p w14:paraId="50F3DF60" w14:textId="36CD421D" w:rsidR="000C3EFB" w:rsidRDefault="000C3EFB" w:rsidP="00376277"/>
    <w:p w14:paraId="7B6E1D03" w14:textId="4A5BEB0F" w:rsidR="000C3EFB" w:rsidRDefault="000C3EFB" w:rsidP="00376277"/>
    <w:p w14:paraId="435578BD" w14:textId="4105BFC7" w:rsidR="000C3EFB" w:rsidRDefault="000C3EFB" w:rsidP="00376277"/>
    <w:p w14:paraId="42865553" w14:textId="321B1D2B" w:rsidR="000C3EFB" w:rsidRDefault="000C3EFB" w:rsidP="000C3EFB">
      <w:pPr>
        <w:pStyle w:val="Heading1"/>
      </w:pPr>
    </w:p>
    <w:p w14:paraId="149B1C53" w14:textId="77777777" w:rsidR="000C3EFB" w:rsidRDefault="000C3EFB" w:rsidP="00376277"/>
    <w:sectPr w:rsidR="000C3EFB" w:rsidSect="0028598C">
      <w:pgSz w:w="11906" w:h="16838"/>
      <w:pgMar w:top="1135"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A5A1A77" w14:textId="77777777" w:rsidR="00C30CA5" w:rsidRDefault="00C30CA5" w:rsidP="0028598C">
      <w:pPr>
        <w:spacing w:after="0" w:line="240" w:lineRule="auto"/>
      </w:pPr>
      <w:r>
        <w:separator/>
      </w:r>
    </w:p>
  </w:endnote>
  <w:endnote w:type="continuationSeparator" w:id="0">
    <w:p w14:paraId="0571D88E" w14:textId="77777777" w:rsidR="00C30CA5" w:rsidRDefault="00C30CA5" w:rsidP="002859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F5BDD21" w14:textId="77777777" w:rsidR="00C30CA5" w:rsidRDefault="00C30CA5" w:rsidP="0028598C">
      <w:pPr>
        <w:spacing w:after="0" w:line="240" w:lineRule="auto"/>
      </w:pPr>
      <w:r>
        <w:separator/>
      </w:r>
    </w:p>
  </w:footnote>
  <w:footnote w:type="continuationSeparator" w:id="0">
    <w:p w14:paraId="0B33E1FD" w14:textId="77777777" w:rsidR="00C30CA5" w:rsidRDefault="00C30CA5" w:rsidP="002859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8032E3"/>
    <w:multiLevelType w:val="hybridMultilevel"/>
    <w:tmpl w:val="F76C7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564AE1"/>
    <w:multiLevelType w:val="hybridMultilevel"/>
    <w:tmpl w:val="2D1CEC74"/>
    <w:lvl w:ilvl="0" w:tplc="A8DA51C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2B63604"/>
    <w:multiLevelType w:val="hybridMultilevel"/>
    <w:tmpl w:val="1D1AD76E"/>
    <w:lvl w:ilvl="0" w:tplc="9BC4212C">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7D3FA2"/>
    <w:multiLevelType w:val="hybridMultilevel"/>
    <w:tmpl w:val="D8FA9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C6747D"/>
    <w:multiLevelType w:val="hybridMultilevel"/>
    <w:tmpl w:val="46CEC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414037"/>
    <w:multiLevelType w:val="hybridMultilevel"/>
    <w:tmpl w:val="AB5691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1655926"/>
    <w:multiLevelType w:val="hybridMultilevel"/>
    <w:tmpl w:val="282462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5A02D3D"/>
    <w:multiLevelType w:val="hybridMultilevel"/>
    <w:tmpl w:val="6DDC1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EC570B"/>
    <w:multiLevelType w:val="hybridMultilevel"/>
    <w:tmpl w:val="12B61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842A95"/>
    <w:multiLevelType w:val="hybridMultilevel"/>
    <w:tmpl w:val="F4B6853E"/>
    <w:lvl w:ilvl="0" w:tplc="0809000F">
      <w:start w:val="1"/>
      <w:numFmt w:val="decimal"/>
      <w:lvlText w:val="%1."/>
      <w:lvlJc w:val="left"/>
      <w:pPr>
        <w:ind w:left="720" w:hanging="360"/>
      </w:pPr>
      <w:rPr>
        <w:rFonts w:ascii="Times New Roman" w:hAnsi="Times New Roman"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E21389E"/>
    <w:multiLevelType w:val="hybridMultilevel"/>
    <w:tmpl w:val="B2B083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F5A1743"/>
    <w:multiLevelType w:val="hybridMultilevel"/>
    <w:tmpl w:val="737CD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F01FD4"/>
    <w:multiLevelType w:val="hybridMultilevel"/>
    <w:tmpl w:val="7C0C5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B770233"/>
    <w:multiLevelType w:val="hybridMultilevel"/>
    <w:tmpl w:val="A3686C74"/>
    <w:lvl w:ilvl="0" w:tplc="0809000F">
      <w:start w:val="1"/>
      <w:numFmt w:val="decimal"/>
      <w:lvlText w:val="%1."/>
      <w:lvlJc w:val="left"/>
      <w:pPr>
        <w:ind w:left="720" w:hanging="360"/>
      </w:pPr>
      <w:rPr>
        <w:rFonts w:ascii="Times New Roman" w:hAnsi="Times New Roman"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2906121"/>
    <w:multiLevelType w:val="hybridMultilevel"/>
    <w:tmpl w:val="F3E42C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4C90476"/>
    <w:multiLevelType w:val="hybridMultilevel"/>
    <w:tmpl w:val="311097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66126F9"/>
    <w:multiLevelType w:val="hybridMultilevel"/>
    <w:tmpl w:val="6230578C"/>
    <w:lvl w:ilvl="0" w:tplc="E61A23E2">
      <w:start w:val="1"/>
      <w:numFmt w:val="decimal"/>
      <w:lvlText w:val="%1."/>
      <w:lvlJc w:val="left"/>
      <w:pPr>
        <w:ind w:left="720" w:hanging="360"/>
      </w:pPr>
      <w:rPr>
        <w:rFonts w:hint="default"/>
        <w:b/>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9870D94"/>
    <w:multiLevelType w:val="hybridMultilevel"/>
    <w:tmpl w:val="1AEC34B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9F87093"/>
    <w:multiLevelType w:val="hybridMultilevel"/>
    <w:tmpl w:val="A6742B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A62593C"/>
    <w:multiLevelType w:val="hybridMultilevel"/>
    <w:tmpl w:val="19CE50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C966BEA"/>
    <w:multiLevelType w:val="hybridMultilevel"/>
    <w:tmpl w:val="63FC2B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DD82054"/>
    <w:multiLevelType w:val="hybridMultilevel"/>
    <w:tmpl w:val="35602910"/>
    <w:lvl w:ilvl="0" w:tplc="69D2348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7E433442"/>
    <w:multiLevelType w:val="hybridMultilevel"/>
    <w:tmpl w:val="F21481A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5"/>
  </w:num>
  <w:num w:numId="2">
    <w:abstractNumId w:val="1"/>
  </w:num>
  <w:num w:numId="3">
    <w:abstractNumId w:val="14"/>
  </w:num>
  <w:num w:numId="4">
    <w:abstractNumId w:val="11"/>
  </w:num>
  <w:num w:numId="5">
    <w:abstractNumId w:val="4"/>
  </w:num>
  <w:num w:numId="6">
    <w:abstractNumId w:val="0"/>
  </w:num>
  <w:num w:numId="7">
    <w:abstractNumId w:val="21"/>
  </w:num>
  <w:num w:numId="8">
    <w:abstractNumId w:val="12"/>
  </w:num>
  <w:num w:numId="9">
    <w:abstractNumId w:val="3"/>
  </w:num>
  <w:num w:numId="10">
    <w:abstractNumId w:val="7"/>
  </w:num>
  <w:num w:numId="11">
    <w:abstractNumId w:val="17"/>
  </w:num>
  <w:num w:numId="12">
    <w:abstractNumId w:val="6"/>
  </w:num>
  <w:num w:numId="13">
    <w:abstractNumId w:val="13"/>
  </w:num>
  <w:num w:numId="14">
    <w:abstractNumId w:val="2"/>
  </w:num>
  <w:num w:numId="15">
    <w:abstractNumId w:val="9"/>
  </w:num>
  <w:num w:numId="16">
    <w:abstractNumId w:val="16"/>
  </w:num>
  <w:num w:numId="17">
    <w:abstractNumId w:val="22"/>
  </w:num>
  <w:num w:numId="18">
    <w:abstractNumId w:val="20"/>
  </w:num>
  <w:num w:numId="19">
    <w:abstractNumId w:val="19"/>
  </w:num>
  <w:num w:numId="20">
    <w:abstractNumId w:val="15"/>
  </w:num>
  <w:num w:numId="21">
    <w:abstractNumId w:val="18"/>
  </w:num>
  <w:num w:numId="22">
    <w:abstractNumId w:val="8"/>
  </w:num>
  <w:num w:numId="2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02EA"/>
    <w:rsid w:val="00006052"/>
    <w:rsid w:val="000433EC"/>
    <w:rsid w:val="000637F1"/>
    <w:rsid w:val="0008481B"/>
    <w:rsid w:val="000906FF"/>
    <w:rsid w:val="000C3EFB"/>
    <w:rsid w:val="000D2BC4"/>
    <w:rsid w:val="000D5BA2"/>
    <w:rsid w:val="000F44DE"/>
    <w:rsid w:val="000F7552"/>
    <w:rsid w:val="001070B9"/>
    <w:rsid w:val="001131C0"/>
    <w:rsid w:val="00113C52"/>
    <w:rsid w:val="001231C1"/>
    <w:rsid w:val="001510D3"/>
    <w:rsid w:val="00155AC1"/>
    <w:rsid w:val="001654AC"/>
    <w:rsid w:val="00192B86"/>
    <w:rsid w:val="00195F7F"/>
    <w:rsid w:val="001A16FE"/>
    <w:rsid w:val="001C3CC0"/>
    <w:rsid w:val="001D63E2"/>
    <w:rsid w:val="001E75CE"/>
    <w:rsid w:val="0022462C"/>
    <w:rsid w:val="00225176"/>
    <w:rsid w:val="00233033"/>
    <w:rsid w:val="0023517B"/>
    <w:rsid w:val="0024520B"/>
    <w:rsid w:val="00273DEF"/>
    <w:rsid w:val="0028598C"/>
    <w:rsid w:val="0029117C"/>
    <w:rsid w:val="002A25DE"/>
    <w:rsid w:val="002A2C90"/>
    <w:rsid w:val="002B4BA5"/>
    <w:rsid w:val="002C0565"/>
    <w:rsid w:val="002D021C"/>
    <w:rsid w:val="002E2338"/>
    <w:rsid w:val="002E5E3B"/>
    <w:rsid w:val="002F1D62"/>
    <w:rsid w:val="002F6ADF"/>
    <w:rsid w:val="00306419"/>
    <w:rsid w:val="00314293"/>
    <w:rsid w:val="00334E42"/>
    <w:rsid w:val="0035788A"/>
    <w:rsid w:val="0036147A"/>
    <w:rsid w:val="00363166"/>
    <w:rsid w:val="00371D01"/>
    <w:rsid w:val="00376277"/>
    <w:rsid w:val="00382F2E"/>
    <w:rsid w:val="00387E82"/>
    <w:rsid w:val="00391E33"/>
    <w:rsid w:val="003C1906"/>
    <w:rsid w:val="003C2DAA"/>
    <w:rsid w:val="003D6A15"/>
    <w:rsid w:val="003E7669"/>
    <w:rsid w:val="003F43BD"/>
    <w:rsid w:val="003F59E1"/>
    <w:rsid w:val="0042028D"/>
    <w:rsid w:val="00422F55"/>
    <w:rsid w:val="00442EA4"/>
    <w:rsid w:val="00454D1D"/>
    <w:rsid w:val="004609FB"/>
    <w:rsid w:val="00481C68"/>
    <w:rsid w:val="004909AC"/>
    <w:rsid w:val="00494A1D"/>
    <w:rsid w:val="004C0418"/>
    <w:rsid w:val="004C12BE"/>
    <w:rsid w:val="004C1FF0"/>
    <w:rsid w:val="004D3EB4"/>
    <w:rsid w:val="004D595D"/>
    <w:rsid w:val="00504082"/>
    <w:rsid w:val="005241B0"/>
    <w:rsid w:val="00536434"/>
    <w:rsid w:val="005424A5"/>
    <w:rsid w:val="00560213"/>
    <w:rsid w:val="005B2716"/>
    <w:rsid w:val="005B7F1B"/>
    <w:rsid w:val="005C3DB0"/>
    <w:rsid w:val="005D046C"/>
    <w:rsid w:val="00616808"/>
    <w:rsid w:val="006401A3"/>
    <w:rsid w:val="00665E99"/>
    <w:rsid w:val="006769AD"/>
    <w:rsid w:val="00680107"/>
    <w:rsid w:val="00692AB8"/>
    <w:rsid w:val="006A1435"/>
    <w:rsid w:val="006A1DD3"/>
    <w:rsid w:val="006A5B47"/>
    <w:rsid w:val="006B347A"/>
    <w:rsid w:val="006B4970"/>
    <w:rsid w:val="006C385D"/>
    <w:rsid w:val="006D09FF"/>
    <w:rsid w:val="006E1A55"/>
    <w:rsid w:val="00722EB1"/>
    <w:rsid w:val="00731D19"/>
    <w:rsid w:val="0074374C"/>
    <w:rsid w:val="00757414"/>
    <w:rsid w:val="00774E7A"/>
    <w:rsid w:val="0077595C"/>
    <w:rsid w:val="00785530"/>
    <w:rsid w:val="007967F6"/>
    <w:rsid w:val="007A2D0F"/>
    <w:rsid w:val="007C251F"/>
    <w:rsid w:val="007D14C6"/>
    <w:rsid w:val="007D66D5"/>
    <w:rsid w:val="007D6BD7"/>
    <w:rsid w:val="008026B7"/>
    <w:rsid w:val="008035EE"/>
    <w:rsid w:val="00864E01"/>
    <w:rsid w:val="00885976"/>
    <w:rsid w:val="008864E2"/>
    <w:rsid w:val="00896FDF"/>
    <w:rsid w:val="008B6208"/>
    <w:rsid w:val="008C36CF"/>
    <w:rsid w:val="008E0A3B"/>
    <w:rsid w:val="00912320"/>
    <w:rsid w:val="00915B42"/>
    <w:rsid w:val="00922737"/>
    <w:rsid w:val="00952AF2"/>
    <w:rsid w:val="00954187"/>
    <w:rsid w:val="00990552"/>
    <w:rsid w:val="009A05B7"/>
    <w:rsid w:val="009A2DFB"/>
    <w:rsid w:val="009A7F83"/>
    <w:rsid w:val="009B4E69"/>
    <w:rsid w:val="009D0FD7"/>
    <w:rsid w:val="009D29D2"/>
    <w:rsid w:val="009E4115"/>
    <w:rsid w:val="009F0026"/>
    <w:rsid w:val="00A040AC"/>
    <w:rsid w:val="00A07895"/>
    <w:rsid w:val="00A142D2"/>
    <w:rsid w:val="00A40603"/>
    <w:rsid w:val="00A929D3"/>
    <w:rsid w:val="00A93D6E"/>
    <w:rsid w:val="00AB208A"/>
    <w:rsid w:val="00AB761D"/>
    <w:rsid w:val="00AD61A6"/>
    <w:rsid w:val="00AD7E2A"/>
    <w:rsid w:val="00AE1458"/>
    <w:rsid w:val="00AE219A"/>
    <w:rsid w:val="00AF45C6"/>
    <w:rsid w:val="00B03782"/>
    <w:rsid w:val="00B04442"/>
    <w:rsid w:val="00B16F02"/>
    <w:rsid w:val="00B22806"/>
    <w:rsid w:val="00B239E1"/>
    <w:rsid w:val="00B30C01"/>
    <w:rsid w:val="00B404CA"/>
    <w:rsid w:val="00B41BCB"/>
    <w:rsid w:val="00B450E7"/>
    <w:rsid w:val="00B66402"/>
    <w:rsid w:val="00B802EA"/>
    <w:rsid w:val="00B950C1"/>
    <w:rsid w:val="00B96594"/>
    <w:rsid w:val="00BA3134"/>
    <w:rsid w:val="00BC5B65"/>
    <w:rsid w:val="00BC6E00"/>
    <w:rsid w:val="00BD28DB"/>
    <w:rsid w:val="00BE297A"/>
    <w:rsid w:val="00BF01C3"/>
    <w:rsid w:val="00C21B9F"/>
    <w:rsid w:val="00C24191"/>
    <w:rsid w:val="00C30CA5"/>
    <w:rsid w:val="00C352C3"/>
    <w:rsid w:val="00C57C0F"/>
    <w:rsid w:val="00C76C42"/>
    <w:rsid w:val="00C944BE"/>
    <w:rsid w:val="00C96F4F"/>
    <w:rsid w:val="00CA44E5"/>
    <w:rsid w:val="00CA68F9"/>
    <w:rsid w:val="00CB3ECC"/>
    <w:rsid w:val="00CC1EEB"/>
    <w:rsid w:val="00CF7E56"/>
    <w:rsid w:val="00D1144F"/>
    <w:rsid w:val="00D54C15"/>
    <w:rsid w:val="00D55D7E"/>
    <w:rsid w:val="00D635E0"/>
    <w:rsid w:val="00D92390"/>
    <w:rsid w:val="00D96ECC"/>
    <w:rsid w:val="00DA5AA4"/>
    <w:rsid w:val="00DB7E4C"/>
    <w:rsid w:val="00DD7731"/>
    <w:rsid w:val="00DE6760"/>
    <w:rsid w:val="00DE6D0D"/>
    <w:rsid w:val="00DF1506"/>
    <w:rsid w:val="00DF2A55"/>
    <w:rsid w:val="00E05C7B"/>
    <w:rsid w:val="00E06137"/>
    <w:rsid w:val="00E07C5C"/>
    <w:rsid w:val="00E10B20"/>
    <w:rsid w:val="00E4426C"/>
    <w:rsid w:val="00E563C5"/>
    <w:rsid w:val="00E74FC0"/>
    <w:rsid w:val="00EB1B1F"/>
    <w:rsid w:val="00ED059D"/>
    <w:rsid w:val="00ED3BB4"/>
    <w:rsid w:val="00ED6D61"/>
    <w:rsid w:val="00F11F4F"/>
    <w:rsid w:val="00F22003"/>
    <w:rsid w:val="00F22DFD"/>
    <w:rsid w:val="00F362FC"/>
    <w:rsid w:val="00F37D2E"/>
    <w:rsid w:val="00F420FB"/>
    <w:rsid w:val="00F51762"/>
    <w:rsid w:val="00F552F7"/>
    <w:rsid w:val="00F559B7"/>
    <w:rsid w:val="00F61E90"/>
    <w:rsid w:val="00F7790E"/>
    <w:rsid w:val="00F810A2"/>
    <w:rsid w:val="00F871E4"/>
    <w:rsid w:val="00F92108"/>
    <w:rsid w:val="00F93355"/>
    <w:rsid w:val="00F96F61"/>
    <w:rsid w:val="00FA7117"/>
    <w:rsid w:val="00FB2D37"/>
    <w:rsid w:val="00FB5F66"/>
    <w:rsid w:val="00FD1F69"/>
    <w:rsid w:val="00FD53B8"/>
    <w:rsid w:val="00FD55AC"/>
    <w:rsid w:val="00FE0E18"/>
    <w:rsid w:val="00FE4D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D4361F"/>
  <w15:chartTrackingRefBased/>
  <w15:docId w15:val="{8B7607D1-7FCD-4796-A174-A42C46C007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1680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02EA"/>
    <w:pPr>
      <w:ind w:left="720"/>
      <w:contextualSpacing/>
    </w:pPr>
  </w:style>
  <w:style w:type="character" w:customStyle="1" w:styleId="e24kjd">
    <w:name w:val="e24kjd"/>
    <w:basedOn w:val="DefaultParagraphFont"/>
    <w:rsid w:val="00B802EA"/>
  </w:style>
  <w:style w:type="character" w:styleId="Hyperlink">
    <w:name w:val="Hyperlink"/>
    <w:basedOn w:val="DefaultParagraphFont"/>
    <w:uiPriority w:val="99"/>
    <w:unhideWhenUsed/>
    <w:rsid w:val="001070B9"/>
    <w:rPr>
      <w:color w:val="0563C1" w:themeColor="hyperlink"/>
      <w:u w:val="single"/>
    </w:rPr>
  </w:style>
  <w:style w:type="character" w:customStyle="1" w:styleId="UnresolvedMention1">
    <w:name w:val="Unresolved Mention1"/>
    <w:basedOn w:val="DefaultParagraphFont"/>
    <w:uiPriority w:val="99"/>
    <w:semiHidden/>
    <w:unhideWhenUsed/>
    <w:rsid w:val="001070B9"/>
    <w:rPr>
      <w:color w:val="605E5C"/>
      <w:shd w:val="clear" w:color="auto" w:fill="E1DFDD"/>
    </w:rPr>
  </w:style>
  <w:style w:type="paragraph" w:styleId="NormalWeb">
    <w:name w:val="Normal (Web)"/>
    <w:basedOn w:val="Normal"/>
    <w:uiPriority w:val="99"/>
    <w:unhideWhenUsed/>
    <w:rsid w:val="002F1D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DA5AA4"/>
    <w:rPr>
      <w:i/>
      <w:iCs/>
    </w:rPr>
  </w:style>
  <w:style w:type="character" w:styleId="CommentReference">
    <w:name w:val="annotation reference"/>
    <w:basedOn w:val="DefaultParagraphFont"/>
    <w:uiPriority w:val="99"/>
    <w:semiHidden/>
    <w:unhideWhenUsed/>
    <w:rsid w:val="00B239E1"/>
    <w:rPr>
      <w:sz w:val="16"/>
      <w:szCs w:val="16"/>
    </w:rPr>
  </w:style>
  <w:style w:type="paragraph" w:styleId="CommentText">
    <w:name w:val="annotation text"/>
    <w:basedOn w:val="Normal"/>
    <w:link w:val="CommentTextChar"/>
    <w:uiPriority w:val="99"/>
    <w:semiHidden/>
    <w:unhideWhenUsed/>
    <w:rsid w:val="00B239E1"/>
    <w:pPr>
      <w:spacing w:line="240" w:lineRule="auto"/>
    </w:pPr>
    <w:rPr>
      <w:sz w:val="20"/>
      <w:szCs w:val="20"/>
    </w:rPr>
  </w:style>
  <w:style w:type="character" w:customStyle="1" w:styleId="CommentTextChar">
    <w:name w:val="Comment Text Char"/>
    <w:basedOn w:val="DefaultParagraphFont"/>
    <w:link w:val="CommentText"/>
    <w:uiPriority w:val="99"/>
    <w:semiHidden/>
    <w:rsid w:val="00B239E1"/>
    <w:rPr>
      <w:sz w:val="20"/>
      <w:szCs w:val="20"/>
    </w:rPr>
  </w:style>
  <w:style w:type="paragraph" w:styleId="CommentSubject">
    <w:name w:val="annotation subject"/>
    <w:basedOn w:val="CommentText"/>
    <w:next w:val="CommentText"/>
    <w:link w:val="CommentSubjectChar"/>
    <w:uiPriority w:val="99"/>
    <w:semiHidden/>
    <w:unhideWhenUsed/>
    <w:rsid w:val="00B239E1"/>
    <w:rPr>
      <w:b/>
      <w:bCs/>
    </w:rPr>
  </w:style>
  <w:style w:type="character" w:customStyle="1" w:styleId="CommentSubjectChar">
    <w:name w:val="Comment Subject Char"/>
    <w:basedOn w:val="CommentTextChar"/>
    <w:link w:val="CommentSubject"/>
    <w:uiPriority w:val="99"/>
    <w:semiHidden/>
    <w:rsid w:val="00B239E1"/>
    <w:rPr>
      <w:b/>
      <w:bCs/>
      <w:sz w:val="20"/>
      <w:szCs w:val="20"/>
    </w:rPr>
  </w:style>
  <w:style w:type="paragraph" w:styleId="BalloonText">
    <w:name w:val="Balloon Text"/>
    <w:basedOn w:val="Normal"/>
    <w:link w:val="BalloonTextChar"/>
    <w:uiPriority w:val="99"/>
    <w:semiHidden/>
    <w:unhideWhenUsed/>
    <w:rsid w:val="00B239E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239E1"/>
    <w:rPr>
      <w:rFonts w:ascii="Segoe UI" w:hAnsi="Segoe UI" w:cs="Segoe UI"/>
      <w:sz w:val="18"/>
      <w:szCs w:val="18"/>
    </w:rPr>
  </w:style>
  <w:style w:type="character" w:customStyle="1" w:styleId="Heading1Char">
    <w:name w:val="Heading 1 Char"/>
    <w:basedOn w:val="DefaultParagraphFont"/>
    <w:link w:val="Heading1"/>
    <w:uiPriority w:val="9"/>
    <w:rsid w:val="0061680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16808"/>
  </w:style>
  <w:style w:type="paragraph" w:styleId="Header">
    <w:name w:val="header"/>
    <w:basedOn w:val="Normal"/>
    <w:link w:val="HeaderChar"/>
    <w:uiPriority w:val="99"/>
    <w:unhideWhenUsed/>
    <w:rsid w:val="002859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598C"/>
  </w:style>
  <w:style w:type="paragraph" w:styleId="Footer">
    <w:name w:val="footer"/>
    <w:basedOn w:val="Normal"/>
    <w:link w:val="FooterChar"/>
    <w:uiPriority w:val="99"/>
    <w:unhideWhenUsed/>
    <w:rsid w:val="002859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598C"/>
  </w:style>
  <w:style w:type="paragraph" w:styleId="NoSpacing">
    <w:name w:val="No Spacing"/>
    <w:uiPriority w:val="1"/>
    <w:qFormat/>
    <w:rsid w:val="00D1144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768469">
      <w:bodyDiv w:val="1"/>
      <w:marLeft w:val="0"/>
      <w:marRight w:val="0"/>
      <w:marTop w:val="0"/>
      <w:marBottom w:val="0"/>
      <w:divBdr>
        <w:top w:val="none" w:sz="0" w:space="0" w:color="auto"/>
        <w:left w:val="none" w:sz="0" w:space="0" w:color="auto"/>
        <w:bottom w:val="none" w:sz="0" w:space="0" w:color="auto"/>
        <w:right w:val="none" w:sz="0" w:space="0" w:color="auto"/>
      </w:divBdr>
    </w:div>
    <w:div w:id="111100261">
      <w:bodyDiv w:val="1"/>
      <w:marLeft w:val="0"/>
      <w:marRight w:val="0"/>
      <w:marTop w:val="0"/>
      <w:marBottom w:val="0"/>
      <w:divBdr>
        <w:top w:val="none" w:sz="0" w:space="0" w:color="auto"/>
        <w:left w:val="none" w:sz="0" w:space="0" w:color="auto"/>
        <w:bottom w:val="none" w:sz="0" w:space="0" w:color="auto"/>
        <w:right w:val="none" w:sz="0" w:space="0" w:color="auto"/>
      </w:divBdr>
    </w:div>
    <w:div w:id="125127348">
      <w:bodyDiv w:val="1"/>
      <w:marLeft w:val="0"/>
      <w:marRight w:val="0"/>
      <w:marTop w:val="0"/>
      <w:marBottom w:val="0"/>
      <w:divBdr>
        <w:top w:val="none" w:sz="0" w:space="0" w:color="auto"/>
        <w:left w:val="none" w:sz="0" w:space="0" w:color="auto"/>
        <w:bottom w:val="none" w:sz="0" w:space="0" w:color="auto"/>
        <w:right w:val="none" w:sz="0" w:space="0" w:color="auto"/>
      </w:divBdr>
      <w:divsChild>
        <w:div w:id="1223835696">
          <w:marLeft w:val="0"/>
          <w:marRight w:val="0"/>
          <w:marTop w:val="0"/>
          <w:marBottom w:val="0"/>
          <w:divBdr>
            <w:top w:val="none" w:sz="0" w:space="0" w:color="auto"/>
            <w:left w:val="none" w:sz="0" w:space="0" w:color="auto"/>
            <w:bottom w:val="none" w:sz="0" w:space="0" w:color="auto"/>
            <w:right w:val="none" w:sz="0" w:space="0" w:color="auto"/>
          </w:divBdr>
          <w:divsChild>
            <w:div w:id="1996450962">
              <w:marLeft w:val="0"/>
              <w:marRight w:val="0"/>
              <w:marTop w:val="0"/>
              <w:marBottom w:val="0"/>
              <w:divBdr>
                <w:top w:val="none" w:sz="0" w:space="0" w:color="auto"/>
                <w:left w:val="none" w:sz="0" w:space="0" w:color="auto"/>
                <w:bottom w:val="none" w:sz="0" w:space="0" w:color="auto"/>
                <w:right w:val="none" w:sz="0" w:space="0" w:color="auto"/>
              </w:divBdr>
              <w:divsChild>
                <w:div w:id="1866364325">
                  <w:marLeft w:val="0"/>
                  <w:marRight w:val="0"/>
                  <w:marTop w:val="0"/>
                  <w:marBottom w:val="0"/>
                  <w:divBdr>
                    <w:top w:val="none" w:sz="0" w:space="0" w:color="auto"/>
                    <w:left w:val="none" w:sz="0" w:space="0" w:color="auto"/>
                    <w:bottom w:val="none" w:sz="0" w:space="0" w:color="auto"/>
                    <w:right w:val="none" w:sz="0" w:space="0" w:color="auto"/>
                  </w:divBdr>
                  <w:divsChild>
                    <w:div w:id="1854800065">
                      <w:marLeft w:val="0"/>
                      <w:marRight w:val="0"/>
                      <w:marTop w:val="0"/>
                      <w:marBottom w:val="0"/>
                      <w:divBdr>
                        <w:top w:val="none" w:sz="0" w:space="0" w:color="auto"/>
                        <w:left w:val="none" w:sz="0" w:space="0" w:color="auto"/>
                        <w:bottom w:val="none" w:sz="0" w:space="0" w:color="auto"/>
                        <w:right w:val="none" w:sz="0" w:space="0" w:color="auto"/>
                      </w:divBdr>
                      <w:divsChild>
                        <w:div w:id="1479155170">
                          <w:marLeft w:val="0"/>
                          <w:marRight w:val="0"/>
                          <w:marTop w:val="0"/>
                          <w:marBottom w:val="0"/>
                          <w:divBdr>
                            <w:top w:val="none" w:sz="0" w:space="0" w:color="auto"/>
                            <w:left w:val="none" w:sz="0" w:space="0" w:color="auto"/>
                            <w:bottom w:val="none" w:sz="0" w:space="0" w:color="auto"/>
                            <w:right w:val="none" w:sz="0" w:space="0" w:color="auto"/>
                          </w:divBdr>
                          <w:divsChild>
                            <w:div w:id="1634360108">
                              <w:marLeft w:val="0"/>
                              <w:marRight w:val="0"/>
                              <w:marTop w:val="0"/>
                              <w:marBottom w:val="0"/>
                              <w:divBdr>
                                <w:top w:val="none" w:sz="0" w:space="0" w:color="auto"/>
                                <w:left w:val="none" w:sz="0" w:space="0" w:color="auto"/>
                                <w:bottom w:val="none" w:sz="0" w:space="0" w:color="auto"/>
                                <w:right w:val="none" w:sz="0" w:space="0" w:color="auto"/>
                              </w:divBdr>
                              <w:divsChild>
                                <w:div w:id="1391151508">
                                  <w:marLeft w:val="0"/>
                                  <w:marRight w:val="0"/>
                                  <w:marTop w:val="0"/>
                                  <w:marBottom w:val="0"/>
                                  <w:divBdr>
                                    <w:top w:val="none" w:sz="0" w:space="0" w:color="auto"/>
                                    <w:left w:val="none" w:sz="0" w:space="0" w:color="auto"/>
                                    <w:bottom w:val="none" w:sz="0" w:space="0" w:color="auto"/>
                                    <w:right w:val="none" w:sz="0" w:space="0" w:color="auto"/>
                                  </w:divBdr>
                                  <w:divsChild>
                                    <w:div w:id="1855724291">
                                      <w:marLeft w:val="0"/>
                                      <w:marRight w:val="0"/>
                                      <w:marTop w:val="0"/>
                                      <w:marBottom w:val="0"/>
                                      <w:divBdr>
                                        <w:top w:val="none" w:sz="0" w:space="0" w:color="auto"/>
                                        <w:left w:val="none" w:sz="0" w:space="0" w:color="auto"/>
                                        <w:bottom w:val="none" w:sz="0" w:space="0" w:color="auto"/>
                                        <w:right w:val="none" w:sz="0" w:space="0" w:color="auto"/>
                                      </w:divBdr>
                                      <w:divsChild>
                                        <w:div w:id="1621640780">
                                          <w:marLeft w:val="0"/>
                                          <w:marRight w:val="0"/>
                                          <w:marTop w:val="0"/>
                                          <w:marBottom w:val="0"/>
                                          <w:divBdr>
                                            <w:top w:val="none" w:sz="0" w:space="0" w:color="auto"/>
                                            <w:left w:val="none" w:sz="0" w:space="0" w:color="auto"/>
                                            <w:bottom w:val="none" w:sz="0" w:space="0" w:color="auto"/>
                                            <w:right w:val="none" w:sz="0" w:space="0" w:color="auto"/>
                                          </w:divBdr>
                                          <w:divsChild>
                                            <w:div w:id="744298143">
                                              <w:marLeft w:val="0"/>
                                              <w:marRight w:val="0"/>
                                              <w:marTop w:val="0"/>
                                              <w:marBottom w:val="0"/>
                                              <w:divBdr>
                                                <w:top w:val="none" w:sz="0" w:space="0" w:color="auto"/>
                                                <w:left w:val="none" w:sz="0" w:space="0" w:color="auto"/>
                                                <w:bottom w:val="none" w:sz="0" w:space="0" w:color="auto"/>
                                                <w:right w:val="none" w:sz="0" w:space="0" w:color="auto"/>
                                              </w:divBdr>
                                              <w:divsChild>
                                                <w:div w:id="1653870991">
                                                  <w:marLeft w:val="0"/>
                                                  <w:marRight w:val="0"/>
                                                  <w:marTop w:val="0"/>
                                                  <w:marBottom w:val="0"/>
                                                  <w:divBdr>
                                                    <w:top w:val="none" w:sz="0" w:space="0" w:color="auto"/>
                                                    <w:left w:val="none" w:sz="0" w:space="0" w:color="auto"/>
                                                    <w:bottom w:val="none" w:sz="0" w:space="0" w:color="auto"/>
                                                    <w:right w:val="none" w:sz="0" w:space="0" w:color="auto"/>
                                                  </w:divBdr>
                                                  <w:divsChild>
                                                    <w:div w:id="1827476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2137070">
      <w:bodyDiv w:val="1"/>
      <w:marLeft w:val="0"/>
      <w:marRight w:val="0"/>
      <w:marTop w:val="0"/>
      <w:marBottom w:val="0"/>
      <w:divBdr>
        <w:top w:val="none" w:sz="0" w:space="0" w:color="auto"/>
        <w:left w:val="none" w:sz="0" w:space="0" w:color="auto"/>
        <w:bottom w:val="none" w:sz="0" w:space="0" w:color="auto"/>
        <w:right w:val="none" w:sz="0" w:space="0" w:color="auto"/>
      </w:divBdr>
    </w:div>
    <w:div w:id="232393539">
      <w:bodyDiv w:val="1"/>
      <w:marLeft w:val="0"/>
      <w:marRight w:val="0"/>
      <w:marTop w:val="0"/>
      <w:marBottom w:val="0"/>
      <w:divBdr>
        <w:top w:val="none" w:sz="0" w:space="0" w:color="auto"/>
        <w:left w:val="none" w:sz="0" w:space="0" w:color="auto"/>
        <w:bottom w:val="none" w:sz="0" w:space="0" w:color="auto"/>
        <w:right w:val="none" w:sz="0" w:space="0" w:color="auto"/>
      </w:divBdr>
    </w:div>
    <w:div w:id="241645783">
      <w:bodyDiv w:val="1"/>
      <w:marLeft w:val="0"/>
      <w:marRight w:val="0"/>
      <w:marTop w:val="0"/>
      <w:marBottom w:val="0"/>
      <w:divBdr>
        <w:top w:val="none" w:sz="0" w:space="0" w:color="auto"/>
        <w:left w:val="none" w:sz="0" w:space="0" w:color="auto"/>
        <w:bottom w:val="none" w:sz="0" w:space="0" w:color="auto"/>
        <w:right w:val="none" w:sz="0" w:space="0" w:color="auto"/>
      </w:divBdr>
    </w:div>
    <w:div w:id="267087207">
      <w:bodyDiv w:val="1"/>
      <w:marLeft w:val="0"/>
      <w:marRight w:val="0"/>
      <w:marTop w:val="0"/>
      <w:marBottom w:val="0"/>
      <w:divBdr>
        <w:top w:val="none" w:sz="0" w:space="0" w:color="auto"/>
        <w:left w:val="none" w:sz="0" w:space="0" w:color="auto"/>
        <w:bottom w:val="none" w:sz="0" w:space="0" w:color="auto"/>
        <w:right w:val="none" w:sz="0" w:space="0" w:color="auto"/>
      </w:divBdr>
    </w:div>
    <w:div w:id="518356478">
      <w:bodyDiv w:val="1"/>
      <w:marLeft w:val="0"/>
      <w:marRight w:val="0"/>
      <w:marTop w:val="0"/>
      <w:marBottom w:val="0"/>
      <w:divBdr>
        <w:top w:val="none" w:sz="0" w:space="0" w:color="auto"/>
        <w:left w:val="none" w:sz="0" w:space="0" w:color="auto"/>
        <w:bottom w:val="none" w:sz="0" w:space="0" w:color="auto"/>
        <w:right w:val="none" w:sz="0" w:space="0" w:color="auto"/>
      </w:divBdr>
    </w:div>
    <w:div w:id="622148961">
      <w:bodyDiv w:val="1"/>
      <w:marLeft w:val="0"/>
      <w:marRight w:val="0"/>
      <w:marTop w:val="0"/>
      <w:marBottom w:val="0"/>
      <w:divBdr>
        <w:top w:val="none" w:sz="0" w:space="0" w:color="auto"/>
        <w:left w:val="none" w:sz="0" w:space="0" w:color="auto"/>
        <w:bottom w:val="none" w:sz="0" w:space="0" w:color="auto"/>
        <w:right w:val="none" w:sz="0" w:space="0" w:color="auto"/>
      </w:divBdr>
    </w:div>
    <w:div w:id="662011741">
      <w:bodyDiv w:val="1"/>
      <w:marLeft w:val="0"/>
      <w:marRight w:val="0"/>
      <w:marTop w:val="0"/>
      <w:marBottom w:val="0"/>
      <w:divBdr>
        <w:top w:val="none" w:sz="0" w:space="0" w:color="auto"/>
        <w:left w:val="none" w:sz="0" w:space="0" w:color="auto"/>
        <w:bottom w:val="none" w:sz="0" w:space="0" w:color="auto"/>
        <w:right w:val="none" w:sz="0" w:space="0" w:color="auto"/>
      </w:divBdr>
    </w:div>
    <w:div w:id="734400842">
      <w:bodyDiv w:val="1"/>
      <w:marLeft w:val="0"/>
      <w:marRight w:val="0"/>
      <w:marTop w:val="0"/>
      <w:marBottom w:val="0"/>
      <w:divBdr>
        <w:top w:val="none" w:sz="0" w:space="0" w:color="auto"/>
        <w:left w:val="none" w:sz="0" w:space="0" w:color="auto"/>
        <w:bottom w:val="none" w:sz="0" w:space="0" w:color="auto"/>
        <w:right w:val="none" w:sz="0" w:space="0" w:color="auto"/>
      </w:divBdr>
    </w:div>
    <w:div w:id="750542010">
      <w:bodyDiv w:val="1"/>
      <w:marLeft w:val="0"/>
      <w:marRight w:val="0"/>
      <w:marTop w:val="0"/>
      <w:marBottom w:val="0"/>
      <w:divBdr>
        <w:top w:val="none" w:sz="0" w:space="0" w:color="auto"/>
        <w:left w:val="none" w:sz="0" w:space="0" w:color="auto"/>
        <w:bottom w:val="none" w:sz="0" w:space="0" w:color="auto"/>
        <w:right w:val="none" w:sz="0" w:space="0" w:color="auto"/>
      </w:divBdr>
    </w:div>
    <w:div w:id="906888188">
      <w:bodyDiv w:val="1"/>
      <w:marLeft w:val="0"/>
      <w:marRight w:val="0"/>
      <w:marTop w:val="0"/>
      <w:marBottom w:val="0"/>
      <w:divBdr>
        <w:top w:val="none" w:sz="0" w:space="0" w:color="auto"/>
        <w:left w:val="none" w:sz="0" w:space="0" w:color="auto"/>
        <w:bottom w:val="none" w:sz="0" w:space="0" w:color="auto"/>
        <w:right w:val="none" w:sz="0" w:space="0" w:color="auto"/>
      </w:divBdr>
    </w:div>
    <w:div w:id="914557399">
      <w:bodyDiv w:val="1"/>
      <w:marLeft w:val="0"/>
      <w:marRight w:val="0"/>
      <w:marTop w:val="0"/>
      <w:marBottom w:val="0"/>
      <w:divBdr>
        <w:top w:val="none" w:sz="0" w:space="0" w:color="auto"/>
        <w:left w:val="none" w:sz="0" w:space="0" w:color="auto"/>
        <w:bottom w:val="none" w:sz="0" w:space="0" w:color="auto"/>
        <w:right w:val="none" w:sz="0" w:space="0" w:color="auto"/>
      </w:divBdr>
    </w:div>
    <w:div w:id="951018191">
      <w:bodyDiv w:val="1"/>
      <w:marLeft w:val="0"/>
      <w:marRight w:val="0"/>
      <w:marTop w:val="0"/>
      <w:marBottom w:val="0"/>
      <w:divBdr>
        <w:top w:val="none" w:sz="0" w:space="0" w:color="auto"/>
        <w:left w:val="none" w:sz="0" w:space="0" w:color="auto"/>
        <w:bottom w:val="none" w:sz="0" w:space="0" w:color="auto"/>
        <w:right w:val="none" w:sz="0" w:space="0" w:color="auto"/>
      </w:divBdr>
    </w:div>
    <w:div w:id="962619252">
      <w:bodyDiv w:val="1"/>
      <w:marLeft w:val="0"/>
      <w:marRight w:val="0"/>
      <w:marTop w:val="0"/>
      <w:marBottom w:val="0"/>
      <w:divBdr>
        <w:top w:val="none" w:sz="0" w:space="0" w:color="auto"/>
        <w:left w:val="none" w:sz="0" w:space="0" w:color="auto"/>
        <w:bottom w:val="none" w:sz="0" w:space="0" w:color="auto"/>
        <w:right w:val="none" w:sz="0" w:space="0" w:color="auto"/>
      </w:divBdr>
    </w:div>
    <w:div w:id="1014576458">
      <w:bodyDiv w:val="1"/>
      <w:marLeft w:val="0"/>
      <w:marRight w:val="0"/>
      <w:marTop w:val="0"/>
      <w:marBottom w:val="0"/>
      <w:divBdr>
        <w:top w:val="none" w:sz="0" w:space="0" w:color="auto"/>
        <w:left w:val="none" w:sz="0" w:space="0" w:color="auto"/>
        <w:bottom w:val="none" w:sz="0" w:space="0" w:color="auto"/>
        <w:right w:val="none" w:sz="0" w:space="0" w:color="auto"/>
      </w:divBdr>
    </w:div>
    <w:div w:id="1016687702">
      <w:bodyDiv w:val="1"/>
      <w:marLeft w:val="0"/>
      <w:marRight w:val="0"/>
      <w:marTop w:val="0"/>
      <w:marBottom w:val="0"/>
      <w:divBdr>
        <w:top w:val="none" w:sz="0" w:space="0" w:color="auto"/>
        <w:left w:val="none" w:sz="0" w:space="0" w:color="auto"/>
        <w:bottom w:val="none" w:sz="0" w:space="0" w:color="auto"/>
        <w:right w:val="none" w:sz="0" w:space="0" w:color="auto"/>
      </w:divBdr>
    </w:div>
    <w:div w:id="1019550120">
      <w:bodyDiv w:val="1"/>
      <w:marLeft w:val="0"/>
      <w:marRight w:val="0"/>
      <w:marTop w:val="0"/>
      <w:marBottom w:val="0"/>
      <w:divBdr>
        <w:top w:val="none" w:sz="0" w:space="0" w:color="auto"/>
        <w:left w:val="none" w:sz="0" w:space="0" w:color="auto"/>
        <w:bottom w:val="none" w:sz="0" w:space="0" w:color="auto"/>
        <w:right w:val="none" w:sz="0" w:space="0" w:color="auto"/>
      </w:divBdr>
    </w:div>
    <w:div w:id="1059013740">
      <w:bodyDiv w:val="1"/>
      <w:marLeft w:val="0"/>
      <w:marRight w:val="0"/>
      <w:marTop w:val="0"/>
      <w:marBottom w:val="0"/>
      <w:divBdr>
        <w:top w:val="none" w:sz="0" w:space="0" w:color="auto"/>
        <w:left w:val="none" w:sz="0" w:space="0" w:color="auto"/>
        <w:bottom w:val="none" w:sz="0" w:space="0" w:color="auto"/>
        <w:right w:val="none" w:sz="0" w:space="0" w:color="auto"/>
      </w:divBdr>
    </w:div>
    <w:div w:id="1219895458">
      <w:bodyDiv w:val="1"/>
      <w:marLeft w:val="0"/>
      <w:marRight w:val="0"/>
      <w:marTop w:val="0"/>
      <w:marBottom w:val="0"/>
      <w:divBdr>
        <w:top w:val="none" w:sz="0" w:space="0" w:color="auto"/>
        <w:left w:val="none" w:sz="0" w:space="0" w:color="auto"/>
        <w:bottom w:val="none" w:sz="0" w:space="0" w:color="auto"/>
        <w:right w:val="none" w:sz="0" w:space="0" w:color="auto"/>
      </w:divBdr>
    </w:div>
    <w:div w:id="1412317313">
      <w:bodyDiv w:val="1"/>
      <w:marLeft w:val="0"/>
      <w:marRight w:val="0"/>
      <w:marTop w:val="0"/>
      <w:marBottom w:val="0"/>
      <w:divBdr>
        <w:top w:val="none" w:sz="0" w:space="0" w:color="auto"/>
        <w:left w:val="none" w:sz="0" w:space="0" w:color="auto"/>
        <w:bottom w:val="none" w:sz="0" w:space="0" w:color="auto"/>
        <w:right w:val="none" w:sz="0" w:space="0" w:color="auto"/>
      </w:divBdr>
    </w:div>
    <w:div w:id="1422600555">
      <w:bodyDiv w:val="1"/>
      <w:marLeft w:val="0"/>
      <w:marRight w:val="0"/>
      <w:marTop w:val="0"/>
      <w:marBottom w:val="0"/>
      <w:divBdr>
        <w:top w:val="none" w:sz="0" w:space="0" w:color="auto"/>
        <w:left w:val="none" w:sz="0" w:space="0" w:color="auto"/>
        <w:bottom w:val="none" w:sz="0" w:space="0" w:color="auto"/>
        <w:right w:val="none" w:sz="0" w:space="0" w:color="auto"/>
      </w:divBdr>
    </w:div>
    <w:div w:id="1435634779">
      <w:bodyDiv w:val="1"/>
      <w:marLeft w:val="0"/>
      <w:marRight w:val="0"/>
      <w:marTop w:val="0"/>
      <w:marBottom w:val="0"/>
      <w:divBdr>
        <w:top w:val="none" w:sz="0" w:space="0" w:color="auto"/>
        <w:left w:val="none" w:sz="0" w:space="0" w:color="auto"/>
        <w:bottom w:val="none" w:sz="0" w:space="0" w:color="auto"/>
        <w:right w:val="none" w:sz="0" w:space="0" w:color="auto"/>
      </w:divBdr>
    </w:div>
    <w:div w:id="1514490282">
      <w:bodyDiv w:val="1"/>
      <w:marLeft w:val="0"/>
      <w:marRight w:val="0"/>
      <w:marTop w:val="0"/>
      <w:marBottom w:val="0"/>
      <w:divBdr>
        <w:top w:val="none" w:sz="0" w:space="0" w:color="auto"/>
        <w:left w:val="none" w:sz="0" w:space="0" w:color="auto"/>
        <w:bottom w:val="none" w:sz="0" w:space="0" w:color="auto"/>
        <w:right w:val="none" w:sz="0" w:space="0" w:color="auto"/>
      </w:divBdr>
    </w:div>
    <w:div w:id="1519614321">
      <w:bodyDiv w:val="1"/>
      <w:marLeft w:val="0"/>
      <w:marRight w:val="0"/>
      <w:marTop w:val="0"/>
      <w:marBottom w:val="0"/>
      <w:divBdr>
        <w:top w:val="none" w:sz="0" w:space="0" w:color="auto"/>
        <w:left w:val="none" w:sz="0" w:space="0" w:color="auto"/>
        <w:bottom w:val="none" w:sz="0" w:space="0" w:color="auto"/>
        <w:right w:val="none" w:sz="0" w:space="0" w:color="auto"/>
      </w:divBdr>
    </w:div>
    <w:div w:id="1635479365">
      <w:bodyDiv w:val="1"/>
      <w:marLeft w:val="0"/>
      <w:marRight w:val="0"/>
      <w:marTop w:val="0"/>
      <w:marBottom w:val="0"/>
      <w:divBdr>
        <w:top w:val="none" w:sz="0" w:space="0" w:color="auto"/>
        <w:left w:val="none" w:sz="0" w:space="0" w:color="auto"/>
        <w:bottom w:val="none" w:sz="0" w:space="0" w:color="auto"/>
        <w:right w:val="none" w:sz="0" w:space="0" w:color="auto"/>
      </w:divBdr>
    </w:div>
    <w:div w:id="1651054608">
      <w:bodyDiv w:val="1"/>
      <w:marLeft w:val="0"/>
      <w:marRight w:val="0"/>
      <w:marTop w:val="0"/>
      <w:marBottom w:val="0"/>
      <w:divBdr>
        <w:top w:val="none" w:sz="0" w:space="0" w:color="auto"/>
        <w:left w:val="none" w:sz="0" w:space="0" w:color="auto"/>
        <w:bottom w:val="none" w:sz="0" w:space="0" w:color="auto"/>
        <w:right w:val="none" w:sz="0" w:space="0" w:color="auto"/>
      </w:divBdr>
    </w:div>
    <w:div w:id="1781752925">
      <w:bodyDiv w:val="1"/>
      <w:marLeft w:val="0"/>
      <w:marRight w:val="0"/>
      <w:marTop w:val="0"/>
      <w:marBottom w:val="0"/>
      <w:divBdr>
        <w:top w:val="none" w:sz="0" w:space="0" w:color="auto"/>
        <w:left w:val="none" w:sz="0" w:space="0" w:color="auto"/>
        <w:bottom w:val="none" w:sz="0" w:space="0" w:color="auto"/>
        <w:right w:val="none" w:sz="0" w:space="0" w:color="auto"/>
      </w:divBdr>
    </w:div>
    <w:div w:id="1823737879">
      <w:bodyDiv w:val="1"/>
      <w:marLeft w:val="0"/>
      <w:marRight w:val="0"/>
      <w:marTop w:val="0"/>
      <w:marBottom w:val="0"/>
      <w:divBdr>
        <w:top w:val="none" w:sz="0" w:space="0" w:color="auto"/>
        <w:left w:val="none" w:sz="0" w:space="0" w:color="auto"/>
        <w:bottom w:val="none" w:sz="0" w:space="0" w:color="auto"/>
        <w:right w:val="none" w:sz="0" w:space="0" w:color="auto"/>
      </w:divBdr>
    </w:div>
    <w:div w:id="1894585119">
      <w:bodyDiv w:val="1"/>
      <w:marLeft w:val="0"/>
      <w:marRight w:val="0"/>
      <w:marTop w:val="0"/>
      <w:marBottom w:val="0"/>
      <w:divBdr>
        <w:top w:val="none" w:sz="0" w:space="0" w:color="auto"/>
        <w:left w:val="none" w:sz="0" w:space="0" w:color="auto"/>
        <w:bottom w:val="none" w:sz="0" w:space="0" w:color="auto"/>
        <w:right w:val="none" w:sz="0" w:space="0" w:color="auto"/>
      </w:divBdr>
    </w:div>
    <w:div w:id="1974678914">
      <w:bodyDiv w:val="1"/>
      <w:marLeft w:val="0"/>
      <w:marRight w:val="0"/>
      <w:marTop w:val="0"/>
      <w:marBottom w:val="0"/>
      <w:divBdr>
        <w:top w:val="none" w:sz="0" w:space="0" w:color="auto"/>
        <w:left w:val="none" w:sz="0" w:space="0" w:color="auto"/>
        <w:bottom w:val="none" w:sz="0" w:space="0" w:color="auto"/>
        <w:right w:val="none" w:sz="0" w:space="0" w:color="auto"/>
      </w:divBdr>
    </w:div>
    <w:div w:id="2054769556">
      <w:bodyDiv w:val="1"/>
      <w:marLeft w:val="0"/>
      <w:marRight w:val="0"/>
      <w:marTop w:val="0"/>
      <w:marBottom w:val="0"/>
      <w:divBdr>
        <w:top w:val="none" w:sz="0" w:space="0" w:color="auto"/>
        <w:left w:val="none" w:sz="0" w:space="0" w:color="auto"/>
        <w:bottom w:val="none" w:sz="0" w:space="0" w:color="auto"/>
        <w:right w:val="none" w:sz="0" w:space="0" w:color="auto"/>
      </w:divBdr>
    </w:div>
    <w:div w:id="2055883216">
      <w:bodyDiv w:val="1"/>
      <w:marLeft w:val="0"/>
      <w:marRight w:val="0"/>
      <w:marTop w:val="0"/>
      <w:marBottom w:val="0"/>
      <w:divBdr>
        <w:top w:val="none" w:sz="0" w:space="0" w:color="auto"/>
        <w:left w:val="none" w:sz="0" w:space="0" w:color="auto"/>
        <w:bottom w:val="none" w:sz="0" w:space="0" w:color="auto"/>
        <w:right w:val="none" w:sz="0" w:space="0" w:color="auto"/>
      </w:divBdr>
    </w:div>
    <w:div w:id="2092193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ipd.co.uk/knowledge/fundamentals/relations/engagement/factsheet" TargetMode="External"/><Relationship Id="rId18" Type="http://schemas.openxmlformats.org/officeDocument/2006/relationships/hyperlink" Target="https://www.hrzone.com/lead/future/avoiding-automation-culture-shock-among-your-employees"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youtube.com/watch?v=w3XKLhKyM1Y" TargetMode="External"/><Relationship Id="rId7" Type="http://schemas.openxmlformats.org/officeDocument/2006/relationships/endnotes" Target="endnotes.xml"/><Relationship Id="rId12" Type="http://schemas.openxmlformats.org/officeDocument/2006/relationships/hyperlink" Target="https://www.cipd.co.uk/Images/leading-culture-change-employee-engagement-and-public-service-transformation_2012_tcm18-14116.pdf" TargetMode="External"/><Relationship Id="rId17" Type="http://schemas.openxmlformats.org/officeDocument/2006/relationships/hyperlink" Target="https://www.youtube.com/watch?v=7lhVUedc1a4" TargetMode="External"/><Relationship Id="rId25" Type="http://schemas.openxmlformats.org/officeDocument/2006/relationships/hyperlink" Target="https://www.hrzone.com/lead/culture/three-predictions-for-hr-in-2020" TargetMode="External"/><Relationship Id="rId2" Type="http://schemas.openxmlformats.org/officeDocument/2006/relationships/numbering" Target="numbering.xml"/><Relationship Id="rId16" Type="http://schemas.openxmlformats.org/officeDocument/2006/relationships/hyperlink" Target="https://www.gartner.com/en/human-resources/trends/future-of-work-trends-post-covid-cpc?utm_source=google&amp;utm_medium=cpc&amp;utm_campaign=RM_EMEA_2020_HRL_CPC_LG1_ALWAYS-ON-2020&amp;utm_adgroup=107546901269&amp;utm_term=%2Bfuture%20%2Bof%20%2Bhr&amp;ad=466830742457&amp;gclid=CjwKCAjwz6_8BRBkEiwA3p02VbdGKo9Qehtd-Ej_LJdc_3BUEvnYsb4vznKPog5nG1CBzcY6j5g71RoCWRAQAvD_BwE" TargetMode="External"/><Relationship Id="rId20" Type="http://schemas.openxmlformats.org/officeDocument/2006/relationships/hyperlink" Target="https://engageforsuccess.org/engaging-for-succes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dexec.co.uk/what-can-you-do-in-2020-to-increase-employee-engagement-in-your-workplace/" TargetMode="External"/><Relationship Id="rId24" Type="http://schemas.openxmlformats.org/officeDocument/2006/relationships/hyperlink" Target="https://www.activeconsultancy.com/blog/112/how_demographic_factors_affect_employee_engagement" TargetMode="External"/><Relationship Id="rId5" Type="http://schemas.openxmlformats.org/officeDocument/2006/relationships/webSettings" Target="webSettings.xml"/><Relationship Id="rId15" Type="http://schemas.openxmlformats.org/officeDocument/2006/relationships/hyperlink" Target="https://www2.deloitte.com/us/en/insights/focus/human-capital-trends/2015/employee-engagement-culture-human-capital-trends-2015.html" TargetMode="External"/><Relationship Id="rId23" Type="http://schemas.openxmlformats.org/officeDocument/2006/relationships/hyperlink" Target="https://www.shrm.org/resourcesandtools/tools-and-samples/toolkits/pages/sustainingemployeeengagement.aspx" TargetMode="External"/><Relationship Id="rId10" Type="http://schemas.openxmlformats.org/officeDocument/2006/relationships/hyperlink" Target="https://onlinelibrary.wiley.com/doi/full/10.1111/ijmr.12077" TargetMode="External"/><Relationship Id="rId19" Type="http://schemas.openxmlformats.org/officeDocument/2006/relationships/hyperlink" Target="https://engageforsuccess.org/what-isemployee-engagemen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ipd.co.uk/knowledge/work/trends/labour-market-outlook" TargetMode="External"/><Relationship Id="rId22" Type="http://schemas.openxmlformats.org/officeDocument/2006/relationships/hyperlink" Target="https://www.personneltoday.com/hr/coronavirus-home-working-consideration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Rum63</b:Tag>
    <b:SourceType>BookSection</b:SourceType>
    <b:Guid>{DF39B69A-E2DE-463F-8A67-443051238760}</b:Guid>
    <b:Year>1963</b:Year>
    <b:Author>
      <b:BookAuthor>
        <b:NameList>
          <b:Person>
            <b:Last>Rummel</b:Last>
            <b:First>J.F,</b:First>
            <b:Middle>Ballaine, W.C.</b:Middle>
          </b:Person>
        </b:NameList>
      </b:BookAuthor>
    </b:Author>
    <b:BookTitle>Research methodology in business</b:BookTitle>
    <b:RefOrder>3</b:RefOrder>
  </b:Source>
  <b:Source>
    <b:Tag>Val09</b:Tag>
    <b:SourceType>Book</b:SourceType>
    <b:Guid>{10C91222-5F47-496F-955B-FC1A024122FD}</b:Guid>
    <b:Author>
      <b:Author>
        <b:NameList>
          <b:Person>
            <b:Last>Anderson</b:Last>
            <b:First>Valerie</b:First>
          </b:Person>
        </b:NameList>
      </b:Author>
    </b:Author>
    <b:Title>Research Methods in Human Resource Management</b:Title>
    <b:Year>2009</b:Year>
    <b:City>London</b:City>
    <b:Publisher>CIPD</b:Publisher>
    <b:RefOrder>4</b:RefOrder>
  </b:Source>
  <b:Source>
    <b:Tag>Per16</b:Tag>
    <b:SourceType>BookSection</b:SourceType>
    <b:Guid>{DC96DE55-DE24-4268-86C7-B9D445399211}</b:Guid>
    <b:Title>Using Information in Human Resources</b:Title>
    <b:Year>2016</b:Year>
    <b:City>London</b:City>
    <b:Publisher>CIPD</b:Publisher>
    <b:Author>
      <b:Author>
        <b:NameList>
          <b:Person>
            <b:Last>Perkins</b:Last>
            <b:First>Graham</b:First>
          </b:Person>
          <b:Person>
            <b:Last>Woodmans</b:Last>
            <b:First>Carol</b:First>
          </b:Person>
        </b:NameList>
      </b:Author>
      <b:BookAuthor>
        <b:NameList>
          <b:Person>
            <b:Last>Taylor</b:Last>
            <b:First>Stephen</b:First>
          </b:Person>
          <b:Person>
            <b:Last>Woodhams</b:Last>
            <b:First>Carol</b:First>
          </b:Person>
        </b:NameList>
      </b:BookAuthor>
    </b:Author>
    <b:BookTitle>Studying Human Resource Management</b:BookTitle>
    <b:Pages>89-108</b:Pages>
    <b:RefOrder>5</b:RefOrder>
  </b:Source>
  <b:Source>
    <b:Tag>Joe14</b:Tag>
    <b:SourceType>InternetSite</b:SourceType>
    <b:Guid>{577E0EB7-F035-4BC1-90E2-A1AB5BAA32DC}</b:Guid>
    <b:Title>MacLeod and Clarke's Concept of Employee Engagement: An analysis based on the Workplace Employment Relations Study</b:Title>
    <b:Year>2014</b:Year>
    <b:Author>
      <b:Author>
        <b:NameList>
          <b:Person>
            <b:Last>Dromey</b:Last>
            <b:First>Joe</b:First>
          </b:Person>
        </b:NameList>
      </b:Author>
    </b:Author>
    <b:InternetSiteTitle>ACAS</b:InternetSiteTitle>
    <b:URL>www.acas.org.uk</b:URL>
    <b:RefOrder>6</b:RefOrder>
  </b:Source>
  <b:Source>
    <b:Tag>Rob14</b:Tag>
    <b:SourceType>InternetSite</b:SourceType>
    <b:Guid>{85E67DCD-9872-4DC1-837F-2D51E8F66684}</b:Guid>
    <b:Author>
      <b:Author>
        <b:NameList>
          <b:Person>
            <b:Last>Roberts</b:Last>
            <b:First>Hywel</b:First>
          </b:Person>
        </b:NameList>
      </b:Author>
    </b:Author>
    <b:Title>Development is key to staff retention, according to research</b:Title>
    <b:InternetSiteTitle>HR magazine</b:InternetSiteTitle>
    <b:Year>2014</b:Year>
    <b:URL>www.hrmagazine.co.uk</b:URL>
    <b:JournalName>HR Magazine</b:JournalName>
    <b:RefOrder>7</b:RefOrder>
  </b:Source>
  <b:Source>
    <b:Tag>Mac20</b:Tag>
    <b:SourceType>InternetSite</b:SourceType>
    <b:Guid>{270EDF04-C043-46F7-9490-993DDB76D465}</b:Guid>
    <b:Year>2020</b:Year>
    <b:InternetSiteTitle>Engage for Success</b:InternetSiteTitle>
    <b:URL>https://engageforsuccess.org/what-is-employee-engagement</b:URL>
    <b:Author>
      <b:Author>
        <b:NameList>
          <b:Person>
            <b:Last>MacLeod</b:Last>
            <b:First>David</b:First>
          </b:Person>
        </b:NameList>
      </b:Author>
    </b:Author>
    <b:RefOrder>8</b:RefOrder>
  </b:Source>
  <b:Source>
    <b:Tag>DrA18</b:Tag>
    <b:SourceType>JournalArticle</b:SourceType>
    <b:Guid>{48B5968D-CE93-441E-92E5-C9001F5B05FB}</b:Guid>
    <b:Title>Do engagement surveys tell the whole story?</b:Title>
    <b:Year>2018</b:Year>
    <b:Author>
      <b:Author>
        <b:NameList>
          <b:Person>
            <b:Last>Armstrong</b:Last>
            <b:First>Dr</b:First>
            <b:Middle>Amy</b:Middle>
          </b:Person>
        </b:NameList>
      </b:Author>
    </b:Author>
    <b:JournalName>People Management</b:JournalName>
    <b:RefOrder>1</b:RefOrder>
  </b:Source>
  <b:Source>
    <b:Tag>Goy16</b:Tag>
    <b:SourceType>InternetSite</b:SourceType>
    <b:Guid>{12467B3E-D1CD-43F5-8D63-F2FC46BFB676}</b:Guid>
    <b:Title>Stop trying to motivate your employees</b:Title>
    <b:Year>2016</b:Year>
    <b:Author>
      <b:Author>
        <b:NameList>
          <b:Person>
            <b:Last>Goyette</b:Last>
            <b:First>Kerry</b:First>
          </b:Person>
        </b:NameList>
      </b:Author>
    </b:Author>
    <b:InternetSiteTitle>Youtube</b:InternetSiteTitle>
    <b:Month>May</b:Month>
    <b:Day>26</b:Day>
    <b:URL>https://www.youtube.com/watch?v=7lhVUedc1a4</b:URL>
    <b:RefOrder>9</b:RefOrder>
  </b:Source>
  <b:Source>
    <b:Tag>CIP17</b:Tag>
    <b:SourceType>Report</b:SourceType>
    <b:Guid>{2662547A-E34E-4AD7-A9E4-DC3280FC59FA}</b:Guid>
    <b:Title>Developing managers to manage sustainable employee engagement, health and well-being</b:Title>
    <b:Year>2017</b:Year>
    <b:Author>
      <b:Author>
        <b:NameList>
          <b:Person>
            <b:Last>CIPD</b:Last>
          </b:Person>
        </b:NameList>
      </b:Author>
    </b:Author>
    <b:Publisher>CIPD</b:Publisher>
    <b:City>London</b:City>
    <b:RefOrder>10</b:RefOrder>
  </b:Source>
  <b:Source>
    <b:Tag>Mac12</b:Tag>
    <b:SourceType>Misc</b:SourceType>
    <b:Guid>{FD192E62-5EEB-452F-B366-60627ABE75DF}</b:Guid>
    <b:Title>The Four Enablers of Engagement</b:Title>
    <b:Year>2012</b:Year>
    <b:Month>June</b:Month>
    <b:Day>1</b:Day>
    <b:Author>
      <b:Author>
        <b:NameList>
          <b:Person>
            <b:Last>MacLeod</b:Last>
            <b:First>David</b:First>
          </b:Person>
          <b:Person>
            <b:Last>Clarke</b:Last>
            <b:First>Nita</b:First>
          </b:Person>
        </b:NameList>
      </b:Author>
    </b:Author>
    <b:RefOrder>2</b:RefOrder>
  </b:Source>
</b:Sources>
</file>

<file path=customXml/itemProps1.xml><?xml version="1.0" encoding="utf-8"?>
<ds:datastoreItem xmlns:ds="http://schemas.openxmlformats.org/officeDocument/2006/customXml" ds:itemID="{8929CB55-B84F-4CE6-AE3E-6847B8F065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1214</TotalTime>
  <Pages>11</Pages>
  <Words>3214</Words>
  <Characters>21517</Characters>
  <Application>Microsoft Office Word</Application>
  <DocSecurity>0</DocSecurity>
  <Lines>179</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Jodie-anne Barnett (1905258)</dc:creator>
  <cp:keywords/>
  <dc:description/>
  <cp:lastModifiedBy>Jodie Barnett</cp:lastModifiedBy>
  <cp:revision>40</cp:revision>
  <cp:lastPrinted>2020-01-17T16:31:00Z</cp:lastPrinted>
  <dcterms:created xsi:type="dcterms:W3CDTF">2020-09-27T15:12:00Z</dcterms:created>
  <dcterms:modified xsi:type="dcterms:W3CDTF">2020-10-18T13:16:00Z</dcterms:modified>
</cp:coreProperties>
</file>