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rPr>
          <w:rFonts w:cs="Arial"/>
        </w:rPr>
      </w:pPr>
    </w:p>
    <w:p w14:paraId="365DE405" w14:textId="77777777" w:rsidR="00EB12BC" w:rsidRPr="00C03A91" w:rsidRDefault="00EB12BC" w:rsidP="00C03A91">
      <w:pPr>
        <w:rPr>
          <w:rFonts w:cs="Arial"/>
          <w:szCs w:val="24"/>
        </w:rPr>
      </w:pPr>
      <w:r w:rsidRPr="00C03A91">
        <w:rPr>
          <w:rFonts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rPr>
          <w:rFonts w:cs="Arial"/>
          <w:szCs w:val="24"/>
        </w:rPr>
      </w:pPr>
    </w:p>
    <w:p w14:paraId="0E6E9383" w14:textId="77777777" w:rsidR="00EB12BC" w:rsidRPr="00C03A91" w:rsidRDefault="00EB12BC" w:rsidP="00C03A91">
      <w:pPr>
        <w:rPr>
          <w:rFonts w:cs="Arial"/>
          <w:szCs w:val="24"/>
        </w:rPr>
      </w:pPr>
    </w:p>
    <w:p w14:paraId="431DBF4A" w14:textId="77777777" w:rsidR="00EB12BC" w:rsidRPr="00C03A91" w:rsidRDefault="00EB12BC" w:rsidP="00C03A91">
      <w:pPr>
        <w:rPr>
          <w:rFonts w:cs="Arial"/>
          <w:szCs w:val="24"/>
        </w:rPr>
      </w:pPr>
    </w:p>
    <w:p w14:paraId="67404449" w14:textId="77777777" w:rsidR="00EB12BC" w:rsidRPr="00C03A91" w:rsidRDefault="00EB12BC" w:rsidP="00C03A91">
      <w:pPr>
        <w:tabs>
          <w:tab w:val="left" w:pos="6540"/>
        </w:tabs>
        <w:rPr>
          <w:rFonts w:cs="Arial"/>
          <w:sz w:val="28"/>
          <w:szCs w:val="28"/>
        </w:rPr>
      </w:pPr>
    </w:p>
    <w:p w14:paraId="27888C86" w14:textId="27EDC6A1" w:rsidR="00EB12BC" w:rsidRPr="004E3772" w:rsidRDefault="00EB12BC" w:rsidP="00C03A91">
      <w:pPr>
        <w:tabs>
          <w:tab w:val="left" w:pos="6540"/>
        </w:tabs>
        <w:rPr>
          <w:rFonts w:cs="Arial"/>
          <w:b/>
          <w:bCs/>
          <w:sz w:val="28"/>
          <w:szCs w:val="28"/>
        </w:rPr>
      </w:pPr>
      <w:r w:rsidRPr="004E3772">
        <w:rPr>
          <w:rFonts w:cs="Arial"/>
          <w:b/>
          <w:bCs/>
          <w:sz w:val="28"/>
          <w:szCs w:val="28"/>
        </w:rPr>
        <w:t>Student name:</w:t>
      </w:r>
      <w:r w:rsidR="00632CC1" w:rsidRPr="004E3772">
        <w:rPr>
          <w:rFonts w:cs="Arial"/>
          <w:b/>
          <w:bCs/>
          <w:sz w:val="28"/>
          <w:szCs w:val="28"/>
        </w:rPr>
        <w:t xml:space="preserve"> Paula </w:t>
      </w:r>
      <w:r w:rsidR="00DF1A5C" w:rsidRPr="004E3772">
        <w:rPr>
          <w:rFonts w:cs="Arial"/>
          <w:b/>
          <w:bCs/>
          <w:sz w:val="28"/>
          <w:szCs w:val="28"/>
        </w:rPr>
        <w:t>Gavriloaei</w:t>
      </w:r>
    </w:p>
    <w:p w14:paraId="3C83A8A7" w14:textId="05EFA860" w:rsidR="00EB12BC" w:rsidRPr="004E3772" w:rsidRDefault="00EB12BC" w:rsidP="00C03A91">
      <w:pPr>
        <w:tabs>
          <w:tab w:val="left" w:pos="6540"/>
        </w:tabs>
        <w:rPr>
          <w:rFonts w:cs="Arial"/>
          <w:b/>
          <w:bCs/>
          <w:sz w:val="28"/>
          <w:szCs w:val="28"/>
        </w:rPr>
      </w:pPr>
      <w:r w:rsidRPr="004E3772">
        <w:rPr>
          <w:rFonts w:cs="Arial"/>
          <w:b/>
          <w:bCs/>
          <w:sz w:val="28"/>
          <w:szCs w:val="28"/>
        </w:rPr>
        <w:t>Student ID:</w:t>
      </w:r>
      <w:r w:rsidR="00DF1A5C" w:rsidRPr="004E3772">
        <w:rPr>
          <w:rFonts w:cs="Arial"/>
          <w:b/>
          <w:bCs/>
          <w:sz w:val="28"/>
          <w:szCs w:val="28"/>
        </w:rPr>
        <w:t>241</w:t>
      </w:r>
      <w:r w:rsidR="005D1A7F" w:rsidRPr="004E3772">
        <w:rPr>
          <w:rFonts w:cs="Arial"/>
          <w:b/>
          <w:bCs/>
          <w:sz w:val="28"/>
          <w:szCs w:val="28"/>
        </w:rPr>
        <w:t>5803</w:t>
      </w:r>
    </w:p>
    <w:p w14:paraId="21E9DC72" w14:textId="77777777" w:rsidR="00EB12BC" w:rsidRPr="004E3772" w:rsidRDefault="00EB12BC" w:rsidP="00C03A91">
      <w:pPr>
        <w:tabs>
          <w:tab w:val="left" w:pos="6540"/>
        </w:tabs>
        <w:rPr>
          <w:rFonts w:cs="Arial"/>
          <w:b/>
          <w:bCs/>
          <w:sz w:val="28"/>
          <w:szCs w:val="28"/>
        </w:rPr>
      </w:pPr>
    </w:p>
    <w:p w14:paraId="23BAC9B9" w14:textId="14FB4826" w:rsidR="00EB12BC" w:rsidRPr="004E3772" w:rsidRDefault="00EB12BC" w:rsidP="00C03A91">
      <w:pPr>
        <w:tabs>
          <w:tab w:val="left" w:pos="6540"/>
        </w:tabs>
        <w:rPr>
          <w:rFonts w:cs="Arial"/>
          <w:b/>
          <w:bCs/>
          <w:sz w:val="28"/>
          <w:szCs w:val="28"/>
        </w:rPr>
      </w:pPr>
      <w:r w:rsidRPr="004E3772">
        <w:rPr>
          <w:rFonts w:cs="Arial"/>
          <w:b/>
          <w:bCs/>
          <w:sz w:val="28"/>
          <w:szCs w:val="28"/>
        </w:rPr>
        <w:t xml:space="preserve">Module name: </w:t>
      </w:r>
      <w:r w:rsidR="00632CC1" w:rsidRPr="004E3772">
        <w:rPr>
          <w:rFonts w:cs="Arial"/>
          <w:b/>
          <w:bCs/>
          <w:sz w:val="28"/>
          <w:szCs w:val="28"/>
        </w:rPr>
        <w:t>Introduction to Physiology</w:t>
      </w:r>
    </w:p>
    <w:p w14:paraId="4FD97C8C" w14:textId="3510A417" w:rsidR="00EB12BC" w:rsidRPr="004E3772" w:rsidRDefault="00EB12BC" w:rsidP="00C03A91">
      <w:pPr>
        <w:tabs>
          <w:tab w:val="left" w:pos="6540"/>
        </w:tabs>
        <w:rPr>
          <w:rFonts w:cs="Arial"/>
          <w:b/>
          <w:bCs/>
          <w:sz w:val="28"/>
          <w:szCs w:val="28"/>
        </w:rPr>
      </w:pPr>
      <w:r w:rsidRPr="004E3772">
        <w:rPr>
          <w:rFonts w:cs="Arial"/>
          <w:b/>
          <w:bCs/>
          <w:sz w:val="28"/>
          <w:szCs w:val="28"/>
        </w:rPr>
        <w:t>Module code:</w:t>
      </w:r>
      <w:r w:rsidR="00632CC1" w:rsidRPr="004E3772">
        <w:rPr>
          <w:rFonts w:cs="Arial"/>
          <w:b/>
          <w:bCs/>
          <w:sz w:val="28"/>
          <w:szCs w:val="28"/>
        </w:rPr>
        <w:t xml:space="preserve"> BMHP5023</w:t>
      </w:r>
    </w:p>
    <w:p w14:paraId="658BE57E" w14:textId="5D9FED0C" w:rsidR="00EB12BC" w:rsidRPr="004E3772" w:rsidRDefault="00EB12BC" w:rsidP="00C03A91">
      <w:pPr>
        <w:tabs>
          <w:tab w:val="left" w:pos="6540"/>
        </w:tabs>
        <w:rPr>
          <w:rFonts w:cs="Arial"/>
          <w:b/>
          <w:bCs/>
          <w:sz w:val="28"/>
          <w:szCs w:val="28"/>
        </w:rPr>
      </w:pPr>
      <w:r w:rsidRPr="004E3772">
        <w:rPr>
          <w:rFonts w:cs="Arial"/>
          <w:b/>
          <w:bCs/>
          <w:sz w:val="28"/>
          <w:szCs w:val="28"/>
        </w:rPr>
        <w:t>Lecturer name:</w:t>
      </w:r>
      <w:r w:rsidR="005D1A7F" w:rsidRPr="004E3772">
        <w:rPr>
          <w:rFonts w:cs="Arial"/>
          <w:b/>
          <w:bCs/>
          <w:sz w:val="28"/>
          <w:szCs w:val="28"/>
        </w:rPr>
        <w:t xml:space="preserve"> Shaila Hussain </w:t>
      </w:r>
    </w:p>
    <w:p w14:paraId="5AFF31F9" w14:textId="77777777" w:rsidR="001B7A40" w:rsidRPr="004E3772" w:rsidRDefault="001B7A40" w:rsidP="00C03A91">
      <w:pPr>
        <w:tabs>
          <w:tab w:val="left" w:pos="6540"/>
        </w:tabs>
        <w:rPr>
          <w:rFonts w:cs="Arial"/>
          <w:b/>
          <w:bCs/>
          <w:sz w:val="28"/>
          <w:szCs w:val="28"/>
        </w:rPr>
      </w:pPr>
    </w:p>
    <w:p w14:paraId="36E012A0" w14:textId="3BC0EABC" w:rsidR="000C4EDA" w:rsidRPr="004E3772" w:rsidRDefault="001B7A40" w:rsidP="00C03A91">
      <w:pPr>
        <w:tabs>
          <w:tab w:val="left" w:pos="6540"/>
        </w:tabs>
        <w:rPr>
          <w:rFonts w:cs="Arial"/>
          <w:b/>
          <w:bCs/>
          <w:sz w:val="28"/>
          <w:szCs w:val="28"/>
        </w:rPr>
      </w:pPr>
      <w:r w:rsidRPr="004E3772">
        <w:rPr>
          <w:rFonts w:cs="Arial"/>
          <w:b/>
          <w:bCs/>
          <w:sz w:val="28"/>
          <w:szCs w:val="28"/>
        </w:rPr>
        <w:t xml:space="preserve">Assessment: </w:t>
      </w:r>
      <w:r w:rsidR="00660C67">
        <w:rPr>
          <w:rFonts w:cs="Arial"/>
          <w:b/>
          <w:bCs/>
          <w:sz w:val="28"/>
          <w:szCs w:val="28"/>
        </w:rPr>
        <w:t>Component</w:t>
      </w:r>
      <w:r w:rsidR="00632CC1" w:rsidRPr="004E3772">
        <w:rPr>
          <w:rFonts w:cs="Arial"/>
          <w:b/>
          <w:bCs/>
          <w:sz w:val="28"/>
          <w:szCs w:val="28"/>
        </w:rPr>
        <w:t xml:space="preserve"> 1: Case Study 1</w:t>
      </w:r>
    </w:p>
    <w:p w14:paraId="2D505303" w14:textId="6D9AFFD7" w:rsidR="008E7484" w:rsidRDefault="00BD1813" w:rsidP="00C03A91">
      <w:pPr>
        <w:rPr>
          <w:rFonts w:cs="Arial"/>
          <w:b/>
          <w:bCs/>
          <w:sz w:val="28"/>
          <w:szCs w:val="28"/>
        </w:rPr>
      </w:pPr>
      <w:r>
        <w:rPr>
          <w:rFonts w:cs="Arial"/>
          <w:b/>
          <w:bCs/>
          <w:sz w:val="28"/>
          <w:szCs w:val="28"/>
        </w:rPr>
        <w:tab/>
      </w:r>
      <w:r w:rsidR="008E7484">
        <w:rPr>
          <w:rFonts w:cs="Arial"/>
          <w:b/>
          <w:bCs/>
          <w:sz w:val="28"/>
          <w:szCs w:val="28"/>
        </w:rPr>
        <w:t xml:space="preserve">                         </w:t>
      </w:r>
    </w:p>
    <w:p w14:paraId="5BB18279" w14:textId="77777777" w:rsidR="00877CC1" w:rsidRDefault="00877CC1" w:rsidP="00C03A91">
      <w:pPr>
        <w:rPr>
          <w:rFonts w:cs="Arial"/>
          <w:b/>
          <w:bCs/>
          <w:sz w:val="28"/>
          <w:szCs w:val="28"/>
        </w:rPr>
      </w:pPr>
    </w:p>
    <w:p w14:paraId="19CAF07B" w14:textId="77777777" w:rsidR="00877CC1" w:rsidRDefault="00877CC1" w:rsidP="00C03A91">
      <w:pPr>
        <w:rPr>
          <w:rFonts w:cs="Arial"/>
          <w:b/>
          <w:bCs/>
          <w:sz w:val="28"/>
          <w:szCs w:val="28"/>
        </w:rPr>
      </w:pPr>
    </w:p>
    <w:p w14:paraId="38A9D86B" w14:textId="77777777" w:rsidR="00877CC1" w:rsidRDefault="00877CC1" w:rsidP="00C03A91">
      <w:pPr>
        <w:rPr>
          <w:rFonts w:cs="Arial"/>
          <w:b/>
          <w:bCs/>
          <w:sz w:val="28"/>
          <w:szCs w:val="28"/>
        </w:rPr>
      </w:pPr>
    </w:p>
    <w:p w14:paraId="37DBFD2D" w14:textId="77777777" w:rsidR="00877CC1" w:rsidRDefault="00877CC1" w:rsidP="00C03A91">
      <w:pPr>
        <w:rPr>
          <w:rFonts w:cs="Arial"/>
          <w:b/>
          <w:bCs/>
          <w:sz w:val="28"/>
          <w:szCs w:val="28"/>
        </w:rPr>
      </w:pPr>
    </w:p>
    <w:p w14:paraId="60819469" w14:textId="77777777" w:rsidR="00877CC1" w:rsidRDefault="00877CC1" w:rsidP="00C03A91">
      <w:pPr>
        <w:rPr>
          <w:rFonts w:cs="Arial"/>
          <w:b/>
          <w:bCs/>
          <w:sz w:val="28"/>
          <w:szCs w:val="28"/>
        </w:rPr>
      </w:pPr>
    </w:p>
    <w:p w14:paraId="139C11B5" w14:textId="77777777" w:rsidR="00877CC1" w:rsidRDefault="00877CC1" w:rsidP="00C03A91">
      <w:pPr>
        <w:rPr>
          <w:rFonts w:cs="Arial"/>
          <w:b/>
          <w:bCs/>
          <w:sz w:val="28"/>
          <w:szCs w:val="28"/>
        </w:rPr>
      </w:pPr>
    </w:p>
    <w:p w14:paraId="2F37C622" w14:textId="77777777" w:rsidR="00877CC1" w:rsidRDefault="00877CC1" w:rsidP="00C03A91">
      <w:pPr>
        <w:rPr>
          <w:rFonts w:cs="Arial"/>
          <w:b/>
          <w:bCs/>
          <w:sz w:val="28"/>
          <w:szCs w:val="28"/>
        </w:rPr>
      </w:pPr>
    </w:p>
    <w:p w14:paraId="755CC36B" w14:textId="44AE3C86" w:rsidR="00877CC1" w:rsidRPr="00D237B9" w:rsidRDefault="00877CC1" w:rsidP="00C03A91">
      <w:pPr>
        <w:rPr>
          <w:rFonts w:cs="Arial"/>
          <w:b/>
          <w:bCs/>
          <w:sz w:val="28"/>
          <w:szCs w:val="28"/>
        </w:rPr>
      </w:pPr>
      <w:r w:rsidRPr="00D237B9">
        <w:rPr>
          <w:rFonts w:cs="Arial"/>
          <w:b/>
          <w:bCs/>
          <w:sz w:val="28"/>
          <w:szCs w:val="28"/>
        </w:rPr>
        <w:lastRenderedPageBreak/>
        <w:t xml:space="preserve">                          </w:t>
      </w:r>
      <w:r w:rsidR="00D237B9" w:rsidRPr="00D237B9">
        <w:rPr>
          <w:rFonts w:cs="Arial"/>
          <w:b/>
          <w:bCs/>
          <w:sz w:val="28"/>
          <w:szCs w:val="28"/>
        </w:rPr>
        <w:t xml:space="preserve">          </w:t>
      </w:r>
      <w:r w:rsidRPr="00D237B9">
        <w:rPr>
          <w:rFonts w:cs="Arial"/>
          <w:b/>
          <w:bCs/>
          <w:sz w:val="28"/>
          <w:szCs w:val="28"/>
        </w:rPr>
        <w:t>Table of Contents</w:t>
      </w:r>
    </w:p>
    <w:p w14:paraId="1DB88DFB" w14:textId="167E6CCF" w:rsidR="008E7484" w:rsidRPr="00D237B9" w:rsidRDefault="00302532" w:rsidP="00C03A91">
      <w:pPr>
        <w:rPr>
          <w:rFonts w:cs="Arial"/>
          <w:b/>
          <w:bCs/>
          <w:szCs w:val="24"/>
        </w:rPr>
      </w:pPr>
      <w:r w:rsidRPr="00D237B9">
        <w:rPr>
          <w:rFonts w:cs="Arial"/>
          <w:b/>
          <w:bCs/>
          <w:szCs w:val="24"/>
        </w:rPr>
        <w:t>Introduction</w:t>
      </w:r>
      <w:r w:rsidR="00B62BBB" w:rsidRPr="00D237B9">
        <w:rPr>
          <w:rFonts w:cs="Arial"/>
          <w:b/>
          <w:bCs/>
          <w:szCs w:val="24"/>
        </w:rPr>
        <w:t xml:space="preserve"> …</w:t>
      </w:r>
      <w:r w:rsidR="00D237B9">
        <w:rPr>
          <w:rFonts w:cs="Arial"/>
          <w:b/>
          <w:bCs/>
          <w:szCs w:val="24"/>
        </w:rPr>
        <w:t>………………………………………………………….3</w:t>
      </w:r>
    </w:p>
    <w:p w14:paraId="7C971041" w14:textId="6247598B" w:rsidR="00B62BBB" w:rsidRPr="00D237B9" w:rsidRDefault="00C848EC" w:rsidP="00C03A91">
      <w:pPr>
        <w:rPr>
          <w:rFonts w:cs="Arial"/>
          <w:b/>
          <w:bCs/>
          <w:szCs w:val="24"/>
        </w:rPr>
      </w:pPr>
      <w:r w:rsidRPr="00D237B9">
        <w:rPr>
          <w:rFonts w:cs="Arial"/>
          <w:b/>
          <w:bCs/>
          <w:szCs w:val="24"/>
        </w:rPr>
        <w:t>B</w:t>
      </w:r>
      <w:r w:rsidR="00285D96" w:rsidRPr="00D237B9">
        <w:rPr>
          <w:rFonts w:cs="Arial"/>
          <w:b/>
          <w:bCs/>
          <w:szCs w:val="24"/>
        </w:rPr>
        <w:t xml:space="preserve">lood Sugar Regulation </w:t>
      </w:r>
      <w:r w:rsidR="004B2F73" w:rsidRPr="00D237B9">
        <w:rPr>
          <w:rFonts w:cs="Arial"/>
          <w:b/>
          <w:bCs/>
          <w:szCs w:val="24"/>
        </w:rPr>
        <w:t>…</w:t>
      </w:r>
      <w:r w:rsidR="00D237B9">
        <w:rPr>
          <w:rFonts w:cs="Arial"/>
          <w:b/>
          <w:bCs/>
          <w:szCs w:val="24"/>
        </w:rPr>
        <w:t>……………………………………………4</w:t>
      </w:r>
    </w:p>
    <w:p w14:paraId="059BFCB1" w14:textId="22B3C447" w:rsidR="004B2F73" w:rsidRPr="00D237B9" w:rsidRDefault="00BD2ED5" w:rsidP="00C03A91">
      <w:pPr>
        <w:rPr>
          <w:rFonts w:cs="Arial"/>
          <w:b/>
          <w:bCs/>
          <w:szCs w:val="24"/>
        </w:rPr>
      </w:pPr>
      <w:r w:rsidRPr="00D237B9">
        <w:rPr>
          <w:rFonts w:cs="Arial"/>
          <w:b/>
          <w:bCs/>
          <w:szCs w:val="24"/>
        </w:rPr>
        <w:t>Cellular</w:t>
      </w:r>
      <w:r w:rsidR="004B2F73" w:rsidRPr="00D237B9">
        <w:rPr>
          <w:rFonts w:cs="Arial"/>
          <w:b/>
          <w:bCs/>
          <w:szCs w:val="24"/>
        </w:rPr>
        <w:t xml:space="preserve"> </w:t>
      </w:r>
      <w:r w:rsidR="007E4DF1" w:rsidRPr="00D237B9">
        <w:rPr>
          <w:rFonts w:cs="Arial"/>
          <w:b/>
          <w:bCs/>
          <w:szCs w:val="24"/>
        </w:rPr>
        <w:t>Metabolism</w:t>
      </w:r>
      <w:r w:rsidRPr="00D237B9">
        <w:rPr>
          <w:rFonts w:cs="Arial"/>
          <w:b/>
          <w:bCs/>
          <w:szCs w:val="24"/>
        </w:rPr>
        <w:t xml:space="preserve"> ……</w:t>
      </w:r>
      <w:r w:rsidR="007E4DF1" w:rsidRPr="00D237B9">
        <w:rPr>
          <w:rFonts w:cs="Arial"/>
          <w:b/>
          <w:bCs/>
          <w:szCs w:val="24"/>
        </w:rPr>
        <w:t>…</w:t>
      </w:r>
      <w:r w:rsidR="00D237B9">
        <w:rPr>
          <w:rFonts w:cs="Arial"/>
          <w:b/>
          <w:bCs/>
          <w:szCs w:val="24"/>
        </w:rPr>
        <w:t>……………………………………………</w:t>
      </w:r>
      <w:r w:rsidR="006E02F5">
        <w:rPr>
          <w:rFonts w:cs="Arial"/>
          <w:b/>
          <w:bCs/>
          <w:szCs w:val="24"/>
        </w:rPr>
        <w:t>5</w:t>
      </w:r>
    </w:p>
    <w:p w14:paraId="08A8FC50" w14:textId="4CFA6A39" w:rsidR="007E4DF1" w:rsidRPr="00D237B9" w:rsidRDefault="00F2500E" w:rsidP="00C03A91">
      <w:pPr>
        <w:rPr>
          <w:rFonts w:cs="Arial"/>
          <w:b/>
          <w:bCs/>
          <w:szCs w:val="24"/>
        </w:rPr>
      </w:pPr>
      <w:r w:rsidRPr="00D237B9">
        <w:rPr>
          <w:rFonts w:cs="Arial"/>
          <w:b/>
          <w:bCs/>
          <w:szCs w:val="24"/>
        </w:rPr>
        <w:t xml:space="preserve">Recording and tracking blood sugar </w:t>
      </w:r>
      <w:r w:rsidR="00C631E1" w:rsidRPr="00D237B9">
        <w:rPr>
          <w:rFonts w:cs="Arial"/>
          <w:b/>
          <w:bCs/>
          <w:szCs w:val="24"/>
        </w:rPr>
        <w:t>levels for type 2diabetes…</w:t>
      </w:r>
      <w:r w:rsidR="006E02F5">
        <w:rPr>
          <w:rFonts w:cs="Arial"/>
          <w:b/>
          <w:bCs/>
          <w:szCs w:val="24"/>
        </w:rPr>
        <w:t>6</w:t>
      </w:r>
    </w:p>
    <w:p w14:paraId="44428B31" w14:textId="5C43A0FE" w:rsidR="00C631E1" w:rsidRPr="00D237B9" w:rsidRDefault="00981365" w:rsidP="00C03A91">
      <w:pPr>
        <w:rPr>
          <w:rFonts w:cs="Arial"/>
          <w:b/>
          <w:bCs/>
          <w:szCs w:val="24"/>
        </w:rPr>
      </w:pPr>
      <w:r w:rsidRPr="00D237B9">
        <w:rPr>
          <w:rFonts w:cs="Arial"/>
          <w:b/>
          <w:bCs/>
          <w:szCs w:val="24"/>
        </w:rPr>
        <w:t>Recommendations</w:t>
      </w:r>
      <w:r w:rsidR="001038DE" w:rsidRPr="00D237B9">
        <w:rPr>
          <w:rFonts w:cs="Arial"/>
          <w:b/>
          <w:bCs/>
          <w:szCs w:val="24"/>
        </w:rPr>
        <w:t>……………………………………………………</w:t>
      </w:r>
      <w:r w:rsidR="006E02F5">
        <w:rPr>
          <w:rFonts w:cs="Arial"/>
          <w:b/>
          <w:bCs/>
          <w:szCs w:val="24"/>
        </w:rPr>
        <w:t>….</w:t>
      </w:r>
      <w:r w:rsidR="007868E1">
        <w:rPr>
          <w:rFonts w:cs="Arial"/>
          <w:b/>
          <w:bCs/>
          <w:szCs w:val="24"/>
        </w:rPr>
        <w:t>8</w:t>
      </w:r>
    </w:p>
    <w:p w14:paraId="77B2476A" w14:textId="3FC15A30" w:rsidR="00981365" w:rsidRPr="00D237B9" w:rsidRDefault="00981365" w:rsidP="00C03A91">
      <w:pPr>
        <w:rPr>
          <w:rFonts w:cs="Arial"/>
          <w:b/>
          <w:bCs/>
          <w:szCs w:val="24"/>
        </w:rPr>
      </w:pPr>
      <w:r w:rsidRPr="00D237B9">
        <w:rPr>
          <w:rFonts w:cs="Arial"/>
          <w:b/>
          <w:bCs/>
          <w:szCs w:val="24"/>
        </w:rPr>
        <w:t>Conc</w:t>
      </w:r>
      <w:r w:rsidR="00B00938" w:rsidRPr="00D237B9">
        <w:rPr>
          <w:rFonts w:cs="Arial"/>
          <w:b/>
          <w:bCs/>
          <w:szCs w:val="24"/>
        </w:rPr>
        <w:t>lusion…………………………………………………………………</w:t>
      </w:r>
      <w:r w:rsidR="007868E1">
        <w:rPr>
          <w:rFonts w:cs="Arial"/>
          <w:b/>
          <w:bCs/>
          <w:szCs w:val="24"/>
        </w:rPr>
        <w:t>9</w:t>
      </w:r>
    </w:p>
    <w:p w14:paraId="2C00B4DB" w14:textId="50E1B09A" w:rsidR="00B00938" w:rsidRDefault="00B00938" w:rsidP="00C03A91">
      <w:pPr>
        <w:rPr>
          <w:rFonts w:cs="Arial"/>
          <w:b/>
          <w:bCs/>
          <w:szCs w:val="24"/>
        </w:rPr>
      </w:pPr>
      <w:r w:rsidRPr="00D237B9">
        <w:rPr>
          <w:rFonts w:cs="Arial"/>
          <w:b/>
          <w:bCs/>
          <w:szCs w:val="24"/>
        </w:rPr>
        <w:t>References………………………………………………………………</w:t>
      </w:r>
      <w:r w:rsidR="00D439B2">
        <w:rPr>
          <w:rFonts w:cs="Arial"/>
          <w:b/>
          <w:bCs/>
          <w:szCs w:val="24"/>
        </w:rPr>
        <w:t>…</w:t>
      </w:r>
      <w:r w:rsidR="007868E1">
        <w:rPr>
          <w:rFonts w:cs="Arial"/>
          <w:b/>
          <w:bCs/>
          <w:szCs w:val="24"/>
        </w:rPr>
        <w:t>10</w:t>
      </w:r>
    </w:p>
    <w:p w14:paraId="3D0A93DF" w14:textId="6D0D78EE" w:rsidR="00534EDB" w:rsidRDefault="00534EDB" w:rsidP="00C03A91">
      <w:pPr>
        <w:rPr>
          <w:rFonts w:cs="Arial"/>
          <w:b/>
          <w:bCs/>
          <w:szCs w:val="24"/>
        </w:rPr>
      </w:pPr>
      <w:r>
        <w:rPr>
          <w:rFonts w:cs="Arial"/>
          <w:b/>
          <w:bCs/>
          <w:szCs w:val="24"/>
        </w:rPr>
        <w:t>References…………………………………………………………………11</w:t>
      </w:r>
    </w:p>
    <w:p w14:paraId="4ABA6DDB" w14:textId="494E48CC" w:rsidR="00534EDB" w:rsidRPr="00D237B9" w:rsidRDefault="00534EDB" w:rsidP="00C03A91">
      <w:pPr>
        <w:rPr>
          <w:rFonts w:cs="Arial"/>
          <w:b/>
          <w:bCs/>
          <w:szCs w:val="24"/>
        </w:rPr>
      </w:pPr>
      <w:r>
        <w:rPr>
          <w:rFonts w:cs="Arial"/>
          <w:b/>
          <w:bCs/>
          <w:szCs w:val="24"/>
        </w:rPr>
        <w:t>References………………………………………………………………….12</w:t>
      </w:r>
    </w:p>
    <w:p w14:paraId="60C916A4" w14:textId="64A1C6B1" w:rsidR="000C4EDA" w:rsidRPr="004E3772" w:rsidRDefault="000C4EDA" w:rsidP="00C03A91">
      <w:pPr>
        <w:rPr>
          <w:rFonts w:cs="Arial"/>
          <w:b/>
          <w:bCs/>
          <w:sz w:val="28"/>
          <w:szCs w:val="28"/>
        </w:rPr>
      </w:pPr>
      <w:r w:rsidRPr="004E3772">
        <w:rPr>
          <w:rFonts w:cs="Arial"/>
          <w:b/>
          <w:bCs/>
          <w:sz w:val="28"/>
          <w:szCs w:val="28"/>
        </w:rPr>
        <w:br w:type="page"/>
      </w:r>
    </w:p>
    <w:p w14:paraId="442A8432" w14:textId="20361020" w:rsidR="000C4EDA" w:rsidRPr="00632CC1" w:rsidRDefault="000C4EDA" w:rsidP="00C03A91">
      <w:pPr>
        <w:pStyle w:val="Heading1"/>
        <w:rPr>
          <w:rFonts w:cs="Arial"/>
        </w:rPr>
      </w:pPr>
      <w:r w:rsidRPr="00632CC1">
        <w:rPr>
          <w:rFonts w:cs="Arial"/>
        </w:rPr>
        <w:lastRenderedPageBreak/>
        <w:t>1. Introduction</w:t>
      </w:r>
      <w:r w:rsidR="00C03A91" w:rsidRPr="00632CC1">
        <w:rPr>
          <w:rFonts w:cs="Arial"/>
        </w:rPr>
        <w:t xml:space="preserve"> </w:t>
      </w:r>
    </w:p>
    <w:p w14:paraId="1442C09B" w14:textId="77777777" w:rsidR="00664B04" w:rsidRPr="00632CC1" w:rsidRDefault="00664B04" w:rsidP="00664B04">
      <w:pPr>
        <w:rPr>
          <w:rFonts w:cs="Arial"/>
        </w:rPr>
      </w:pPr>
      <w:r w:rsidRPr="00632CC1">
        <w:rPr>
          <w:rFonts w:cs="Arial"/>
        </w:rPr>
        <w:t>In the essay, the rising case of diabetes in GP practice will be discussed to explain why efforts should be made to offer enlightenment on condition among these patients to enable them manage it effectively through obtaining knowledge about the disease. It will provide information on what is diabetes, key variety of this disease, the risk factors and connection to the endocrine system. Diabetes is a permanent metabolic condition generally defined through the high levels of glucose in the blood as result of insulin failures and insulin totality. The evaluation of the insulin highlights two approaches. Type 1 diabetes is an autoimmune process, where the pancreas generates low or no insulin levels. Type 2 diabetes involves the body to be resistant to insulin or is not generating enough levels of insulin (</w:t>
      </w:r>
      <w:r w:rsidRPr="00632CC1">
        <w:rPr>
          <w:rFonts w:cs="Arial"/>
          <w:color w:val="222222"/>
          <w:szCs w:val="20"/>
          <w:shd w:val="clear" w:color="auto" w:fill="FFFFFF"/>
        </w:rPr>
        <w:t>Bhatnagar and Mishra, 2022)</w:t>
      </w:r>
      <w:r w:rsidRPr="00632CC1">
        <w:rPr>
          <w:rFonts w:cs="Arial"/>
        </w:rPr>
        <w:t>. The prevalent risk factors include obesity, lack of physical activity, unhealthy nutrition, smoking, family history, aging and some ethnic components (</w:t>
      </w:r>
      <w:r w:rsidRPr="00632CC1">
        <w:rPr>
          <w:rFonts w:cs="Arial"/>
          <w:color w:val="222222"/>
          <w:szCs w:val="20"/>
          <w:shd w:val="clear" w:color="auto" w:fill="FFFFFF"/>
        </w:rPr>
        <w:t>Marsinova Bakara and Kurniyati, 2022)</w:t>
      </w:r>
      <w:r w:rsidRPr="00632CC1">
        <w:rPr>
          <w:rFonts w:cs="Arial"/>
        </w:rPr>
        <w:t>. The endocrine system and the pancreas are directly connected to the problem of diabetes. The endocrine gland is releasing insulin and glucagon to maintain the level of sugar concentration in the blood. In case of violation of hormonal regulation, glucose enters blood volume, which results in the appearance of short-term symptoms. Based on the conditions, it might also lead to the long-term complications without timely treatment.</w:t>
      </w:r>
    </w:p>
    <w:p w14:paraId="5FE3AFBB" w14:textId="77777777" w:rsidR="00664B04" w:rsidRPr="00632CC1" w:rsidRDefault="00664B04" w:rsidP="00664B04">
      <w:pPr>
        <w:jc w:val="center"/>
        <w:rPr>
          <w:rFonts w:cs="Arial"/>
        </w:rPr>
      </w:pPr>
      <w:r w:rsidRPr="00632CC1">
        <w:rPr>
          <w:rFonts w:cs="Arial"/>
          <w:noProof/>
        </w:rPr>
        <w:drawing>
          <wp:inline distT="0" distB="0" distL="0" distR="0" wp14:anchorId="13CFCDCD" wp14:editId="2616EE65">
            <wp:extent cx="4106425" cy="2731324"/>
            <wp:effectExtent l="0" t="0" r="8890" b="0"/>
            <wp:docPr id="1" name="Picture 1" descr="What Is Diabetes? - NIDD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iabetes? - NIDD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4555" cy="2736732"/>
                    </a:xfrm>
                    <a:prstGeom prst="rect">
                      <a:avLst/>
                    </a:prstGeom>
                    <a:noFill/>
                    <a:ln>
                      <a:noFill/>
                    </a:ln>
                  </pic:spPr>
                </pic:pic>
              </a:graphicData>
            </a:graphic>
          </wp:inline>
        </w:drawing>
      </w:r>
    </w:p>
    <w:p w14:paraId="3CD98654" w14:textId="77777777" w:rsidR="00664B04" w:rsidRPr="00632CC1" w:rsidRDefault="00664B04" w:rsidP="00664B04">
      <w:pPr>
        <w:jc w:val="center"/>
        <w:rPr>
          <w:rFonts w:cs="Arial"/>
        </w:rPr>
      </w:pPr>
      <w:r w:rsidRPr="00632CC1">
        <w:rPr>
          <w:rFonts w:cs="Arial"/>
        </w:rPr>
        <w:t>Figure 1: Diabetes Analysis</w:t>
      </w:r>
    </w:p>
    <w:p w14:paraId="6AFAC76D" w14:textId="000325DA" w:rsidR="00C03A91" w:rsidRPr="00632CC1" w:rsidRDefault="00664B04" w:rsidP="00664B04">
      <w:pPr>
        <w:tabs>
          <w:tab w:val="left" w:pos="6540"/>
        </w:tabs>
        <w:jc w:val="center"/>
        <w:rPr>
          <w:rFonts w:cs="Arial"/>
          <w:color w:val="8EAADB" w:themeColor="accent1" w:themeTint="99"/>
          <w:sz w:val="22"/>
        </w:rPr>
      </w:pPr>
      <w:r w:rsidRPr="00632CC1">
        <w:rPr>
          <w:rFonts w:cs="Arial"/>
        </w:rPr>
        <w:t xml:space="preserve">(Source: </w:t>
      </w:r>
      <w:r w:rsidRPr="00632CC1">
        <w:rPr>
          <w:rFonts w:cs="Arial"/>
          <w:szCs w:val="24"/>
          <w:shd w:val="clear" w:color="auto" w:fill="FFFFFF"/>
        </w:rPr>
        <w:t>NIH, 2025)</w:t>
      </w:r>
    </w:p>
    <w:p w14:paraId="2D95E97C" w14:textId="0116D9CF" w:rsidR="00C03A91" w:rsidRPr="00632CC1" w:rsidRDefault="00C03A91" w:rsidP="00C03A91">
      <w:pPr>
        <w:pStyle w:val="Heading1"/>
        <w:rPr>
          <w:rFonts w:cs="Arial"/>
        </w:rPr>
      </w:pPr>
      <w:r w:rsidRPr="00632CC1">
        <w:rPr>
          <w:rFonts w:cs="Arial"/>
        </w:rPr>
        <w:lastRenderedPageBreak/>
        <w:t xml:space="preserve">2. </w:t>
      </w:r>
      <w:r w:rsidR="00FD7392" w:rsidRPr="00632CC1">
        <w:rPr>
          <w:rFonts w:cs="Arial"/>
        </w:rPr>
        <w:t>Blood Sugar Regulation</w:t>
      </w:r>
    </w:p>
    <w:p w14:paraId="1CEE1C3F" w14:textId="77777777" w:rsidR="00664B04" w:rsidRPr="00632CC1" w:rsidRDefault="00664B04" w:rsidP="00664B04">
      <w:pPr>
        <w:rPr>
          <w:rFonts w:cs="Arial"/>
        </w:rPr>
      </w:pPr>
      <w:r w:rsidRPr="00632CC1">
        <w:rPr>
          <w:rFonts w:cs="Arial"/>
        </w:rPr>
        <w:t>The body is strict in the maintenance of blood sugar (glucose) levels for making sure that cells receive an unvarying supply of energy and do not become excessively high or low. The endocrine system, including the pancreas is considered as an exocrine and endocrine gland, dominating this process (</w:t>
      </w:r>
      <w:r w:rsidRPr="00632CC1">
        <w:rPr>
          <w:rFonts w:cs="Arial"/>
          <w:color w:val="222222"/>
          <w:szCs w:val="20"/>
          <w:shd w:val="clear" w:color="auto" w:fill="FFFFFF"/>
        </w:rPr>
        <w:t>Mathew, Zubair and Tadi, 2023)</w:t>
      </w:r>
      <w:r w:rsidRPr="00632CC1">
        <w:rPr>
          <w:rFonts w:cs="Arial"/>
        </w:rPr>
        <w:t xml:space="preserve">. The pancreas contains groups of cells known as the Islets of Langerhans. These include beta cells that produce insulin and alpha cells that produce glucagon. The combination of the hormones highlights the negative feedback process to ensure glucose homeostasis. In most of the cases, this is maintained in a strict range (4-7 mmol/L in non-fasting people). Carbohydrates are broken down into glucose and absorbed into blood by raising the intensity of glucose in the blood after an individual consumes the food. Increased blood glucose is sensed through the beta cells located in the pancreas that releases insulin into the blood. Insulin is highlighted as the key, where the glucose can be used in the body as it can enter the cells. This generally consists of muscle and fat cells where it is utilised promptly to provide energy. On the other hand, it might be stored in the form of glycogen in the liver and muscles. This procedure reduces level of blood glucose to the normal range. On the other hand, the blood glucose levels decrease such as between meals, at night or during exercise. </w:t>
      </w:r>
    </w:p>
    <w:p w14:paraId="75BE50CF" w14:textId="77777777" w:rsidR="00664B04" w:rsidRPr="00632CC1" w:rsidRDefault="00664B04" w:rsidP="00664B04">
      <w:pPr>
        <w:jc w:val="center"/>
        <w:rPr>
          <w:rFonts w:cs="Arial"/>
        </w:rPr>
      </w:pPr>
      <w:r w:rsidRPr="00632CC1">
        <w:rPr>
          <w:rFonts w:cs="Arial"/>
          <w:noProof/>
        </w:rPr>
        <w:drawing>
          <wp:inline distT="0" distB="0" distL="0" distR="0" wp14:anchorId="6CEE61D6" wp14:editId="09952A20">
            <wp:extent cx="4156363" cy="3186746"/>
            <wp:effectExtent l="0" t="0" r="0" b="0"/>
            <wp:docPr id="2" name="Picture 2" descr="How Do Insulin and Glucagon Regulate Blood Sugar Levels? - Tandem Clinical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Do Insulin and Glucagon Regulate Blood Sugar Levels? - Tandem Clinical  Researc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74379" cy="3200559"/>
                    </a:xfrm>
                    <a:prstGeom prst="rect">
                      <a:avLst/>
                    </a:prstGeom>
                    <a:noFill/>
                    <a:ln>
                      <a:noFill/>
                    </a:ln>
                  </pic:spPr>
                </pic:pic>
              </a:graphicData>
            </a:graphic>
          </wp:inline>
        </w:drawing>
      </w:r>
    </w:p>
    <w:p w14:paraId="3D7CD846" w14:textId="77777777" w:rsidR="00664B04" w:rsidRPr="00632CC1" w:rsidRDefault="00664B04" w:rsidP="00664B04">
      <w:pPr>
        <w:jc w:val="center"/>
        <w:rPr>
          <w:rFonts w:cs="Arial"/>
        </w:rPr>
      </w:pPr>
      <w:r w:rsidRPr="00632CC1">
        <w:rPr>
          <w:rFonts w:cs="Arial"/>
        </w:rPr>
        <w:t>Figure 2: Blood sugar regulation</w:t>
      </w:r>
    </w:p>
    <w:p w14:paraId="259FCA3D" w14:textId="069FDA0D" w:rsidR="00664B04" w:rsidRPr="00632CC1" w:rsidRDefault="00664B04" w:rsidP="00664B04">
      <w:pPr>
        <w:jc w:val="center"/>
        <w:rPr>
          <w:rFonts w:cs="Arial"/>
        </w:rPr>
      </w:pPr>
      <w:r w:rsidRPr="00632CC1">
        <w:rPr>
          <w:rFonts w:cs="Arial"/>
          <w:szCs w:val="24"/>
          <w:shd w:val="clear" w:color="auto" w:fill="FFFFFF"/>
        </w:rPr>
        <w:t>(Source: Crist, 2024)</w:t>
      </w:r>
    </w:p>
    <w:p w14:paraId="383228AD" w14:textId="7E1E56A1" w:rsidR="00664B04" w:rsidRPr="00632CC1" w:rsidRDefault="00664B04" w:rsidP="00664B04">
      <w:pPr>
        <w:tabs>
          <w:tab w:val="left" w:pos="6540"/>
        </w:tabs>
        <w:rPr>
          <w:rFonts w:cs="Arial"/>
          <w:color w:val="8EAADB" w:themeColor="accent1" w:themeTint="99"/>
          <w:sz w:val="22"/>
        </w:rPr>
      </w:pPr>
      <w:r w:rsidRPr="00632CC1">
        <w:rPr>
          <w:rFonts w:cs="Arial"/>
        </w:rPr>
        <w:lastRenderedPageBreak/>
        <w:t>In such case, the pancreas reacts with decreased secretion of insulin and release of glucagon secreted by the alpha cells (</w:t>
      </w:r>
      <w:r w:rsidRPr="00632CC1">
        <w:rPr>
          <w:rFonts w:cs="Arial"/>
          <w:color w:val="222222"/>
          <w:szCs w:val="20"/>
          <w:shd w:val="clear" w:color="auto" w:fill="FFFFFF"/>
        </w:rPr>
        <w:t>Jwad and Al-Fatlawi, 2022)</w:t>
      </w:r>
      <w:r w:rsidRPr="00632CC1">
        <w:rPr>
          <w:rFonts w:cs="Arial"/>
        </w:rPr>
        <w:t>. It is glucagon that generally dictates the liver to change available stored glycogen back to glucose and release it into the blood. The process is further capable of triggering gluconeogenesis or synthesis of fresh glucose using the non-carbohydrates components. This increases the level of blood glucose and keeps the important organs functioning such as the brain which has much requirement of glucose as the source of energy (</w:t>
      </w:r>
      <w:r w:rsidRPr="00632CC1">
        <w:rPr>
          <w:rFonts w:cs="Arial"/>
          <w:color w:val="222222"/>
          <w:szCs w:val="20"/>
          <w:shd w:val="clear" w:color="auto" w:fill="FFFFFF"/>
        </w:rPr>
        <w:t>Marsinova Bakara and Kurniyati, 2022)</w:t>
      </w:r>
      <w:r w:rsidRPr="00632CC1">
        <w:rPr>
          <w:rFonts w:cs="Arial"/>
        </w:rPr>
        <w:t>. This insulin to glucagon would maintain stable level which would avoid both extremes such as hyperglycaemia (high blood sugar) and hypoglycaemia (low blood sugar). Other hormones, such as adrenaline, cortisol and growth hormone, are further capable of impacting blood glucose in response to stress and the illness through raising levels of glucose. The blood sugar maintenance is a dynamic and continuous process which depends on attentive hormonal interaction in the endocrine system (</w:t>
      </w:r>
      <w:r w:rsidRPr="00632CC1">
        <w:rPr>
          <w:rFonts w:cs="Arial"/>
          <w:color w:val="222222"/>
          <w:szCs w:val="20"/>
          <w:shd w:val="clear" w:color="auto" w:fill="FFFFFF"/>
        </w:rPr>
        <w:t>Bhatnagar and Mishra, 2022)</w:t>
      </w:r>
      <w:r w:rsidRPr="00632CC1">
        <w:rPr>
          <w:rFonts w:cs="Arial"/>
        </w:rPr>
        <w:t>. When this balance mechanism is operating well, the body will be safe and efficient with the required glucose supply to continue meeting the core metabolic needs. This regulatory system becomes compromised when there is way of diabetes, insufficient production of insulin or body becomes resistant to insulin. In such case, the process generally results in continuously increased blood glucose and other known complications.</w:t>
      </w:r>
    </w:p>
    <w:p w14:paraId="4CD97E93" w14:textId="2C7D4970" w:rsidR="00632CC1" w:rsidRPr="00632CC1" w:rsidRDefault="00076AC0" w:rsidP="00632CC1">
      <w:pPr>
        <w:pStyle w:val="Heading1"/>
        <w:rPr>
          <w:rFonts w:cs="Arial"/>
        </w:rPr>
      </w:pPr>
      <w:r w:rsidRPr="00632CC1">
        <w:rPr>
          <w:rFonts w:cs="Arial"/>
        </w:rPr>
        <w:t>3</w:t>
      </w:r>
      <w:r w:rsidR="000C4EDA" w:rsidRPr="00632CC1">
        <w:rPr>
          <w:rFonts w:cs="Arial"/>
        </w:rPr>
        <w:t xml:space="preserve">. </w:t>
      </w:r>
      <w:r w:rsidR="007A7297" w:rsidRPr="00632CC1">
        <w:rPr>
          <w:rFonts w:cs="Arial"/>
        </w:rPr>
        <w:t>Cellular Metabolism</w:t>
      </w:r>
      <w:r w:rsidR="000C4EDA" w:rsidRPr="00632CC1">
        <w:rPr>
          <w:rFonts w:cs="Arial"/>
        </w:rPr>
        <w:t xml:space="preserve"> </w:t>
      </w:r>
    </w:p>
    <w:p w14:paraId="669FD941" w14:textId="77777777" w:rsidR="00632CC1" w:rsidRPr="00632CC1" w:rsidRDefault="00632CC1" w:rsidP="00632CC1">
      <w:pPr>
        <w:rPr>
          <w:rFonts w:cs="Arial"/>
        </w:rPr>
      </w:pPr>
      <w:r w:rsidRPr="00632CC1">
        <w:rPr>
          <w:rFonts w:cs="Arial"/>
        </w:rPr>
        <w:t>The chemical processes taking place in cells to sustain life is known as cellular metabolism. The generation of energy in form of adenosine triphosphate (ATP) is analysed as one of the most vital processes (</w:t>
      </w:r>
      <w:r w:rsidRPr="00632CC1">
        <w:rPr>
          <w:rFonts w:cs="Arial"/>
          <w:color w:val="222222"/>
          <w:szCs w:val="20"/>
          <w:shd w:val="clear" w:color="auto" w:fill="FFFFFF"/>
        </w:rPr>
        <w:t>Gonçalves and García-Aznar, 2023)</w:t>
      </w:r>
      <w:r w:rsidRPr="00632CC1">
        <w:rPr>
          <w:rFonts w:cs="Arial"/>
        </w:rPr>
        <w:t>. To produce the energy, the body needs primarily glucose and oxygen where this process is called cellular respiration. Glucose is produced through the carbohydrates in the diet and this is carried in the bloodstream. In the bloodstream, it is transported to the cells with the assistance of the insulin. The lungs provide oxygen which is further transported to cells using the red blood cells. Energy production in the cell takes place in various stages (</w:t>
      </w:r>
      <w:r w:rsidRPr="00632CC1">
        <w:rPr>
          <w:rFonts w:cs="Arial"/>
          <w:color w:val="222222"/>
          <w:szCs w:val="20"/>
          <w:shd w:val="clear" w:color="auto" w:fill="FFFFFF"/>
        </w:rPr>
        <w:t>Mathew, Zubair and Tadi, 2023)</w:t>
      </w:r>
      <w:r w:rsidRPr="00632CC1">
        <w:rPr>
          <w:rFonts w:cs="Arial"/>
        </w:rPr>
        <w:t xml:space="preserve">. The initial one, glycolysis occurs in the cytoplasm, during which single molecule of glucose is disintegrated into two molecules of pyruvate. This is identified as an anaerobic process that generates a small ATP. As long as oxygen is present, the pyruvate is then transported to the mitochondria. The mitochondria are commonly referred to as the powerhouse of the </w:t>
      </w:r>
      <w:r w:rsidRPr="00632CC1">
        <w:rPr>
          <w:rFonts w:cs="Arial"/>
        </w:rPr>
        <w:lastRenderedPageBreak/>
        <w:t>cell (</w:t>
      </w:r>
      <w:r w:rsidRPr="00632CC1">
        <w:rPr>
          <w:rFonts w:cs="Arial"/>
          <w:color w:val="222222"/>
          <w:szCs w:val="20"/>
          <w:shd w:val="clear" w:color="auto" w:fill="FFFFFF"/>
        </w:rPr>
        <w:t>Chandel, 2021)</w:t>
      </w:r>
      <w:r w:rsidRPr="00632CC1">
        <w:rPr>
          <w:rFonts w:cs="Arial"/>
        </w:rPr>
        <w:t>. The molecules are broken down further in the mitochondria in the Krebs cycle or the citric acid cycle, producing carbon dioxide as by-product and the high-energy electron carriers. These are transported to the electron transport chain, identified as the last phase of aerobic respiration. In this case, oxygen is identified as the significant factor as it is the ultimate electron donor.</w:t>
      </w:r>
    </w:p>
    <w:p w14:paraId="1D5E7718" w14:textId="77777777" w:rsidR="00632CC1" w:rsidRPr="00632CC1" w:rsidRDefault="00632CC1" w:rsidP="00632CC1">
      <w:pPr>
        <w:jc w:val="center"/>
        <w:rPr>
          <w:rFonts w:cs="Arial"/>
        </w:rPr>
      </w:pPr>
      <w:r w:rsidRPr="00632CC1">
        <w:rPr>
          <w:rFonts w:cs="Arial"/>
          <w:noProof/>
        </w:rPr>
        <w:drawing>
          <wp:inline distT="0" distB="0" distL="0" distR="0" wp14:anchorId="6DC4FBF2" wp14:editId="390268DA">
            <wp:extent cx="5059045" cy="2802890"/>
            <wp:effectExtent l="0" t="0" r="8255" b="0"/>
            <wp:docPr id="3" name="Picture 3" descr="Cellular Respi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ellular Respir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59045" cy="2802890"/>
                    </a:xfrm>
                    <a:prstGeom prst="rect">
                      <a:avLst/>
                    </a:prstGeom>
                    <a:noFill/>
                    <a:ln>
                      <a:noFill/>
                    </a:ln>
                  </pic:spPr>
                </pic:pic>
              </a:graphicData>
            </a:graphic>
          </wp:inline>
        </w:drawing>
      </w:r>
    </w:p>
    <w:p w14:paraId="4C0B9D73" w14:textId="77777777" w:rsidR="00632CC1" w:rsidRPr="00632CC1" w:rsidRDefault="00632CC1" w:rsidP="00632CC1">
      <w:pPr>
        <w:jc w:val="center"/>
        <w:rPr>
          <w:rFonts w:cs="Arial"/>
        </w:rPr>
      </w:pPr>
      <w:r w:rsidRPr="00632CC1">
        <w:rPr>
          <w:rFonts w:cs="Arial"/>
        </w:rPr>
        <w:t>Figure 3: Cellular Metabolism</w:t>
      </w:r>
    </w:p>
    <w:p w14:paraId="74A4146C" w14:textId="77777777" w:rsidR="00632CC1" w:rsidRPr="00632CC1" w:rsidRDefault="00632CC1" w:rsidP="00632CC1">
      <w:pPr>
        <w:jc w:val="center"/>
        <w:rPr>
          <w:rFonts w:cs="Arial"/>
        </w:rPr>
      </w:pPr>
      <w:r w:rsidRPr="00632CC1">
        <w:rPr>
          <w:rFonts w:cs="Arial"/>
        </w:rPr>
        <w:t xml:space="preserve">(Source: </w:t>
      </w:r>
      <w:r w:rsidRPr="00632CC1">
        <w:rPr>
          <w:rFonts w:cs="Arial"/>
          <w:szCs w:val="24"/>
          <w:shd w:val="clear" w:color="auto" w:fill="FFFFFF"/>
        </w:rPr>
        <w:t>Smedes, 2024</w:t>
      </w:r>
      <w:r w:rsidRPr="00632CC1">
        <w:rPr>
          <w:rFonts w:cs="Arial"/>
        </w:rPr>
        <w:t>)</w:t>
      </w:r>
    </w:p>
    <w:p w14:paraId="0E762CC2" w14:textId="55B076A8" w:rsidR="00632CC1" w:rsidRPr="00632CC1" w:rsidRDefault="00632CC1" w:rsidP="00632CC1">
      <w:pPr>
        <w:tabs>
          <w:tab w:val="left" w:pos="6540"/>
        </w:tabs>
        <w:rPr>
          <w:rFonts w:cs="Arial"/>
          <w:color w:val="8EAADB" w:themeColor="accent1" w:themeTint="99"/>
          <w:sz w:val="22"/>
        </w:rPr>
      </w:pPr>
      <w:r w:rsidRPr="00632CC1">
        <w:rPr>
          <w:rFonts w:cs="Arial"/>
        </w:rPr>
        <w:t>ATP is produced in a great number, through series of reactions. When oxygen mixes with electrons and hydrogen ions. the result is water as a by-product. About 36-38 molecules of ATP can be produced by one molecule of glucose when the conditions are considered to be aerobic. This ATP gives the energy required in the body functions such as muscle contraction, transmission of nerve impulses, active transport across cell membranes, growth, repair, temperature regulation and others (</w:t>
      </w:r>
      <w:r w:rsidRPr="00632CC1">
        <w:rPr>
          <w:rFonts w:cs="Arial"/>
          <w:color w:val="222222"/>
          <w:szCs w:val="20"/>
          <w:shd w:val="clear" w:color="auto" w:fill="FFFFFF"/>
        </w:rPr>
        <w:t>Hantzidiamantis, Awosika and Lappin, 2024)</w:t>
      </w:r>
      <w:r w:rsidRPr="00632CC1">
        <w:rPr>
          <w:rFonts w:cs="Arial"/>
        </w:rPr>
        <w:t xml:space="preserve">. In absence of adequate oxygen, cells resort to the anaerobic respiration, which results in much lower ATP. These also leads to the production of lactic acid that is likely to make muscles fatigued. A continuous supply of glucose and oxygen is important in efficient cellular metabolism. The glucose is unable to enter the cell in a normal manner due to the unavailability of insulin or insulin unresponsiveness in case of diabetes. In such case, the cells may fail to generate sufficient energy even in the presence of the increased blood glucose level. The process includes the emphasis on maintaining adequate levels of hormones and </w:t>
      </w:r>
      <w:r w:rsidRPr="00632CC1">
        <w:rPr>
          <w:rFonts w:cs="Arial"/>
        </w:rPr>
        <w:lastRenderedPageBreak/>
        <w:t>oxygenation of the body (</w:t>
      </w:r>
      <w:r w:rsidRPr="00632CC1">
        <w:rPr>
          <w:rFonts w:cs="Arial"/>
          <w:color w:val="222222"/>
          <w:szCs w:val="20"/>
          <w:shd w:val="clear" w:color="auto" w:fill="FFFFFF"/>
        </w:rPr>
        <w:t>Wang et al., 2021)</w:t>
      </w:r>
      <w:r w:rsidRPr="00632CC1">
        <w:rPr>
          <w:rFonts w:cs="Arial"/>
        </w:rPr>
        <w:t>. This process helps to guarantee the efficient cell functions and proper health factors.</w:t>
      </w:r>
    </w:p>
    <w:p w14:paraId="189B8F71" w14:textId="0EA524C4" w:rsidR="001B7A40" w:rsidRPr="00632CC1" w:rsidRDefault="00076AC0" w:rsidP="00632CC1">
      <w:pPr>
        <w:pStyle w:val="Heading1"/>
        <w:rPr>
          <w:rFonts w:cs="Arial"/>
        </w:rPr>
      </w:pPr>
      <w:r w:rsidRPr="00632CC1">
        <w:rPr>
          <w:rFonts w:cs="Arial"/>
        </w:rPr>
        <w:t>4</w:t>
      </w:r>
      <w:r w:rsidR="000C4EDA" w:rsidRPr="00632CC1">
        <w:rPr>
          <w:rFonts w:cs="Arial"/>
        </w:rPr>
        <w:t xml:space="preserve">. </w:t>
      </w:r>
      <w:r w:rsidR="007A7297" w:rsidRPr="00632CC1">
        <w:rPr>
          <w:rFonts w:cs="Arial"/>
        </w:rPr>
        <w:t>Recording and tracking blood sugar levels for type 2 diabetes</w:t>
      </w:r>
    </w:p>
    <w:p w14:paraId="5C73921B" w14:textId="4B301512" w:rsidR="00632CC1" w:rsidRPr="00632CC1" w:rsidRDefault="00632CC1" w:rsidP="00C03A91">
      <w:pPr>
        <w:rPr>
          <w:rFonts w:cs="Arial"/>
        </w:rPr>
      </w:pPr>
      <w:r w:rsidRPr="00632CC1">
        <w:rPr>
          <w:rFonts w:cs="Arial"/>
        </w:rPr>
        <w:t>Blood sugar measurement and monitoring are essential self-management of people with Type 2 diabetes (</w:t>
      </w:r>
      <w:r w:rsidRPr="00632CC1">
        <w:rPr>
          <w:rFonts w:cs="Arial"/>
          <w:color w:val="222222"/>
          <w:szCs w:val="20"/>
          <w:shd w:val="clear" w:color="auto" w:fill="FFFFFF"/>
        </w:rPr>
        <w:t>Sharma et al., 2022)</w:t>
      </w:r>
      <w:r w:rsidRPr="00632CC1">
        <w:rPr>
          <w:rFonts w:cs="Arial"/>
        </w:rPr>
        <w:t>. Though Type 2 diabetes can be treated by lifestyle change and oral therapy, the level of blood glucose can change considerably based on the food intake, exercise, stress, disease and taking medication. Through regular monitoring such as finger-prick testing or continuous glucose monitoring (CGM), individuals can learn their body response to such factors. With readings recorded in format, patients and healthcare professionals will be able to detect recurring trends and the changes with time (</w:t>
      </w:r>
      <w:r w:rsidRPr="00632CC1">
        <w:rPr>
          <w:rFonts w:cs="Arial"/>
          <w:color w:val="222222"/>
          <w:szCs w:val="20"/>
          <w:shd w:val="clear" w:color="auto" w:fill="FFFFFF"/>
        </w:rPr>
        <w:t>Salsa, Kurniasari and Anita, 2025)</w:t>
      </w:r>
      <w:r w:rsidRPr="00632CC1">
        <w:rPr>
          <w:rFonts w:cs="Arial"/>
        </w:rPr>
        <w:t>. This includes consistently increased levels of fasting glucose or sudden change in glucose levels following a meal. This knowledge will support in making informed choices on nutritional changes, physical activities, medication changes and meal schedules. Early indications of hyperglycaemia (high blood sugar) or hypoglycaemia (low blood sugar) can be detected by use of tracking. This detection will prevent the occurrence of acute complications (dizziness, confusion) or lack of consciousness (severe cases). On long-term basis, continuous high blood glucose levels might result in severe complications such as cardiovascular disease, kidney damage, neuropathy and vision impairment. Patients will be active and responsible, watching the health condition regularly (</w:t>
      </w:r>
      <w:r w:rsidRPr="00632CC1">
        <w:rPr>
          <w:rFonts w:cs="Arial"/>
          <w:color w:val="222222"/>
          <w:szCs w:val="20"/>
          <w:shd w:val="clear" w:color="auto" w:fill="FFFFFF"/>
        </w:rPr>
        <w:t>Sharma et al., 2022)</w:t>
      </w:r>
      <w:r w:rsidRPr="00632CC1">
        <w:rPr>
          <w:rFonts w:cs="Arial"/>
        </w:rPr>
        <w:t>. It can form the person and make them involved in monitoring and control of their body. This will avoid the need to test only after some time at the clinic, with HbA1c. Without monitoring of blood glucose, a patient might lack the awareness of detrimental fluctuations and youthful phases of hyperglycaemia. This damage might advance without any apparent symptoms leading to critical complications. On the other hand, the health workers would not have much information to support the treatment review (</w:t>
      </w:r>
      <w:r w:rsidRPr="00632CC1">
        <w:rPr>
          <w:rFonts w:cs="Arial"/>
          <w:color w:val="222222"/>
          <w:szCs w:val="20"/>
          <w:shd w:val="clear" w:color="auto" w:fill="FFFFFF"/>
        </w:rPr>
        <w:t>Mushtaq et al., 2025)</w:t>
      </w:r>
      <w:r w:rsidRPr="00632CC1">
        <w:rPr>
          <w:rFonts w:cs="Arial"/>
        </w:rPr>
        <w:t>. This might slow down the need to change medication. As such, the immediate safety and long-term shield are added benefits of documenting and monitoring the level of blood sugar. The process will generally compose a crucial component of effective Type 2 diabetes management, contributing to better health conditions.</w:t>
      </w:r>
    </w:p>
    <w:p w14:paraId="6DBA6107" w14:textId="01100C2A" w:rsidR="00C03A91" w:rsidRPr="00632CC1" w:rsidRDefault="001B7A40" w:rsidP="00664B04">
      <w:pPr>
        <w:pStyle w:val="Heading1"/>
        <w:rPr>
          <w:rFonts w:cs="Arial"/>
        </w:rPr>
      </w:pPr>
      <w:r w:rsidRPr="00632CC1">
        <w:rPr>
          <w:rFonts w:cs="Arial"/>
        </w:rPr>
        <w:lastRenderedPageBreak/>
        <w:t>5. Recommend</w:t>
      </w:r>
      <w:r w:rsidR="007A7297" w:rsidRPr="00632CC1">
        <w:rPr>
          <w:rFonts w:cs="Arial"/>
        </w:rPr>
        <w:t>ations</w:t>
      </w:r>
    </w:p>
    <w:p w14:paraId="12FBB288" w14:textId="77777777" w:rsidR="00664B04" w:rsidRPr="00632CC1" w:rsidRDefault="00664B04" w:rsidP="00664B04">
      <w:pPr>
        <w:rPr>
          <w:rFonts w:cs="Arial"/>
        </w:rPr>
      </w:pPr>
      <w:r w:rsidRPr="00632CC1">
        <w:rPr>
          <w:rFonts w:cs="Arial"/>
        </w:rPr>
        <w:t>Health and social care are evidence-based strategies that should be used for enhancing the health and wellbeing of the diabetic people (</w:t>
      </w:r>
      <w:r w:rsidRPr="00632CC1">
        <w:rPr>
          <w:rFonts w:cs="Arial"/>
          <w:color w:val="222222"/>
          <w:szCs w:val="20"/>
          <w:shd w:val="clear" w:color="auto" w:fill="FFFFFF"/>
        </w:rPr>
        <w:t>Gallardo-Gómez et al., 2024)</w:t>
      </w:r>
      <w:r w:rsidRPr="00632CC1">
        <w:rPr>
          <w:rFonts w:cs="Arial"/>
        </w:rPr>
        <w:t>. The primary suggestion would be the facilitated diabetes lessons, which would help to improve knowledge about glucose levels management, medication, carbohydrates awareness and prevention of complications. The awareness through education enhances the level of self-efficacy and guides in informed decision-making (</w:t>
      </w:r>
      <w:r w:rsidRPr="00632CC1">
        <w:rPr>
          <w:rFonts w:cs="Arial"/>
          <w:color w:val="222222"/>
          <w:szCs w:val="20"/>
          <w:shd w:val="clear" w:color="auto" w:fill="FFFFFF"/>
        </w:rPr>
        <w:t>Guedes and Pecoits</w:t>
      </w:r>
      <w:r w:rsidRPr="00632CC1">
        <w:rPr>
          <w:rFonts w:ascii="Cambria Math" w:hAnsi="Cambria Math" w:cs="Cambria Math"/>
          <w:color w:val="222222"/>
          <w:szCs w:val="20"/>
          <w:shd w:val="clear" w:color="auto" w:fill="FFFFFF"/>
        </w:rPr>
        <w:t>‐</w:t>
      </w:r>
      <w:r w:rsidRPr="00632CC1">
        <w:rPr>
          <w:rFonts w:cs="Arial"/>
          <w:color w:val="222222"/>
          <w:szCs w:val="20"/>
          <w:shd w:val="clear" w:color="auto" w:fill="FFFFFF"/>
        </w:rPr>
        <w:t>Filho, 2022)</w:t>
      </w:r>
      <w:r w:rsidRPr="00632CC1">
        <w:rPr>
          <w:rFonts w:cs="Arial"/>
        </w:rPr>
        <w:t>. Multidisciplinary reviews of the practice nurses, GPs, dietitians, podiatrists and pharmacists should be used on regular basis for offering integrated and comprehensive care. Annuals health examination, including HbA1c, blood pressure, cholesterol, kidney status and foot examinations are important for revealing the problem before occurrence.</w:t>
      </w:r>
    </w:p>
    <w:p w14:paraId="5CFCB823" w14:textId="77777777" w:rsidR="00664B04" w:rsidRPr="00632CC1" w:rsidRDefault="00664B04" w:rsidP="00664B04">
      <w:pPr>
        <w:rPr>
          <w:rFonts w:cs="Arial"/>
        </w:rPr>
      </w:pPr>
      <w:r w:rsidRPr="00632CC1">
        <w:rPr>
          <w:rFonts w:cs="Arial"/>
        </w:rPr>
        <w:t>Promotional interventions in health needs to emphasise heavily on lifestyle change. People needs to be assisted in implementing high-fibre, less refined sugars and saturated fats diet. These are generally regulated through the portion consumption and eating habits to keep the blood glucose levels under control (</w:t>
      </w:r>
      <w:r w:rsidRPr="00632CC1">
        <w:rPr>
          <w:rFonts w:cs="Arial"/>
          <w:color w:val="222222"/>
          <w:szCs w:val="20"/>
          <w:shd w:val="clear" w:color="auto" w:fill="FFFFFF"/>
        </w:rPr>
        <w:t>Bluestone, Buckner and Herold, 2021)</w:t>
      </w:r>
      <w:r w:rsidRPr="00632CC1">
        <w:rPr>
          <w:rFonts w:cs="Arial"/>
        </w:rPr>
        <w:t>. The weight management programmes have positive effect on the patients with Type 2 diabetes as the insulin sensitivity can greatly be enhanced through the gradual loss of weight. At least 150 minutes of moderate level exercise per week, in support with strength training, are recommended as physical activity. This is relevant to raise glucose uptake by muscles and improver the cardiovascular well-being.</w:t>
      </w:r>
    </w:p>
    <w:p w14:paraId="3A13FC8C" w14:textId="66310169" w:rsidR="00664B04" w:rsidRPr="00632CC1" w:rsidRDefault="00664B04" w:rsidP="00664B04">
      <w:pPr>
        <w:rPr>
          <w:rFonts w:cs="Arial"/>
        </w:rPr>
      </w:pPr>
      <w:r w:rsidRPr="00632CC1">
        <w:rPr>
          <w:rFonts w:cs="Arial"/>
        </w:rPr>
        <w:t>A smoking cessation program is essential as smoking risk sets in cardiovascular and microvascular complication (</w:t>
      </w:r>
      <w:r w:rsidRPr="00632CC1">
        <w:rPr>
          <w:rFonts w:cs="Arial"/>
          <w:color w:val="222222"/>
          <w:szCs w:val="20"/>
          <w:shd w:val="clear" w:color="auto" w:fill="FFFFFF"/>
        </w:rPr>
        <w:t>Gallardo-Gómez et al., 2024)</w:t>
      </w:r>
      <w:r w:rsidRPr="00632CC1">
        <w:rPr>
          <w:rFonts w:cs="Arial"/>
        </w:rPr>
        <w:t>. The referral to cessation services and usage of nicotine replacement therapy is relevant. There is possibility to solve stress, anxiety or diabetes-related distress with help of psychological support and peer support groups (</w:t>
      </w:r>
      <w:r w:rsidRPr="00632CC1">
        <w:rPr>
          <w:rFonts w:cs="Arial"/>
          <w:color w:val="222222"/>
          <w:szCs w:val="20"/>
          <w:shd w:val="clear" w:color="auto" w:fill="FFFFFF"/>
        </w:rPr>
        <w:t>Bourgeois et al., 2021)</w:t>
      </w:r>
      <w:r w:rsidRPr="00632CC1">
        <w:rPr>
          <w:rFonts w:cs="Arial"/>
        </w:rPr>
        <w:t>. Self-management is further developed through encouraging them to check the blood glucose on regular basis, while keeping a record. Together, the measures generally lead to long-lasting glycaemic control, lowering complications and improving the quality of life for the diabetic people.</w:t>
      </w:r>
    </w:p>
    <w:p w14:paraId="08E99182" w14:textId="33550AA8" w:rsidR="001B7A40" w:rsidRDefault="001B7A40" w:rsidP="00632CC1">
      <w:pPr>
        <w:pStyle w:val="Heading1"/>
        <w:rPr>
          <w:rFonts w:cs="Arial"/>
        </w:rPr>
      </w:pPr>
      <w:r w:rsidRPr="00664B04">
        <w:rPr>
          <w:rFonts w:cs="Arial"/>
        </w:rPr>
        <w:lastRenderedPageBreak/>
        <w:t>6. Conclusion</w:t>
      </w:r>
    </w:p>
    <w:p w14:paraId="6B0EF0BB" w14:textId="373625CD" w:rsidR="00632CC1" w:rsidRPr="00C03A91" w:rsidRDefault="00632CC1" w:rsidP="00C03A91">
      <w:pPr>
        <w:rPr>
          <w:rFonts w:cs="Arial"/>
        </w:rPr>
      </w:pPr>
      <w:r w:rsidRPr="00A6689D">
        <w:t>This report has discussed diabetes as chronic illness which highlights an impact on the body not being able to manage levels of blood sugar properly. It defined forms of diabetes and Type 2 diabetes, providing the crucial risk factors. These include include obesity, unhealthy nutrition, lack of exercise, smoking, age and family history. The explanation described that endocrine system (pancreas) regulates blood sugar level by presence of insulin and glucagon hormones. It examined cell metabolism and showed how glucose and oxygen interact to promote energy conversion into ATP form. The process further analyses how glucose regulation can be impaired to disrupt the vital process. Recording and monitoring of blood sugar levels were highlighted as essential part of safe self-management as it allows recognising the changes in time, while avoiding the overall complications. The report developed the evidence-based recommendations including structured education, frequent monitoring, multidisciplinary support and lifestyle interventions. The evaluation of such interventions generally included better dietary choices, physical exercise, weight and smoking reduction. There is no single solution to the process of diabetic management and patient education. A proactive monitoring approach and lasting change in lifestyle are needed to develop the health outcomes and quality of life in the long-run.</w:t>
      </w:r>
    </w:p>
    <w:p w14:paraId="5BCBB22C" w14:textId="7E8A924B" w:rsidR="001B7A40" w:rsidRPr="00C03A91" w:rsidRDefault="001B7A40" w:rsidP="00C03A91">
      <w:pPr>
        <w:rPr>
          <w:rFonts w:cs="Arial"/>
        </w:rPr>
      </w:pPr>
      <w:r w:rsidRPr="00C03A91">
        <w:rPr>
          <w:rFonts w:cs="Arial"/>
        </w:rPr>
        <w:br w:type="page"/>
      </w:r>
    </w:p>
    <w:p w14:paraId="251B3492" w14:textId="6B50CD06" w:rsidR="001B7A40" w:rsidRPr="00C03A91" w:rsidRDefault="001B7A40" w:rsidP="00C03A91">
      <w:pPr>
        <w:pStyle w:val="Heading1"/>
      </w:pPr>
      <w:r w:rsidRPr="00C03A91">
        <w:lastRenderedPageBreak/>
        <w:t>References</w:t>
      </w:r>
    </w:p>
    <w:p w14:paraId="6636563B" w14:textId="77777777" w:rsidR="00632CC1" w:rsidRPr="00632CC1" w:rsidRDefault="00632CC1" w:rsidP="00632CC1">
      <w:pPr>
        <w:rPr>
          <w:rFonts w:cs="Arial"/>
          <w:color w:val="222222"/>
          <w:szCs w:val="20"/>
          <w:shd w:val="clear" w:color="auto" w:fill="FFFFFF"/>
        </w:rPr>
      </w:pPr>
      <w:r w:rsidRPr="00632CC1">
        <w:rPr>
          <w:rFonts w:cs="Arial"/>
          <w:color w:val="222222"/>
          <w:szCs w:val="20"/>
          <w:shd w:val="clear" w:color="auto" w:fill="FFFFFF"/>
        </w:rPr>
        <w:t>Bhatnagar, A. and Mishra, A., (2022). α-Glucosidase inhibitors for diabetes/blood sugar regulation. In </w:t>
      </w:r>
      <w:r w:rsidRPr="00632CC1">
        <w:rPr>
          <w:rFonts w:cs="Arial"/>
          <w:i/>
          <w:iCs/>
          <w:color w:val="222222"/>
          <w:szCs w:val="20"/>
          <w:shd w:val="clear" w:color="auto" w:fill="FFFFFF"/>
        </w:rPr>
        <w:t>Natural products as enzyme inhibitors: An industrial perspective</w:t>
      </w:r>
      <w:r w:rsidRPr="00632CC1">
        <w:rPr>
          <w:rFonts w:cs="Arial"/>
          <w:color w:val="222222"/>
          <w:szCs w:val="20"/>
          <w:shd w:val="clear" w:color="auto" w:fill="FFFFFF"/>
        </w:rPr>
        <w:t xml:space="preserve"> (pp. 269-283). Singapore: Springer Nature Singapore. </w:t>
      </w:r>
      <w:hyperlink r:id="rId12" w:history="1">
        <w:r w:rsidRPr="00632CC1">
          <w:rPr>
            <w:rStyle w:val="Hyperlink"/>
            <w:rFonts w:cs="Arial"/>
            <w:szCs w:val="20"/>
            <w:shd w:val="clear" w:color="auto" w:fill="FFFFFF"/>
          </w:rPr>
          <w:t>https://link.springer.com/chapter/10.1007/978-981-19-0932-0_12</w:t>
        </w:r>
      </w:hyperlink>
    </w:p>
    <w:p w14:paraId="4D96F557" w14:textId="77777777" w:rsidR="00632CC1" w:rsidRPr="00632CC1" w:rsidRDefault="00632CC1" w:rsidP="00632CC1">
      <w:pPr>
        <w:rPr>
          <w:rFonts w:cs="Arial"/>
          <w:color w:val="222222"/>
          <w:szCs w:val="20"/>
          <w:shd w:val="clear" w:color="auto" w:fill="FFFFFF"/>
        </w:rPr>
      </w:pPr>
      <w:r w:rsidRPr="00632CC1">
        <w:rPr>
          <w:rFonts w:cs="Arial"/>
          <w:color w:val="222222"/>
          <w:szCs w:val="20"/>
          <w:shd w:val="clear" w:color="auto" w:fill="FFFFFF"/>
        </w:rPr>
        <w:t>Bluestone, J.A., Buckner, J.H. and Herold, K.C., (2021). Immunotherapy: building a bridge to a cure for type 1 diabetes. </w:t>
      </w:r>
      <w:r w:rsidRPr="00632CC1">
        <w:rPr>
          <w:rFonts w:cs="Arial"/>
          <w:i/>
          <w:iCs/>
          <w:color w:val="222222"/>
          <w:szCs w:val="20"/>
          <w:shd w:val="clear" w:color="auto" w:fill="FFFFFF"/>
        </w:rPr>
        <w:t>Science</w:t>
      </w:r>
      <w:r w:rsidRPr="00632CC1">
        <w:rPr>
          <w:rFonts w:cs="Arial"/>
          <w:color w:val="222222"/>
          <w:szCs w:val="20"/>
          <w:shd w:val="clear" w:color="auto" w:fill="FFFFFF"/>
        </w:rPr>
        <w:t>, </w:t>
      </w:r>
      <w:r w:rsidRPr="00632CC1">
        <w:rPr>
          <w:rFonts w:cs="Arial"/>
          <w:i/>
          <w:iCs/>
          <w:color w:val="222222"/>
          <w:szCs w:val="20"/>
          <w:shd w:val="clear" w:color="auto" w:fill="FFFFFF"/>
        </w:rPr>
        <w:t>373</w:t>
      </w:r>
      <w:r w:rsidRPr="00632CC1">
        <w:rPr>
          <w:rFonts w:cs="Arial"/>
          <w:color w:val="222222"/>
          <w:szCs w:val="20"/>
          <w:shd w:val="clear" w:color="auto" w:fill="FFFFFF"/>
        </w:rPr>
        <w:t xml:space="preserve">(6554), pp.510-516. </w:t>
      </w:r>
      <w:hyperlink r:id="rId13" w:history="1">
        <w:r w:rsidRPr="00632CC1">
          <w:rPr>
            <w:rStyle w:val="Hyperlink"/>
            <w:rFonts w:cs="Arial"/>
            <w:szCs w:val="20"/>
            <w:shd w:val="clear" w:color="auto" w:fill="FFFFFF"/>
          </w:rPr>
          <w:t>https://www.science.org/doi/abs/10.1126/science.abh1654</w:t>
        </w:r>
      </w:hyperlink>
    </w:p>
    <w:p w14:paraId="334EF7A1" w14:textId="77777777" w:rsidR="00632CC1" w:rsidRPr="00632CC1" w:rsidRDefault="00632CC1" w:rsidP="00632CC1">
      <w:pPr>
        <w:rPr>
          <w:rFonts w:cs="Arial"/>
          <w:color w:val="222222"/>
          <w:szCs w:val="20"/>
          <w:shd w:val="clear" w:color="auto" w:fill="FFFFFF"/>
        </w:rPr>
      </w:pPr>
      <w:r w:rsidRPr="00632CC1">
        <w:rPr>
          <w:rFonts w:cs="Arial"/>
          <w:color w:val="222222"/>
          <w:szCs w:val="20"/>
          <w:shd w:val="clear" w:color="auto" w:fill="FFFFFF"/>
        </w:rPr>
        <w:t>Bourgeois, S., Sawatani, T., Van Mulders, A., De Leu, N., Heremans, Y., Heimberg, H., Cnop, M. and Staels, W., (2021). Towards a functional cure for diabetes using stem cell-derived beta cells: are we there yet?. </w:t>
      </w:r>
      <w:r w:rsidRPr="00632CC1">
        <w:rPr>
          <w:rFonts w:cs="Arial"/>
          <w:i/>
          <w:iCs/>
          <w:color w:val="222222"/>
          <w:szCs w:val="20"/>
          <w:shd w:val="clear" w:color="auto" w:fill="FFFFFF"/>
        </w:rPr>
        <w:t>Cells</w:t>
      </w:r>
      <w:r w:rsidRPr="00632CC1">
        <w:rPr>
          <w:rFonts w:cs="Arial"/>
          <w:color w:val="222222"/>
          <w:szCs w:val="20"/>
          <w:shd w:val="clear" w:color="auto" w:fill="FFFFFF"/>
        </w:rPr>
        <w:t>, </w:t>
      </w:r>
      <w:r w:rsidRPr="00632CC1">
        <w:rPr>
          <w:rFonts w:cs="Arial"/>
          <w:i/>
          <w:iCs/>
          <w:color w:val="222222"/>
          <w:szCs w:val="20"/>
          <w:shd w:val="clear" w:color="auto" w:fill="FFFFFF"/>
        </w:rPr>
        <w:t>10</w:t>
      </w:r>
      <w:r w:rsidRPr="00632CC1">
        <w:rPr>
          <w:rFonts w:cs="Arial"/>
          <w:color w:val="222222"/>
          <w:szCs w:val="20"/>
          <w:shd w:val="clear" w:color="auto" w:fill="FFFFFF"/>
        </w:rPr>
        <w:t xml:space="preserve">(1), p.191. </w:t>
      </w:r>
      <w:hyperlink r:id="rId14" w:history="1">
        <w:r w:rsidRPr="00632CC1">
          <w:rPr>
            <w:rStyle w:val="Hyperlink"/>
            <w:rFonts w:cs="Arial"/>
            <w:szCs w:val="20"/>
            <w:shd w:val="clear" w:color="auto" w:fill="FFFFFF"/>
          </w:rPr>
          <w:t>https://www.mdpi.com/2073-4409/10/1/191</w:t>
        </w:r>
      </w:hyperlink>
    </w:p>
    <w:p w14:paraId="777E99FA" w14:textId="77777777" w:rsidR="00632CC1" w:rsidRPr="00632CC1" w:rsidRDefault="00632CC1" w:rsidP="00632CC1">
      <w:pPr>
        <w:rPr>
          <w:rFonts w:cs="Arial"/>
          <w:color w:val="222222"/>
          <w:szCs w:val="20"/>
          <w:shd w:val="clear" w:color="auto" w:fill="FFFFFF"/>
        </w:rPr>
      </w:pPr>
      <w:r w:rsidRPr="00632CC1">
        <w:rPr>
          <w:rFonts w:cs="Arial"/>
          <w:color w:val="222222"/>
          <w:szCs w:val="20"/>
          <w:shd w:val="clear" w:color="auto" w:fill="FFFFFF"/>
        </w:rPr>
        <w:t>Chandel, N.S., (2021). Signaling and metabolism. </w:t>
      </w:r>
      <w:r w:rsidRPr="00632CC1">
        <w:rPr>
          <w:rFonts w:cs="Arial"/>
          <w:i/>
          <w:iCs/>
          <w:color w:val="222222"/>
          <w:szCs w:val="20"/>
          <w:shd w:val="clear" w:color="auto" w:fill="FFFFFF"/>
        </w:rPr>
        <w:t>Cold Spring Harbor Perspectives in Biology</w:t>
      </w:r>
      <w:r w:rsidRPr="00632CC1">
        <w:rPr>
          <w:rFonts w:cs="Arial"/>
          <w:color w:val="222222"/>
          <w:szCs w:val="20"/>
          <w:shd w:val="clear" w:color="auto" w:fill="FFFFFF"/>
        </w:rPr>
        <w:t>, </w:t>
      </w:r>
      <w:r w:rsidRPr="00632CC1">
        <w:rPr>
          <w:rFonts w:cs="Arial"/>
          <w:i/>
          <w:iCs/>
          <w:color w:val="222222"/>
          <w:szCs w:val="20"/>
          <w:shd w:val="clear" w:color="auto" w:fill="FFFFFF"/>
        </w:rPr>
        <w:t>13</w:t>
      </w:r>
      <w:r w:rsidRPr="00632CC1">
        <w:rPr>
          <w:rFonts w:cs="Arial"/>
          <w:color w:val="222222"/>
          <w:szCs w:val="20"/>
          <w:shd w:val="clear" w:color="auto" w:fill="FFFFFF"/>
        </w:rPr>
        <w:t xml:space="preserve">(2), p.a040600. </w:t>
      </w:r>
      <w:hyperlink r:id="rId15" w:history="1">
        <w:r w:rsidRPr="00632CC1">
          <w:rPr>
            <w:rStyle w:val="Hyperlink"/>
            <w:rFonts w:cs="Arial"/>
            <w:szCs w:val="20"/>
            <w:shd w:val="clear" w:color="auto" w:fill="FFFFFF"/>
          </w:rPr>
          <w:t>https://cshperspectives.cshlp.org/content/13/2/a040600.short</w:t>
        </w:r>
      </w:hyperlink>
    </w:p>
    <w:p w14:paraId="4EE5F864" w14:textId="77777777" w:rsidR="00632CC1" w:rsidRPr="00632CC1" w:rsidRDefault="00632CC1" w:rsidP="00632CC1">
      <w:pPr>
        <w:rPr>
          <w:rFonts w:cs="Arial"/>
          <w:szCs w:val="24"/>
          <w:shd w:val="clear" w:color="auto" w:fill="FFFFFF"/>
        </w:rPr>
      </w:pPr>
      <w:r w:rsidRPr="00632CC1">
        <w:rPr>
          <w:rFonts w:cs="Arial"/>
          <w:szCs w:val="24"/>
          <w:shd w:val="clear" w:color="auto" w:fill="FFFFFF"/>
        </w:rPr>
        <w:t xml:space="preserve">Crist, M. (2024, September 3). How do insulin and glucagon regulate blood sugar levels? - Tandem Clinical research. Retrieved from </w:t>
      </w:r>
      <w:hyperlink r:id="rId16" w:history="1">
        <w:r w:rsidRPr="00632CC1">
          <w:rPr>
            <w:rStyle w:val="Hyperlink"/>
            <w:rFonts w:cs="Arial"/>
            <w:szCs w:val="24"/>
            <w:shd w:val="clear" w:color="auto" w:fill="FFFFFF"/>
          </w:rPr>
          <w:t>https://www.tandemclinicalresearch.com/blog/how-does-insulin-work/</w:t>
        </w:r>
      </w:hyperlink>
      <w:r w:rsidRPr="00632CC1">
        <w:rPr>
          <w:rFonts w:cs="Arial"/>
          <w:szCs w:val="24"/>
          <w:shd w:val="clear" w:color="auto" w:fill="FFFFFF"/>
        </w:rPr>
        <w:t xml:space="preserve"> </w:t>
      </w:r>
    </w:p>
    <w:p w14:paraId="6776F5CF" w14:textId="77777777" w:rsidR="00632CC1" w:rsidRPr="00632CC1" w:rsidRDefault="00632CC1" w:rsidP="00632CC1">
      <w:pPr>
        <w:rPr>
          <w:rFonts w:cs="Arial"/>
          <w:sz w:val="32"/>
        </w:rPr>
      </w:pPr>
      <w:r w:rsidRPr="00632CC1">
        <w:rPr>
          <w:rFonts w:cs="Arial"/>
          <w:color w:val="222222"/>
          <w:szCs w:val="20"/>
          <w:shd w:val="clear" w:color="auto" w:fill="FFFFFF"/>
        </w:rPr>
        <w:t>Gallardo-Gómez, D., Salazar-Martínez, E., Alfonso-Rosa, R.M., Ramos-Munell, J., del Pozo-Cruz, J., del Pozo Cruz, B. and Álvarez-Barbosa, F., (2024). Optimal dose and type of physical activity to improve glycemic control in people diagnosed with type 2 diabetes: a systematic review and meta-analysis. </w:t>
      </w:r>
      <w:r w:rsidRPr="00632CC1">
        <w:rPr>
          <w:rFonts w:cs="Arial"/>
          <w:i/>
          <w:iCs/>
          <w:color w:val="222222"/>
          <w:szCs w:val="20"/>
          <w:shd w:val="clear" w:color="auto" w:fill="FFFFFF"/>
        </w:rPr>
        <w:t>Diabetes Care</w:t>
      </w:r>
      <w:r w:rsidRPr="00632CC1">
        <w:rPr>
          <w:rFonts w:cs="Arial"/>
          <w:color w:val="222222"/>
          <w:szCs w:val="20"/>
          <w:shd w:val="clear" w:color="auto" w:fill="FFFFFF"/>
        </w:rPr>
        <w:t>, </w:t>
      </w:r>
      <w:r w:rsidRPr="00632CC1">
        <w:rPr>
          <w:rFonts w:cs="Arial"/>
          <w:i/>
          <w:iCs/>
          <w:color w:val="222222"/>
          <w:szCs w:val="20"/>
          <w:shd w:val="clear" w:color="auto" w:fill="FFFFFF"/>
        </w:rPr>
        <w:t>47</w:t>
      </w:r>
      <w:r w:rsidRPr="00632CC1">
        <w:rPr>
          <w:rFonts w:cs="Arial"/>
          <w:color w:val="222222"/>
          <w:szCs w:val="20"/>
          <w:shd w:val="clear" w:color="auto" w:fill="FFFFFF"/>
        </w:rPr>
        <w:t xml:space="preserve">(2), pp.295-303. </w:t>
      </w:r>
      <w:hyperlink r:id="rId17" w:history="1">
        <w:r w:rsidRPr="00632CC1">
          <w:rPr>
            <w:rStyle w:val="Hyperlink"/>
            <w:rFonts w:cs="Arial"/>
            <w:szCs w:val="20"/>
            <w:shd w:val="clear" w:color="auto" w:fill="FFFFFF"/>
          </w:rPr>
          <w:t>https://diabetesjournals.org/care/article-abstract/47/2/295/154149</w:t>
        </w:r>
      </w:hyperlink>
    </w:p>
    <w:p w14:paraId="59C0EC1A" w14:textId="77777777" w:rsidR="00632CC1" w:rsidRPr="00632CC1" w:rsidRDefault="00632CC1" w:rsidP="00632CC1">
      <w:pPr>
        <w:rPr>
          <w:rFonts w:cs="Arial"/>
          <w:color w:val="222222"/>
          <w:szCs w:val="20"/>
          <w:shd w:val="clear" w:color="auto" w:fill="FFFFFF"/>
        </w:rPr>
      </w:pPr>
      <w:r w:rsidRPr="00632CC1">
        <w:rPr>
          <w:rFonts w:cs="Arial"/>
          <w:color w:val="222222"/>
          <w:szCs w:val="20"/>
          <w:shd w:val="clear" w:color="auto" w:fill="FFFFFF"/>
        </w:rPr>
        <w:t>Gonçalves, I.G. and García-Aznar, J.M., (2023). Hybrid computational models of multicellular tumour growth considering glucose metabolism. </w:t>
      </w:r>
      <w:r w:rsidRPr="00632CC1">
        <w:rPr>
          <w:rFonts w:cs="Arial"/>
          <w:i/>
          <w:iCs/>
          <w:color w:val="222222"/>
          <w:szCs w:val="20"/>
          <w:shd w:val="clear" w:color="auto" w:fill="FFFFFF"/>
        </w:rPr>
        <w:t>Computational and Structural Biotechnology Journal</w:t>
      </w:r>
      <w:r w:rsidRPr="00632CC1">
        <w:rPr>
          <w:rFonts w:cs="Arial"/>
          <w:color w:val="222222"/>
          <w:szCs w:val="20"/>
          <w:shd w:val="clear" w:color="auto" w:fill="FFFFFF"/>
        </w:rPr>
        <w:t>, </w:t>
      </w:r>
      <w:r w:rsidRPr="00632CC1">
        <w:rPr>
          <w:rFonts w:cs="Arial"/>
          <w:i/>
          <w:iCs/>
          <w:color w:val="222222"/>
          <w:szCs w:val="20"/>
          <w:shd w:val="clear" w:color="auto" w:fill="FFFFFF"/>
        </w:rPr>
        <w:t>21</w:t>
      </w:r>
      <w:r w:rsidRPr="00632CC1">
        <w:rPr>
          <w:rFonts w:cs="Arial"/>
          <w:color w:val="222222"/>
          <w:szCs w:val="20"/>
          <w:shd w:val="clear" w:color="auto" w:fill="FFFFFF"/>
        </w:rPr>
        <w:t xml:space="preserve">, pp.1262-1271. </w:t>
      </w:r>
      <w:hyperlink r:id="rId18" w:history="1">
        <w:r w:rsidRPr="00632CC1">
          <w:rPr>
            <w:rStyle w:val="Hyperlink"/>
            <w:rFonts w:cs="Arial"/>
            <w:szCs w:val="20"/>
            <w:shd w:val="clear" w:color="auto" w:fill="FFFFFF"/>
          </w:rPr>
          <w:t>https://www.sciencedirect.com/science/article/pii/S2001037023000442</w:t>
        </w:r>
      </w:hyperlink>
    </w:p>
    <w:p w14:paraId="592E7C7B" w14:textId="77777777" w:rsidR="00632CC1" w:rsidRPr="00632CC1" w:rsidRDefault="00632CC1" w:rsidP="00632CC1">
      <w:pPr>
        <w:rPr>
          <w:rFonts w:cs="Arial"/>
          <w:color w:val="222222"/>
          <w:szCs w:val="20"/>
          <w:shd w:val="clear" w:color="auto" w:fill="FFFFFF"/>
        </w:rPr>
      </w:pPr>
      <w:r w:rsidRPr="00632CC1">
        <w:rPr>
          <w:rFonts w:cs="Arial"/>
          <w:color w:val="222222"/>
          <w:szCs w:val="20"/>
          <w:shd w:val="clear" w:color="auto" w:fill="FFFFFF"/>
        </w:rPr>
        <w:t>Guedes, M. and Pecoits</w:t>
      </w:r>
      <w:r w:rsidRPr="00632CC1">
        <w:rPr>
          <w:rFonts w:ascii="Cambria Math" w:hAnsi="Cambria Math" w:cs="Cambria Math"/>
          <w:color w:val="222222"/>
          <w:szCs w:val="20"/>
          <w:shd w:val="clear" w:color="auto" w:fill="FFFFFF"/>
        </w:rPr>
        <w:t>‐</w:t>
      </w:r>
      <w:r w:rsidRPr="00632CC1">
        <w:rPr>
          <w:rFonts w:cs="Arial"/>
          <w:color w:val="222222"/>
          <w:szCs w:val="20"/>
          <w:shd w:val="clear" w:color="auto" w:fill="FFFFFF"/>
        </w:rPr>
        <w:t>Filho, R., (2022). Can we cure diabetic kidney disease? Present and future perspectives from a nephrologist's point of view. </w:t>
      </w:r>
      <w:r w:rsidRPr="00632CC1">
        <w:rPr>
          <w:rFonts w:cs="Arial"/>
          <w:i/>
          <w:iCs/>
          <w:color w:val="222222"/>
          <w:szCs w:val="20"/>
          <w:shd w:val="clear" w:color="auto" w:fill="FFFFFF"/>
        </w:rPr>
        <w:t xml:space="preserve">Journal of Internal </w:t>
      </w:r>
      <w:r w:rsidRPr="00632CC1">
        <w:rPr>
          <w:rFonts w:cs="Arial"/>
          <w:i/>
          <w:iCs/>
          <w:color w:val="222222"/>
          <w:szCs w:val="20"/>
          <w:shd w:val="clear" w:color="auto" w:fill="FFFFFF"/>
        </w:rPr>
        <w:lastRenderedPageBreak/>
        <w:t>Medicine</w:t>
      </w:r>
      <w:r w:rsidRPr="00632CC1">
        <w:rPr>
          <w:rFonts w:cs="Arial"/>
          <w:color w:val="222222"/>
          <w:szCs w:val="20"/>
          <w:shd w:val="clear" w:color="auto" w:fill="FFFFFF"/>
        </w:rPr>
        <w:t>, </w:t>
      </w:r>
      <w:r w:rsidRPr="00632CC1">
        <w:rPr>
          <w:rFonts w:cs="Arial"/>
          <w:i/>
          <w:iCs/>
          <w:color w:val="222222"/>
          <w:szCs w:val="20"/>
          <w:shd w:val="clear" w:color="auto" w:fill="FFFFFF"/>
        </w:rPr>
        <w:t>291</w:t>
      </w:r>
      <w:r w:rsidRPr="00632CC1">
        <w:rPr>
          <w:rFonts w:cs="Arial"/>
          <w:color w:val="222222"/>
          <w:szCs w:val="20"/>
          <w:shd w:val="clear" w:color="auto" w:fill="FFFFFF"/>
        </w:rPr>
        <w:t xml:space="preserve">(2), pp.165-180. </w:t>
      </w:r>
      <w:hyperlink r:id="rId19" w:history="1">
        <w:r w:rsidRPr="00632CC1">
          <w:rPr>
            <w:rStyle w:val="Hyperlink"/>
            <w:rFonts w:cs="Arial"/>
            <w:szCs w:val="20"/>
            <w:shd w:val="clear" w:color="auto" w:fill="FFFFFF"/>
          </w:rPr>
          <w:t>https://onlinelibrary.wiley.com/doi/abs/10.1111/joim.13424</w:t>
        </w:r>
      </w:hyperlink>
    </w:p>
    <w:p w14:paraId="676A6F1F" w14:textId="77777777" w:rsidR="00632CC1" w:rsidRPr="00632CC1" w:rsidRDefault="00632CC1" w:rsidP="00632CC1">
      <w:pPr>
        <w:rPr>
          <w:rFonts w:cs="Arial"/>
          <w:color w:val="222222"/>
          <w:szCs w:val="20"/>
          <w:shd w:val="clear" w:color="auto" w:fill="FFFFFF"/>
        </w:rPr>
      </w:pPr>
      <w:r w:rsidRPr="00632CC1">
        <w:rPr>
          <w:rFonts w:cs="Arial"/>
          <w:color w:val="222222"/>
          <w:szCs w:val="20"/>
          <w:shd w:val="clear" w:color="auto" w:fill="FFFFFF"/>
        </w:rPr>
        <w:t>Hantzidiamantis, P.J., Awosika, A.O. and Lappin, S.L., (2024). Physiology, glucose. In </w:t>
      </w:r>
      <w:r w:rsidRPr="00632CC1">
        <w:rPr>
          <w:rFonts w:cs="Arial"/>
          <w:i/>
          <w:iCs/>
          <w:color w:val="222222"/>
          <w:szCs w:val="20"/>
          <w:shd w:val="clear" w:color="auto" w:fill="FFFFFF"/>
        </w:rPr>
        <w:t>StatPearls [Internet]</w:t>
      </w:r>
      <w:r w:rsidRPr="00632CC1">
        <w:rPr>
          <w:rFonts w:cs="Arial"/>
          <w:color w:val="222222"/>
          <w:szCs w:val="20"/>
          <w:shd w:val="clear" w:color="auto" w:fill="FFFFFF"/>
        </w:rPr>
        <w:t xml:space="preserve">. StatPearls Publishing. </w:t>
      </w:r>
      <w:hyperlink r:id="rId20" w:history="1">
        <w:r w:rsidRPr="00632CC1">
          <w:rPr>
            <w:rStyle w:val="Hyperlink"/>
            <w:rFonts w:cs="Arial"/>
            <w:szCs w:val="20"/>
            <w:shd w:val="clear" w:color="auto" w:fill="FFFFFF"/>
          </w:rPr>
          <w:t>https://www.ncbi.nlm.nih.gov/books/NBK545201/</w:t>
        </w:r>
      </w:hyperlink>
    </w:p>
    <w:p w14:paraId="7935DC70" w14:textId="77777777" w:rsidR="00632CC1" w:rsidRPr="00632CC1" w:rsidRDefault="00632CC1" w:rsidP="00632CC1">
      <w:pPr>
        <w:rPr>
          <w:rFonts w:cs="Arial"/>
          <w:color w:val="222222"/>
          <w:sz w:val="20"/>
          <w:szCs w:val="20"/>
          <w:shd w:val="clear" w:color="auto" w:fill="FFFFFF"/>
        </w:rPr>
      </w:pPr>
      <w:r w:rsidRPr="00632CC1">
        <w:rPr>
          <w:rFonts w:cs="Arial"/>
          <w:color w:val="222222"/>
          <w:szCs w:val="20"/>
          <w:shd w:val="clear" w:color="auto" w:fill="FFFFFF"/>
        </w:rPr>
        <w:t>Jwad, S.M. and Al-Fatlawi, H.Y., (2022). Types of diabetes and their effect on the immune system. </w:t>
      </w:r>
      <w:r w:rsidRPr="00632CC1">
        <w:rPr>
          <w:rFonts w:cs="Arial"/>
          <w:i/>
          <w:iCs/>
          <w:color w:val="222222"/>
          <w:szCs w:val="20"/>
          <w:shd w:val="clear" w:color="auto" w:fill="FFFFFF"/>
        </w:rPr>
        <w:t>J Adv Pharm Pract</w:t>
      </w:r>
      <w:r w:rsidRPr="00632CC1">
        <w:rPr>
          <w:rFonts w:cs="Arial"/>
          <w:color w:val="222222"/>
          <w:szCs w:val="20"/>
          <w:shd w:val="clear" w:color="auto" w:fill="FFFFFF"/>
        </w:rPr>
        <w:t>, </w:t>
      </w:r>
      <w:r w:rsidRPr="00632CC1">
        <w:rPr>
          <w:rFonts w:cs="Arial"/>
          <w:i/>
          <w:iCs/>
          <w:color w:val="222222"/>
          <w:szCs w:val="20"/>
          <w:shd w:val="clear" w:color="auto" w:fill="FFFFFF"/>
        </w:rPr>
        <w:t>4</w:t>
      </w:r>
      <w:r w:rsidRPr="00632CC1">
        <w:rPr>
          <w:rFonts w:cs="Arial"/>
          <w:color w:val="222222"/>
          <w:szCs w:val="20"/>
          <w:shd w:val="clear" w:color="auto" w:fill="FFFFFF"/>
        </w:rPr>
        <w:t xml:space="preserve">(1), pp.21-30. </w:t>
      </w:r>
      <w:hyperlink r:id="rId21" w:history="1">
        <w:r w:rsidRPr="00632CC1">
          <w:rPr>
            <w:rStyle w:val="Hyperlink"/>
            <w:rFonts w:cs="Arial"/>
            <w:szCs w:val="20"/>
            <w:shd w:val="clear" w:color="auto" w:fill="FFFFFF"/>
          </w:rPr>
          <w:t>https://www.researchgate.net/profile/Drsaher-Jawd-2/publication/361379433_Types_of_Diabetes_and_their_Effect_on_the_Immune_System/links/62acf4d923f3283e3af0849d/Types-of-Diabetes-and-their-Effect-on-the-Immune-System.pdf</w:t>
        </w:r>
      </w:hyperlink>
      <w:r w:rsidRPr="00632CC1">
        <w:rPr>
          <w:rFonts w:cs="Arial"/>
          <w:color w:val="222222"/>
          <w:sz w:val="20"/>
          <w:szCs w:val="20"/>
          <w:shd w:val="clear" w:color="auto" w:fill="FFFFFF"/>
        </w:rPr>
        <w:t xml:space="preserve"> </w:t>
      </w:r>
    </w:p>
    <w:p w14:paraId="2256AF46" w14:textId="77777777" w:rsidR="00632CC1" w:rsidRPr="00632CC1" w:rsidRDefault="00632CC1" w:rsidP="00632CC1">
      <w:pPr>
        <w:rPr>
          <w:rFonts w:cs="Arial"/>
          <w:color w:val="222222"/>
          <w:szCs w:val="20"/>
          <w:shd w:val="clear" w:color="auto" w:fill="FFFFFF"/>
        </w:rPr>
      </w:pPr>
      <w:r w:rsidRPr="00632CC1">
        <w:rPr>
          <w:rFonts w:cs="Arial"/>
          <w:color w:val="222222"/>
          <w:szCs w:val="20"/>
          <w:shd w:val="clear" w:color="auto" w:fill="FFFFFF"/>
        </w:rPr>
        <w:t>Marsinova Bakara, D. and Kurniyati, K., (2022). Self-management education to control blood sugar levels and HbA1c value for type 2 diabetes patients. </w:t>
      </w:r>
      <w:r w:rsidRPr="00632CC1">
        <w:rPr>
          <w:rFonts w:cs="Arial"/>
          <w:i/>
          <w:iCs/>
          <w:color w:val="222222"/>
          <w:szCs w:val="20"/>
          <w:shd w:val="clear" w:color="auto" w:fill="FFFFFF"/>
        </w:rPr>
        <w:t>The Malaysian Journal Of Nursing</w:t>
      </w:r>
      <w:r w:rsidRPr="00632CC1">
        <w:rPr>
          <w:rFonts w:cs="Arial"/>
          <w:color w:val="222222"/>
          <w:szCs w:val="20"/>
          <w:shd w:val="clear" w:color="auto" w:fill="FFFFFF"/>
        </w:rPr>
        <w:t>, </w:t>
      </w:r>
      <w:r w:rsidRPr="00632CC1">
        <w:rPr>
          <w:rFonts w:cs="Arial"/>
          <w:i/>
          <w:iCs/>
          <w:color w:val="222222"/>
          <w:szCs w:val="20"/>
          <w:shd w:val="clear" w:color="auto" w:fill="FFFFFF"/>
        </w:rPr>
        <w:t>14</w:t>
      </w:r>
      <w:r w:rsidRPr="00632CC1">
        <w:rPr>
          <w:rFonts w:cs="Arial"/>
          <w:color w:val="222222"/>
          <w:szCs w:val="20"/>
          <w:shd w:val="clear" w:color="auto" w:fill="FFFFFF"/>
        </w:rPr>
        <w:t xml:space="preserve">(1), pp.84-89. </w:t>
      </w:r>
      <w:hyperlink r:id="rId22" w:history="1">
        <w:r w:rsidRPr="00632CC1">
          <w:rPr>
            <w:rStyle w:val="Hyperlink"/>
            <w:rFonts w:cs="Arial"/>
            <w:szCs w:val="20"/>
            <w:shd w:val="clear" w:color="auto" w:fill="FFFFFF"/>
          </w:rPr>
          <w:t>http://repository.poltekkesbengkulu.ac.id/2908/1/Self-Management%20Education%20to%20Control%20Blood%20Sugar%20Levels.pdf</w:t>
        </w:r>
      </w:hyperlink>
    </w:p>
    <w:p w14:paraId="728ECA32" w14:textId="77777777" w:rsidR="00632CC1" w:rsidRPr="00632CC1" w:rsidRDefault="00632CC1" w:rsidP="00632CC1">
      <w:pPr>
        <w:rPr>
          <w:rFonts w:cs="Arial"/>
          <w:color w:val="222222"/>
          <w:szCs w:val="20"/>
          <w:shd w:val="clear" w:color="auto" w:fill="FFFFFF"/>
        </w:rPr>
      </w:pPr>
      <w:r w:rsidRPr="00632CC1">
        <w:rPr>
          <w:rFonts w:cs="Arial"/>
          <w:color w:val="222222"/>
          <w:szCs w:val="20"/>
          <w:shd w:val="clear" w:color="auto" w:fill="FFFFFF"/>
        </w:rPr>
        <w:t xml:space="preserve">Mathew, T.K., Zubair, M. and Tadi, P., (2023). Blood glucose monitoring. </w:t>
      </w:r>
      <w:hyperlink r:id="rId23" w:history="1">
        <w:r w:rsidRPr="00632CC1">
          <w:rPr>
            <w:rStyle w:val="Hyperlink"/>
            <w:rFonts w:cs="Arial"/>
            <w:szCs w:val="20"/>
            <w:shd w:val="clear" w:color="auto" w:fill="FFFFFF"/>
          </w:rPr>
          <w:t>https://europepmc.org/article/nbk/nbk555976</w:t>
        </w:r>
      </w:hyperlink>
      <w:r w:rsidRPr="00632CC1">
        <w:rPr>
          <w:rFonts w:cs="Arial"/>
          <w:color w:val="222222"/>
          <w:szCs w:val="20"/>
          <w:shd w:val="clear" w:color="auto" w:fill="FFFFFF"/>
        </w:rPr>
        <w:t xml:space="preserve"> </w:t>
      </w:r>
    </w:p>
    <w:p w14:paraId="6AEFE216" w14:textId="77777777" w:rsidR="00632CC1" w:rsidRPr="00632CC1" w:rsidRDefault="00632CC1" w:rsidP="00632CC1">
      <w:pPr>
        <w:rPr>
          <w:rFonts w:cs="Arial"/>
          <w:color w:val="222222"/>
          <w:szCs w:val="20"/>
          <w:shd w:val="clear" w:color="auto" w:fill="FFFFFF"/>
        </w:rPr>
      </w:pPr>
      <w:r w:rsidRPr="00632CC1">
        <w:rPr>
          <w:rFonts w:cs="Arial"/>
          <w:color w:val="222222"/>
          <w:szCs w:val="20"/>
          <w:shd w:val="clear" w:color="auto" w:fill="FFFFFF"/>
        </w:rPr>
        <w:t xml:space="preserve">Mushtaq, I., Chugh, K., Kumari, R. and Bhambu, S.K., (2025). THE IMPACT OF YOGA AND MEDITATION ON BLOOD SUGAR REGULATION AND DIABETES PREVENTION. </w:t>
      </w:r>
      <w:hyperlink r:id="rId24" w:history="1">
        <w:r w:rsidRPr="00632CC1">
          <w:rPr>
            <w:rStyle w:val="Hyperlink"/>
            <w:rFonts w:cs="Arial"/>
            <w:szCs w:val="20"/>
            <w:shd w:val="clear" w:color="auto" w:fill="FFFFFF"/>
          </w:rPr>
          <w:t>https://wjpr.s3.ap-south-1.amazonaws.com/article_issue/15d3a548614a6772be708dfe676876ca.pdf</w:t>
        </w:r>
      </w:hyperlink>
    </w:p>
    <w:p w14:paraId="0FC16500" w14:textId="77777777" w:rsidR="00632CC1" w:rsidRPr="00632CC1" w:rsidRDefault="00632CC1" w:rsidP="00632CC1">
      <w:pPr>
        <w:rPr>
          <w:rFonts w:cs="Arial"/>
          <w:szCs w:val="24"/>
          <w:shd w:val="clear" w:color="auto" w:fill="FFFFFF"/>
        </w:rPr>
      </w:pPr>
      <w:r w:rsidRPr="00632CC1">
        <w:rPr>
          <w:rFonts w:cs="Arial"/>
          <w:szCs w:val="24"/>
          <w:shd w:val="clear" w:color="auto" w:fill="FFFFFF"/>
        </w:rPr>
        <w:t xml:space="preserve">NIH. (2025). What is diabetes? Retrieved from </w:t>
      </w:r>
      <w:hyperlink r:id="rId25" w:history="1">
        <w:r w:rsidRPr="00632CC1">
          <w:rPr>
            <w:rStyle w:val="Hyperlink"/>
            <w:rFonts w:cs="Arial"/>
            <w:szCs w:val="24"/>
            <w:shd w:val="clear" w:color="auto" w:fill="FFFFFF"/>
          </w:rPr>
          <w:t>https://www.niddk.nih.gov/health-information/diabetes/overview/what-is-diabetes</w:t>
        </w:r>
      </w:hyperlink>
      <w:r w:rsidRPr="00632CC1">
        <w:rPr>
          <w:rFonts w:cs="Arial"/>
          <w:szCs w:val="24"/>
          <w:shd w:val="clear" w:color="auto" w:fill="FFFFFF"/>
        </w:rPr>
        <w:t xml:space="preserve"> </w:t>
      </w:r>
    </w:p>
    <w:p w14:paraId="094C5FFC" w14:textId="77777777" w:rsidR="00632CC1" w:rsidRPr="00632CC1" w:rsidRDefault="00632CC1" w:rsidP="00632CC1">
      <w:pPr>
        <w:rPr>
          <w:rFonts w:cs="Arial"/>
          <w:b/>
          <w:color w:val="222222"/>
          <w:szCs w:val="20"/>
          <w:shd w:val="clear" w:color="auto" w:fill="FFFFFF"/>
        </w:rPr>
      </w:pPr>
      <w:r w:rsidRPr="00632CC1">
        <w:rPr>
          <w:rFonts w:cs="Arial"/>
          <w:color w:val="222222"/>
          <w:szCs w:val="20"/>
          <w:shd w:val="clear" w:color="auto" w:fill="FFFFFF"/>
        </w:rPr>
        <w:t>Salsa, S.F., Kurniasari, S. and Anita, F., (2025). Relationship between Sleep Quality and Blood Sugar Levels in Patients with Type II Diabetes Mellitus. </w:t>
      </w:r>
      <w:r w:rsidRPr="00632CC1">
        <w:rPr>
          <w:rFonts w:cs="Arial"/>
          <w:i/>
          <w:iCs/>
          <w:color w:val="222222"/>
          <w:szCs w:val="20"/>
          <w:shd w:val="clear" w:color="auto" w:fill="FFFFFF"/>
        </w:rPr>
        <w:t>Java Nursing Journal</w:t>
      </w:r>
      <w:r w:rsidRPr="00632CC1">
        <w:rPr>
          <w:rFonts w:cs="Arial"/>
          <w:color w:val="222222"/>
          <w:szCs w:val="20"/>
          <w:shd w:val="clear" w:color="auto" w:fill="FFFFFF"/>
        </w:rPr>
        <w:t>, </w:t>
      </w:r>
      <w:r w:rsidRPr="00632CC1">
        <w:rPr>
          <w:rFonts w:cs="Arial"/>
          <w:i/>
          <w:iCs/>
          <w:color w:val="222222"/>
          <w:szCs w:val="20"/>
          <w:shd w:val="clear" w:color="auto" w:fill="FFFFFF"/>
        </w:rPr>
        <w:t>3</w:t>
      </w:r>
      <w:r w:rsidRPr="00632CC1">
        <w:rPr>
          <w:rFonts w:cs="Arial"/>
          <w:color w:val="222222"/>
          <w:szCs w:val="20"/>
          <w:shd w:val="clear" w:color="auto" w:fill="FFFFFF"/>
        </w:rPr>
        <w:t xml:space="preserve">(2), pp.147-154. </w:t>
      </w:r>
      <w:hyperlink r:id="rId26" w:history="1">
        <w:r w:rsidRPr="00632CC1">
          <w:rPr>
            <w:rStyle w:val="Hyperlink"/>
            <w:rFonts w:cs="Arial"/>
            <w:szCs w:val="20"/>
            <w:shd w:val="clear" w:color="auto" w:fill="FFFFFF"/>
          </w:rPr>
          <w:t>https://goicare.web.id/index.php/JNJ/article/download/111/86</w:t>
        </w:r>
      </w:hyperlink>
    </w:p>
    <w:p w14:paraId="520AF5C0" w14:textId="77777777" w:rsidR="00632CC1" w:rsidRPr="00DF1A5C" w:rsidRDefault="00632CC1" w:rsidP="00632CC1">
      <w:pPr>
        <w:rPr>
          <w:rFonts w:cs="Arial"/>
          <w:color w:val="222222"/>
          <w:szCs w:val="20"/>
          <w:shd w:val="clear" w:color="auto" w:fill="FFFFFF"/>
          <w:lang w:val="nl-NL"/>
        </w:rPr>
      </w:pPr>
      <w:r w:rsidRPr="00632CC1">
        <w:rPr>
          <w:rFonts w:cs="Arial"/>
          <w:color w:val="222222"/>
          <w:szCs w:val="20"/>
          <w:shd w:val="clear" w:color="auto" w:fill="FFFFFF"/>
        </w:rPr>
        <w:lastRenderedPageBreak/>
        <w:t>Sharma, K., Akre, S., Chakole, S., Wanjari, M.B. and Wanjari, M., (2022). Stress-induced diabetes: a review. </w:t>
      </w:r>
      <w:r w:rsidRPr="00DF1A5C">
        <w:rPr>
          <w:rFonts w:cs="Arial"/>
          <w:i/>
          <w:iCs/>
          <w:color w:val="222222"/>
          <w:szCs w:val="20"/>
          <w:shd w:val="clear" w:color="auto" w:fill="FFFFFF"/>
          <w:lang w:val="nl-NL"/>
        </w:rPr>
        <w:t>Cureus</w:t>
      </w:r>
      <w:r w:rsidRPr="00DF1A5C">
        <w:rPr>
          <w:rFonts w:cs="Arial"/>
          <w:color w:val="222222"/>
          <w:szCs w:val="20"/>
          <w:shd w:val="clear" w:color="auto" w:fill="FFFFFF"/>
          <w:lang w:val="nl-NL"/>
        </w:rPr>
        <w:t>, </w:t>
      </w:r>
      <w:r w:rsidRPr="00DF1A5C">
        <w:rPr>
          <w:rFonts w:cs="Arial"/>
          <w:i/>
          <w:iCs/>
          <w:color w:val="222222"/>
          <w:szCs w:val="20"/>
          <w:shd w:val="clear" w:color="auto" w:fill="FFFFFF"/>
          <w:lang w:val="nl-NL"/>
        </w:rPr>
        <w:t>14</w:t>
      </w:r>
      <w:r w:rsidRPr="00DF1A5C">
        <w:rPr>
          <w:rFonts w:cs="Arial"/>
          <w:color w:val="222222"/>
          <w:szCs w:val="20"/>
          <w:shd w:val="clear" w:color="auto" w:fill="FFFFFF"/>
          <w:lang w:val="nl-NL"/>
        </w:rPr>
        <w:t xml:space="preserve">(9). </w:t>
      </w:r>
      <w:hyperlink r:id="rId27" w:history="1">
        <w:r w:rsidRPr="00DF1A5C">
          <w:rPr>
            <w:rStyle w:val="Hyperlink"/>
            <w:rFonts w:cs="Arial"/>
            <w:szCs w:val="20"/>
            <w:shd w:val="clear" w:color="auto" w:fill="FFFFFF"/>
            <w:lang w:val="nl-NL"/>
          </w:rPr>
          <w:t>https://www.cureus.com/articles/112924-stress-induced-diabetes-a-review.pdf</w:t>
        </w:r>
      </w:hyperlink>
    </w:p>
    <w:p w14:paraId="0982B13A" w14:textId="77777777" w:rsidR="00632CC1" w:rsidRPr="00632CC1" w:rsidRDefault="00632CC1" w:rsidP="00632CC1">
      <w:pPr>
        <w:rPr>
          <w:rFonts w:cs="Arial"/>
          <w:szCs w:val="24"/>
          <w:shd w:val="clear" w:color="auto" w:fill="FFFFFF"/>
        </w:rPr>
      </w:pPr>
      <w:r w:rsidRPr="00632CC1">
        <w:rPr>
          <w:rFonts w:cs="Arial"/>
          <w:szCs w:val="24"/>
          <w:shd w:val="clear" w:color="auto" w:fill="FFFFFF"/>
        </w:rPr>
        <w:t xml:space="preserve">Smedes. (2024). Cellular Respiration. </w:t>
      </w:r>
      <w:hyperlink r:id="rId28" w:history="1">
        <w:r w:rsidRPr="00632CC1">
          <w:rPr>
            <w:rStyle w:val="Hyperlink"/>
            <w:rFonts w:cs="Arial"/>
            <w:szCs w:val="24"/>
            <w:shd w:val="clear" w:color="auto" w:fill="FFFFFF"/>
          </w:rPr>
          <w:t>https://quizlet.com/251567877/cellular-respiration-diagram</w:t>
        </w:r>
      </w:hyperlink>
      <w:r w:rsidRPr="00632CC1">
        <w:rPr>
          <w:rFonts w:cs="Arial"/>
          <w:szCs w:val="24"/>
          <w:shd w:val="clear" w:color="auto" w:fill="FFFFFF"/>
        </w:rPr>
        <w:t xml:space="preserve"> </w:t>
      </w:r>
    </w:p>
    <w:p w14:paraId="1C1B5B6E" w14:textId="75D5B5D0" w:rsidR="001B7A40" w:rsidRPr="00632CC1" w:rsidRDefault="00632CC1" w:rsidP="00632CC1">
      <w:pPr>
        <w:rPr>
          <w:rFonts w:cs="Arial"/>
        </w:rPr>
      </w:pPr>
      <w:r w:rsidRPr="00DF1A5C">
        <w:rPr>
          <w:rFonts w:cs="Arial"/>
          <w:color w:val="222222"/>
          <w:szCs w:val="20"/>
          <w:shd w:val="clear" w:color="auto" w:fill="FFFFFF"/>
          <w:lang w:val="nl-NL"/>
        </w:rPr>
        <w:t xml:space="preserve">Wang, Q., Wang, P., Qin, Z., Yang, X., Pan, B., Nie, F. and Bi, H., (2021). </w:t>
      </w:r>
      <w:r w:rsidRPr="00632CC1">
        <w:rPr>
          <w:rFonts w:cs="Arial"/>
          <w:color w:val="222222"/>
          <w:szCs w:val="20"/>
          <w:shd w:val="clear" w:color="auto" w:fill="FFFFFF"/>
        </w:rPr>
        <w:t>Altered glucose metabolism and cell function in keloid fibroblasts under hypoxia. </w:t>
      </w:r>
      <w:r w:rsidRPr="00632CC1">
        <w:rPr>
          <w:rFonts w:cs="Arial"/>
          <w:i/>
          <w:iCs/>
          <w:color w:val="222222"/>
          <w:szCs w:val="20"/>
          <w:shd w:val="clear" w:color="auto" w:fill="FFFFFF"/>
        </w:rPr>
        <w:t>Redox biology</w:t>
      </w:r>
      <w:r w:rsidRPr="00632CC1">
        <w:rPr>
          <w:rFonts w:cs="Arial"/>
          <w:color w:val="222222"/>
          <w:szCs w:val="20"/>
          <w:shd w:val="clear" w:color="auto" w:fill="FFFFFF"/>
        </w:rPr>
        <w:t>, </w:t>
      </w:r>
      <w:r w:rsidRPr="00632CC1">
        <w:rPr>
          <w:rFonts w:cs="Arial"/>
          <w:i/>
          <w:iCs/>
          <w:color w:val="222222"/>
          <w:szCs w:val="20"/>
          <w:shd w:val="clear" w:color="auto" w:fill="FFFFFF"/>
        </w:rPr>
        <w:t>38</w:t>
      </w:r>
      <w:r w:rsidRPr="00632CC1">
        <w:rPr>
          <w:rFonts w:cs="Arial"/>
          <w:color w:val="222222"/>
          <w:szCs w:val="20"/>
          <w:shd w:val="clear" w:color="auto" w:fill="FFFFFF"/>
        </w:rPr>
        <w:t xml:space="preserve">, p.101815. </w:t>
      </w:r>
      <w:hyperlink r:id="rId29" w:history="1">
        <w:r w:rsidRPr="00632CC1">
          <w:rPr>
            <w:rStyle w:val="Hyperlink"/>
            <w:rFonts w:cs="Arial"/>
            <w:szCs w:val="20"/>
            <w:shd w:val="clear" w:color="auto" w:fill="FFFFFF"/>
          </w:rPr>
          <w:t>https://www.sciencedirect.com/science/article/pii/S221323172031020X</w:t>
        </w:r>
      </w:hyperlink>
    </w:p>
    <w:sectPr w:rsidR="001B7A40" w:rsidRPr="00632CC1" w:rsidSect="00370282">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E1175" w14:textId="77777777" w:rsidR="008800C2" w:rsidRDefault="008800C2" w:rsidP="00C03A91">
      <w:pPr>
        <w:spacing w:after="0" w:line="240" w:lineRule="auto"/>
      </w:pPr>
      <w:r>
        <w:separator/>
      </w:r>
    </w:p>
  </w:endnote>
  <w:endnote w:type="continuationSeparator" w:id="0">
    <w:p w14:paraId="73975D4D" w14:textId="77777777" w:rsidR="008800C2" w:rsidRDefault="008800C2"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cs="Arial"/>
        <w:noProof/>
        <w:sz w:val="22"/>
      </w:rPr>
    </w:sdtEndPr>
    <w:sdtContent>
      <w:p w14:paraId="77A430F9" w14:textId="682EAD2D" w:rsidR="00C03A91" w:rsidRPr="00C03A91" w:rsidRDefault="00C03A91">
        <w:pPr>
          <w:pStyle w:val="Footer"/>
          <w:jc w:val="center"/>
          <w:rPr>
            <w:rFonts w:cs="Arial"/>
            <w:sz w:val="22"/>
          </w:rPr>
        </w:pPr>
        <w:r w:rsidRPr="00C03A91">
          <w:rPr>
            <w:rFonts w:cs="Arial"/>
            <w:sz w:val="22"/>
          </w:rPr>
          <w:fldChar w:fldCharType="begin"/>
        </w:r>
        <w:r w:rsidRPr="00C03A91">
          <w:rPr>
            <w:rFonts w:cs="Arial"/>
            <w:sz w:val="22"/>
          </w:rPr>
          <w:instrText xml:space="preserve"> PAGE   \* MERGEFORMAT </w:instrText>
        </w:r>
        <w:r w:rsidRPr="00C03A91">
          <w:rPr>
            <w:rFonts w:cs="Arial"/>
            <w:sz w:val="22"/>
          </w:rPr>
          <w:fldChar w:fldCharType="separate"/>
        </w:r>
        <w:r w:rsidRPr="00C03A91">
          <w:rPr>
            <w:rFonts w:cs="Arial"/>
            <w:noProof/>
            <w:sz w:val="22"/>
          </w:rPr>
          <w:t>2</w:t>
        </w:r>
        <w:r w:rsidRPr="00C03A91">
          <w:rPr>
            <w:rFonts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404D22" w14:textId="77777777" w:rsidR="008800C2" w:rsidRDefault="008800C2" w:rsidP="00C03A91">
      <w:pPr>
        <w:spacing w:after="0" w:line="240" w:lineRule="auto"/>
      </w:pPr>
      <w:r>
        <w:separator/>
      </w:r>
    </w:p>
  </w:footnote>
  <w:footnote w:type="continuationSeparator" w:id="0">
    <w:p w14:paraId="77A9B622" w14:textId="77777777" w:rsidR="008800C2" w:rsidRDefault="008800C2"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762603">
    <w:abstractNumId w:val="1"/>
  </w:num>
  <w:num w:numId="2" w16cid:durableId="477457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C4EDA"/>
    <w:rsid w:val="001038DE"/>
    <w:rsid w:val="00147BE2"/>
    <w:rsid w:val="001B7A40"/>
    <w:rsid w:val="001F6DDB"/>
    <w:rsid w:val="00205F72"/>
    <w:rsid w:val="00216C85"/>
    <w:rsid w:val="00273EDD"/>
    <w:rsid w:val="00285D96"/>
    <w:rsid w:val="002C3965"/>
    <w:rsid w:val="002D5EDB"/>
    <w:rsid w:val="00302532"/>
    <w:rsid w:val="00321C4C"/>
    <w:rsid w:val="00370282"/>
    <w:rsid w:val="004577F7"/>
    <w:rsid w:val="004B2F73"/>
    <w:rsid w:val="004E3772"/>
    <w:rsid w:val="005247B0"/>
    <w:rsid w:val="00527CBF"/>
    <w:rsid w:val="00534EDB"/>
    <w:rsid w:val="005851AD"/>
    <w:rsid w:val="005D1A7F"/>
    <w:rsid w:val="00632CC1"/>
    <w:rsid w:val="00660C67"/>
    <w:rsid w:val="00664B04"/>
    <w:rsid w:val="006E02F5"/>
    <w:rsid w:val="00714F5D"/>
    <w:rsid w:val="007868E1"/>
    <w:rsid w:val="007A7297"/>
    <w:rsid w:val="007E4DF1"/>
    <w:rsid w:val="007E7745"/>
    <w:rsid w:val="008353D4"/>
    <w:rsid w:val="00877CC1"/>
    <w:rsid w:val="008800C2"/>
    <w:rsid w:val="008C2CD8"/>
    <w:rsid w:val="008E7484"/>
    <w:rsid w:val="00981365"/>
    <w:rsid w:val="009A4A85"/>
    <w:rsid w:val="009D1D1E"/>
    <w:rsid w:val="00A035FD"/>
    <w:rsid w:val="00AA4DD8"/>
    <w:rsid w:val="00B00938"/>
    <w:rsid w:val="00B62BBB"/>
    <w:rsid w:val="00BD1813"/>
    <w:rsid w:val="00BD2ED5"/>
    <w:rsid w:val="00C03A91"/>
    <w:rsid w:val="00C631E1"/>
    <w:rsid w:val="00C848EC"/>
    <w:rsid w:val="00CD2863"/>
    <w:rsid w:val="00CE7A90"/>
    <w:rsid w:val="00D237B9"/>
    <w:rsid w:val="00D439B2"/>
    <w:rsid w:val="00D73FB0"/>
    <w:rsid w:val="00DA2A1E"/>
    <w:rsid w:val="00DB6D4B"/>
    <w:rsid w:val="00DF1A5C"/>
    <w:rsid w:val="00E2038D"/>
    <w:rsid w:val="00E75FCA"/>
    <w:rsid w:val="00EA5301"/>
    <w:rsid w:val="00EB12BC"/>
    <w:rsid w:val="00F137E3"/>
    <w:rsid w:val="00F2500E"/>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F72"/>
    <w:pPr>
      <w:spacing w:line="360" w:lineRule="auto"/>
      <w:jc w:val="both"/>
    </w:pPr>
    <w:rPr>
      <w:rFonts w:ascii="Arial" w:hAnsi="Arial"/>
    </w:rPr>
  </w:style>
  <w:style w:type="paragraph" w:styleId="Heading1">
    <w:name w:val="heading 1"/>
    <w:basedOn w:val="Normal"/>
    <w:next w:val="Normal"/>
    <w:link w:val="Heading1Char"/>
    <w:autoRedefine/>
    <w:uiPriority w:val="9"/>
    <w:qFormat/>
    <w:rsid w:val="002C396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cience.org/doi/abs/10.1126/science.abh1654" TargetMode="External"/><Relationship Id="rId18" Type="http://schemas.openxmlformats.org/officeDocument/2006/relationships/hyperlink" Target="https://www.sciencedirect.com/science/article/pii/S2001037023000442" TargetMode="External"/><Relationship Id="rId26" Type="http://schemas.openxmlformats.org/officeDocument/2006/relationships/hyperlink" Target="https://goicare.web.id/index.php/JNJ/article/download/111/86" TargetMode="External"/><Relationship Id="rId3" Type="http://schemas.openxmlformats.org/officeDocument/2006/relationships/settings" Target="settings.xml"/><Relationship Id="rId21" Type="http://schemas.openxmlformats.org/officeDocument/2006/relationships/hyperlink" Target="https://www.researchgate.net/profile/Drsaher-Jawd-2/publication/361379433_Types_of_Diabetes_and_their_Effect_on_the_Immune_System/links/62acf4d923f3283e3af0849d/Types-of-Diabetes-and-their-Effect-on-the-Immune-System.pdf" TargetMode="External"/><Relationship Id="rId7" Type="http://schemas.openxmlformats.org/officeDocument/2006/relationships/image" Target="media/image1.png"/><Relationship Id="rId12" Type="http://schemas.openxmlformats.org/officeDocument/2006/relationships/hyperlink" Target="https://link.springer.com/chapter/10.1007/978-981-19-0932-0_12" TargetMode="External"/><Relationship Id="rId17" Type="http://schemas.openxmlformats.org/officeDocument/2006/relationships/hyperlink" Target="https://diabetesjournals.org/care/article-abstract/47/2/295/154149" TargetMode="External"/><Relationship Id="rId25" Type="http://schemas.openxmlformats.org/officeDocument/2006/relationships/hyperlink" Target="https://www.niddk.nih.gov/health-information/diabetes/overview/what-is-diabetes" TargetMode="External"/><Relationship Id="rId2" Type="http://schemas.openxmlformats.org/officeDocument/2006/relationships/styles" Target="styles.xml"/><Relationship Id="rId16" Type="http://schemas.openxmlformats.org/officeDocument/2006/relationships/hyperlink" Target="https://www.tandemclinicalresearch.com/blog/how-does-insulin-work/" TargetMode="External"/><Relationship Id="rId20" Type="http://schemas.openxmlformats.org/officeDocument/2006/relationships/hyperlink" Target="https://www.ncbi.nlm.nih.gov/books/NBK545201/" TargetMode="External"/><Relationship Id="rId29" Type="http://schemas.openxmlformats.org/officeDocument/2006/relationships/hyperlink" Target="https://www.sciencedirect.com/science/article/pii/S221323172031020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jpr.s3.ap-south-1.amazonaws.com/article_issue/15d3a548614a6772be708dfe676876ca.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shperspectives.cshlp.org/content/13/2/a040600.short" TargetMode="External"/><Relationship Id="rId23" Type="http://schemas.openxmlformats.org/officeDocument/2006/relationships/hyperlink" Target="https://europepmc.org/article/nbk/nbk555976" TargetMode="External"/><Relationship Id="rId28" Type="http://schemas.openxmlformats.org/officeDocument/2006/relationships/hyperlink" Target="https://quizlet.com/251567877/cellular-respiration-diagram" TargetMode="External"/><Relationship Id="rId10" Type="http://schemas.openxmlformats.org/officeDocument/2006/relationships/image" Target="media/image3.png"/><Relationship Id="rId19" Type="http://schemas.openxmlformats.org/officeDocument/2006/relationships/hyperlink" Target="https://onlinelibrary.wiley.com/doi/abs/10.1111/joim.13424"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mdpi.com/2073-4409/10/1/191" TargetMode="External"/><Relationship Id="rId22" Type="http://schemas.openxmlformats.org/officeDocument/2006/relationships/hyperlink" Target="http://repository.poltekkesbengkulu.ac.id/2908/1/Self-Management%20Education%20to%20Control%20Blood%20Sugar%20Levels.pdf" TargetMode="External"/><Relationship Id="rId27" Type="http://schemas.openxmlformats.org/officeDocument/2006/relationships/hyperlink" Target="https://www.cureus.com/articles/112924-stress-induced-diabetes-a-review.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12</Pages>
  <Words>2994</Words>
  <Characters>17067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Paula Gavriloaei</cp:lastModifiedBy>
  <cp:revision>30</cp:revision>
  <dcterms:created xsi:type="dcterms:W3CDTF">2025-11-07T12:24:00Z</dcterms:created>
  <dcterms:modified xsi:type="dcterms:W3CDTF">2026-03-16T14:20:00Z</dcterms:modified>
</cp:coreProperties>
</file>