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outlineLvl w:val="9"/>
        <w:rPr>
          <w:rFonts w:hint="default"/>
          <w:sz w:val="28"/>
          <w:szCs w:val="28"/>
          <w:lang w:val="en-US" w:eastAsia="zh-CN"/>
        </w:rPr>
      </w:pPr>
      <w:r>
        <w:rPr>
          <w:rFonts w:hint="default"/>
          <w:sz w:val="28"/>
          <w:szCs w:val="28"/>
          <w:lang w:val="en-US" w:eastAsia="zh-CN"/>
        </w:rPr>
        <w:t xml:space="preserve">CSR, </w:t>
      </w:r>
      <w:r>
        <w:rPr>
          <w:rFonts w:hint="default"/>
          <w:sz w:val="28"/>
          <w:szCs w:val="28"/>
        </w:rPr>
        <w:t>Privatisation</w:t>
      </w:r>
      <w:r>
        <w:rPr>
          <w:rFonts w:hint="default"/>
          <w:sz w:val="28"/>
          <w:szCs w:val="28"/>
          <w:lang w:val="en-US" w:eastAsia="zh-CN"/>
        </w:rPr>
        <w:t xml:space="preserve">, </w:t>
      </w:r>
      <w:r>
        <w:rPr>
          <w:rFonts w:hint="default"/>
          <w:sz w:val="28"/>
          <w:szCs w:val="28"/>
        </w:rPr>
        <w:t>Sustainability</w:t>
      </w:r>
      <w:r>
        <w:rPr>
          <w:rFonts w:hint="default"/>
          <w:sz w:val="28"/>
          <w:szCs w:val="28"/>
          <w:lang w:val="en-US" w:eastAsia="zh-CN"/>
        </w:rPr>
        <w:t xml:space="preserve"> and Science Application of Water Resources Management</w:t>
      </w:r>
    </w:p>
    <w:p>
      <w:pPr>
        <w:jc w:val="center"/>
        <w:rPr>
          <w:rFonts w:hint="default"/>
          <w:sz w:val="28"/>
          <w:szCs w:val="28"/>
          <w:lang w:val="en-US" w:eastAsia="zh-CN"/>
        </w:rPr>
      </w:pPr>
      <w:r>
        <w:rPr>
          <w:lang w:eastAsia="en-GB"/>
        </w:rPr>
        <w:drawing>
          <wp:inline distT="0" distB="0" distL="0" distR="0">
            <wp:extent cx="2860040" cy="3172460"/>
            <wp:effectExtent l="0" t="0" r="1651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jc w:val="both"/>
        <w:rPr>
          <w:rFonts w:hint="default"/>
          <w:sz w:val="28"/>
          <w:szCs w:val="28"/>
          <w:lang w:val="en-US" w:eastAsia="zh-CN"/>
        </w:rPr>
      </w:pPr>
    </w:p>
    <w:p>
      <w:pPr>
        <w:ind w:left="3640" w:hanging="3640" w:hangingChars="1300"/>
        <w:jc w:val="both"/>
        <w:rPr>
          <w:rFonts w:hint="default"/>
          <w:sz w:val="28"/>
          <w:szCs w:val="28"/>
          <w:lang w:val="en-US" w:eastAsia="zh-CN"/>
        </w:rPr>
      </w:pPr>
      <w:r>
        <w:rPr>
          <w:rFonts w:hint="eastAsia"/>
          <w:sz w:val="28"/>
          <w:szCs w:val="28"/>
          <w:lang w:val="en-US" w:eastAsia="zh-CN"/>
        </w:rPr>
        <w:t>MODULE NAME: Corporate Governance and Social Responsibility</w:t>
      </w:r>
    </w:p>
    <w:p>
      <w:pPr>
        <w:jc w:val="both"/>
        <w:rPr>
          <w:rFonts w:hint="default"/>
          <w:sz w:val="28"/>
          <w:szCs w:val="28"/>
          <w:lang w:val="en-US" w:eastAsia="zh-CN"/>
        </w:rPr>
      </w:pPr>
      <w:r>
        <w:rPr>
          <w:rFonts w:hint="eastAsia"/>
          <w:sz w:val="28"/>
          <w:szCs w:val="28"/>
          <w:lang w:val="en-US" w:eastAsia="zh-CN"/>
        </w:rPr>
        <w:t>NAME:                TIAN ZHENYU</w:t>
      </w:r>
    </w:p>
    <w:p>
      <w:pPr>
        <w:jc w:val="both"/>
        <w:rPr>
          <w:rFonts w:hint="default"/>
          <w:sz w:val="28"/>
          <w:szCs w:val="28"/>
          <w:lang w:val="en-US" w:eastAsia="zh-CN"/>
        </w:rPr>
      </w:pPr>
      <w:r>
        <w:rPr>
          <w:rFonts w:hint="eastAsia"/>
          <w:sz w:val="28"/>
          <w:szCs w:val="28"/>
          <w:lang w:val="en-US" w:eastAsia="zh-CN"/>
        </w:rPr>
        <w:t>STUDENT NUMBER:       1800541</w:t>
      </w: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sz w:val="28"/>
          <w:szCs w:val="28"/>
          <w:lang w:val="en-US" w:eastAsia="zh-CN"/>
        </w:rPr>
      </w:pPr>
    </w:p>
    <w:p>
      <w:pPr>
        <w:rPr>
          <w:rFonts w:hint="default" w:ascii="Times New Roman" w:hAnsi="Times New Roman" w:cs="Times New Roman"/>
          <w:b/>
          <w:bCs/>
          <w:sz w:val="24"/>
          <w:szCs w:val="24"/>
          <w:lang w:val="en-US" w:eastAsia="zh-CN"/>
        </w:rPr>
      </w:pPr>
    </w:p>
    <w:sdt>
      <w:sdtPr>
        <w:rPr>
          <w:rFonts w:hint="default" w:ascii="Times New Roman" w:hAnsi="Times New Roman" w:eastAsia="SimSun" w:cs="Times New Roman"/>
          <w:b/>
          <w:bCs/>
          <w:sz w:val="24"/>
          <w:szCs w:val="24"/>
          <w:lang w:val="en-US" w:eastAsia="en-GB" w:bidi="ar-SA"/>
        </w:rPr>
        <w:id w:val="147466077"/>
        <w15:color w:val="DBDBDB"/>
        <w:docPartObj>
          <w:docPartGallery w:val="Table of Contents"/>
          <w:docPartUnique/>
        </w:docPartObj>
      </w:sdtPr>
      <w:sdtEndPr>
        <w:rPr>
          <w:rFonts w:hint="default" w:ascii="Times New Roman" w:hAnsi="Times New Roman" w:eastAsia="SimSun" w:cs="Times New Roman"/>
          <w:b/>
          <w:bCs/>
          <w:sz w:val="24"/>
          <w:szCs w:val="24"/>
          <w:lang w:val="en-US" w:eastAsia="en-GB"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SimSun" w:cs="Times New Roman"/>
              <w:b/>
              <w:bCs/>
              <w:sz w:val="24"/>
              <w:szCs w:val="24"/>
              <w:lang w:val="en-US" w:eastAsia="zh-CN"/>
            </w:rPr>
          </w:pPr>
          <w:bookmarkStart w:id="0" w:name="_Toc13801_WPSOffice_Type3"/>
          <w:r>
            <w:rPr>
              <w:rFonts w:hint="eastAsia" w:ascii="Times New Roman" w:hAnsi="Times New Roman" w:eastAsia="SimSun" w:cs="Times New Roman"/>
              <w:b/>
              <w:bCs/>
              <w:sz w:val="24"/>
              <w:szCs w:val="24"/>
              <w:lang w:val="en-US" w:eastAsia="zh-CN" w:bidi="ar-SA"/>
            </w:rPr>
            <w:t xml:space="preserve">TABLE OF </w:t>
          </w:r>
          <w:r>
            <w:rPr>
              <w:rFonts w:hint="default" w:ascii="Times New Roman" w:hAnsi="Times New Roman" w:eastAsia="SimSun" w:cs="Times New Roman"/>
              <w:b/>
              <w:bCs/>
              <w:sz w:val="24"/>
              <w:szCs w:val="24"/>
              <w:lang w:val="en-US" w:eastAsia="zh-CN" w:bidi="ar-SA"/>
            </w:rPr>
            <w:t>CONTENT</w:t>
          </w:r>
        </w:p>
        <w:p>
          <w:pPr>
            <w:pStyle w:val="8"/>
            <w:tabs>
              <w:tab w:val="right" w:leader="dot" w:pos="9026"/>
            </w:tabs>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_Toc28405_WPSOffice_Level1 </w:instrText>
          </w:r>
          <w:r>
            <w:rPr>
              <w:rFonts w:hint="default" w:ascii="Times New Roman" w:hAnsi="Times New Roman" w:cs="Times New Roman"/>
              <w:b/>
              <w:bCs/>
              <w:sz w:val="24"/>
              <w:szCs w:val="24"/>
            </w:rPr>
            <w:fldChar w:fldCharType="separate"/>
          </w:r>
          <w:sdt>
            <w:sdtPr>
              <w:rPr>
                <w:rFonts w:hint="default" w:ascii="Times New Roman" w:hAnsi="Times New Roman" w:eastAsia="Times New Roman" w:cs="Times New Roman"/>
                <w:b/>
                <w:bCs/>
                <w:sz w:val="24"/>
                <w:szCs w:val="24"/>
                <w:lang w:val="en-GB" w:eastAsia="en-GB" w:bidi="ar-SA"/>
              </w:rPr>
              <w:id w:val="147466077"/>
              <w:placeholder>
                <w:docPart w:val="{d1ff2797-4374-4d2e-90e4-129333bc7b6d}"/>
              </w:placeholder>
              <w15:color w:val="509DF3"/>
            </w:sdtPr>
            <w:sdtEndPr>
              <w:rPr>
                <w:rFonts w:hint="default" w:ascii="Times New Roman" w:hAnsi="Times New Roman" w:eastAsia="Times New Roman" w:cs="Times New Roman"/>
                <w:b/>
                <w:bCs/>
                <w:sz w:val="24"/>
                <w:szCs w:val="24"/>
                <w:lang w:val="en-GB" w:eastAsia="en-GB" w:bidi="ar-SA"/>
              </w:rPr>
            </w:sdtEndPr>
            <w:sdtContent>
              <w:r>
                <w:rPr>
                  <w:rFonts w:hint="default" w:ascii="Times New Roman" w:hAnsi="Times New Roman" w:eastAsia="Times New Roman" w:cs="Times New Roman"/>
                  <w:b/>
                  <w:bCs/>
                  <w:sz w:val="24"/>
                  <w:szCs w:val="24"/>
                </w:rPr>
                <w:t>1.Introduction</w:t>
              </w:r>
            </w:sdtContent>
          </w:sdt>
          <w:r>
            <w:rPr>
              <w:rFonts w:hint="default" w:ascii="Times New Roman" w:hAnsi="Times New Roman" w:cs="Times New Roman"/>
              <w:b/>
              <w:bCs/>
              <w:sz w:val="24"/>
              <w:szCs w:val="24"/>
            </w:rPr>
            <w:tab/>
          </w:r>
          <w:bookmarkStart w:id="1" w:name="_Toc28405_WPSOffice_Level1Page"/>
          <w:r>
            <w:rPr>
              <w:rFonts w:hint="default" w:ascii="Times New Roman" w:hAnsi="Times New Roman" w:cs="Times New Roman"/>
              <w:b/>
              <w:bCs/>
              <w:sz w:val="24"/>
              <w:szCs w:val="24"/>
            </w:rPr>
            <w:t>1</w:t>
          </w:r>
          <w:bookmarkEnd w:id="1"/>
          <w:r>
            <w:rPr>
              <w:rFonts w:hint="default" w:ascii="Times New Roman" w:hAnsi="Times New Roman" w:cs="Times New Roman"/>
              <w:b/>
              <w:bCs/>
              <w:sz w:val="24"/>
              <w:szCs w:val="24"/>
            </w:rPr>
            <w:fldChar w:fldCharType="end"/>
          </w:r>
        </w:p>
        <w:p>
          <w:pPr>
            <w:pStyle w:val="9"/>
            <w:tabs>
              <w:tab w:val="right" w:leader="dot" w:pos="9026"/>
            </w:tabs>
            <w:ind w:left="0" w:leftChars="0" w:firstLine="0" w:firstLineChars="0"/>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_Toc13801_WPSOffice_Level2 </w:instrText>
          </w:r>
          <w:r>
            <w:rPr>
              <w:rFonts w:hint="default" w:ascii="Times New Roman" w:hAnsi="Times New Roman" w:cs="Times New Roman"/>
              <w:b/>
              <w:bCs/>
              <w:sz w:val="24"/>
              <w:szCs w:val="24"/>
            </w:rPr>
            <w:fldChar w:fldCharType="separate"/>
          </w:r>
          <w:sdt>
            <w:sdtPr>
              <w:rPr>
                <w:rFonts w:hint="default" w:ascii="Times New Roman" w:hAnsi="Times New Roman" w:eastAsia="Times New Roman" w:cs="Times New Roman"/>
                <w:b/>
                <w:bCs/>
                <w:sz w:val="24"/>
                <w:szCs w:val="24"/>
                <w:lang w:val="en-GB" w:eastAsia="en-GB" w:bidi="ar-SA"/>
              </w:rPr>
              <w:id w:val="147466077"/>
              <w:placeholder>
                <w:docPart w:val="{ac54adba-308a-4849-acb5-049f6ac5a315}"/>
              </w:placeholder>
              <w15:color w:val="509DF3"/>
            </w:sdtPr>
            <w:sdtEndPr>
              <w:rPr>
                <w:rFonts w:hint="default" w:ascii="Times New Roman" w:hAnsi="Times New Roman" w:eastAsia="Times New Roman" w:cs="Times New Roman"/>
                <w:b/>
                <w:bCs/>
                <w:sz w:val="24"/>
                <w:szCs w:val="24"/>
                <w:lang w:val="en-GB" w:eastAsia="en-GB" w:bidi="ar-SA"/>
              </w:rPr>
            </w:sdtEndPr>
            <w:sdtContent>
              <w:r>
                <w:rPr>
                  <w:rFonts w:hint="default" w:ascii="Times New Roman" w:hAnsi="Times New Roman" w:eastAsia="Times New Roman" w:cs="Times New Roman"/>
                  <w:b/>
                  <w:bCs/>
                  <w:sz w:val="24"/>
                  <w:szCs w:val="24"/>
                </w:rPr>
                <w:t>2.1 Evaluation of the CSR of the Privatized Water Companies</w:t>
              </w:r>
            </w:sdtContent>
          </w:sdt>
          <w:r>
            <w:rPr>
              <w:rFonts w:hint="default" w:ascii="Times New Roman" w:hAnsi="Times New Roman" w:cs="Times New Roman"/>
              <w:b/>
              <w:bCs/>
              <w:sz w:val="24"/>
              <w:szCs w:val="24"/>
            </w:rPr>
            <w:tab/>
          </w:r>
          <w:bookmarkStart w:id="2" w:name="_Toc13801_WPSOffice_Level2Page"/>
          <w:r>
            <w:rPr>
              <w:rFonts w:hint="default" w:ascii="Times New Roman" w:hAnsi="Times New Roman" w:cs="Times New Roman"/>
              <w:b/>
              <w:bCs/>
              <w:sz w:val="24"/>
              <w:szCs w:val="24"/>
            </w:rPr>
            <w:t>1</w:t>
          </w:r>
          <w:bookmarkEnd w:id="2"/>
          <w:r>
            <w:rPr>
              <w:rFonts w:hint="default" w:ascii="Times New Roman" w:hAnsi="Times New Roman" w:cs="Times New Roman"/>
              <w:b/>
              <w:bCs/>
              <w:sz w:val="24"/>
              <w:szCs w:val="24"/>
            </w:rPr>
            <w:fldChar w:fldCharType="end"/>
          </w:r>
        </w:p>
        <w:p>
          <w:pPr>
            <w:pStyle w:val="9"/>
            <w:tabs>
              <w:tab w:val="right" w:leader="dot" w:pos="9026"/>
            </w:tabs>
            <w:ind w:left="0" w:leftChars="0" w:firstLine="0" w:firstLineChars="0"/>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_Toc15301_WPSOffice_Level2 </w:instrText>
          </w:r>
          <w:r>
            <w:rPr>
              <w:rFonts w:hint="default" w:ascii="Times New Roman" w:hAnsi="Times New Roman" w:cs="Times New Roman"/>
              <w:b/>
              <w:bCs/>
              <w:sz w:val="24"/>
              <w:szCs w:val="24"/>
            </w:rPr>
            <w:fldChar w:fldCharType="separate"/>
          </w:r>
          <w:sdt>
            <w:sdtPr>
              <w:rPr>
                <w:rFonts w:hint="default" w:ascii="Times New Roman" w:hAnsi="Times New Roman" w:eastAsia="Times New Roman" w:cs="Times New Roman"/>
                <w:b/>
                <w:bCs/>
                <w:sz w:val="24"/>
                <w:szCs w:val="24"/>
                <w:lang w:val="en-GB" w:eastAsia="en-GB" w:bidi="ar-SA"/>
              </w:rPr>
              <w:id w:val="147466077"/>
              <w:placeholder>
                <w:docPart w:val="{911efadc-8b76-4343-96ae-92b97e0dcc7d}"/>
              </w:placeholder>
              <w15:color w:val="509DF3"/>
            </w:sdtPr>
            <w:sdtEndPr>
              <w:rPr>
                <w:rFonts w:hint="default" w:ascii="Times New Roman" w:hAnsi="Times New Roman" w:eastAsia="Times New Roman" w:cs="Times New Roman"/>
                <w:b/>
                <w:bCs/>
                <w:sz w:val="24"/>
                <w:szCs w:val="24"/>
                <w:lang w:val="en-GB" w:eastAsia="en-GB" w:bidi="ar-SA"/>
              </w:rPr>
            </w:sdtEndPr>
            <w:sdtContent>
              <w:r>
                <w:rPr>
                  <w:rFonts w:hint="default" w:ascii="Times New Roman" w:hAnsi="Times New Roman" w:eastAsia="Times New Roman" w:cs="Times New Roman"/>
                  <w:b/>
                  <w:bCs/>
                  <w:sz w:val="24"/>
                  <w:szCs w:val="24"/>
                </w:rPr>
                <w:t>2.2 Privatisation of Water Resources</w:t>
              </w:r>
            </w:sdtContent>
          </w:sdt>
          <w:r>
            <w:rPr>
              <w:rFonts w:hint="default" w:ascii="Times New Roman" w:hAnsi="Times New Roman" w:cs="Times New Roman"/>
              <w:b/>
              <w:bCs/>
              <w:sz w:val="24"/>
              <w:szCs w:val="24"/>
            </w:rPr>
            <w:tab/>
          </w:r>
          <w:bookmarkStart w:id="3" w:name="_Toc15301_WPSOffice_Level2Page"/>
          <w:r>
            <w:rPr>
              <w:rFonts w:hint="default" w:ascii="Times New Roman" w:hAnsi="Times New Roman" w:cs="Times New Roman"/>
              <w:b/>
              <w:bCs/>
              <w:sz w:val="24"/>
              <w:szCs w:val="24"/>
            </w:rPr>
            <w:t>3</w:t>
          </w:r>
          <w:bookmarkEnd w:id="3"/>
          <w:r>
            <w:rPr>
              <w:rFonts w:hint="default" w:ascii="Times New Roman" w:hAnsi="Times New Roman" w:cs="Times New Roman"/>
              <w:b/>
              <w:bCs/>
              <w:sz w:val="24"/>
              <w:szCs w:val="24"/>
            </w:rPr>
            <w:fldChar w:fldCharType="end"/>
          </w:r>
        </w:p>
        <w:p>
          <w:pPr>
            <w:pStyle w:val="10"/>
            <w:tabs>
              <w:tab w:val="right" w:leader="dot" w:pos="9026"/>
            </w:tabs>
            <w:ind w:left="0" w:leftChars="0" w:firstLine="0" w:firstLineChars="0"/>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_Toc13801_WPSOffice_Level3 </w:instrText>
          </w:r>
          <w:r>
            <w:rPr>
              <w:rFonts w:hint="default" w:ascii="Times New Roman" w:hAnsi="Times New Roman" w:cs="Times New Roman"/>
              <w:b/>
              <w:bCs/>
              <w:sz w:val="24"/>
              <w:szCs w:val="24"/>
            </w:rPr>
            <w:fldChar w:fldCharType="separate"/>
          </w:r>
          <w:sdt>
            <w:sdtPr>
              <w:rPr>
                <w:rFonts w:hint="default" w:ascii="Times New Roman" w:hAnsi="Times New Roman" w:eastAsia="Times New Roman" w:cs="Times New Roman"/>
                <w:b/>
                <w:bCs/>
                <w:sz w:val="24"/>
                <w:szCs w:val="24"/>
                <w:lang w:val="en-GB" w:eastAsia="en-GB" w:bidi="ar-SA"/>
              </w:rPr>
              <w:id w:val="147466077"/>
              <w:placeholder>
                <w:docPart w:val="{a9130df0-1321-4c79-8264-c3b0667ad0a0}"/>
              </w:placeholder>
              <w15:color w:val="509DF3"/>
            </w:sdtPr>
            <w:sdtEndPr>
              <w:rPr>
                <w:rFonts w:hint="default" w:ascii="Times New Roman" w:hAnsi="Times New Roman" w:eastAsia="Times New Roman" w:cs="Times New Roman"/>
                <w:b/>
                <w:bCs/>
                <w:sz w:val="24"/>
                <w:szCs w:val="24"/>
                <w:lang w:val="en-GB" w:eastAsia="en-GB" w:bidi="ar-SA"/>
              </w:rPr>
            </w:sdtEndPr>
            <w:sdtContent>
              <w:r>
                <w:rPr>
                  <w:rFonts w:hint="default" w:ascii="Times New Roman" w:hAnsi="Times New Roman" w:eastAsia="Times New Roman" w:cs="Times New Roman"/>
                  <w:b/>
                  <w:bCs/>
                  <w:sz w:val="24"/>
                  <w:szCs w:val="24"/>
                </w:rPr>
                <w:t>3.The Sustainability Issue of Water Provision</w:t>
              </w:r>
            </w:sdtContent>
          </w:sdt>
          <w:r>
            <w:rPr>
              <w:rFonts w:hint="default" w:ascii="Times New Roman" w:hAnsi="Times New Roman" w:cs="Times New Roman"/>
              <w:b/>
              <w:bCs/>
              <w:sz w:val="24"/>
              <w:szCs w:val="24"/>
            </w:rPr>
            <w:tab/>
          </w:r>
          <w:bookmarkStart w:id="4" w:name="_Toc13801_WPSOffice_Level3Page"/>
          <w:r>
            <w:rPr>
              <w:rFonts w:hint="default" w:ascii="Times New Roman" w:hAnsi="Times New Roman" w:cs="Times New Roman"/>
              <w:b/>
              <w:bCs/>
              <w:sz w:val="24"/>
              <w:szCs w:val="24"/>
            </w:rPr>
            <w:t>4</w:t>
          </w:r>
          <w:bookmarkEnd w:id="4"/>
          <w:r>
            <w:rPr>
              <w:rFonts w:hint="default" w:ascii="Times New Roman" w:hAnsi="Times New Roman" w:cs="Times New Roman"/>
              <w:b/>
              <w:bCs/>
              <w:sz w:val="24"/>
              <w:szCs w:val="24"/>
            </w:rPr>
            <w:fldChar w:fldCharType="end"/>
          </w:r>
        </w:p>
        <w:p>
          <w:pPr>
            <w:pStyle w:val="10"/>
            <w:tabs>
              <w:tab w:val="right" w:leader="dot" w:pos="9026"/>
            </w:tabs>
            <w:ind w:left="0" w:leftChars="0" w:firstLine="0" w:firstLineChars="0"/>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_Toc15301_WPSOffice_Level3 </w:instrText>
          </w:r>
          <w:r>
            <w:rPr>
              <w:rFonts w:hint="default" w:ascii="Times New Roman" w:hAnsi="Times New Roman" w:cs="Times New Roman"/>
              <w:b/>
              <w:bCs/>
              <w:sz w:val="24"/>
              <w:szCs w:val="24"/>
            </w:rPr>
            <w:fldChar w:fldCharType="separate"/>
          </w:r>
          <w:sdt>
            <w:sdtPr>
              <w:rPr>
                <w:rFonts w:hint="default" w:ascii="Times New Roman" w:hAnsi="Times New Roman" w:eastAsia="Times New Roman" w:cs="Times New Roman"/>
                <w:b/>
                <w:bCs/>
                <w:sz w:val="24"/>
                <w:szCs w:val="24"/>
                <w:lang w:val="en-GB" w:eastAsia="en-GB" w:bidi="ar-SA"/>
              </w:rPr>
              <w:id w:val="147466077"/>
              <w:placeholder>
                <w:docPart w:val="{1143322d-e91d-477a-9d7e-ea2adf8632a2}"/>
              </w:placeholder>
              <w15:color w:val="509DF3"/>
            </w:sdtPr>
            <w:sdtEndPr>
              <w:rPr>
                <w:rFonts w:hint="default" w:ascii="Times New Roman" w:hAnsi="Times New Roman" w:eastAsia="Times New Roman" w:cs="Times New Roman"/>
                <w:b/>
                <w:bCs/>
                <w:sz w:val="24"/>
                <w:szCs w:val="24"/>
                <w:lang w:val="en-GB" w:eastAsia="en-GB" w:bidi="ar-SA"/>
              </w:rPr>
            </w:sdtEndPr>
            <w:sdtContent>
              <w:r>
                <w:rPr>
                  <w:rFonts w:hint="default" w:ascii="Times New Roman" w:hAnsi="Times New Roman" w:eastAsia="Times New Roman" w:cs="Times New Roman"/>
                  <w:b/>
                  <w:bCs/>
                  <w:sz w:val="24"/>
                  <w:szCs w:val="24"/>
                </w:rPr>
                <w:t>4.Examples of Science Application in Water Companies</w:t>
              </w:r>
            </w:sdtContent>
          </w:sdt>
          <w:r>
            <w:rPr>
              <w:rFonts w:hint="default" w:ascii="Times New Roman" w:hAnsi="Times New Roman" w:cs="Times New Roman"/>
              <w:b/>
              <w:bCs/>
              <w:sz w:val="24"/>
              <w:szCs w:val="24"/>
            </w:rPr>
            <w:tab/>
          </w:r>
          <w:bookmarkStart w:id="5" w:name="_Toc15301_WPSOffice_Level3Page"/>
          <w:r>
            <w:rPr>
              <w:rFonts w:hint="default" w:ascii="Times New Roman" w:hAnsi="Times New Roman" w:cs="Times New Roman"/>
              <w:b/>
              <w:bCs/>
              <w:sz w:val="24"/>
              <w:szCs w:val="24"/>
            </w:rPr>
            <w:t>6</w:t>
          </w:r>
          <w:bookmarkEnd w:id="5"/>
          <w:r>
            <w:rPr>
              <w:rFonts w:hint="default" w:ascii="Times New Roman" w:hAnsi="Times New Roman" w:cs="Times New Roman"/>
              <w:b/>
              <w:bCs/>
              <w:sz w:val="24"/>
              <w:szCs w:val="24"/>
            </w:rPr>
            <w:fldChar w:fldCharType="end"/>
          </w:r>
        </w:p>
        <w:p>
          <w:pPr>
            <w:pStyle w:val="10"/>
            <w:tabs>
              <w:tab w:val="right" w:leader="dot" w:pos="9026"/>
            </w:tabs>
            <w:ind w:left="0" w:leftChars="0" w:firstLine="0" w:firstLineChars="0"/>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_Toc24526_WPSOffice_Level3 </w:instrText>
          </w:r>
          <w:r>
            <w:rPr>
              <w:rFonts w:hint="default" w:ascii="Times New Roman" w:hAnsi="Times New Roman" w:cs="Times New Roman"/>
              <w:b/>
              <w:bCs/>
              <w:sz w:val="24"/>
              <w:szCs w:val="24"/>
            </w:rPr>
            <w:fldChar w:fldCharType="separate"/>
          </w:r>
          <w:sdt>
            <w:sdtPr>
              <w:rPr>
                <w:rFonts w:hint="default" w:ascii="Times New Roman" w:hAnsi="Times New Roman" w:eastAsia="Times New Roman" w:cs="Times New Roman"/>
                <w:b/>
                <w:bCs/>
                <w:sz w:val="24"/>
                <w:szCs w:val="24"/>
                <w:lang w:val="en-GB" w:eastAsia="en-GB" w:bidi="ar-SA"/>
              </w:rPr>
              <w:id w:val="147466077"/>
              <w:placeholder>
                <w:docPart w:val="{3f691cc8-9003-4380-8a7a-1bf9fdc84715}"/>
              </w:placeholder>
              <w15:color w:val="509DF3"/>
            </w:sdtPr>
            <w:sdtEndPr>
              <w:rPr>
                <w:rFonts w:hint="default" w:ascii="Times New Roman" w:hAnsi="Times New Roman" w:eastAsia="Times New Roman" w:cs="Times New Roman"/>
                <w:b/>
                <w:bCs/>
                <w:sz w:val="24"/>
                <w:szCs w:val="24"/>
                <w:lang w:val="en-GB" w:eastAsia="en-GB" w:bidi="ar-SA"/>
              </w:rPr>
            </w:sdtEndPr>
            <w:sdtContent>
              <w:r>
                <w:rPr>
                  <w:rFonts w:hint="default" w:ascii="Times New Roman" w:hAnsi="Times New Roman" w:eastAsia="Times New Roman" w:cs="Times New Roman"/>
                  <w:b/>
                  <w:bCs/>
                  <w:sz w:val="24"/>
                  <w:szCs w:val="24"/>
                </w:rPr>
                <w:t>5.Conclusion</w:t>
              </w:r>
            </w:sdtContent>
          </w:sdt>
          <w:r>
            <w:rPr>
              <w:rFonts w:hint="default" w:ascii="Times New Roman" w:hAnsi="Times New Roman" w:cs="Times New Roman"/>
              <w:b/>
              <w:bCs/>
              <w:sz w:val="24"/>
              <w:szCs w:val="24"/>
            </w:rPr>
            <w:tab/>
          </w:r>
          <w:bookmarkStart w:id="6" w:name="_Toc24526_WPSOffice_Level3Page"/>
          <w:r>
            <w:rPr>
              <w:rFonts w:hint="default" w:ascii="Times New Roman" w:hAnsi="Times New Roman" w:cs="Times New Roman"/>
              <w:b/>
              <w:bCs/>
              <w:sz w:val="24"/>
              <w:szCs w:val="24"/>
            </w:rPr>
            <w:t>7</w:t>
          </w:r>
          <w:bookmarkEnd w:id="6"/>
          <w:r>
            <w:rPr>
              <w:rFonts w:hint="default" w:ascii="Times New Roman" w:hAnsi="Times New Roman" w:cs="Times New Roman"/>
              <w:b/>
              <w:bCs/>
              <w:sz w:val="24"/>
              <w:szCs w:val="24"/>
            </w:rPr>
            <w:fldChar w:fldCharType="end"/>
          </w:r>
        </w:p>
        <w:p>
          <w:pPr>
            <w:pStyle w:val="10"/>
            <w:tabs>
              <w:tab w:val="right" w:leader="dot" w:pos="9026"/>
            </w:tabs>
            <w:ind w:left="0" w:leftChars="0" w:firstLine="0" w:firstLineChars="0"/>
            <w:rPr>
              <w:rFonts w:hint="default" w:ascii="Times New Roman" w:hAnsi="Times New Roman" w:cs="Times New Roman"/>
              <w:b/>
              <w:bCs/>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HYPERLINK \l _Toc19146_WPSOffice_Level3 </w:instrText>
          </w:r>
          <w:r>
            <w:rPr>
              <w:rFonts w:hint="default" w:ascii="Times New Roman" w:hAnsi="Times New Roman" w:cs="Times New Roman"/>
              <w:b/>
              <w:bCs/>
              <w:sz w:val="24"/>
              <w:szCs w:val="24"/>
            </w:rPr>
            <w:fldChar w:fldCharType="separate"/>
          </w:r>
          <w:sdt>
            <w:sdtPr>
              <w:rPr>
                <w:rFonts w:hint="default" w:ascii="Times New Roman" w:hAnsi="Times New Roman" w:eastAsia="Times New Roman" w:cs="Times New Roman"/>
                <w:b/>
                <w:bCs/>
                <w:sz w:val="24"/>
                <w:szCs w:val="24"/>
                <w:lang w:val="en-GB" w:eastAsia="en-GB" w:bidi="ar-SA"/>
              </w:rPr>
              <w:id w:val="147466077"/>
              <w:placeholder>
                <w:docPart w:val="{cd3288cb-b86f-4b95-b13b-544bfb1d711f}"/>
              </w:placeholder>
              <w15:color w:val="509DF3"/>
            </w:sdtPr>
            <w:sdtEndPr>
              <w:rPr>
                <w:rFonts w:hint="default" w:ascii="Times New Roman" w:hAnsi="Times New Roman" w:eastAsia="Times New Roman" w:cs="Times New Roman"/>
                <w:b/>
                <w:bCs/>
                <w:sz w:val="24"/>
                <w:szCs w:val="24"/>
                <w:lang w:val="en-GB" w:eastAsia="en-GB" w:bidi="ar-SA"/>
              </w:rPr>
            </w:sdtEndPr>
            <w:sdtContent>
              <w:r>
                <w:rPr>
                  <w:rFonts w:hint="default" w:ascii="Times New Roman" w:hAnsi="Times New Roman" w:eastAsia="Times New Roman" w:cs="Times New Roman"/>
                  <w:b/>
                  <w:bCs/>
                  <w:sz w:val="24"/>
                  <w:szCs w:val="24"/>
                </w:rPr>
                <w:t>6.References</w:t>
              </w:r>
            </w:sdtContent>
          </w:sdt>
          <w:r>
            <w:rPr>
              <w:rFonts w:hint="default" w:ascii="Times New Roman" w:hAnsi="Times New Roman" w:cs="Times New Roman"/>
              <w:b/>
              <w:bCs/>
              <w:sz w:val="24"/>
              <w:szCs w:val="24"/>
            </w:rPr>
            <w:tab/>
          </w:r>
          <w:bookmarkStart w:id="7" w:name="_Toc19146_WPSOffice_Level3Page"/>
          <w:r>
            <w:rPr>
              <w:rFonts w:hint="default" w:ascii="Times New Roman" w:hAnsi="Times New Roman" w:cs="Times New Roman"/>
              <w:b/>
              <w:bCs/>
              <w:sz w:val="24"/>
              <w:szCs w:val="24"/>
            </w:rPr>
            <w:t>7</w:t>
          </w:r>
          <w:bookmarkEnd w:id="7"/>
          <w:r>
            <w:rPr>
              <w:rFonts w:hint="default" w:ascii="Times New Roman" w:hAnsi="Times New Roman" w:cs="Times New Roman"/>
              <w:b/>
              <w:bCs/>
              <w:sz w:val="24"/>
              <w:szCs w:val="24"/>
            </w:rPr>
            <w:fldChar w:fldCharType="end"/>
          </w:r>
          <w:bookmarkEnd w:id="0"/>
        </w:p>
      </w:sdtContent>
    </w:sdt>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kinsoku/>
        <w:wordWrap/>
        <w:overflowPunct/>
        <w:topLinePunct w:val="0"/>
        <w:autoSpaceDE/>
        <w:autoSpaceDN/>
        <w:bidi w:val="0"/>
        <w:adjustRightInd/>
        <w:snapToGrid/>
        <w:jc w:val="both"/>
        <w:textAlignment w:val="auto"/>
        <w:rPr>
          <w:rFonts w:hint="default" w:ascii="Times New Roman" w:hAnsi="Times New Roman" w:cs="Times New Roman" w:eastAsiaTheme="minorEastAsia"/>
          <w:b/>
          <w:bCs/>
          <w:sz w:val="24"/>
          <w:szCs w:val="24"/>
          <w:lang w:val="en-US" w:eastAsia="zh-CN"/>
        </w:rPr>
      </w:pPr>
    </w:p>
    <w:p>
      <w:pPr>
        <w:pStyle w:val="2"/>
        <w:bidi w:val="0"/>
        <w:outlineLvl w:val="0"/>
        <w:rPr>
          <w:rFonts w:hint="eastAsia"/>
          <w:sz w:val="28"/>
          <w:szCs w:val="28"/>
          <w:lang w:val="en-US" w:eastAsia="zh-CN"/>
        </w:rPr>
        <w:sectPr>
          <w:headerReference r:id="rId3" w:type="default"/>
          <w:pgSz w:w="11906" w:h="16838"/>
          <w:pgMar w:top="1440" w:right="1440" w:bottom="1440" w:left="1440" w:header="851" w:footer="992" w:gutter="0"/>
          <w:pgNumType w:fmt="decimal"/>
          <w:cols w:space="0" w:num="1"/>
          <w:docGrid w:type="lines" w:linePitch="312" w:charSpace="0"/>
        </w:sectPr>
      </w:pPr>
    </w:p>
    <w:p>
      <w:pPr>
        <w:pStyle w:val="2"/>
        <w:bidi w:val="0"/>
        <w:outlineLvl w:val="0"/>
        <w:rPr>
          <w:rFonts w:hint="default"/>
          <w:sz w:val="28"/>
          <w:szCs w:val="28"/>
          <w:lang w:val="en-US" w:eastAsia="zh-CN"/>
        </w:rPr>
      </w:pPr>
      <w:bookmarkStart w:id="8" w:name="_Toc28405_WPSOffice_Level1"/>
      <w:r>
        <w:rPr>
          <w:rFonts w:hint="eastAsia"/>
          <w:sz w:val="28"/>
          <w:szCs w:val="28"/>
          <w:lang w:val="en-US" w:eastAsia="zh-CN"/>
        </w:rPr>
        <w:t>1.</w:t>
      </w:r>
      <w:r>
        <w:rPr>
          <w:rFonts w:hint="default"/>
          <w:sz w:val="28"/>
          <w:szCs w:val="28"/>
          <w:lang w:val="en-US" w:eastAsia="zh-CN"/>
        </w:rPr>
        <w:t>Introductio</w:t>
      </w:r>
      <w:bookmarkStart w:id="15" w:name="_GoBack"/>
      <w:bookmarkEnd w:id="15"/>
      <w:r>
        <w:rPr>
          <w:rFonts w:hint="default"/>
          <w:sz w:val="28"/>
          <w:szCs w:val="28"/>
          <w:lang w:val="en-US" w:eastAsia="zh-CN"/>
        </w:rPr>
        <w:t>n</w:t>
      </w:r>
      <w:bookmarkEnd w:id="8"/>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eastAsia="zh-CN"/>
        </w:rPr>
        <w:t>Water resources are the basic elements of the existence.</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 xml:space="preserve">Recognizing the importance of water in sustainable development, the UN General Assembly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2015</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 </w:t>
      </w:r>
      <w:r>
        <w:rPr>
          <w:rFonts w:hint="default" w:ascii="Times New Roman" w:hAnsi="Times New Roman" w:cs="Times New Roman" w:eastAsiaTheme="minorEastAsia"/>
          <w:sz w:val="24"/>
          <w:szCs w:val="24"/>
          <w:lang w:val="en-US" w:eastAsia="zh-CN"/>
        </w:rPr>
        <w:t>believes</w:t>
      </w:r>
      <w:r>
        <w:rPr>
          <w:rFonts w:hint="default" w:ascii="Times New Roman" w:hAnsi="Times New Roman" w:cs="Times New Roman" w:eastAsiaTheme="minorEastAsia"/>
          <w:sz w:val="24"/>
          <w:szCs w:val="24"/>
          <w:lang w:eastAsia="zh-CN"/>
        </w:rPr>
        <w:t xml:space="preserve"> </w:t>
      </w:r>
      <w:r>
        <w:rPr>
          <w:rFonts w:hint="default" w:ascii="Times New Roman" w:hAnsi="Times New Roman" w:cs="Times New Roman" w:eastAsiaTheme="minorEastAsia"/>
          <w:sz w:val="24"/>
          <w:szCs w:val="24"/>
          <w:lang w:val="en-US" w:eastAsia="zh-CN"/>
        </w:rPr>
        <w:t>p</w:t>
      </w:r>
      <w:r>
        <w:rPr>
          <w:rFonts w:hint="default" w:ascii="Times New Roman" w:hAnsi="Times New Roman" w:cs="Times New Roman" w:eastAsiaTheme="minorEastAsia"/>
          <w:sz w:val="24"/>
          <w:szCs w:val="24"/>
          <w:lang w:eastAsia="zh-CN"/>
        </w:rPr>
        <w:t>roviding water and sanitation to all and sustaining them</w:t>
      </w:r>
      <w:r>
        <w:rPr>
          <w:rFonts w:hint="default" w:ascii="Times New Roman" w:hAnsi="Times New Roman" w:cs="Times New Roman" w:eastAsiaTheme="minorEastAsia"/>
          <w:sz w:val="24"/>
          <w:szCs w:val="24"/>
          <w:lang w:val="en-US" w:eastAsia="zh-CN"/>
        </w:rPr>
        <w:t xml:space="preserve"> as</w:t>
      </w:r>
      <w:r>
        <w:rPr>
          <w:rFonts w:hint="default" w:ascii="Times New Roman" w:hAnsi="Times New Roman" w:cs="Times New Roman" w:eastAsiaTheme="minorEastAsia"/>
          <w:sz w:val="24"/>
          <w:szCs w:val="24"/>
          <w:lang w:eastAsia="zh-CN"/>
        </w:rPr>
        <w:t xml:space="preserve"> one of the 17 sustainable development goals.</w:t>
      </w:r>
      <w:r>
        <w:rPr>
          <w:rFonts w:hint="default" w:ascii="Times New Roman" w:hAnsi="Times New Roman" w:cs="Times New Roman" w:eastAsiaTheme="minorEastAsia"/>
          <w:sz w:val="24"/>
          <w:szCs w:val="24"/>
          <w:lang w:val="en-US" w:eastAsia="zh-CN"/>
        </w:rPr>
        <w:t xml:space="preserve"> Many people see water as public resources. However, the privatisation of water resources has been popularized globally. Based on this context, this paper will expound the corporate social responsibilities of privatized water companies, the governmental motivation of the privatisation of water resources, the sustainability of water provision and some examples of scientific application in water companies. </w:t>
      </w:r>
    </w:p>
    <w:p>
      <w:pPr>
        <w:pStyle w:val="2"/>
        <w:bidi w:val="0"/>
        <w:outlineLvl w:val="9"/>
        <w:rPr>
          <w:rFonts w:hint="default"/>
          <w:sz w:val="28"/>
          <w:szCs w:val="28"/>
          <w:lang w:val="en-US" w:eastAsia="zh-CN"/>
        </w:rPr>
      </w:pPr>
    </w:p>
    <w:p>
      <w:pPr>
        <w:pStyle w:val="2"/>
        <w:bidi w:val="0"/>
        <w:outlineLvl w:val="1"/>
        <w:rPr>
          <w:rFonts w:hint="default"/>
          <w:sz w:val="28"/>
          <w:szCs w:val="28"/>
          <w:lang w:val="en-US" w:eastAsia="zh-CN"/>
        </w:rPr>
      </w:pPr>
      <w:bookmarkStart w:id="9" w:name="_Toc13801_WPSOffice_Level2"/>
      <w:r>
        <w:rPr>
          <w:rFonts w:hint="eastAsia"/>
          <w:sz w:val="28"/>
          <w:szCs w:val="28"/>
          <w:lang w:val="en-US" w:eastAsia="zh-CN"/>
        </w:rPr>
        <w:t xml:space="preserve">2.1 </w:t>
      </w:r>
      <w:r>
        <w:rPr>
          <w:rFonts w:hint="default"/>
          <w:sz w:val="28"/>
          <w:szCs w:val="28"/>
          <w:lang w:val="en-US" w:eastAsia="zh-CN"/>
        </w:rPr>
        <w:t>Evaluation of the CSR of the Privatized Water Companies</w:t>
      </w:r>
      <w:bookmarkEnd w:id="9"/>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eastAsia="zh-CN"/>
        </w:rPr>
        <w:t xml:space="preserve">Carroll </w:t>
      </w:r>
      <w:r>
        <w:rPr>
          <w:rFonts w:hint="default" w:ascii="Times New Roman" w:hAnsi="Times New Roman" w:cs="Times New Roman" w:eastAsiaTheme="minorEastAsia"/>
          <w:sz w:val="24"/>
          <w:szCs w:val="24"/>
          <w:lang w:val="en-US" w:eastAsia="zh-CN"/>
        </w:rPr>
        <w:t xml:space="preserve">(1991) </w:t>
      </w:r>
      <w:r>
        <w:rPr>
          <w:rFonts w:hint="default" w:ascii="Times New Roman" w:hAnsi="Times New Roman" w:cs="Times New Roman" w:eastAsiaTheme="minorEastAsia"/>
          <w:sz w:val="24"/>
          <w:szCs w:val="24"/>
          <w:lang w:eastAsia="zh-CN"/>
        </w:rPr>
        <w:t>proposed a pyramid model of corporate social responsibility, mainly</w:t>
      </w:r>
      <w:r>
        <w:rPr>
          <w:rFonts w:hint="default" w:ascii="Times New Roman" w:hAnsi="Times New Roman" w:cs="Times New Roman" w:eastAsiaTheme="minorEastAsia"/>
          <w:sz w:val="24"/>
          <w:szCs w:val="24"/>
          <w:lang w:val="en-US" w:eastAsia="zh-CN"/>
        </w:rPr>
        <w:t xml:space="preserve"> including</w:t>
      </w:r>
      <w:r>
        <w:rPr>
          <w:rFonts w:hint="default" w:ascii="Times New Roman" w:hAnsi="Times New Roman" w:cs="Times New Roman" w:eastAsiaTheme="minorEastAsia"/>
          <w:sz w:val="24"/>
          <w:szCs w:val="24"/>
          <w:lang w:eastAsia="zh-CN"/>
        </w:rPr>
        <w:t xml:space="preserve"> economic responsibility, legal responsibility, ethical responsibility and charity responsibility.</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Carol believes that there are pyramidal relationships between these four responsibilities.</w:t>
      </w:r>
      <w:r>
        <w:rPr>
          <w:rFonts w:hint="default" w:ascii="Times New Roman" w:hAnsi="Times New Roman" w:cs="Times New Roman" w:eastAsiaTheme="minorEastAsia"/>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eastAsia="zh-CN"/>
        </w:rPr>
        <w:t xml:space="preserve">Economic </w:t>
      </w:r>
      <w:r>
        <w:rPr>
          <w:rFonts w:hint="default" w:ascii="Times New Roman" w:hAnsi="Times New Roman" w:cs="Times New Roman" w:eastAsiaTheme="minorEastAsia"/>
          <w:sz w:val="24"/>
          <w:szCs w:val="24"/>
          <w:lang w:val="en-US" w:eastAsia="zh-CN"/>
        </w:rPr>
        <w:t>r</w:t>
      </w:r>
      <w:r>
        <w:rPr>
          <w:rFonts w:hint="default" w:ascii="Times New Roman" w:hAnsi="Times New Roman" w:cs="Times New Roman" w:eastAsiaTheme="minorEastAsia"/>
          <w:sz w:val="24"/>
          <w:szCs w:val="24"/>
          <w:lang w:eastAsia="zh-CN"/>
        </w:rPr>
        <w:t>esponsibility</w:t>
      </w:r>
      <w:r>
        <w:rPr>
          <w:rFonts w:hint="default" w:ascii="Times New Roman" w:hAnsi="Times New Roman" w:cs="Times New Roman" w:eastAsiaTheme="minorEastAsia"/>
          <w:sz w:val="24"/>
          <w:szCs w:val="24"/>
          <w:lang w:val="en-US" w:eastAsia="zh-CN"/>
        </w:rPr>
        <w:t xml:space="preserve"> means that e</w:t>
      </w:r>
      <w:r>
        <w:rPr>
          <w:rFonts w:hint="default" w:ascii="Times New Roman" w:hAnsi="Times New Roman" w:cs="Times New Roman" w:eastAsiaTheme="minorEastAsia"/>
          <w:sz w:val="24"/>
          <w:szCs w:val="24"/>
          <w:lang w:eastAsia="zh-CN"/>
        </w:rPr>
        <w:t>nterprises must be committed to reducing costs, creating profits, and driving social and economic development.</w:t>
      </w:r>
      <w:r>
        <w:rPr>
          <w:rFonts w:hint="default" w:ascii="Times New Roman" w:hAnsi="Times New Roman" w:cs="Times New Roman" w:eastAsiaTheme="minorEastAsia"/>
          <w:sz w:val="24"/>
          <w:szCs w:val="24"/>
          <w:lang w:val="en-US" w:eastAsia="zh-CN"/>
        </w:rPr>
        <w:t xml:space="preserve"> Taking China’s water industry as an example, with the rapid advancement of China's industrialization and information technology, the water industry has maintained a high-speed development trend, and the growth of economic benefits has accelerated. In 2017, enterprises above the scale of the water industry in China achieved sales revenue of 235.47 billion RMB, an increase of 13.44% over the same period last year (FengHuang, 2018).</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eastAsia="zh-CN"/>
        </w:rPr>
        <w:t xml:space="preserve">Legal </w:t>
      </w:r>
      <w:r>
        <w:rPr>
          <w:rFonts w:hint="default" w:ascii="Times New Roman" w:hAnsi="Times New Roman" w:cs="Times New Roman" w:eastAsiaTheme="minorEastAsia"/>
          <w:sz w:val="24"/>
          <w:szCs w:val="24"/>
          <w:lang w:val="en-US" w:eastAsia="zh-CN"/>
        </w:rPr>
        <w:t>r</w:t>
      </w:r>
      <w:r>
        <w:rPr>
          <w:rFonts w:hint="default" w:ascii="Times New Roman" w:hAnsi="Times New Roman" w:cs="Times New Roman" w:eastAsiaTheme="minorEastAsia"/>
          <w:sz w:val="24"/>
          <w:szCs w:val="24"/>
          <w:lang w:eastAsia="zh-CN"/>
        </w:rPr>
        <w:t>esponsibilities</w:t>
      </w:r>
      <w:r>
        <w:rPr>
          <w:rFonts w:hint="default" w:ascii="Times New Roman" w:hAnsi="Times New Roman" w:cs="Times New Roman" w:eastAsiaTheme="minorEastAsia"/>
          <w:sz w:val="24"/>
          <w:szCs w:val="24"/>
          <w:lang w:val="en-US" w:eastAsia="zh-CN"/>
        </w:rPr>
        <w:t xml:space="preserve"> means that enterprises co</w:t>
      </w:r>
      <w:r>
        <w:rPr>
          <w:rFonts w:hint="default" w:ascii="Times New Roman" w:hAnsi="Times New Roman" w:cs="Times New Roman" w:eastAsiaTheme="minorEastAsia"/>
          <w:sz w:val="24"/>
          <w:szCs w:val="24"/>
          <w:lang w:eastAsia="zh-CN"/>
        </w:rPr>
        <w:t>mply with laws and regulations</w:t>
      </w:r>
      <w:r>
        <w:rPr>
          <w:rFonts w:hint="default" w:ascii="Times New Roman" w:hAnsi="Times New Roman" w:cs="Times New Roman" w:eastAsiaTheme="minorEastAsia"/>
          <w:sz w:val="24"/>
          <w:szCs w:val="24"/>
          <w:lang w:val="en-US" w:eastAsia="zh-CN"/>
        </w:rPr>
        <w:t xml:space="preserve"> such as </w:t>
      </w:r>
      <w:r>
        <w:rPr>
          <w:rFonts w:hint="default" w:ascii="Times New Roman" w:hAnsi="Times New Roman" w:cs="Times New Roman" w:eastAsiaTheme="minorEastAsia"/>
          <w:sz w:val="24"/>
          <w:szCs w:val="24"/>
          <w:lang w:eastAsia="zh-CN"/>
        </w:rPr>
        <w:t xml:space="preserve"> environmental protection, consumer protection, labor laws </w:t>
      </w:r>
      <w:r>
        <w:rPr>
          <w:rFonts w:hint="default" w:ascii="Times New Roman" w:hAnsi="Times New Roman" w:cs="Times New Roman" w:eastAsiaTheme="minorEastAsia"/>
          <w:sz w:val="24"/>
          <w:szCs w:val="24"/>
          <w:lang w:val="en-US" w:eastAsia="zh-CN"/>
        </w:rPr>
        <w:t>etc</w:t>
      </w:r>
      <w:r>
        <w:rPr>
          <w:rFonts w:hint="default" w:ascii="Times New Roman" w:hAnsi="Times New Roman" w:cs="Times New Roman" w:eastAsiaTheme="minorEastAsia"/>
          <w:sz w:val="24"/>
          <w:szCs w:val="24"/>
          <w:lang w:eastAsia="zh-CN"/>
        </w:rPr>
        <w:t>.</w:t>
      </w:r>
      <w:r>
        <w:rPr>
          <w:rFonts w:hint="default" w:ascii="Times New Roman" w:hAnsi="Times New Roman" w:cs="Times New Roman" w:eastAsiaTheme="minorEastAsia"/>
          <w:sz w:val="24"/>
          <w:szCs w:val="24"/>
          <w:lang w:val="en-US" w:eastAsia="zh-CN"/>
        </w:rPr>
        <w:t xml:space="preserve"> However, some enterprises ignores the laws and regulations. On April 10, the tap water provided by Lanzhou Veolia Water Group Company detected that the benzene content was 20 times higher than the standard. The test results have plunged millions of people across the city into an unprecedented water crisis. This has far exceeded the requirements of water quality management regulations for urban water supply (Lin, 2015). This proves that water companies should attaches more importance to the legal responsibilities.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eastAsia="zh-CN"/>
        </w:rPr>
        <w:t>Ethical responsibilit</w:t>
      </w:r>
      <w:r>
        <w:rPr>
          <w:rFonts w:hint="default" w:ascii="Times New Roman" w:hAnsi="Times New Roman" w:cs="Times New Roman" w:eastAsiaTheme="minorEastAsia"/>
          <w:sz w:val="24"/>
          <w:szCs w:val="24"/>
          <w:lang w:val="en-US" w:eastAsia="zh-CN"/>
        </w:rPr>
        <w:t>y indicates that</w:t>
      </w:r>
      <w:r>
        <w:rPr>
          <w:rFonts w:hint="default" w:ascii="Times New Roman" w:hAnsi="Times New Roman" w:cs="Times New Roman" w:eastAsiaTheme="minorEastAsia"/>
          <w:sz w:val="24"/>
          <w:szCs w:val="24"/>
          <w:lang w:eastAsia="zh-CN"/>
        </w:rPr>
        <w:t xml:space="preserve"> compan</w:t>
      </w:r>
      <w:r>
        <w:rPr>
          <w:rFonts w:hint="default" w:ascii="Times New Roman" w:hAnsi="Times New Roman" w:cs="Times New Roman" w:eastAsiaTheme="minorEastAsia"/>
          <w:sz w:val="24"/>
          <w:szCs w:val="24"/>
          <w:lang w:val="en-US" w:eastAsia="zh-CN"/>
        </w:rPr>
        <w:t>ies’</w:t>
      </w:r>
      <w:r>
        <w:rPr>
          <w:rFonts w:hint="default" w:ascii="Times New Roman" w:hAnsi="Times New Roman" w:cs="Times New Roman" w:eastAsiaTheme="minorEastAsia"/>
          <w:sz w:val="24"/>
          <w:szCs w:val="24"/>
          <w:lang w:eastAsia="zh-CN"/>
        </w:rPr>
        <w:t xml:space="preserve"> </w:t>
      </w:r>
      <w:r>
        <w:rPr>
          <w:rFonts w:hint="default" w:ascii="Times New Roman" w:hAnsi="Times New Roman" w:cs="Times New Roman" w:eastAsiaTheme="minorEastAsia"/>
          <w:sz w:val="24"/>
          <w:szCs w:val="24"/>
          <w:lang w:val="en-US" w:eastAsia="zh-CN"/>
        </w:rPr>
        <w:t>actions comply</w:t>
      </w:r>
      <w:r>
        <w:rPr>
          <w:rFonts w:hint="default" w:ascii="Times New Roman" w:hAnsi="Times New Roman" w:cs="Times New Roman" w:eastAsiaTheme="minorEastAsia"/>
          <w:sz w:val="24"/>
          <w:szCs w:val="24"/>
          <w:lang w:eastAsia="zh-CN"/>
        </w:rPr>
        <w:t xml:space="preserve"> with the </w:t>
      </w:r>
      <w:r>
        <w:rPr>
          <w:rFonts w:hint="default" w:ascii="Times New Roman" w:hAnsi="Times New Roman" w:cs="Times New Roman" w:eastAsiaTheme="minorEastAsia"/>
          <w:sz w:val="24"/>
          <w:szCs w:val="24"/>
          <w:lang w:val="en-US" w:eastAsia="zh-CN"/>
        </w:rPr>
        <w:t xml:space="preserve">ethical </w:t>
      </w:r>
      <w:r>
        <w:rPr>
          <w:rFonts w:hint="default" w:ascii="Times New Roman" w:hAnsi="Times New Roman" w:cs="Times New Roman" w:eastAsiaTheme="minorEastAsia"/>
          <w:sz w:val="24"/>
          <w:szCs w:val="24"/>
          <w:lang w:eastAsia="zh-CN"/>
        </w:rPr>
        <w:t xml:space="preserve">principles </w:t>
      </w:r>
      <w:r>
        <w:rPr>
          <w:rFonts w:hint="default" w:ascii="Times New Roman" w:hAnsi="Times New Roman" w:cs="Times New Roman" w:eastAsiaTheme="minorEastAsia"/>
          <w:sz w:val="24"/>
          <w:szCs w:val="24"/>
          <w:lang w:val="en-US" w:eastAsia="zh-CN"/>
        </w:rPr>
        <w:t xml:space="preserve">such as </w:t>
      </w:r>
      <w:r>
        <w:rPr>
          <w:rFonts w:hint="default" w:ascii="Times New Roman" w:hAnsi="Times New Roman" w:cs="Times New Roman" w:eastAsiaTheme="minorEastAsia"/>
          <w:sz w:val="24"/>
          <w:szCs w:val="24"/>
          <w:lang w:eastAsia="zh-CN"/>
        </w:rPr>
        <w:t>justice</w:t>
      </w:r>
      <w:r>
        <w:rPr>
          <w:rFonts w:hint="default" w:ascii="Times New Roman" w:hAnsi="Times New Roman" w:cs="Times New Roman" w:eastAsiaTheme="minorEastAsia"/>
          <w:sz w:val="24"/>
          <w:szCs w:val="24"/>
          <w:lang w:val="en-US" w:eastAsia="zh-CN"/>
        </w:rPr>
        <w:t xml:space="preserve"> and protecting the interests of stakeholders</w:t>
      </w:r>
      <w:r>
        <w:rPr>
          <w:rFonts w:hint="default" w:ascii="Times New Roman" w:hAnsi="Times New Roman" w:cs="Times New Roman" w:eastAsiaTheme="minorEastAsia"/>
          <w:sz w:val="24"/>
          <w:szCs w:val="24"/>
          <w:lang w:eastAsia="zh-CN"/>
        </w:rPr>
        <w:t>.</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In order to protect the interests of consumers and promote the efficient operation of the company, in the process of formulating the price cap, the company</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s business plan require</w:t>
      </w:r>
      <w:r>
        <w:rPr>
          <w:rFonts w:hint="default" w:ascii="Times New Roman" w:hAnsi="Times New Roman" w:cs="Times New Roman" w:eastAsiaTheme="minorEastAsia"/>
          <w:sz w:val="24"/>
          <w:szCs w:val="24"/>
          <w:lang w:val="en-US" w:eastAsia="zh-CN"/>
        </w:rPr>
        <w:t>s</w:t>
      </w:r>
      <w:r>
        <w:rPr>
          <w:rFonts w:hint="default" w:ascii="Times New Roman" w:hAnsi="Times New Roman" w:cs="Times New Roman" w:eastAsiaTheme="minorEastAsia"/>
          <w:sz w:val="24"/>
          <w:szCs w:val="24"/>
          <w:lang w:eastAsia="zh-CN"/>
        </w:rPr>
        <w:t xml:space="preserve"> the participation of relevant stakeholders.</w:t>
      </w:r>
      <w:r>
        <w:rPr>
          <w:rFonts w:hint="default" w:ascii="Times New Roman" w:hAnsi="Times New Roman" w:cs="Times New Roman" w:eastAsiaTheme="minorEastAsia"/>
          <w:sz w:val="24"/>
          <w:szCs w:val="24"/>
          <w:lang w:val="en-US" w:eastAsia="zh-CN"/>
        </w:rPr>
        <w:t xml:space="preserve"> For example, </w:t>
      </w:r>
      <w:r>
        <w:rPr>
          <w:rFonts w:hint="default" w:ascii="Times New Roman" w:hAnsi="Times New Roman" w:cs="Times New Roman" w:eastAsiaTheme="minorEastAsia"/>
          <w:sz w:val="24"/>
          <w:szCs w:val="24"/>
          <w:lang w:eastAsia="zh-CN"/>
        </w:rPr>
        <w:t>Customer Challenge Groups is an independent organization established by Thames Water.</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In Thames Water</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s business plan for 2015-2020, the User Challenge Group actively sought the opinions of different interest groups, giving users more opportunities to express their opinions and questioning the formation of the business plan</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Thames Water</w:t>
      </w:r>
      <w:r>
        <w:rPr>
          <w:rFonts w:hint="default" w:ascii="Times New Roman" w:hAnsi="Times New Roman" w:cs="Times New Roman" w:eastAsiaTheme="minorEastAsia"/>
          <w:sz w:val="24"/>
          <w:szCs w:val="24"/>
          <w:lang w:val="en-US" w:eastAsia="zh-CN"/>
        </w:rPr>
        <w:t>, 2015)</w:t>
      </w:r>
      <w:r>
        <w:rPr>
          <w:rFonts w:hint="default" w:ascii="Times New Roman" w:hAnsi="Times New Roman" w:cs="Times New Roman" w:eastAsiaTheme="minorEastAsia"/>
          <w:sz w:val="24"/>
          <w:szCs w:val="24"/>
          <w:lang w:eastAsia="zh-CN"/>
        </w:rPr>
        <w:t>.</w:t>
      </w:r>
      <w:r>
        <w:rPr>
          <w:rFonts w:hint="default" w:ascii="Times New Roman" w:hAnsi="Times New Roman" w:cs="Times New Roman" w:eastAsiaTheme="minorEastAsia"/>
          <w:sz w:val="24"/>
          <w:szCs w:val="24"/>
          <w:lang w:val="en-US" w:eastAsia="zh-CN"/>
        </w:rPr>
        <w:t xml:space="preserve"> In this vein, </w:t>
      </w:r>
      <w:r>
        <w:rPr>
          <w:rFonts w:hint="default" w:ascii="Times New Roman" w:hAnsi="Times New Roman" w:cs="Times New Roman" w:eastAsiaTheme="minorEastAsia"/>
          <w:sz w:val="24"/>
          <w:szCs w:val="24"/>
          <w:lang w:eastAsia="zh-CN"/>
        </w:rPr>
        <w:t>Thames Water</w:t>
      </w:r>
      <w:r>
        <w:rPr>
          <w:rFonts w:hint="default" w:ascii="Times New Roman" w:hAnsi="Times New Roman" w:cs="Times New Roman" w:eastAsiaTheme="minorEastAsia"/>
          <w:sz w:val="24"/>
          <w:szCs w:val="24"/>
          <w:lang w:val="en-US" w:eastAsia="zh-CN"/>
        </w:rPr>
        <w:t xml:space="preserve"> has actively performed the ethical responsibility. However, t</w:t>
      </w:r>
      <w:r>
        <w:rPr>
          <w:rFonts w:hint="default" w:ascii="Times New Roman" w:hAnsi="Times New Roman" w:cs="Times New Roman" w:eastAsiaTheme="minorEastAsia"/>
          <w:sz w:val="24"/>
          <w:szCs w:val="24"/>
          <w:lang w:eastAsia="zh-CN"/>
        </w:rPr>
        <w:t>he safety of drinking water directly affects the health and social stability of the public.</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In recent years, China</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s water pollution incidents have been on a high incidence. The Zhenjiang water pollution incident in Jiangsu Province </w:t>
      </w:r>
      <w:r>
        <w:rPr>
          <w:rFonts w:hint="default" w:ascii="Times New Roman" w:hAnsi="Times New Roman" w:cs="Times New Roman" w:eastAsiaTheme="minorEastAsia"/>
          <w:sz w:val="24"/>
          <w:szCs w:val="24"/>
          <w:lang w:val="en-US" w:eastAsia="zh-CN"/>
        </w:rPr>
        <w:t xml:space="preserve">(Song, 2012) </w:t>
      </w:r>
      <w:r>
        <w:rPr>
          <w:rFonts w:hint="default" w:ascii="Times New Roman" w:hAnsi="Times New Roman" w:cs="Times New Roman" w:eastAsiaTheme="minorEastAsia"/>
          <w:sz w:val="24"/>
          <w:szCs w:val="24"/>
          <w:lang w:eastAsia="zh-CN"/>
        </w:rPr>
        <w:t xml:space="preserve">and the benzene over-standard incident in Lanzhou </w:t>
      </w:r>
      <w:r>
        <w:rPr>
          <w:rFonts w:hint="default" w:ascii="Times New Roman" w:hAnsi="Times New Roman" w:cs="Times New Roman" w:eastAsiaTheme="minorEastAsia"/>
          <w:sz w:val="24"/>
          <w:szCs w:val="24"/>
          <w:lang w:val="en-US" w:eastAsia="zh-CN"/>
        </w:rPr>
        <w:t xml:space="preserve">(Lin, 2015) </w:t>
      </w:r>
      <w:r>
        <w:rPr>
          <w:rFonts w:hint="default" w:ascii="Times New Roman" w:hAnsi="Times New Roman" w:cs="Times New Roman" w:eastAsiaTheme="minorEastAsia"/>
          <w:sz w:val="24"/>
          <w:szCs w:val="24"/>
          <w:lang w:eastAsia="zh-CN"/>
        </w:rPr>
        <w:t>have sounded the alarm of drinking water safety. This explains</w:t>
      </w:r>
      <w:r>
        <w:rPr>
          <w:rFonts w:hint="default" w:ascii="Times New Roman" w:hAnsi="Times New Roman" w:cs="Times New Roman" w:eastAsiaTheme="minorEastAsia"/>
          <w:sz w:val="24"/>
          <w:szCs w:val="24"/>
          <w:lang w:val="en-US" w:eastAsia="zh-CN"/>
        </w:rPr>
        <w:t xml:space="preserve"> that</w:t>
      </w:r>
      <w:r>
        <w:rPr>
          <w:rFonts w:hint="default" w:ascii="Times New Roman" w:hAnsi="Times New Roman" w:cs="Times New Roman" w:eastAsiaTheme="minorEastAsia"/>
          <w:sz w:val="24"/>
          <w:szCs w:val="24"/>
          <w:lang w:eastAsia="zh-CN"/>
        </w:rPr>
        <w:t xml:space="preserve"> safety is essential for water services</w:t>
      </w:r>
      <w:r>
        <w:rPr>
          <w:rFonts w:hint="default" w:ascii="Times New Roman" w:hAnsi="Times New Roman" w:cs="Times New Roman" w:eastAsiaTheme="minorEastAsia"/>
          <w:sz w:val="24"/>
          <w:szCs w:val="24"/>
          <w:lang w:val="en-US" w:eastAsia="zh-CN"/>
        </w:rPr>
        <w:t xml:space="preserve"> and water companies should do more to ensure the water safety.</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eastAsia="zh-CN"/>
        </w:rPr>
        <w:t xml:space="preserve">Charity </w:t>
      </w:r>
      <w:r>
        <w:rPr>
          <w:rFonts w:hint="default" w:ascii="Times New Roman" w:hAnsi="Times New Roman" w:cs="Times New Roman" w:eastAsiaTheme="minorEastAsia"/>
          <w:sz w:val="24"/>
          <w:szCs w:val="24"/>
          <w:lang w:val="en-US" w:eastAsia="zh-CN"/>
        </w:rPr>
        <w:t>r</w:t>
      </w:r>
      <w:r>
        <w:rPr>
          <w:rFonts w:hint="default" w:ascii="Times New Roman" w:hAnsi="Times New Roman" w:cs="Times New Roman" w:eastAsiaTheme="minorEastAsia"/>
          <w:sz w:val="24"/>
          <w:szCs w:val="24"/>
          <w:lang w:eastAsia="zh-CN"/>
        </w:rPr>
        <w:t>esponsibility</w:t>
      </w:r>
      <w:r>
        <w:rPr>
          <w:rFonts w:hint="default" w:ascii="Times New Roman" w:hAnsi="Times New Roman" w:cs="Times New Roman" w:eastAsiaTheme="minorEastAsia"/>
          <w:sz w:val="24"/>
          <w:szCs w:val="24"/>
          <w:lang w:val="en-US" w:eastAsia="zh-CN"/>
        </w:rPr>
        <w:t xml:space="preserve"> means that enterprises</w:t>
      </w:r>
      <w:r>
        <w:rPr>
          <w:rFonts w:hint="default" w:ascii="Times New Roman" w:hAnsi="Times New Roman" w:cs="Times New Roman" w:eastAsiaTheme="minorEastAsia"/>
          <w:sz w:val="24"/>
          <w:szCs w:val="24"/>
          <w:lang w:eastAsia="zh-CN"/>
        </w:rPr>
        <w:t xml:space="preserve"> </w:t>
      </w:r>
      <w:r>
        <w:rPr>
          <w:rFonts w:hint="default" w:ascii="Times New Roman" w:hAnsi="Times New Roman" w:cs="Times New Roman" w:eastAsiaTheme="minorEastAsia"/>
          <w:sz w:val="24"/>
          <w:szCs w:val="24"/>
          <w:lang w:val="en-US" w:eastAsia="zh-CN"/>
        </w:rPr>
        <w:t>c</w:t>
      </w:r>
      <w:r>
        <w:rPr>
          <w:rFonts w:hint="default" w:ascii="Times New Roman" w:hAnsi="Times New Roman" w:cs="Times New Roman" w:eastAsiaTheme="minorEastAsia"/>
          <w:sz w:val="24"/>
          <w:szCs w:val="24"/>
          <w:lang w:eastAsia="zh-CN"/>
        </w:rPr>
        <w:t>ontribute to the resources of the company to improve the quality of life.</w:t>
      </w:r>
      <w:r>
        <w:rPr>
          <w:rFonts w:hint="default" w:ascii="Times New Roman" w:hAnsi="Times New Roman" w:cs="Times New Roman" w:eastAsiaTheme="minorEastAsia"/>
          <w:sz w:val="24"/>
          <w:szCs w:val="24"/>
          <w:lang w:val="en-US" w:eastAsia="zh-CN"/>
        </w:rPr>
        <w:t xml:space="preserve"> During the Sichuan earthquake in 2008, Veolia announced that it would provide 4 million yuan worth of relief money and relief supplies to the Chinese government, including three emergency water supply systems for the affected areas. The problem of drinking water for 15,000 people can be solved every day (HC360, 2008). Veolia has set a good paradigm within the industry.</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p>
    <w:p>
      <w:pPr>
        <w:pStyle w:val="2"/>
        <w:bidi w:val="0"/>
        <w:outlineLvl w:val="1"/>
        <w:rPr>
          <w:rFonts w:hint="default"/>
          <w:sz w:val="28"/>
          <w:szCs w:val="28"/>
          <w:lang w:val="en-US" w:eastAsia="zh-CN"/>
        </w:rPr>
      </w:pPr>
      <w:bookmarkStart w:id="10" w:name="_Toc15301_WPSOffice_Level2"/>
      <w:r>
        <w:rPr>
          <w:rFonts w:hint="eastAsia"/>
          <w:sz w:val="28"/>
          <w:szCs w:val="28"/>
          <w:lang w:val="en-US" w:eastAsia="zh-CN"/>
        </w:rPr>
        <w:t xml:space="preserve">2.2 </w:t>
      </w:r>
      <w:r>
        <w:rPr>
          <w:rFonts w:hint="default"/>
          <w:sz w:val="28"/>
          <w:szCs w:val="28"/>
          <w:lang w:eastAsia="zh-CN"/>
        </w:rPr>
        <w:t>Privatisation</w:t>
      </w:r>
      <w:r>
        <w:rPr>
          <w:rFonts w:hint="default"/>
          <w:sz w:val="28"/>
          <w:szCs w:val="28"/>
          <w:lang w:val="en-US" w:eastAsia="zh-CN"/>
        </w:rPr>
        <w:t xml:space="preserve"> of Water Resources</w:t>
      </w:r>
      <w:bookmarkEnd w:id="10"/>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problem of resolving shared resources is either government regulation or privatization (</w:t>
      </w:r>
      <w:r>
        <w:rPr>
          <w:rFonts w:hint="default" w:ascii="Times New Roman" w:hAnsi="Times New Roman" w:cs="Times New Roman"/>
          <w:sz w:val="24"/>
          <w:szCs w:val="24"/>
          <w:lang w:val="en-US" w:eastAsia="zh-CN"/>
        </w:rPr>
        <w:t>Sinden, 2007</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color w:val="0000FF"/>
          <w:sz w:val="24"/>
          <w:szCs w:val="24"/>
          <w:lang w:val="en-US" w:eastAsia="zh-CN"/>
        </w:rPr>
        <w:t>.</w:t>
      </w:r>
      <w:r>
        <w:rPr>
          <w:rFonts w:hint="default" w:ascii="Times New Roman" w:hAnsi="Times New Roman" w:cs="Times New Roman" w:eastAsiaTheme="minorEastAsia"/>
          <w:sz w:val="24"/>
          <w:szCs w:val="24"/>
          <w:lang w:val="en-US" w:eastAsia="zh-CN"/>
        </w:rPr>
        <w:t xml:space="preserve"> Given the importance of water resources for human survival and social development, in most countries, the public rights department is responsible for water management. However, people’s trust in government regulation of environmental issues is no longer firm as in the initial stage. Especially since entering the 21st century, the academic circles have almost reached the consensus that market means can maximize the level of social welfare relative to government regulation. This cognition is more strongly supported by the general theory of welfare economics (</w:t>
      </w:r>
      <w:r>
        <w:rPr>
          <w:rFonts w:hint="default" w:ascii="Times New Roman" w:hAnsi="Times New Roman" w:cs="Times New Roman"/>
          <w:sz w:val="24"/>
          <w:szCs w:val="24"/>
          <w:lang w:val="en-US" w:eastAsia="zh-CN"/>
        </w:rPr>
        <w:t>Sinden, 2007</w:t>
      </w:r>
      <w:r>
        <w:rPr>
          <w:rFonts w:hint="default" w:ascii="Times New Roman" w:hAnsi="Times New Roman" w:cs="Times New Roman" w:eastAsiaTheme="minorEastAsia"/>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t>If all resources are privatized, no one can impose an external influence on others, and potential polluters need to purchase pollution rights.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Moreover, after the privatization of resources, each private property rights entity has the power to protect natural resources and use their ingenuity to make environmental protection a profitable business.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 xml:space="preserve">The practice of the resource property rights system in Eastern Europe in the 1980s verified the effectiveness of different property rights systems on the environment. Practice has proved that the private property rights system is more conducive to </w:t>
      </w:r>
      <w:r>
        <w:rPr>
          <w:rFonts w:hint="default" w:ascii="Times New Roman" w:hAnsi="Times New Roman" w:cs="Times New Roman" w:eastAsiaTheme="minorEastAsia"/>
          <w:sz w:val="24"/>
          <w:szCs w:val="24"/>
          <w:lang w:val="en-US" w:eastAsia="zh-CN"/>
        </w:rPr>
        <w:t>resources</w:t>
      </w:r>
      <w:r>
        <w:rPr>
          <w:rFonts w:hint="default" w:ascii="Times New Roman" w:hAnsi="Times New Roman" w:cs="Times New Roman" w:eastAsiaTheme="minorEastAsia"/>
          <w:sz w:val="24"/>
          <w:szCs w:val="24"/>
          <w:lang w:eastAsia="zh-CN"/>
        </w:rPr>
        <w:t xml:space="preserve"> protection</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sz w:val="24"/>
          <w:szCs w:val="24"/>
          <w:lang w:val="en-US" w:eastAsia="zh-CN"/>
        </w:rPr>
        <w:t>Merrill, 2004</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 The water property rights system in American history has effectively protected the maintenance of water resources and prevented the destruction of resources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sz w:val="24"/>
          <w:szCs w:val="24"/>
          <w:lang w:val="en-US" w:eastAsia="zh-CN"/>
        </w:rPr>
        <w:t>Glennon, 2005</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eastAsia="zh-CN"/>
        </w:rPr>
        <w:t>The privatization of water resources is gaining more and more people</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s support because, first of all, the public management institutions of water resources are unable to pay huge management expenditures. Second, most economists believe that the privatization of water resources is more </w:t>
      </w:r>
      <w:r>
        <w:rPr>
          <w:rFonts w:hint="default" w:ascii="Times New Roman" w:hAnsi="Times New Roman" w:cs="Times New Roman" w:eastAsiaTheme="minorEastAsia"/>
          <w:sz w:val="24"/>
          <w:szCs w:val="24"/>
          <w:lang w:val="en-US" w:eastAsia="zh-CN"/>
        </w:rPr>
        <w:t>c</w:t>
      </w:r>
      <w:r>
        <w:rPr>
          <w:rFonts w:hint="default" w:ascii="Times New Roman" w:hAnsi="Times New Roman" w:cs="Times New Roman" w:eastAsiaTheme="minorEastAsia"/>
          <w:sz w:val="24"/>
          <w:szCs w:val="24"/>
          <w:lang w:eastAsia="zh-CN"/>
        </w:rPr>
        <w:t>ost savings. Finally, the idea of handing over government-managed water resources to the private sector has gradually become a mainstream consciousness in society</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sz w:val="24"/>
          <w:szCs w:val="24"/>
          <w:lang w:val="en-US" w:eastAsia="zh-CN"/>
        </w:rPr>
        <w:t>Gleick et al., 2002</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 </w:t>
      </w:r>
      <w:r>
        <w:rPr>
          <w:rFonts w:hint="default" w:ascii="Times New Roman" w:hAnsi="Times New Roman" w:cs="Times New Roman" w:eastAsiaTheme="minorEastAsia"/>
          <w:sz w:val="24"/>
          <w:szCs w:val="24"/>
          <w:lang w:val="en-US" w:eastAsia="zh-CN"/>
        </w:rPr>
        <w:t>T</w:t>
      </w:r>
      <w:r>
        <w:rPr>
          <w:rFonts w:hint="default" w:ascii="Times New Roman" w:hAnsi="Times New Roman" w:cs="Times New Roman" w:eastAsiaTheme="minorEastAsia"/>
          <w:sz w:val="24"/>
          <w:szCs w:val="24"/>
          <w:lang w:eastAsia="zh-CN"/>
        </w:rPr>
        <w:t>he government should not over-regulate environmental issues. Its main responsibilities should be to define property rights, create conditions to protect the tradability of property rights.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 xml:space="preserve">Market mechanisms </w:t>
      </w:r>
      <w:r>
        <w:rPr>
          <w:rFonts w:hint="default" w:ascii="Times New Roman" w:hAnsi="Times New Roman" w:cs="Times New Roman" w:eastAsiaTheme="minorEastAsia"/>
          <w:sz w:val="24"/>
          <w:szCs w:val="24"/>
          <w:lang w:val="en-US" w:eastAsia="zh-CN"/>
        </w:rPr>
        <w:t xml:space="preserve">mainly use </w:t>
      </w:r>
      <w:r>
        <w:rPr>
          <w:rFonts w:hint="default" w:ascii="Times New Roman" w:hAnsi="Times New Roman" w:cs="Times New Roman" w:eastAsiaTheme="minorEastAsia"/>
          <w:sz w:val="24"/>
          <w:szCs w:val="24"/>
          <w:lang w:eastAsia="zh-CN"/>
        </w:rPr>
        <w:t>price mechanisms to spontaneously regulate the behavior of producers and consumers.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For producers, when the price of resources rises, it provides an incentive for innovation to find new alternative resources or invent new technologies for mining.</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For consumers, because of the rising prices of resources and related products, consumers will reduce their use, increase the number of used goods, or recycle goods.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For example, when water prices rise to the point where it is expensive for consumers to water the garden, they may not care about the garden, or switch to plants that require less water, or reuse water to water the flowers.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 xml:space="preserve">Thus, resource economists or geographers refer to the supply and demand of regulatory resources in these market mechanisms as market response models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Robbins et al., 2014</w:t>
      </w:r>
      <w:r>
        <w:rPr>
          <w:rFonts w:hint="default" w:ascii="Times New Roman" w:hAnsi="Times New Roman" w:cs="Times New Roman" w:eastAsiaTheme="minorEastAsia"/>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t>The government bears the first responsibility for water public services, but the efficiency of providing services is not high. It is more cost-effective to purchase specialized water companies</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 efficient water services.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Governments with insufficient construction funds can also solve the financing problem of water public service facilities construction through public-private partnership.</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The government</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s main responsibility is to purchase specialized water services and strengthen performance incentives and regulation.</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The UK Water Performance Management implements a statutory third-party performance supervision and management system for private water companies.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 xml:space="preserve">In the form of legislation, the top ten water bureaus were explicitly privatized into the top ten water companies, and a performance management system based on the </w:t>
      </w:r>
      <w:r>
        <w:rPr>
          <w:rFonts w:hint="default" w:ascii="Times New Roman" w:hAnsi="Times New Roman" w:cs="Times New Roman" w:eastAsiaTheme="minorEastAsia"/>
          <w:sz w:val="24"/>
          <w:szCs w:val="24"/>
          <w:lang w:val="en-US" w:eastAsia="zh-CN"/>
        </w:rPr>
        <w:t>W</w:t>
      </w:r>
      <w:r>
        <w:rPr>
          <w:rFonts w:hint="default" w:ascii="Times New Roman" w:hAnsi="Times New Roman" w:cs="Times New Roman" w:eastAsiaTheme="minorEastAsia"/>
          <w:sz w:val="24"/>
          <w:szCs w:val="24"/>
          <w:lang w:eastAsia="zh-CN"/>
        </w:rPr>
        <w:t xml:space="preserve">ater </w:t>
      </w:r>
      <w:r>
        <w:rPr>
          <w:rFonts w:hint="default" w:ascii="Times New Roman" w:hAnsi="Times New Roman" w:cs="Times New Roman" w:eastAsiaTheme="minorEastAsia"/>
          <w:sz w:val="24"/>
          <w:szCs w:val="24"/>
          <w:lang w:val="en-US" w:eastAsia="zh-CN"/>
        </w:rPr>
        <w:t>O</w:t>
      </w:r>
      <w:r>
        <w:rPr>
          <w:rFonts w:hint="default" w:ascii="Times New Roman" w:hAnsi="Times New Roman" w:cs="Times New Roman" w:eastAsiaTheme="minorEastAsia"/>
          <w:sz w:val="24"/>
          <w:szCs w:val="24"/>
          <w:lang w:eastAsia="zh-CN"/>
        </w:rPr>
        <w:t>ffice (OFWAT) was established.</w:t>
      </w:r>
    </w:p>
    <w:p>
      <w:pPr>
        <w:pStyle w:val="2"/>
        <w:bidi w:val="0"/>
        <w:outlineLvl w:val="9"/>
        <w:rPr>
          <w:rFonts w:hint="default"/>
          <w:sz w:val="28"/>
          <w:szCs w:val="28"/>
          <w:lang w:val="en-US" w:eastAsia="zh-CN"/>
        </w:rPr>
      </w:pPr>
    </w:p>
    <w:p>
      <w:pPr>
        <w:pStyle w:val="2"/>
        <w:bidi w:val="0"/>
        <w:outlineLvl w:val="0"/>
        <w:rPr>
          <w:rFonts w:hint="default"/>
          <w:sz w:val="28"/>
          <w:szCs w:val="28"/>
        </w:rPr>
      </w:pPr>
      <w:bookmarkStart w:id="11" w:name="_Toc13801_WPSOffice_Level3"/>
      <w:r>
        <w:rPr>
          <w:rFonts w:hint="eastAsia"/>
          <w:sz w:val="28"/>
          <w:szCs w:val="28"/>
          <w:lang w:val="en-US" w:eastAsia="zh-CN"/>
        </w:rPr>
        <w:t>3.</w:t>
      </w:r>
      <w:r>
        <w:rPr>
          <w:rFonts w:hint="default"/>
          <w:sz w:val="28"/>
          <w:szCs w:val="28"/>
        </w:rPr>
        <w:t>The Sustainability Issue of Water Provision</w:t>
      </w:r>
      <w:bookmarkEnd w:id="11"/>
      <w:r>
        <w:rPr>
          <w:rFonts w:hint="default"/>
          <w:sz w:val="28"/>
          <w:szCs w:val="28"/>
        </w:rPr>
        <w:t xml:space="preserve">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color w:val="000000"/>
          <w:sz w:val="24"/>
          <w:szCs w:val="24"/>
          <w:lang w:val="en-US" w:eastAsia="zh-CN" w:bidi="ar"/>
        </w:rPr>
      </w:pPr>
      <w:r>
        <w:rPr>
          <w:rFonts w:hint="default" w:ascii="Times New Roman" w:hAnsi="Times New Roman" w:cs="Times New Roman" w:eastAsiaTheme="minorEastAsia"/>
          <w:color w:val="000000"/>
          <w:sz w:val="24"/>
          <w:szCs w:val="24"/>
          <w:lang w:val="en-US" w:eastAsia="zh-CN" w:bidi="ar"/>
        </w:rPr>
        <w:t>The current state of global water reserve reduction is worrying. Hejazi et al. (2013) used the model to assess global water demand and its impact. Sensitivity analysis was performed on factors that vary in water consumption. They first constructed three scenarios for future global urban water demand forecast: BAU, Low Tech and High Tech. The results of the study show that under the baseline scenario, global per capita water consumption increased from 72 m / (person·year) in 2005to 105 m / (person·year) in 2100, while the technical improvement is larger or smaller, the total water consumption increases to 58 m / (person·year) and 145 m / (person·year) ) respectively. Spatial analysis shows that in the scenario of baseline and technological advancement, Japan and South Korea’s water consumption in 2100 decreased compared with 2005, while water consumption in Africa, India, South Asia, the Middle East and China increased.</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color w:val="000000"/>
          <w:sz w:val="24"/>
          <w:szCs w:val="24"/>
          <w:lang w:val="en-US" w:eastAsia="zh-CN" w:bidi="ar"/>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t xml:space="preserve">The UNESCO </w:t>
      </w:r>
      <w:r>
        <w:rPr>
          <w:rFonts w:hint="default" w:ascii="Times New Roman" w:hAnsi="Times New Roman" w:cs="Times New Roman" w:eastAsiaTheme="minorEastAsia"/>
          <w:sz w:val="24"/>
          <w:szCs w:val="24"/>
          <w:lang w:val="en-US" w:eastAsia="zh-CN"/>
        </w:rPr>
        <w:t xml:space="preserve">(2012) </w:t>
      </w:r>
      <w:r>
        <w:rPr>
          <w:rFonts w:hint="default" w:ascii="Times New Roman" w:hAnsi="Times New Roman" w:cs="Times New Roman" w:eastAsiaTheme="minorEastAsia"/>
          <w:sz w:val="24"/>
          <w:szCs w:val="24"/>
          <w:lang w:eastAsia="zh-CN"/>
        </w:rPr>
        <w:t>also released a report saying that growing demand, rapid urbanization and climate change are putting increasing pressure on global water supply. Countries must fundamentally change the way they manage water resources to cope with complex situations.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According to the report, agricultural water accounts for 70% of freshwater use.</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By the middle of this century, the global population will reach 9 billion, the required food will increase by 70%, and the expansion of food production will increase the global demand for agricultural water by at least 19%.</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At present, the utilization rate of water resources is low</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and water resources are becoming increasingly tense.</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The report predicts that by 2070, Europe, Central and South Europe will face pressure on water shortages.</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t xml:space="preserve">Groundwater is an important component of the global hydrological cycle, with freshwater reserves accounting for 98% of the world's total available fresh water (excluding glaciers)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 xml:space="preserve">Alley, et al., 2002; </w:t>
      </w:r>
      <w:r>
        <w:rPr>
          <w:rFonts w:hint="default" w:ascii="Times New Roman" w:hAnsi="Times New Roman" w:cs="Times New Roman" w:eastAsiaTheme="minorEastAsia"/>
          <w:sz w:val="24"/>
          <w:szCs w:val="24"/>
          <w:lang w:val="en-US" w:eastAsia="zh-CN"/>
        </w:rPr>
        <w:t>Chen et al., 2014)</w:t>
      </w:r>
      <w:r>
        <w:rPr>
          <w:rFonts w:hint="default" w:ascii="Times New Roman" w:hAnsi="Times New Roman" w:cs="Times New Roman" w:eastAsiaTheme="minorEastAsia"/>
          <w:sz w:val="24"/>
          <w:szCs w:val="24"/>
          <w:lang w:eastAsia="zh-CN"/>
        </w:rPr>
        <w:t>.</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 xml:space="preserve">In the natural world, groundwater is not only a stable source of water for many ecosystems, but also important for maintaining ecosystem functions, ensuring species survival conditions, and preventing seawater intrusion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Gun and Lipponen, 2010</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 and is also a global food security maintenance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Famiglietti, 2014</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Since Alley et al.</w:t>
      </w:r>
      <w:r>
        <w:rPr>
          <w:rFonts w:hint="default" w:ascii="Times New Roman" w:hAnsi="Times New Roman" w:cs="Times New Roman" w:eastAsiaTheme="minorEastAsia"/>
          <w:sz w:val="24"/>
          <w:szCs w:val="24"/>
          <w:lang w:val="en-US" w:eastAsia="zh-CN"/>
        </w:rPr>
        <w:t xml:space="preserve"> (1999)</w:t>
      </w:r>
      <w:r>
        <w:rPr>
          <w:rFonts w:hint="default" w:ascii="Times New Roman" w:hAnsi="Times New Roman" w:cs="Times New Roman" w:eastAsiaTheme="minorEastAsia"/>
          <w:sz w:val="24"/>
          <w:szCs w:val="24"/>
          <w:lang w:eastAsia="zh-CN"/>
        </w:rPr>
        <w:t xml:space="preserve"> proposed the concept of groundwater sustainability, the issue of groundwater sustainability in arid and semi-arid areas has gradually become a hot spot.</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On the whole, the evaluation from the perspective of water quantity is still the main body of groundwater sustainability research.</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 xml:space="preserve">The data show that, except for a few regions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Khan et al., 2010; Sangam and Parmeshwar, 2014</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 the unsustainable characteristics of most arid and semi-arid aquifers in the world are very obvious, such as southern Europe </w:t>
      </w:r>
      <w:r>
        <w:rPr>
          <w:rFonts w:hint="default" w:ascii="Times New Roman" w:hAnsi="Times New Roman" w:cs="Times New Roman" w:eastAsiaTheme="minorEastAsia"/>
          <w:sz w:val="24"/>
          <w:szCs w:val="24"/>
          <w:lang w:val="en-US" w:eastAsia="zh-CN"/>
        </w:rPr>
        <w:t>(Aksever et al., 2015)</w:t>
      </w:r>
      <w:r>
        <w:rPr>
          <w:rFonts w:hint="default" w:ascii="Times New Roman" w:hAnsi="Times New Roman" w:cs="Times New Roman" w:eastAsiaTheme="minorEastAsia"/>
          <w:sz w:val="24"/>
          <w:szCs w:val="24"/>
          <w:lang w:eastAsia="zh-CN"/>
        </w:rPr>
        <w:t xml:space="preserve">, northern Africa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Richey et al., 2015</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the south</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sz w:val="24"/>
          <w:szCs w:val="24"/>
          <w:lang w:val="en-US" w:eastAsia="zh-CN"/>
        </w:rPr>
        <w:t>Seward et al., 2012</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 the Arabian Peninsula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Richey et al., 2015</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 the northwestern part of the Indian Peninsula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Gupta, 2014; Tang et al., 2017</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 the central western part of North America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Ziolkowska and Reyes, 2017</w:t>
      </w:r>
      <w:r>
        <w:rPr>
          <w:rFonts w:hint="default" w:ascii="Times New Roman" w:hAnsi="Times New Roman" w:cs="Times New Roman" w:eastAsiaTheme="minorEastAsia"/>
          <w:sz w:val="24"/>
          <w:szCs w:val="24"/>
          <w:lang w:val="en-US" w:eastAsia="zh-CN"/>
        </w:rPr>
        <w:t xml:space="preserve">) and </w:t>
      </w:r>
      <w:r>
        <w:rPr>
          <w:rFonts w:hint="default" w:ascii="Times New Roman" w:hAnsi="Times New Roman" w:cs="Times New Roman" w:eastAsiaTheme="minorEastAsia"/>
          <w:sz w:val="24"/>
          <w:szCs w:val="24"/>
          <w:lang w:eastAsia="zh-CN"/>
        </w:rPr>
        <w:t xml:space="preserve">Central Asia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Camp et al., 2010; Gibrilla et al., 2018</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It can be seen that most of the groundwater systems in the global environment have been unsustainable to varying degrees, and even the ecological damage of groundwater in many areas cannot be restored.</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p>
    <w:p>
      <w:pPr>
        <w:pStyle w:val="2"/>
        <w:bidi w:val="0"/>
        <w:outlineLvl w:val="0"/>
        <w:rPr>
          <w:rFonts w:hint="default"/>
          <w:sz w:val="28"/>
          <w:szCs w:val="28"/>
          <w:lang w:val="en-US" w:eastAsia="zh-CN"/>
        </w:rPr>
      </w:pPr>
      <w:bookmarkStart w:id="12" w:name="_Toc15301_WPSOffice_Level3"/>
      <w:r>
        <w:rPr>
          <w:rFonts w:hint="eastAsia"/>
          <w:sz w:val="28"/>
          <w:szCs w:val="28"/>
          <w:lang w:val="en-US" w:eastAsia="zh-CN"/>
        </w:rPr>
        <w:t>4.</w:t>
      </w:r>
      <w:r>
        <w:rPr>
          <w:rFonts w:hint="default"/>
          <w:sz w:val="28"/>
          <w:szCs w:val="28"/>
          <w:lang w:val="en-US" w:eastAsia="zh-CN"/>
        </w:rPr>
        <w:t>Examples of Science Application in Water Companies</w:t>
      </w:r>
      <w:bookmarkEnd w:id="12"/>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t>With the penetration and development of data analysis and application in the water industry, the impact of water information technology on the industry is becoming more and more obvious. The use of self-control, perception, intelligence and other technical means to improve the management level of urban water systems has received much attention.</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t>The application of intelligent systems realizes the combing of data assets and effective analysis.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British United Utilities</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 xml:space="preserve"> bursting warning system is a typical case of intelligent systems. It analyzes water supply system accident data, cooperates with artificial intelligence technology and statistical data analysis tools, including wavelet denoising technology to extract effective data. The analysis algorithm successfully identifies the water supply accident bursting event in a fast and reliable way, establishes a set of real-time bursting early warning system, and effectively guides the business management of the enterprise </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sz w:val="24"/>
          <w:szCs w:val="24"/>
          <w:lang w:val="en-US" w:eastAsia="zh-CN"/>
        </w:rPr>
        <w:t>Romano, 2012</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r>
        <w:rPr>
          <w:rFonts w:hint="default" w:ascii="Times New Roman" w:hAnsi="Times New Roman" w:cs="Times New Roman" w:eastAsiaTheme="minorEastAsia"/>
          <w:sz w:val="24"/>
          <w:szCs w:val="24"/>
          <w:lang w:eastAsia="zh-CN"/>
        </w:rPr>
        <w:t>Innovyze is a company that provides drinking water/sewage hydraulic models and simulation technology.</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Its product, Innovyze</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Smart</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Water</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Network (SWN), analyzes water supply requirements, water quality, weather, energy consumption and operating conditions through advanced analysis, GIS, real-time models and other tools to provide real-time operational data for water plants.</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 xml:space="preserve">After the application of </w:t>
      </w:r>
      <w:r>
        <w:rPr>
          <w:rFonts w:hint="default" w:ascii="Times New Roman" w:hAnsi="Times New Roman" w:cs="Times New Roman" w:eastAsiaTheme="minorEastAsia"/>
          <w:sz w:val="24"/>
          <w:szCs w:val="24"/>
          <w:lang w:val="en-US" w:eastAsia="zh-CN"/>
        </w:rPr>
        <w:t>SWN</w:t>
      </w:r>
      <w:r>
        <w:rPr>
          <w:rFonts w:hint="default" w:ascii="Times New Roman" w:hAnsi="Times New Roman" w:cs="Times New Roman" w:eastAsiaTheme="minorEastAsia"/>
          <w:sz w:val="24"/>
          <w:szCs w:val="24"/>
          <w:lang w:eastAsia="zh-CN"/>
        </w:rPr>
        <w:t xml:space="preserve"> in Las Vegas, Las Vegas has successfully reduced transportation losses and energy consumption</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sz w:val="24"/>
          <w:szCs w:val="24"/>
          <w:lang w:val="en-US" w:eastAsia="zh-CN"/>
        </w:rPr>
        <w:t>Boulos et al., 2014</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lang w:eastAsia="zh-CN"/>
        </w:rPr>
        <w:t>.</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eastAsia="zh-CN"/>
        </w:rPr>
      </w:pP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eastAsia="zh-CN"/>
        </w:rPr>
        <w:t>At the dawn of the big data era, the old water company GE</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Water has also turned its attention to the smart water market.</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GE released the software service Software-as-a-Service (SaaS) on the Predix platform to improve water plant operational efficiency and water quality.</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sz w:val="24"/>
          <w:szCs w:val="24"/>
          <w:lang w:eastAsia="zh-CN"/>
        </w:rPr>
        <w:t>This software service allows water plants to store data without having to purchase a dedicated server</w:t>
      </w:r>
      <w:r>
        <w:rPr>
          <w:rFonts w:hint="default" w:ascii="Times New Roman" w:hAnsi="Times New Roman" w:cs="Times New Roman" w:eastAsiaTheme="minorEastAsia"/>
          <w:sz w:val="24"/>
          <w:szCs w:val="24"/>
          <w:lang w:val="en-US" w:eastAsia="zh-CN"/>
        </w:rPr>
        <w:t xml:space="preserve">, which </w:t>
      </w:r>
      <w:r>
        <w:rPr>
          <w:rFonts w:hint="default" w:ascii="Times New Roman" w:hAnsi="Times New Roman" w:cs="Times New Roman" w:eastAsiaTheme="minorEastAsia"/>
          <w:sz w:val="24"/>
          <w:szCs w:val="24"/>
          <w:lang w:eastAsia="zh-CN"/>
        </w:rPr>
        <w:t>meet</w:t>
      </w:r>
      <w:r>
        <w:rPr>
          <w:rFonts w:hint="default" w:ascii="Times New Roman" w:hAnsi="Times New Roman" w:cs="Times New Roman" w:eastAsiaTheme="minorEastAsia"/>
          <w:sz w:val="24"/>
          <w:szCs w:val="24"/>
          <w:lang w:val="en-US" w:eastAsia="zh-CN"/>
        </w:rPr>
        <w:t>s</w:t>
      </w:r>
      <w:r>
        <w:rPr>
          <w:rFonts w:hint="default" w:ascii="Times New Roman" w:hAnsi="Times New Roman" w:cs="Times New Roman" w:eastAsiaTheme="minorEastAsia"/>
          <w:sz w:val="24"/>
          <w:szCs w:val="24"/>
          <w:lang w:eastAsia="zh-CN"/>
        </w:rPr>
        <w:t xml:space="preserve"> the needs of many small water plants</w:t>
      </w:r>
      <w:r>
        <w:rPr>
          <w:rFonts w:hint="default" w:ascii="Times New Roman" w:hAnsi="Times New Roman" w:cs="Times New Roman" w:eastAsiaTheme="minorEastAsia"/>
          <w:sz w:val="24"/>
          <w:szCs w:val="24"/>
          <w:lang w:val="en-US" w:eastAsia="zh-CN"/>
        </w:rPr>
        <w:t xml:space="preserve"> (GE, 2016)</w:t>
      </w:r>
      <w:r>
        <w:rPr>
          <w:rFonts w:hint="default" w:ascii="Times New Roman" w:hAnsi="Times New Roman" w:cs="Times New Roman" w:eastAsiaTheme="minorEastAsia"/>
          <w:sz w:val="24"/>
          <w:szCs w:val="24"/>
          <w:lang w:eastAsia="zh-CN"/>
        </w:rPr>
        <w:t>.</w:t>
      </w:r>
      <w:r>
        <w:rPr>
          <w:rFonts w:hint="default" w:ascii="Times New Roman" w:hAnsi="Times New Roman" w:cs="Times New Roman" w:eastAsiaTheme="minorEastAsia"/>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p>
    <w:p>
      <w:pPr>
        <w:pStyle w:val="2"/>
        <w:bidi w:val="0"/>
        <w:outlineLvl w:val="0"/>
        <w:rPr>
          <w:rFonts w:hint="default"/>
          <w:sz w:val="28"/>
          <w:szCs w:val="28"/>
          <w:lang w:val="en-US" w:eastAsia="zh-CN"/>
        </w:rPr>
      </w:pPr>
      <w:bookmarkStart w:id="13" w:name="_Toc24526_WPSOffice_Level3"/>
      <w:r>
        <w:rPr>
          <w:rFonts w:hint="eastAsia"/>
          <w:sz w:val="28"/>
          <w:szCs w:val="28"/>
          <w:lang w:val="en-US" w:eastAsia="zh-CN"/>
        </w:rPr>
        <w:t>5.</w:t>
      </w:r>
      <w:r>
        <w:rPr>
          <w:rFonts w:hint="default"/>
          <w:sz w:val="28"/>
          <w:szCs w:val="28"/>
          <w:lang w:val="en-US" w:eastAsia="zh-CN"/>
        </w:rPr>
        <w:t>Conclusion</w:t>
      </w:r>
      <w:bookmarkEnd w:id="13"/>
    </w:p>
    <w:p>
      <w:pPr>
        <w:keepNext w:val="0"/>
        <w:keepLines w:val="0"/>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Analyzing from Carol’s CSR model, water companies do well in the economic and </w:t>
      </w:r>
      <w:r>
        <w:rPr>
          <w:rFonts w:hint="default" w:ascii="Times New Roman" w:hAnsi="Times New Roman" w:cs="Times New Roman" w:eastAsiaTheme="minorEastAsia"/>
          <w:sz w:val="24"/>
          <w:szCs w:val="24"/>
          <w:lang w:eastAsia="zh-CN"/>
        </w:rPr>
        <w:t xml:space="preserve">Charity </w:t>
      </w:r>
      <w:r>
        <w:rPr>
          <w:rFonts w:hint="default" w:ascii="Times New Roman" w:hAnsi="Times New Roman" w:cs="Times New Roman" w:eastAsiaTheme="minorEastAsia"/>
          <w:sz w:val="24"/>
          <w:szCs w:val="24"/>
          <w:lang w:val="en-US" w:eastAsia="zh-CN"/>
        </w:rPr>
        <w:t>r</w:t>
      </w:r>
      <w:r>
        <w:rPr>
          <w:rFonts w:hint="default" w:ascii="Times New Roman" w:hAnsi="Times New Roman" w:cs="Times New Roman" w:eastAsiaTheme="minorEastAsia"/>
          <w:sz w:val="24"/>
          <w:szCs w:val="24"/>
          <w:lang w:eastAsia="zh-CN"/>
        </w:rPr>
        <w:t>esponsibility</w:t>
      </w:r>
      <w:r>
        <w:rPr>
          <w:rFonts w:hint="default" w:ascii="Times New Roman" w:hAnsi="Times New Roman" w:cs="Times New Roman" w:eastAsiaTheme="minorEastAsia"/>
          <w:sz w:val="24"/>
          <w:szCs w:val="24"/>
          <w:lang w:val="en-US" w:eastAsia="zh-CN"/>
        </w:rPr>
        <w:t xml:space="preserve">, but they should attach more importance on the legal and ethical responsibility. Although water is usually see as the public water and controlled by government. The practice have proved that privatization of water management is more cost-effective and environmental friendly. The water provision is facing challenges as UN and many scholars have proposed their concerns. Currently, the water companies are trying to enhance the efficiency of water use by combined with the smart system and big data. </w:t>
      </w:r>
    </w:p>
    <w:p>
      <w:pPr>
        <w:keepNext w:val="0"/>
        <w:keepLines w:val="0"/>
        <w:pageBreakBefore w:val="0"/>
        <w:widowControl/>
        <w:kinsoku/>
        <w:wordWrap/>
        <w:overflowPunct/>
        <w:topLinePunct w:val="0"/>
        <w:autoSpaceDE/>
        <w:autoSpaceDN/>
        <w:bidi w:val="0"/>
        <w:adjustRightInd/>
        <w:snapToGrid/>
        <w:spacing w:before="240"/>
        <w:jc w:val="both"/>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240"/>
        <w:jc w:val="both"/>
        <w:textAlignment w:val="auto"/>
        <w:rPr>
          <w:rFonts w:hint="default" w:ascii="Times New Roman" w:hAnsi="Times New Roman" w:cs="Times New Roman" w:eastAsiaTheme="minorEastAsia"/>
          <w:sz w:val="24"/>
          <w:szCs w:val="24"/>
          <w:lang w:val="en-US" w:eastAsia="zh-CN"/>
        </w:rPr>
      </w:pPr>
    </w:p>
    <w:p>
      <w:pPr>
        <w:pStyle w:val="2"/>
        <w:bidi w:val="0"/>
        <w:outlineLvl w:val="0"/>
        <w:rPr>
          <w:rFonts w:hint="default"/>
          <w:sz w:val="28"/>
          <w:szCs w:val="28"/>
          <w:lang w:val="en-US" w:eastAsia="zh-CN"/>
        </w:rPr>
      </w:pPr>
      <w:bookmarkStart w:id="14" w:name="_Toc19146_WPSOffice_Level3"/>
      <w:r>
        <w:rPr>
          <w:rFonts w:hint="eastAsia"/>
          <w:sz w:val="28"/>
          <w:szCs w:val="28"/>
          <w:lang w:val="en-US" w:eastAsia="zh-CN"/>
        </w:rPr>
        <w:t>6.</w:t>
      </w:r>
      <w:r>
        <w:rPr>
          <w:rFonts w:hint="default"/>
          <w:sz w:val="28"/>
          <w:szCs w:val="28"/>
          <w:lang w:val="en-US" w:eastAsia="zh-CN"/>
        </w:rPr>
        <w:t>References</w:t>
      </w:r>
      <w:bookmarkEnd w:id="14"/>
      <w:r>
        <w:rPr>
          <w:rFonts w:hint="default"/>
          <w:sz w:val="28"/>
          <w:szCs w:val="28"/>
          <w:lang w:val="en-US" w:eastAsia="zh-CN"/>
        </w:rPr>
        <w:t xml:space="preserve"> </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w:t>
      </w:r>
      <w:r>
        <w:rPr>
          <w:rFonts w:hint="default" w:ascii="Times New Roman" w:hAnsi="Times New Roman" w:cs="Times New Roman"/>
          <w:sz w:val="24"/>
          <w:szCs w:val="24"/>
          <w:lang w:val="en-US" w:eastAsia="zh-CN"/>
        </w:rPr>
        <w:t xml:space="preserve">Alley, W.M., et al. 2002. Flow and storage in groundwater systems. </w:t>
      </w:r>
      <w:r>
        <w:rPr>
          <w:rFonts w:hint="default" w:ascii="Times New Roman" w:hAnsi="Times New Roman" w:cs="Times New Roman"/>
          <w:i/>
          <w:iCs/>
          <w:sz w:val="24"/>
          <w:szCs w:val="24"/>
          <w:lang w:val="en-US" w:eastAsia="zh-CN"/>
        </w:rPr>
        <w:t>Science</w:t>
      </w:r>
      <w:r>
        <w:rPr>
          <w:rFonts w:hint="default" w:ascii="Times New Roman" w:hAnsi="Times New Roman" w:cs="Times New Roman"/>
          <w:sz w:val="24"/>
          <w:szCs w:val="24"/>
          <w:lang w:val="en-US" w:eastAsia="zh-CN"/>
        </w:rPr>
        <w:t>, 296(5575), pp.1985-1990.</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w:t>
      </w:r>
      <w:r>
        <w:rPr>
          <w:rFonts w:hint="default" w:ascii="Times New Roman" w:hAnsi="Times New Roman" w:cs="Times New Roman"/>
          <w:sz w:val="24"/>
          <w:szCs w:val="24"/>
          <w:lang w:val="en-US" w:eastAsia="zh-CN"/>
        </w:rPr>
        <w:t>Aksever, F., Davraz, A. and Karaguzel, R. 2015. Groundwater balance estimation and</w:t>
      </w:r>
      <w:r>
        <w:rPr>
          <w:rFonts w:hint="eastAsia" w:cs="Times New Roman"/>
          <w:sz w:val="24"/>
          <w:szCs w:val="24"/>
          <w:lang w:val="en-US" w:eastAsia="zh-CN"/>
        </w:rPr>
        <w:t xml:space="preserve"> </w:t>
      </w:r>
      <w:r>
        <w:rPr>
          <w:rFonts w:hint="default" w:ascii="Times New Roman" w:hAnsi="Times New Roman" w:cs="Times New Roman"/>
          <w:sz w:val="24"/>
          <w:szCs w:val="24"/>
          <w:lang w:val="en-US" w:eastAsia="zh-CN"/>
        </w:rPr>
        <w:t xml:space="preserve">sustainability in the Sandikli Basin (Afyonkarahisar/Turkey). </w:t>
      </w:r>
      <w:r>
        <w:rPr>
          <w:rFonts w:hint="default" w:ascii="Times New Roman" w:hAnsi="Times New Roman" w:cs="Times New Roman"/>
          <w:i/>
          <w:iCs/>
          <w:sz w:val="24"/>
          <w:szCs w:val="24"/>
          <w:lang w:val="en-US" w:eastAsia="zh-CN"/>
        </w:rPr>
        <w:t>Journal of Earth System Science,</w:t>
      </w:r>
      <w:r>
        <w:rPr>
          <w:rFonts w:hint="default" w:ascii="Times New Roman" w:hAnsi="Times New Roman" w:cs="Times New Roman"/>
          <w:sz w:val="24"/>
          <w:szCs w:val="24"/>
          <w:lang w:val="en-US" w:eastAsia="zh-CN"/>
        </w:rPr>
        <w:t xml:space="preserve"> 124(4), pp.783-798.</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3.</w:t>
      </w:r>
      <w:r>
        <w:rPr>
          <w:rFonts w:hint="default" w:ascii="Times New Roman" w:hAnsi="Times New Roman" w:cs="Times New Roman"/>
          <w:sz w:val="24"/>
          <w:szCs w:val="24"/>
          <w:lang w:val="en-US" w:eastAsia="zh-CN"/>
        </w:rPr>
        <w:t xml:space="preserve">Boulos, P.F., Jacobsen, L., Erick Heath, J. and Kamojjala, S. 2014. Real-Time Modeling of Water Distribution Systems: A Case Study. </w:t>
      </w:r>
      <w:r>
        <w:rPr>
          <w:rFonts w:hint="default" w:ascii="Times New Roman" w:hAnsi="Times New Roman" w:cs="Times New Roman"/>
          <w:i/>
          <w:iCs/>
          <w:sz w:val="24"/>
          <w:szCs w:val="24"/>
          <w:lang w:val="en-US" w:eastAsia="zh-CN"/>
        </w:rPr>
        <w:t>Journal - American Water Works Association,</w:t>
      </w:r>
      <w:r>
        <w:rPr>
          <w:rFonts w:hint="default" w:ascii="Times New Roman" w:hAnsi="Times New Roman" w:cs="Times New Roman"/>
          <w:sz w:val="24"/>
          <w:szCs w:val="24"/>
          <w:lang w:val="en-US" w:eastAsia="zh-CN"/>
        </w:rPr>
        <w:t xml:space="preserve"> 106(9), pp.E391-E401.</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4.</w:t>
      </w:r>
      <w:r>
        <w:rPr>
          <w:rFonts w:hint="default" w:ascii="Times New Roman" w:hAnsi="Times New Roman" w:cs="Times New Roman"/>
          <w:sz w:val="24"/>
          <w:szCs w:val="24"/>
          <w:lang w:val="en-US" w:eastAsia="zh-CN"/>
        </w:rPr>
        <w:t xml:space="preserve">Carroll, A. 1991. The Pyramid of Corporate Social Responsibility: Toward the Moral Management of Organizational Stakeholders. </w:t>
      </w:r>
      <w:r>
        <w:rPr>
          <w:rFonts w:hint="default" w:ascii="Times New Roman" w:hAnsi="Times New Roman" w:cs="Times New Roman"/>
          <w:i/>
          <w:iCs/>
          <w:sz w:val="24"/>
          <w:szCs w:val="24"/>
          <w:lang w:val="en-US" w:eastAsia="zh-CN"/>
        </w:rPr>
        <w:t xml:space="preserve">Business Horizons, </w:t>
      </w:r>
      <w:r>
        <w:rPr>
          <w:rFonts w:hint="default" w:ascii="Times New Roman" w:hAnsi="Times New Roman" w:cs="Times New Roman"/>
          <w:sz w:val="24"/>
          <w:szCs w:val="24"/>
          <w:lang w:val="en-US" w:eastAsia="zh-CN"/>
        </w:rPr>
        <w:t>34(4), pp.39-48.</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5.</w:t>
      </w:r>
      <w:r>
        <w:rPr>
          <w:rFonts w:hint="default" w:ascii="Times New Roman" w:hAnsi="Times New Roman" w:cs="Times New Roman"/>
          <w:sz w:val="24"/>
          <w:szCs w:val="24"/>
          <w:lang w:val="en-US" w:eastAsia="zh-CN"/>
        </w:rPr>
        <w:t xml:space="preserve">Chen, J., et al. 2014. Long-term groundwater variations in Northwest India from satellite gravity measurements. </w:t>
      </w:r>
      <w:r>
        <w:rPr>
          <w:rFonts w:hint="default" w:ascii="Times New Roman" w:hAnsi="Times New Roman" w:cs="Times New Roman"/>
          <w:i/>
          <w:iCs/>
          <w:sz w:val="24"/>
          <w:szCs w:val="24"/>
          <w:lang w:val="en-US" w:eastAsia="zh-CN"/>
        </w:rPr>
        <w:t>Global and Planetary Change,</w:t>
      </w:r>
      <w:r>
        <w:rPr>
          <w:rFonts w:hint="default" w:ascii="Times New Roman" w:hAnsi="Times New Roman" w:cs="Times New Roman"/>
          <w:sz w:val="24"/>
          <w:szCs w:val="24"/>
          <w:lang w:val="en-US" w:eastAsia="zh-CN"/>
        </w:rPr>
        <w:t xml:space="preserve"> 116, pp.130-138.</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6.</w:t>
      </w:r>
      <w:r>
        <w:rPr>
          <w:rFonts w:hint="default" w:ascii="Times New Roman" w:hAnsi="Times New Roman" w:cs="Times New Roman"/>
          <w:sz w:val="24"/>
          <w:szCs w:val="24"/>
          <w:lang w:val="en-US" w:eastAsia="zh-CN"/>
        </w:rPr>
        <w:t xml:space="preserve">Camp, MV., Radfar, M. and Walraevens, K. 2010. Assessment of groundwater storage depletion by over-exploitation using simple indicators in an irrigated closed aquifer basin in Iran. </w:t>
      </w:r>
      <w:r>
        <w:rPr>
          <w:rFonts w:hint="default" w:ascii="Times New Roman" w:hAnsi="Times New Roman" w:cs="Times New Roman"/>
          <w:i/>
          <w:iCs/>
          <w:sz w:val="24"/>
          <w:szCs w:val="24"/>
          <w:lang w:val="en-US" w:eastAsia="zh-CN"/>
        </w:rPr>
        <w:t>Agricultural Water Management,</w:t>
      </w:r>
      <w:r>
        <w:rPr>
          <w:rFonts w:hint="default" w:ascii="Times New Roman" w:hAnsi="Times New Roman" w:cs="Times New Roman"/>
          <w:sz w:val="24"/>
          <w:szCs w:val="24"/>
          <w:lang w:val="en-US" w:eastAsia="zh-CN"/>
        </w:rPr>
        <w:t>97(11), pp.1 876-1886.</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eastAsiaTheme="minorEastAsia"/>
          <w:sz w:val="24"/>
          <w:szCs w:val="24"/>
          <w:lang w:val="en-US" w:eastAsia="zh-CN"/>
        </w:rPr>
        <w:t>FengHuang</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sz w:val="24"/>
          <w:szCs w:val="24"/>
          <w:lang w:val="en-US" w:eastAsia="zh-CN"/>
        </w:rPr>
        <w:t xml:space="preserve"> 2018</w:t>
      </w:r>
      <w:r>
        <w:rPr>
          <w:rFonts w:hint="default" w:ascii="Times New Roman" w:hAnsi="Times New Roman" w:cs="Times New Roman"/>
          <w:sz w:val="24"/>
          <w:szCs w:val="24"/>
          <w:lang w:val="en-US" w:eastAsia="zh-CN"/>
        </w:rPr>
        <w:t xml:space="preserve">. </w:t>
      </w:r>
      <w:r>
        <w:rPr>
          <w:rFonts w:hint="default" w:ascii="Times New Roman" w:hAnsi="Times New Roman" w:cs="Times New Roman"/>
          <w:b w:val="0"/>
          <w:bCs w:val="0"/>
          <w:i/>
          <w:iCs/>
          <w:sz w:val="24"/>
          <w:szCs w:val="24"/>
          <w:lang w:val="en-US" w:eastAsia="zh-CN"/>
        </w:rPr>
        <w:t>China’s water industry income, profits continue to grow. Industry mergers have become mainstream.</w:t>
      </w:r>
      <w:r>
        <w:rPr>
          <w:rFonts w:hint="default" w:ascii="Times New Roman" w:hAnsi="Times New Roman" w:cs="Times New Roman"/>
          <w:sz w:val="24"/>
          <w:szCs w:val="24"/>
          <w:lang w:val="en-US" w:eastAsia="zh-CN"/>
        </w:rPr>
        <w:t xml:space="preserve"> 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"http://wemedia.ifeng.com/84464258/wemedia.shtml"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http://wemedia.ifeng.com/84464258/wemedia.shtml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April 23, 2019.</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8.</w:t>
      </w:r>
      <w:r>
        <w:rPr>
          <w:rFonts w:hint="default" w:ascii="Times New Roman" w:hAnsi="Times New Roman" w:cs="Times New Roman"/>
          <w:sz w:val="24"/>
          <w:szCs w:val="24"/>
          <w:lang w:val="en-US" w:eastAsia="zh-CN"/>
        </w:rPr>
        <w:t>Famiglietti, J.S. 2014. The global groundwater crisis.</w:t>
      </w:r>
      <w:r>
        <w:rPr>
          <w:rFonts w:hint="default" w:ascii="Times New Roman" w:hAnsi="Times New Roman" w:cs="Times New Roman"/>
          <w:i/>
          <w:iCs/>
          <w:sz w:val="24"/>
          <w:szCs w:val="24"/>
          <w:lang w:val="en-US" w:eastAsia="zh-CN"/>
        </w:rPr>
        <w:t xml:space="preserve"> Nature Climate Change</w:t>
      </w:r>
      <w:r>
        <w:rPr>
          <w:rFonts w:hint="default" w:ascii="Times New Roman" w:hAnsi="Times New Roman" w:cs="Times New Roman"/>
          <w:sz w:val="24"/>
          <w:szCs w:val="24"/>
          <w:lang w:val="en-US" w:eastAsia="zh-CN"/>
        </w:rPr>
        <w:t>, 4(11), pp.945-948.</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9.</w:t>
      </w:r>
      <w:r>
        <w:rPr>
          <w:rFonts w:hint="default" w:ascii="Times New Roman" w:hAnsi="Times New Roman" w:cs="Times New Roman"/>
          <w:sz w:val="24"/>
          <w:szCs w:val="24"/>
          <w:lang w:val="en-US" w:eastAsia="zh-CN"/>
        </w:rPr>
        <w:t xml:space="preserve">Glennon, R.J. 2005. Water Scarcity, Marketing, and Privatization. </w:t>
      </w:r>
      <w:r>
        <w:rPr>
          <w:rFonts w:hint="default" w:ascii="Times New Roman" w:hAnsi="Times New Roman" w:cs="Times New Roman"/>
          <w:i/>
          <w:iCs/>
          <w:sz w:val="24"/>
          <w:szCs w:val="24"/>
          <w:lang w:val="en-US" w:eastAsia="zh-CN"/>
        </w:rPr>
        <w:t xml:space="preserve">Texas Law Review, </w:t>
      </w:r>
      <w:r>
        <w:rPr>
          <w:rFonts w:hint="default" w:ascii="Times New Roman" w:hAnsi="Times New Roman" w:cs="Times New Roman"/>
          <w:sz w:val="24"/>
          <w:szCs w:val="24"/>
          <w:lang w:val="en-US" w:eastAsia="zh-CN"/>
        </w:rPr>
        <w:t>2005, (83).</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10.</w:t>
      </w:r>
      <w:r>
        <w:rPr>
          <w:rFonts w:hint="default" w:ascii="Times New Roman" w:hAnsi="Times New Roman" w:cs="Times New Roman"/>
          <w:sz w:val="24"/>
          <w:szCs w:val="24"/>
          <w:lang w:val="en-US" w:eastAsia="zh-CN"/>
        </w:rPr>
        <w:t>Gleick, P.H., et a.l 2002.</w:t>
      </w:r>
      <w:r>
        <w:rPr>
          <w:rFonts w:hint="default" w:ascii="Times New Roman" w:hAnsi="Times New Roman" w:cs="Times New Roman"/>
          <w:i/>
          <w:iCs/>
          <w:sz w:val="24"/>
          <w:szCs w:val="24"/>
          <w:lang w:val="en-US" w:eastAsia="zh-CN"/>
        </w:rPr>
        <w:t xml:space="preserve"> The New Economy of Water: The Risks and Benefits of Globalization and Privatization of Fresh Water.</w:t>
      </w:r>
      <w:r>
        <w:rPr>
          <w:rFonts w:hint="default" w:ascii="Times New Roman" w:hAnsi="Times New Roman" w:cs="Times New Roman"/>
          <w:sz w:val="24"/>
          <w:szCs w:val="24"/>
          <w:lang w:val="en-US" w:eastAsia="zh-CN"/>
        </w:rPr>
        <w:t xml:space="preserve"> California: Pacific Institute.</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11.</w:t>
      </w:r>
      <w:r>
        <w:rPr>
          <w:rFonts w:hint="default" w:ascii="Times New Roman" w:hAnsi="Times New Roman" w:cs="Times New Roman"/>
          <w:sz w:val="24"/>
          <w:szCs w:val="24"/>
          <w:lang w:val="en-US" w:eastAsia="zh-CN"/>
        </w:rPr>
        <w:t xml:space="preserve">Gibrilla, A., Anornu, G. and Adomako, D. 2018. Trend analysis and ARIMA modelling of recent groundwater levels in the White Volta River basin of Ghana. </w:t>
      </w:r>
      <w:r>
        <w:rPr>
          <w:rFonts w:hint="default" w:ascii="Times New Roman" w:hAnsi="Times New Roman" w:cs="Times New Roman"/>
          <w:i/>
          <w:iCs/>
          <w:sz w:val="24"/>
          <w:szCs w:val="24"/>
          <w:lang w:val="en-US" w:eastAsia="zh-CN"/>
        </w:rPr>
        <w:t xml:space="preserve">Groundwater for Sustainable Development, </w:t>
      </w:r>
      <w:r>
        <w:rPr>
          <w:rFonts w:hint="default" w:ascii="Times New Roman" w:hAnsi="Times New Roman" w:cs="Times New Roman"/>
          <w:sz w:val="24"/>
          <w:szCs w:val="24"/>
          <w:lang w:val="en-US" w:eastAsia="zh-CN"/>
        </w:rPr>
        <w:t>6 , pp.150-163.</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12.</w:t>
      </w:r>
      <w:r>
        <w:rPr>
          <w:rFonts w:hint="default" w:ascii="Times New Roman" w:hAnsi="Times New Roman" w:cs="Times New Roman"/>
          <w:sz w:val="24"/>
          <w:szCs w:val="24"/>
          <w:lang w:val="en-US" w:eastAsia="zh-CN"/>
        </w:rPr>
        <w:t xml:space="preserve">Gun, J.V.D. and Lipponen, A. 2010. Reconciling groundwater storage depletion due to pumping with sustainability. </w:t>
      </w:r>
      <w:r>
        <w:rPr>
          <w:rFonts w:hint="default" w:ascii="Times New Roman" w:hAnsi="Times New Roman" w:cs="Times New Roman"/>
          <w:i/>
          <w:iCs/>
          <w:sz w:val="24"/>
          <w:szCs w:val="24"/>
          <w:lang w:val="en-US" w:eastAsia="zh-CN"/>
        </w:rPr>
        <w:t>Sustainability</w:t>
      </w:r>
      <w:r>
        <w:rPr>
          <w:rFonts w:hint="default" w:ascii="Times New Roman" w:hAnsi="Times New Roman" w:cs="Times New Roman"/>
          <w:sz w:val="24"/>
          <w:szCs w:val="24"/>
          <w:lang w:val="en-US" w:eastAsia="zh-CN"/>
        </w:rPr>
        <w:t>, 2(12), pp.3418-3435.</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13.</w:t>
      </w:r>
      <w:r>
        <w:rPr>
          <w:rFonts w:hint="default" w:ascii="Times New Roman" w:hAnsi="Times New Roman" w:cs="Times New Roman"/>
          <w:sz w:val="24"/>
          <w:szCs w:val="24"/>
          <w:lang w:val="en-US" w:eastAsia="zh-CN"/>
        </w:rPr>
        <w:t xml:space="preserve">Gupta, N. 2014. Groundwater vulnerability assessment using DRAS‐TIC method in Jabalpur District of Madhya Pradesh. </w:t>
      </w:r>
      <w:r>
        <w:rPr>
          <w:rFonts w:hint="default" w:ascii="Times New Roman" w:hAnsi="Times New Roman" w:cs="Times New Roman"/>
          <w:i/>
          <w:iCs/>
          <w:sz w:val="24"/>
          <w:szCs w:val="24"/>
          <w:lang w:val="en-US" w:eastAsia="zh-CN"/>
        </w:rPr>
        <w:t>International Journal of Recent Technology and Engineering</w:t>
      </w:r>
      <w:r>
        <w:rPr>
          <w:rFonts w:hint="default" w:ascii="Times New Roman" w:hAnsi="Times New Roman" w:cs="Times New Roman"/>
          <w:sz w:val="24"/>
          <w:szCs w:val="24"/>
          <w:lang w:val="en-US" w:eastAsia="zh-CN"/>
        </w:rPr>
        <w:t>, 3(3), pp.36-43.</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14.</w:t>
      </w:r>
      <w:r>
        <w:rPr>
          <w:rFonts w:hint="default" w:ascii="Times New Roman" w:hAnsi="Times New Roman" w:cs="Times New Roman"/>
          <w:sz w:val="24"/>
          <w:szCs w:val="24"/>
          <w:lang w:val="en-US" w:eastAsia="zh-CN"/>
        </w:rPr>
        <w:t xml:space="preserve">GE. 2016. </w:t>
      </w:r>
      <w:r>
        <w:rPr>
          <w:rFonts w:hint="default" w:ascii="Times New Roman" w:hAnsi="Times New Roman" w:cs="Times New Roman"/>
          <w:i/>
          <w:iCs/>
          <w:sz w:val="24"/>
          <w:szCs w:val="24"/>
          <w:lang w:val="en-US" w:eastAsia="zh-CN"/>
        </w:rPr>
        <w:t>GE Expands Its Digital Water Capabilities with the Launch of New Software Solutions and Announces Key Partnerships.</w:t>
      </w:r>
      <w:r>
        <w:rPr>
          <w:rFonts w:hint="default" w:ascii="Times New Roman" w:hAnsi="Times New Roman" w:cs="Times New Roman"/>
          <w:sz w:val="24"/>
          <w:szCs w:val="24"/>
          <w:lang w:val="en-US" w:eastAsia="zh-CN"/>
        </w:rPr>
        <w:t xml:space="preserve"> 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"https://www.genewsroom.com/press-releases/ge-expands-its-digital-water-capabilities-launch-new-software-solutions-and-announces"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https://www.genewsroom.com/press-releases/ge-expands-its-digital-water-capabilities-launch-new-software-solutions-and-announces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April 23, 2019.</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15.</w:t>
      </w:r>
      <w:r>
        <w:rPr>
          <w:rFonts w:hint="default" w:ascii="Times New Roman" w:hAnsi="Times New Roman" w:cs="Times New Roman"/>
          <w:sz w:val="24"/>
          <w:szCs w:val="24"/>
          <w:lang w:val="en-US" w:eastAsia="zh-CN"/>
        </w:rPr>
        <w:t xml:space="preserve">Hejazi, M,. et al. 2013. Scenarios of Global Municipal Water Use Demand Projections over the 21st Century. </w:t>
      </w:r>
      <w:r>
        <w:rPr>
          <w:rFonts w:hint="default" w:ascii="Times New Roman" w:hAnsi="Times New Roman" w:cs="Times New Roman"/>
          <w:i/>
          <w:iCs/>
          <w:sz w:val="24"/>
          <w:szCs w:val="24"/>
          <w:lang w:val="en-US" w:eastAsia="zh-CN"/>
        </w:rPr>
        <w:t>Hydrological Sciences Journal,</w:t>
      </w:r>
      <w:r>
        <w:rPr>
          <w:rFonts w:hint="default" w:ascii="Times New Roman" w:hAnsi="Times New Roman" w:cs="Times New Roman"/>
          <w:sz w:val="24"/>
          <w:szCs w:val="24"/>
          <w:lang w:val="en-US" w:eastAsia="zh-CN"/>
        </w:rPr>
        <w:t xml:space="preserve"> 58(3), pp.1-20.</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16.</w:t>
      </w:r>
      <w:r>
        <w:rPr>
          <w:rFonts w:hint="default" w:ascii="Times New Roman" w:hAnsi="Times New Roman" w:cs="Times New Roman"/>
          <w:sz w:val="24"/>
          <w:szCs w:val="24"/>
          <w:lang w:val="en-US" w:eastAsia="zh-CN"/>
        </w:rPr>
        <w:t xml:space="preserve">HC360. 2008. </w:t>
      </w:r>
      <w:r>
        <w:rPr>
          <w:rFonts w:hint="default" w:ascii="Times New Roman" w:hAnsi="Times New Roman" w:cs="Times New Roman"/>
          <w:i/>
          <w:iCs/>
          <w:sz w:val="24"/>
          <w:szCs w:val="24"/>
          <w:lang w:val="en-US" w:eastAsia="zh-CN"/>
        </w:rPr>
        <w:t>Veolia Environment donated 4 million RMB to support the reconstruction of the disaster area.</w:t>
      </w:r>
      <w:r>
        <w:rPr>
          <w:rFonts w:hint="default" w:ascii="Times New Roman" w:hAnsi="Times New Roman" w:cs="Times New Roman"/>
          <w:sz w:val="24"/>
          <w:szCs w:val="24"/>
          <w:lang w:val="en-US" w:eastAsia="zh-CN"/>
        </w:rPr>
        <w:t xml:space="preserve"> 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"http://info.ep.hc360.com/2008/07/21094554145.shtml"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http://info.ep.hc360.com/2008/07/21094554145.shtml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April 23, 2019.</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17.</w:t>
      </w:r>
      <w:r>
        <w:rPr>
          <w:rFonts w:hint="default" w:ascii="Times New Roman" w:hAnsi="Times New Roman" w:cs="Times New Roman"/>
          <w:sz w:val="24"/>
          <w:szCs w:val="24"/>
          <w:lang w:val="en-US" w:eastAsia="zh-CN"/>
        </w:rPr>
        <w:t xml:space="preserve">Khan, H.H., et al. 2010. GIS-based impact assessment of land-use changes on groundwater quality: Study from a rapidly urbanizing region of South India. </w:t>
      </w:r>
      <w:r>
        <w:rPr>
          <w:rFonts w:hint="default" w:ascii="Times New Roman" w:hAnsi="Times New Roman" w:cs="Times New Roman"/>
          <w:i/>
          <w:iCs/>
          <w:sz w:val="24"/>
          <w:szCs w:val="24"/>
          <w:lang w:val="en-US" w:eastAsia="zh-CN"/>
        </w:rPr>
        <w:t>Environmental Earth Sciences</w:t>
      </w:r>
      <w:r>
        <w:rPr>
          <w:rFonts w:hint="default" w:ascii="Times New Roman" w:hAnsi="Times New Roman" w:cs="Times New Roman"/>
          <w:sz w:val="24"/>
          <w:szCs w:val="24"/>
          <w:lang w:val="en-US" w:eastAsia="zh-CN"/>
        </w:rPr>
        <w:t>, 63(6), pp.1289-1302.</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18.</w:t>
      </w:r>
      <w:r>
        <w:rPr>
          <w:rFonts w:hint="default" w:ascii="Times New Roman" w:hAnsi="Times New Roman" w:cs="Times New Roman"/>
          <w:sz w:val="24"/>
          <w:szCs w:val="24"/>
          <w:lang w:val="en-US" w:eastAsia="zh-CN"/>
        </w:rPr>
        <w:t xml:space="preserve">Lin, L. 2015. Deficiencies and Perfection of the Legal Countermeasures of the Incident of Urban Water Pollution in China-Taking the Incident of “Benzene Exceeding the Standard of Drinking Water in Lanzhou” as an Example. </w:t>
      </w:r>
      <w:r>
        <w:rPr>
          <w:rFonts w:hint="default" w:ascii="Times New Roman" w:hAnsi="Times New Roman" w:cs="Times New Roman"/>
          <w:i/>
          <w:iCs/>
          <w:sz w:val="24"/>
          <w:szCs w:val="24"/>
          <w:lang w:val="en-US" w:eastAsia="zh-CN"/>
        </w:rPr>
        <w:t>Journal of North China Electronic Power University,</w:t>
      </w:r>
      <w:r>
        <w:rPr>
          <w:rFonts w:hint="default" w:ascii="Times New Roman" w:hAnsi="Times New Roman" w:cs="Times New Roman"/>
          <w:sz w:val="24"/>
          <w:szCs w:val="24"/>
          <w:lang w:val="en-US" w:eastAsia="zh-CN"/>
        </w:rPr>
        <w:t xml:space="preserve"> (6), pp. 21-26.</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19.</w:t>
      </w:r>
      <w:r>
        <w:rPr>
          <w:rFonts w:hint="default" w:ascii="Times New Roman" w:hAnsi="Times New Roman" w:cs="Times New Roman"/>
          <w:sz w:val="24"/>
          <w:szCs w:val="24"/>
          <w:lang w:val="en-US" w:eastAsia="zh-CN"/>
        </w:rPr>
        <w:t xml:space="preserve">Merrill, T.W. 2004. Private Property and the Politics of Environmental Protection. Harvard </w:t>
      </w:r>
      <w:r>
        <w:rPr>
          <w:rFonts w:hint="default" w:ascii="Times New Roman" w:hAnsi="Times New Roman" w:cs="Times New Roman"/>
          <w:i/>
          <w:iCs/>
          <w:sz w:val="24"/>
          <w:szCs w:val="24"/>
          <w:lang w:val="en-US" w:eastAsia="zh-CN"/>
        </w:rPr>
        <w:t>Journal of Law and Public Policy,</w:t>
      </w:r>
      <w:r>
        <w:rPr>
          <w:rFonts w:hint="default" w:ascii="Times New Roman" w:hAnsi="Times New Roman" w:cs="Times New Roman"/>
          <w:sz w:val="24"/>
          <w:szCs w:val="24"/>
          <w:lang w:val="en-US" w:eastAsia="zh-CN"/>
        </w:rPr>
        <w:t xml:space="preserve"> (28), pp.69-80.</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20.</w:t>
      </w:r>
      <w:r>
        <w:rPr>
          <w:rFonts w:hint="default" w:ascii="Times New Roman" w:hAnsi="Times New Roman" w:cs="Times New Roman"/>
          <w:sz w:val="24"/>
          <w:szCs w:val="24"/>
          <w:lang w:val="en-US" w:eastAsia="zh-CN"/>
        </w:rPr>
        <w:t xml:space="preserve">Romano, M. 2012. </w:t>
      </w:r>
      <w:r>
        <w:rPr>
          <w:rFonts w:hint="default" w:ascii="Times New Roman" w:hAnsi="Times New Roman" w:cs="Times New Roman"/>
          <w:i/>
          <w:iCs/>
          <w:sz w:val="24"/>
          <w:szCs w:val="24"/>
          <w:lang w:val="en-US" w:eastAsia="zh-CN"/>
        </w:rPr>
        <w:t>Near Real-Time Detection and Approximate Location of Pipe Bursts and Other Events in Water Distribution Systems.</w:t>
      </w:r>
      <w:r>
        <w:rPr>
          <w:rFonts w:hint="default" w:ascii="Times New Roman" w:hAnsi="Times New Roman" w:cs="Times New Roman"/>
          <w:sz w:val="24"/>
          <w:szCs w:val="24"/>
          <w:lang w:val="en-US" w:eastAsia="zh-CN"/>
        </w:rPr>
        <w:t xml:space="preserve"> 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"https://ore.exeter.ac.uk/repository/bitstream/handle/10871/9862/RomanoM_fm.pdf?sequence=1&amp;isAllowed=y"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https://ore.exeter.ac.uk/repository/bitstream/handle/10871/9862/RomanoM_fm.pdf?sequence=1&amp;isAllowed=y</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April 23, 2019.</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21.</w:t>
      </w:r>
      <w:r>
        <w:rPr>
          <w:rFonts w:hint="default" w:ascii="Times New Roman" w:hAnsi="Times New Roman" w:cs="Times New Roman"/>
          <w:sz w:val="24"/>
          <w:szCs w:val="24"/>
          <w:lang w:val="en-US" w:eastAsia="zh-CN"/>
        </w:rPr>
        <w:t xml:space="preserve">Robbins, P., Hintz, J. and Moore, S. 2014. </w:t>
      </w:r>
      <w:r>
        <w:rPr>
          <w:rFonts w:hint="default" w:ascii="Times New Roman" w:hAnsi="Times New Roman" w:cs="Times New Roman"/>
          <w:i/>
          <w:iCs/>
          <w:sz w:val="24"/>
          <w:szCs w:val="24"/>
          <w:lang w:val="en-US" w:eastAsia="zh-CN"/>
        </w:rPr>
        <w:t>Environment and society: a critical introduction.</w:t>
      </w:r>
      <w:r>
        <w:rPr>
          <w:rFonts w:hint="default" w:ascii="Times New Roman" w:hAnsi="Times New Roman" w:cs="Times New Roman"/>
          <w:sz w:val="24"/>
          <w:szCs w:val="24"/>
          <w:lang w:val="en-US" w:eastAsia="zh-CN"/>
        </w:rPr>
        <w:t xml:space="preserve"> Malden, MA: Wiley Blackwell.</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22.</w:t>
      </w:r>
      <w:r>
        <w:rPr>
          <w:rFonts w:hint="default" w:ascii="Times New Roman" w:hAnsi="Times New Roman" w:cs="Times New Roman"/>
          <w:sz w:val="24"/>
          <w:szCs w:val="24"/>
          <w:lang w:val="en-US" w:eastAsia="zh-CN"/>
        </w:rPr>
        <w:t xml:space="preserve">Richey, A.S., et al. 2015. Quantifying renewable groundwater stress with GRACE. </w:t>
      </w:r>
      <w:r>
        <w:rPr>
          <w:rFonts w:hint="default" w:ascii="Times New Roman" w:hAnsi="Times New Roman" w:cs="Times New Roman"/>
          <w:i/>
          <w:iCs/>
          <w:sz w:val="24"/>
          <w:szCs w:val="24"/>
          <w:lang w:val="en-US" w:eastAsia="zh-CN"/>
        </w:rPr>
        <w:t>Water Resources Research</w:t>
      </w:r>
      <w:r>
        <w:rPr>
          <w:rFonts w:hint="default" w:ascii="Times New Roman" w:hAnsi="Times New Roman" w:cs="Times New Roman"/>
          <w:sz w:val="24"/>
          <w:szCs w:val="24"/>
          <w:lang w:val="en-US" w:eastAsia="zh-CN"/>
        </w:rPr>
        <w:t>, 51(7), pp.5217-5238.</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23.</w:t>
      </w:r>
      <w:r>
        <w:rPr>
          <w:rFonts w:hint="default" w:ascii="Times New Roman" w:hAnsi="Times New Roman" w:cs="Times New Roman"/>
          <w:sz w:val="24"/>
          <w:szCs w:val="24"/>
          <w:lang w:val="en-US" w:eastAsia="zh-CN"/>
        </w:rPr>
        <w:t xml:space="preserve">Seward, P., Xu, Y. and Turton, A. 2015. Investigating a spatial approach to groundwater quantity management using radius of influence with a case study of South Africa. </w:t>
      </w:r>
      <w:r>
        <w:rPr>
          <w:rFonts w:hint="default" w:ascii="Times New Roman" w:hAnsi="Times New Roman" w:cs="Times New Roman"/>
          <w:i/>
          <w:iCs/>
          <w:sz w:val="24"/>
          <w:szCs w:val="24"/>
          <w:lang w:val="en-US" w:eastAsia="zh-CN"/>
        </w:rPr>
        <w:t>Water SA</w:t>
      </w:r>
      <w:r>
        <w:rPr>
          <w:rFonts w:hint="default" w:ascii="Times New Roman" w:hAnsi="Times New Roman" w:cs="Times New Roman"/>
          <w:sz w:val="24"/>
          <w:szCs w:val="24"/>
          <w:lang w:val="en-US" w:eastAsia="zh-CN"/>
        </w:rPr>
        <w:t>, 41(1), pp.71.</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24.</w:t>
      </w:r>
      <w:r>
        <w:rPr>
          <w:rFonts w:hint="default" w:ascii="Times New Roman" w:hAnsi="Times New Roman" w:cs="Times New Roman"/>
          <w:sz w:val="24"/>
          <w:szCs w:val="24"/>
          <w:lang w:val="en-US" w:eastAsia="zh-CN"/>
        </w:rPr>
        <w:t xml:space="preserve">Song, Y.B. 2012. The water pollution of Zhenjiang is revealed. </w:t>
      </w:r>
      <w:r>
        <w:rPr>
          <w:rFonts w:hint="default" w:ascii="Times New Roman" w:hAnsi="Times New Roman" w:cs="Times New Roman"/>
          <w:b w:val="0"/>
          <w:bCs w:val="0"/>
          <w:i/>
          <w:iCs/>
          <w:sz w:val="24"/>
          <w:szCs w:val="24"/>
          <w:lang w:val="en-US" w:eastAsia="zh-CN"/>
        </w:rPr>
        <w:t>City Mode</w:t>
      </w:r>
      <w:r>
        <w:rPr>
          <w:rFonts w:hint="default" w:ascii="Times New Roman" w:hAnsi="Times New Roman" w:cs="Times New Roman"/>
          <w:sz w:val="24"/>
          <w:szCs w:val="24"/>
          <w:lang w:val="en-US" w:eastAsia="zh-CN"/>
        </w:rPr>
        <w:t>, (03), pp.50-53.</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25.</w:t>
      </w:r>
      <w:r>
        <w:rPr>
          <w:rFonts w:hint="default" w:ascii="Times New Roman" w:hAnsi="Times New Roman" w:cs="Times New Roman"/>
          <w:sz w:val="24"/>
          <w:szCs w:val="24"/>
          <w:lang w:val="en-US" w:eastAsia="zh-CN"/>
        </w:rPr>
        <w:t xml:space="preserve">Sinden, A. 2007. The Tragedy of the Commons and the Myth of a Private Property Solution. </w:t>
      </w:r>
      <w:r>
        <w:rPr>
          <w:rFonts w:hint="default" w:ascii="Times New Roman" w:hAnsi="Times New Roman" w:cs="Times New Roman"/>
          <w:i/>
          <w:iCs/>
          <w:sz w:val="24"/>
          <w:szCs w:val="24"/>
          <w:lang w:val="en-US" w:eastAsia="zh-CN"/>
        </w:rPr>
        <w:t>University of Colorado law Review</w:t>
      </w:r>
      <w:r>
        <w:rPr>
          <w:rFonts w:hint="default" w:ascii="Times New Roman" w:hAnsi="Times New Roman" w:cs="Times New Roman"/>
          <w:sz w:val="24"/>
          <w:szCs w:val="24"/>
          <w:lang w:val="en-US" w:eastAsia="zh-CN"/>
        </w:rPr>
        <w:t>, 78(2007), pp. 536-537.</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26.</w:t>
      </w:r>
      <w:r>
        <w:rPr>
          <w:rFonts w:hint="default" w:ascii="Times New Roman" w:hAnsi="Times New Roman" w:cs="Times New Roman"/>
          <w:sz w:val="24"/>
          <w:szCs w:val="24"/>
          <w:lang w:val="en-US" w:eastAsia="zh-CN"/>
        </w:rPr>
        <w:t xml:space="preserve">Sangam, S. and Parmeshwar, U. 2014. Evaluation of sustainability of groundwater resources in a semi-arid region of the Maharashtra State of India. </w:t>
      </w:r>
      <w:r>
        <w:rPr>
          <w:rFonts w:hint="default" w:ascii="Times New Roman" w:hAnsi="Times New Roman" w:cs="Times New Roman"/>
          <w:i/>
          <w:iCs/>
          <w:sz w:val="24"/>
          <w:szCs w:val="24"/>
          <w:lang w:val="en-US" w:eastAsia="zh-CN"/>
        </w:rPr>
        <w:t>International Journal of Water Resources and Environmental Engineering</w:t>
      </w:r>
      <w:r>
        <w:rPr>
          <w:rFonts w:hint="default" w:ascii="Times New Roman" w:hAnsi="Times New Roman" w:cs="Times New Roman"/>
          <w:sz w:val="24"/>
          <w:szCs w:val="24"/>
          <w:lang w:val="en-US" w:eastAsia="zh-CN"/>
        </w:rPr>
        <w:t>, 6(7), pp.203-211.</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27.</w:t>
      </w:r>
      <w:r>
        <w:rPr>
          <w:rFonts w:hint="default" w:ascii="Times New Roman" w:hAnsi="Times New Roman" w:cs="Times New Roman"/>
          <w:sz w:val="24"/>
          <w:szCs w:val="24"/>
          <w:lang w:val="en-US" w:eastAsia="zh-CN"/>
        </w:rPr>
        <w:t xml:space="preserve">Tang, Y., et al. 2017. Reconstructing annual groundwater storage changes in a large-scale irrigation region using GRACE data and Budyko model. </w:t>
      </w:r>
      <w:r>
        <w:rPr>
          <w:rFonts w:hint="default" w:ascii="Times New Roman" w:hAnsi="Times New Roman" w:cs="Times New Roman"/>
          <w:i/>
          <w:iCs/>
          <w:sz w:val="24"/>
          <w:szCs w:val="24"/>
          <w:lang w:val="en-US" w:eastAsia="zh-CN"/>
        </w:rPr>
        <w:t>Journal of Hydrology</w:t>
      </w:r>
      <w:r>
        <w:rPr>
          <w:rFonts w:hint="default" w:ascii="Times New Roman" w:hAnsi="Times New Roman" w:cs="Times New Roman"/>
          <w:sz w:val="24"/>
          <w:szCs w:val="24"/>
          <w:lang w:val="en-US" w:eastAsia="zh-CN"/>
        </w:rPr>
        <w:t>, 551, pp.397-406.</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28.</w:t>
      </w:r>
      <w:r>
        <w:rPr>
          <w:rFonts w:hint="default" w:ascii="Times New Roman" w:hAnsi="Times New Roman" w:cs="Times New Roman"/>
          <w:sz w:val="24"/>
          <w:szCs w:val="24"/>
          <w:lang w:val="en-US" w:eastAsia="zh-CN"/>
        </w:rPr>
        <w:t xml:space="preserve">Thames Water. 2015. </w:t>
      </w:r>
      <w:r>
        <w:rPr>
          <w:rFonts w:hint="default" w:ascii="Times New Roman" w:hAnsi="Times New Roman" w:cs="Times New Roman"/>
          <w:i/>
          <w:iCs/>
          <w:sz w:val="24"/>
          <w:szCs w:val="24"/>
          <w:lang w:val="en-US" w:eastAsia="zh-CN"/>
        </w:rPr>
        <w:t>Our five-year plan.</w:t>
      </w:r>
      <w:r>
        <w:rPr>
          <w:rFonts w:hint="default" w:ascii="Times New Roman" w:hAnsi="Times New Roman" w:cs="Times New Roman"/>
          <w:sz w:val="24"/>
          <w:szCs w:val="24"/>
          <w:lang w:val="en-US" w:eastAsia="zh-CN"/>
        </w:rPr>
        <w:t xml:space="preserve"> 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"https://democracy.islington.gov.uk/documents/s10875/Thames%20Water%20Our%20plan%20for%202015-20.htm"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https://democracy.islington.gov.uk/documents/s10875/Thames%20Water%20Our%20plan%20for%202015-20.htm</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April 23, 2019.</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29.</w:t>
      </w:r>
      <w:r>
        <w:rPr>
          <w:rFonts w:hint="default" w:ascii="Times New Roman" w:hAnsi="Times New Roman" w:cs="Times New Roman"/>
          <w:sz w:val="24"/>
          <w:szCs w:val="24"/>
          <w:lang w:val="en-US" w:eastAsia="zh-CN"/>
        </w:rPr>
        <w:t xml:space="preserve">United Nations General Assembly. 2015. </w:t>
      </w:r>
      <w:r>
        <w:rPr>
          <w:rFonts w:hint="default" w:ascii="Times New Roman" w:hAnsi="Times New Roman" w:cs="Times New Roman"/>
          <w:i/>
          <w:iCs/>
          <w:sz w:val="24"/>
          <w:szCs w:val="24"/>
          <w:lang w:val="en-US" w:eastAsia="zh-CN"/>
        </w:rPr>
        <w:t>Transforming our world: the 2030 agenda for sustainable development.</w:t>
      </w:r>
      <w:r>
        <w:rPr>
          <w:rFonts w:hint="default" w:ascii="Times New Roman" w:hAnsi="Times New Roman" w:cs="Times New Roman"/>
          <w:sz w:val="24"/>
          <w:szCs w:val="24"/>
          <w:lang w:val="en-US" w:eastAsia="zh-CN"/>
        </w:rPr>
        <w:t xml:space="preserve"> New York: Resolution Adopted by the General Assembly. </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30.</w:t>
      </w:r>
      <w:r>
        <w:rPr>
          <w:rFonts w:hint="default" w:ascii="Times New Roman" w:hAnsi="Times New Roman" w:cs="Times New Roman"/>
          <w:sz w:val="24"/>
          <w:szCs w:val="24"/>
          <w:lang w:val="en-US" w:eastAsia="zh-CN"/>
        </w:rPr>
        <w:t xml:space="preserve">UNESCO. 2012. </w:t>
      </w:r>
      <w:r>
        <w:rPr>
          <w:rFonts w:hint="default" w:ascii="Times New Roman" w:hAnsi="Times New Roman" w:cs="Times New Roman"/>
          <w:i/>
          <w:iCs/>
          <w:sz w:val="24"/>
          <w:szCs w:val="24"/>
          <w:lang w:val="en-US" w:eastAsia="zh-CN"/>
        </w:rPr>
        <w:t xml:space="preserve">THE UNITED NATIONS WORLD WATER DEVELOPMENT REPORT 4: Volume 1: Managing Water under Uncertainty and Risk. </w:t>
      </w:r>
      <w:r>
        <w:rPr>
          <w:rFonts w:hint="default" w:ascii="Times New Roman" w:hAnsi="Times New Roman" w:cs="Times New Roman"/>
          <w:sz w:val="24"/>
          <w:szCs w:val="24"/>
          <w:lang w:val="en-US" w:eastAsia="zh-CN"/>
        </w:rPr>
        <w:t xml:space="preserve">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"https://unesdoc.unesco.org/ark:/48223/pf0000215644" </w:instrText>
      </w:r>
      <w:r>
        <w:rPr>
          <w:rFonts w:hint="default" w:ascii="Times New Roman" w:hAnsi="Times New Roman" w:cs="Times New Roman"/>
          <w:sz w:val="24"/>
          <w:szCs w:val="24"/>
          <w:lang w:val="en-US" w:eastAsia="zh-CN"/>
        </w:rPr>
        <w:fldChar w:fldCharType="separate"/>
      </w:r>
      <w:r>
        <w:rPr>
          <w:rFonts w:hint="default" w:ascii="Times New Roman" w:hAnsi="Times New Roman" w:eastAsia="SimSun" w:cs="Times New Roman"/>
          <w:color w:val="0000FF"/>
          <w:sz w:val="24"/>
          <w:szCs w:val="24"/>
          <w:u w:val="single"/>
          <w:lang w:val="en-US" w:eastAsia="zh-CN"/>
        </w:rPr>
        <w:t>https://unesdoc.unesco.org/ark:/48223/pf0000215644</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April 23, 2019.</w:t>
      </w:r>
    </w:p>
    <w:p>
      <w:pPr>
        <w:keepNext w:val="0"/>
        <w:keepLines w:val="0"/>
        <w:pageBreakBefore w:val="0"/>
        <w:widowControl w:val="0"/>
        <w:kinsoku/>
        <w:wordWrap/>
        <w:overflowPunct/>
        <w:topLinePunct w:val="0"/>
        <w:autoSpaceDE/>
        <w:autoSpaceDN/>
        <w:bidi w:val="0"/>
        <w:adjustRightInd/>
        <w:snapToGrid/>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eastAsia" w:cs="Times New Roman"/>
          <w:sz w:val="24"/>
          <w:szCs w:val="24"/>
          <w:lang w:val="en-US" w:eastAsia="zh-CN"/>
        </w:rPr>
        <w:t>31.</w:t>
      </w:r>
      <w:r>
        <w:rPr>
          <w:rFonts w:hint="default" w:ascii="Times New Roman" w:hAnsi="Times New Roman" w:cs="Times New Roman"/>
          <w:sz w:val="24"/>
          <w:szCs w:val="24"/>
          <w:lang w:val="en-US" w:eastAsia="zh-CN"/>
        </w:rPr>
        <w:t xml:space="preserve">Ziolkowska J. and Reyes, R. 2017. Groundwater level changes due to extreme weather—An evaluation tool for sustainable water management. </w:t>
      </w:r>
      <w:r>
        <w:rPr>
          <w:rFonts w:hint="default" w:ascii="Times New Roman" w:hAnsi="Times New Roman" w:cs="Times New Roman"/>
          <w:i/>
          <w:iCs/>
          <w:sz w:val="24"/>
          <w:szCs w:val="24"/>
          <w:lang w:val="en-US" w:eastAsia="zh-CN"/>
        </w:rPr>
        <w:t>Water,</w:t>
      </w:r>
      <w:r>
        <w:rPr>
          <w:rFonts w:hint="default" w:ascii="Times New Roman" w:hAnsi="Times New Roman" w:cs="Times New Roman"/>
          <w:sz w:val="24"/>
          <w:szCs w:val="24"/>
          <w:lang w:val="en-US" w:eastAsia="zh-CN"/>
        </w:rPr>
        <w:t xml:space="preserve"> 9(2), p.117.</w:t>
      </w: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ind w:left="480" w:hanging="480" w:hangingChars="20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before="240"/>
        <w:jc w:val="both"/>
        <w:textAlignment w:val="auto"/>
        <w:outlineLvl w:val="9"/>
        <w:rPr>
          <w:rFonts w:hint="default" w:ascii="Times New Roman" w:hAnsi="Times New Roman" w:cs="Times New Roman" w:eastAsiaTheme="minorEastAsia"/>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240"/>
        <w:jc w:val="both"/>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kinsoku/>
        <w:wordWrap/>
        <w:overflowPunct/>
        <w:topLinePunct w:val="0"/>
        <w:autoSpaceDE/>
        <w:autoSpaceDN/>
        <w:bidi w:val="0"/>
        <w:adjustRightInd/>
        <w:snapToGrid/>
        <w:spacing w:before="240"/>
        <w:jc w:val="both"/>
        <w:textAlignment w:val="auto"/>
        <w:rPr>
          <w:rFonts w:hint="default" w:ascii="Times New Roman" w:hAnsi="Times New Roman" w:cs="Times New Roman" w:eastAsiaTheme="minorEastAsia"/>
          <w:sz w:val="24"/>
          <w:szCs w:val="24"/>
          <w:lang w:val="en-US" w:eastAsia="zh-CN"/>
        </w:rPr>
      </w:pPr>
    </w:p>
    <w:sectPr>
      <w:footerReference r:id="rId4" w:type="default"/>
      <w:pgSz w:w="11906" w:h="16838"/>
      <w:pgMar w:top="1440" w:right="1440" w:bottom="1440" w:left="1440" w:header="851" w:footer="992" w:gutter="0"/>
      <w:pgNumType w:fmt="decimal" w:start="1"/>
      <w:cols w:space="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-9525</wp:posOffset>
              </wp:positionV>
              <wp:extent cx="148590" cy="16891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48590" cy="16891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SimSun"/>
                              <w:sz w:val="21"/>
                              <w:szCs w:val="22"/>
                              <w:lang w:eastAsia="zh-CN"/>
                            </w:rPr>
                          </w:pPr>
                          <w:r>
                            <w:rPr>
                              <w:rFonts w:hint="eastAsia" w:eastAsia="SimSun"/>
                              <w:sz w:val="21"/>
                              <w:szCs w:val="22"/>
                              <w:lang w:eastAsia="zh-CN"/>
                            </w:rPr>
                            <w:fldChar w:fldCharType="begin"/>
                          </w:r>
                          <w:r>
                            <w:rPr>
                              <w:rFonts w:hint="eastAsia" w:eastAsia="SimSun"/>
                              <w:sz w:val="21"/>
                              <w:szCs w:val="22"/>
                              <w:lang w:eastAsia="zh-CN"/>
                            </w:rPr>
                            <w:instrText xml:space="preserve"> PAGE  \* MERGEFORMAT </w:instrText>
                          </w:r>
                          <w:r>
                            <w:rPr>
                              <w:rFonts w:hint="eastAsia" w:eastAsia="SimSun"/>
                              <w:sz w:val="21"/>
                              <w:szCs w:val="22"/>
                              <w:lang w:eastAsia="zh-CN"/>
                            </w:rPr>
                            <w:fldChar w:fldCharType="separate"/>
                          </w:r>
                          <w:r>
                            <w:rPr>
                              <w:rFonts w:hint="eastAsia" w:eastAsia="SimSun"/>
                              <w:sz w:val="21"/>
                              <w:szCs w:val="22"/>
                              <w:lang w:eastAsia="zh-CN"/>
                            </w:rPr>
                            <w:t>1</w:t>
                          </w:r>
                          <w:r>
                            <w:rPr>
                              <w:rFonts w:hint="eastAsia" w:eastAsia="SimSun"/>
                              <w:sz w:val="21"/>
                              <w:szCs w:val="22"/>
                              <w:lang w:eastAsia="zh-CN"/>
                            </w:rPr>
                            <w:fldChar w:fldCharType="end"/>
                          </w:r>
                        </w:p>
                      </w:txbxContent>
                    </wps:txbx>
                    <wps:bodyPr rot="0" spcFirstLastPara="0" vertOverflow="overflow" horzOverflow="overflow" vert="horz" wrap="square" lIns="0" tIns="0" rIns="0" bIns="0" numCol="1" spcCol="0" rtlCol="0" fromWordArt="0" anchor="t" anchorCtr="0" forceAA="0" upright="0" compatLnSpc="1">
                      <a:noAutofit/>
                    </wps:bodyPr>
                  </wps:wsp>
                </a:graphicData>
              </a:graphic>
            </wp:anchor>
          </w:drawing>
        </mc:Choice>
        <mc:Fallback>
          <w:pict>
            <v:shape id="_x0000_s1026" o:spid="_x0000_s1026" o:spt="202" type="#_x0000_t202" style="position:absolute;left:0pt;margin-top:-0.75pt;height:13.3pt;width:11.7pt;mso-position-horizontal:center;mso-position-horizontal-relative:margin;z-index:251659264;mso-width-relative:page;mso-height-relative:page;" filled="f" stroked="f" coordsize="21600,21600" o:gfxdata="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">
              <v:fill on="f" focussize="0,0"/>
              <v:stroke on="f" weight="0.5pt"/>
              <v:imagedata o:title=""/>
              <o:lock v:ext="edit" aspectratio="f"/>
              <v:textbox inset="0mm,0mm,0mm,0mm">
                <w:txbxContent>
                  <w:p>
                    <w:pPr>
                      <w:pStyle w:val="3"/>
                      <w:rPr>
                        <w:rFonts w:hint="eastAsia" w:eastAsia="SimSun"/>
                        <w:sz w:val="21"/>
                        <w:szCs w:val="22"/>
                        <w:lang w:eastAsia="zh-CN"/>
                      </w:rPr>
                    </w:pPr>
                    <w:r>
                      <w:rPr>
                        <w:rFonts w:hint="eastAsia" w:eastAsia="SimSun"/>
                        <w:sz w:val="21"/>
                        <w:szCs w:val="22"/>
                        <w:lang w:eastAsia="zh-CN"/>
                      </w:rPr>
                      <w:fldChar w:fldCharType="begin"/>
                    </w:r>
                    <w:r>
                      <w:rPr>
                        <w:rFonts w:hint="eastAsia" w:eastAsia="SimSun"/>
                        <w:sz w:val="21"/>
                        <w:szCs w:val="22"/>
                        <w:lang w:eastAsia="zh-CN"/>
                      </w:rPr>
                      <w:instrText xml:space="preserve"> PAGE  \* MERGEFORMAT </w:instrText>
                    </w:r>
                    <w:r>
                      <w:rPr>
                        <w:rFonts w:hint="eastAsia" w:eastAsia="SimSun"/>
                        <w:sz w:val="21"/>
                        <w:szCs w:val="22"/>
                        <w:lang w:eastAsia="zh-CN"/>
                      </w:rPr>
                      <w:fldChar w:fldCharType="separate"/>
                    </w:r>
                    <w:r>
                      <w:rPr>
                        <w:rFonts w:hint="eastAsia" w:eastAsia="SimSun"/>
                        <w:sz w:val="21"/>
                        <w:szCs w:val="22"/>
                        <w:lang w:eastAsia="zh-CN"/>
                      </w:rPr>
                      <w:t>1</w:t>
                    </w:r>
                    <w:r>
                      <w:rPr>
                        <w:rFonts w:hint="eastAsia" w:eastAsia="SimSun"/>
                        <w:sz w:val="21"/>
                        <w:szCs w:val="22"/>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rPr>
        <w:rFonts w:hint="default" w:eastAsia="SimSun"/>
        <w:lang w:val="en-US" w:eastAsia="zh-CN"/>
      </w:rPr>
    </w:pPr>
    <w:r>
      <w:rPr>
        <w:rFonts w:hint="eastAsia" w:eastAsia="SimSun"/>
        <w:lang w:val="en-US" w:eastAsia="zh-CN"/>
      </w:rPr>
      <w:t>TIAN ZHENYU                                                                               1800541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0E59B4"/>
    <w:multiLevelType w:val="singleLevel"/>
    <w:tmpl w:val="330E59B4"/>
    <w:lvl w:ilvl="0" w:tentative="0">
      <w:start w:val="7"/>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val="1"/>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A2650CB"/>
    <w:rsid w:val="00602A98"/>
    <w:rsid w:val="00A5519D"/>
    <w:rsid w:val="00CC31CD"/>
    <w:rsid w:val="01996FB2"/>
    <w:rsid w:val="03955958"/>
    <w:rsid w:val="0A2650CB"/>
    <w:rsid w:val="16C83FF7"/>
    <w:rsid w:val="1CE70BE4"/>
    <w:rsid w:val="411E2AA7"/>
    <w:rsid w:val="64BB1977"/>
    <w:rsid w:val="6BC46C6C"/>
    <w:rsid w:val="77335AB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6">
    <w:name w:val="Default Paragraph Font"/>
    <w:semiHidden/>
    <w:unhideWhenUsed/>
    <w:qFormat/>
    <w:uiPriority w:val="1"/>
  </w:style>
  <w:style w:type="table" w:default="1" w:styleId="5">
    <w:name w:val="Normal Table"/>
    <w:semiHidden/>
    <w:unhideWhenUsed/>
    <w:uiPriority w:val="99"/>
    <w:tblPr>
      <w:tblLayout w:type="fixed"/>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7">
    <w:name w:val="Hyperlink"/>
    <w:basedOn w:val="6"/>
    <w:qFormat/>
    <w:uiPriority w:val="0"/>
    <w:rPr>
      <w:color w:val="0000FF"/>
      <w:u w:val="single"/>
    </w:rPr>
  </w:style>
  <w:style w:type="paragraph" w:customStyle="1" w:styleId="8">
    <w:name w:val="WPSOffice手动目录 1"/>
    <w:uiPriority w:val="0"/>
    <w:pPr>
      <w:ind w:leftChars="0"/>
    </w:pPr>
    <w:rPr>
      <w:rFonts w:asciiTheme="minorHAnsi" w:hAnsiTheme="minorHAnsi" w:eastAsiaTheme="minorHAnsi" w:cstheme="minorBidi"/>
      <w:sz w:val="20"/>
      <w:szCs w:val="20"/>
    </w:rPr>
  </w:style>
  <w:style w:type="paragraph" w:customStyle="1" w:styleId="9">
    <w:name w:val="WPSOffice手动目录 2"/>
    <w:qFormat/>
    <w:uiPriority w:val="0"/>
    <w:pPr>
      <w:ind w:leftChars="200"/>
    </w:pPr>
    <w:rPr>
      <w:rFonts w:asciiTheme="minorHAnsi" w:hAnsiTheme="minorHAnsi" w:eastAsiaTheme="minorHAnsi" w:cstheme="minorBidi"/>
      <w:sz w:val="20"/>
      <w:szCs w:val="20"/>
    </w:rPr>
  </w:style>
  <w:style w:type="paragraph" w:customStyle="1" w:styleId="10">
    <w:name w:val="WPSOffice手动目录 3"/>
    <w:uiPriority w:val="0"/>
    <w:pPr>
      <w:ind w:leftChars="400"/>
    </w:pPr>
    <w:rPr>
      <w:rFonts w:asciiTheme="minorHAnsi" w:hAnsiTheme="minorHAnsi" w:eastAsiaTheme="minorHAnsi"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1ff2797-4374-4d2e-90e4-129333bc7b6d}"/>
        <w:style w:val=""/>
        <w:category>
          <w:name w:val="常规"/>
          <w:gallery w:val="placeholder"/>
        </w:category>
        <w:types>
          <w:type w:val="bbPlcHdr"/>
        </w:types>
        <w:behaviors>
          <w:behavior w:val="content"/>
        </w:behaviors>
        <w:description w:val=""/>
        <w:guid w:val="{d1ff2797-4374-4d2e-90e4-129333bc7b6d}"/>
      </w:docPartPr>
      <w:docPartBody>
        <w:p>
          <w:r>
            <w:rPr>
              <w:color w:val="808080"/>
            </w:rPr>
            <w:t>单击此处输入文字。</w:t>
          </w:r>
        </w:p>
      </w:docPartBody>
    </w:docPart>
    <w:docPart>
      <w:docPartPr>
        <w:name w:val="{ac54adba-308a-4849-acb5-049f6ac5a315}"/>
        <w:style w:val=""/>
        <w:category>
          <w:name w:val="常规"/>
          <w:gallery w:val="placeholder"/>
        </w:category>
        <w:types>
          <w:type w:val="bbPlcHdr"/>
        </w:types>
        <w:behaviors>
          <w:behavior w:val="content"/>
        </w:behaviors>
        <w:description w:val=""/>
        <w:guid w:val="{ac54adba-308a-4849-acb5-049f6ac5a315}"/>
      </w:docPartPr>
      <w:docPartBody>
        <w:p>
          <w:r>
            <w:rPr>
              <w:color w:val="808080"/>
            </w:rPr>
            <w:t>单击此处输入文字。</w:t>
          </w:r>
        </w:p>
      </w:docPartBody>
    </w:docPart>
    <w:docPart>
      <w:docPartPr>
        <w:name w:val="{911efadc-8b76-4343-96ae-92b97e0dcc7d}"/>
        <w:style w:val=""/>
        <w:category>
          <w:name w:val="常规"/>
          <w:gallery w:val="placeholder"/>
        </w:category>
        <w:types>
          <w:type w:val="bbPlcHdr"/>
        </w:types>
        <w:behaviors>
          <w:behavior w:val="content"/>
        </w:behaviors>
        <w:description w:val=""/>
        <w:guid w:val="{911efadc-8b76-4343-96ae-92b97e0dcc7d}"/>
      </w:docPartPr>
      <w:docPartBody>
        <w:p>
          <w:r>
            <w:rPr>
              <w:color w:val="808080"/>
            </w:rPr>
            <w:t>单击此处输入文字。</w:t>
          </w:r>
        </w:p>
      </w:docPartBody>
    </w:docPart>
    <w:docPart>
      <w:docPartPr>
        <w:name w:val="{a9130df0-1321-4c79-8264-c3b0667ad0a0}"/>
        <w:style w:val=""/>
        <w:category>
          <w:name w:val="常规"/>
          <w:gallery w:val="placeholder"/>
        </w:category>
        <w:types>
          <w:type w:val="bbPlcHdr"/>
        </w:types>
        <w:behaviors>
          <w:behavior w:val="content"/>
        </w:behaviors>
        <w:description w:val=""/>
        <w:guid w:val="{a9130df0-1321-4c79-8264-c3b0667ad0a0}"/>
      </w:docPartPr>
      <w:docPartBody>
        <w:p>
          <w:r>
            <w:rPr>
              <w:color w:val="808080"/>
            </w:rPr>
            <w:t>单击此处输入文字。</w:t>
          </w:r>
        </w:p>
      </w:docPartBody>
    </w:docPart>
    <w:docPart>
      <w:docPartPr>
        <w:name w:val="{1143322d-e91d-477a-9d7e-ea2adf8632a2}"/>
        <w:style w:val=""/>
        <w:category>
          <w:name w:val="常规"/>
          <w:gallery w:val="placeholder"/>
        </w:category>
        <w:types>
          <w:type w:val="bbPlcHdr"/>
        </w:types>
        <w:behaviors>
          <w:behavior w:val="content"/>
        </w:behaviors>
        <w:description w:val=""/>
        <w:guid w:val="{1143322d-e91d-477a-9d7e-ea2adf8632a2}"/>
      </w:docPartPr>
      <w:docPartBody>
        <w:p>
          <w:r>
            <w:rPr>
              <w:color w:val="808080"/>
            </w:rPr>
            <w:t>单击此处输入文字。</w:t>
          </w:r>
        </w:p>
      </w:docPartBody>
    </w:docPart>
    <w:docPart>
      <w:docPartPr>
        <w:name w:val="{3f691cc8-9003-4380-8a7a-1bf9fdc84715}"/>
        <w:style w:val=""/>
        <w:category>
          <w:name w:val="常规"/>
          <w:gallery w:val="placeholder"/>
        </w:category>
        <w:types>
          <w:type w:val="bbPlcHdr"/>
        </w:types>
        <w:behaviors>
          <w:behavior w:val="content"/>
        </w:behaviors>
        <w:description w:val=""/>
        <w:guid w:val="{3f691cc8-9003-4380-8a7a-1bf9fdc84715}"/>
      </w:docPartPr>
      <w:docPartBody>
        <w:p>
          <w:r>
            <w:rPr>
              <w:color w:val="808080"/>
            </w:rPr>
            <w:t>单击此处输入文字。</w:t>
          </w:r>
        </w:p>
      </w:docPartBody>
    </w:docPart>
    <w:docPart>
      <w:docPartPr>
        <w:name w:val="{cd3288cb-b86f-4b95-b13b-544bfb1d711f}"/>
        <w:style w:val=""/>
        <w:category>
          <w:name w:val="常规"/>
          <w:gallery w:val="placeholder"/>
        </w:category>
        <w:types>
          <w:type w:val="bbPlcHdr"/>
        </w:types>
        <w:behaviors>
          <w:behavior w:val="content"/>
        </w:behaviors>
        <w:description w:val=""/>
        <w:guid w:val="{cd3288cb-b86f-4b95-b13b-544bfb1d711f}"/>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Aliyun</Company>
  <Pages>4</Pages>
  <Words>3434</Words>
  <Characters>19576</Characters>
  <Lines>163</Lines>
  <Paragraphs>45</Paragraphs>
  <TotalTime>4</TotalTime>
  <ScaleCrop>false</ScaleCrop>
  <LinksUpToDate>false</LinksUpToDate>
  <CharactersWithSpaces>22965</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2019-04-23T10:21:00Z</dcterms:created>
  <dc:creator>Administrator</dc:creator>
  <cp:lastModifiedBy>田不苦</cp:lastModifiedBy>
  <cp:lastPrinted>2019-04-23T10:21:00Z</cp:lastPrinted>
  <dcterms:modified xsi:type="dcterms:W3CDTF">2019-04-26T08:37:06Z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