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media/image2.emf" ContentType="image/x-emf"/>
  <Override PartName="/word/media/image3.wmf" ContentType="image/x-wmf"/>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b/>
          <w:spacing w:val="-10"/>
          <w:kern w:val="2"/>
          <w:sz w:val="48"/>
          <w:szCs w:val="56"/>
        </w:rPr>
      </w:pPr>
      <w:r>
        <w:rPr>
          <w:b/>
          <w:spacing w:val="-10"/>
          <w:kern w:val="2"/>
          <w:sz w:val="48"/>
          <w:szCs w:val="56"/>
        </w:rPr>
        <w:t xml:space="preserve">                    </w:t>
      </w:r>
      <w:r>
        <w:rPr/>
        <w:drawing>
          <wp:inline distT="0" distB="0" distL="0" distR="0">
            <wp:extent cx="3307080" cy="1386840"/>
            <wp:effectExtent l="0" t="0" r="0" b="0"/>
            <wp:docPr id="1"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launches new digital healthcare  course - Digital Health and Care Wales"/>
                    <pic:cNvPicPr>
                      <a:picLocks noChangeAspect="1" noChangeArrowheads="1"/>
                    </pic:cNvPicPr>
                  </pic:nvPicPr>
                  <pic:blipFill>
                    <a:blip r:embed="rId2"/>
                    <a:stretch>
                      <a:fillRect/>
                    </a:stretch>
                  </pic:blipFill>
                  <pic:spPr bwMode="auto">
                    <a:xfrm>
                      <a:off x="0" y="0"/>
                      <a:ext cx="3307080" cy="1386840"/>
                    </a:xfrm>
                    <a:prstGeom prst="rect">
                      <a:avLst/>
                    </a:prstGeom>
                    <a:noFill/>
                  </pic:spPr>
                </pic:pic>
              </a:graphicData>
            </a:graphic>
          </wp:inline>
        </w:drawing>
      </w:r>
      <w:r>
        <w:rPr>
          <w:b/>
          <w:spacing w:val="-10"/>
          <w:kern w:val="2"/>
          <w:sz w:val="48"/>
          <w:szCs w:val="56"/>
        </w:rPr>
        <w:t xml:space="preserve"> </w:t>
      </w:r>
    </w:p>
    <w:p>
      <w:pPr>
        <w:pStyle w:val="Normal"/>
        <w:rPr>
          <w:lang w:val="en-IN"/>
        </w:rPr>
      </w:pPr>
      <w:r>
        <w:rPr>
          <w:lang w:val="en-IN"/>
        </w:rPr>
      </w:r>
    </w:p>
    <w:p>
      <w:pPr>
        <w:pStyle w:val="Normal"/>
        <w:rPr>
          <w:lang w:val="en-IN"/>
        </w:rPr>
      </w:pPr>
      <w:r>
        <w:rPr>
          <w:lang w:val="en-IN"/>
        </w:rPr>
        <w:t xml:space="preserve">                                                </w:t>
      </w:r>
    </w:p>
    <w:p>
      <w:pPr>
        <w:pStyle w:val="Normal"/>
        <w:rPr>
          <w:rFonts w:ascii="Arial" w:hAnsi="Arial"/>
          <w:lang w:val="en-IN"/>
        </w:rPr>
      </w:pPr>
      <w:r>
        <w:rPr>
          <w:rFonts w:ascii="Arial" w:hAnsi="Arial"/>
          <w:lang w:val="en-IN"/>
        </w:rPr>
      </w:r>
    </w:p>
    <w:p>
      <w:pPr>
        <w:pStyle w:val="Normal"/>
        <w:bidi w:val="0"/>
        <w:rPr>
          <w:rFonts w:ascii="Arial" w:hAnsi="Arial"/>
        </w:rPr>
      </w:pPr>
      <w:r>
        <w:rPr>
          <w:rFonts w:ascii="Arial" w:hAnsi="Arial"/>
          <w:lang w:val="en-IN"/>
        </w:rPr>
        <w:t xml:space="preserve">                             </w:t>
      </w:r>
      <w:r>
        <w:rPr>
          <w:rFonts w:ascii="Arial" w:hAnsi="Arial"/>
          <w:b/>
          <w:bCs/>
          <w:lang w:val="en-IN"/>
        </w:rPr>
        <w:t xml:space="preserve">         </w:t>
      </w:r>
      <w:r>
        <w:rPr>
          <w:rFonts w:ascii="Arial" w:hAnsi="Arial"/>
          <w:b/>
          <w:bCs/>
          <w:lang w:val="en-IN"/>
        </w:rPr>
        <w:t>Topic:</w:t>
      </w:r>
      <w:r>
        <w:rPr>
          <w:rFonts w:ascii="Arial" w:hAnsi="Arial"/>
          <w:b/>
          <w:bCs/>
          <w:lang w:val="en-IN"/>
        </w:rPr>
        <w:t xml:space="preserve"> </w:t>
      </w:r>
      <w:r>
        <w:rPr>
          <w:rFonts w:ascii="Arial" w:hAnsi="Arial"/>
          <w:lang w:val="en-IN"/>
        </w:rPr>
        <w:t>Integrated Human Capital Blueprint</w:t>
      </w:r>
    </w:p>
    <w:p>
      <w:pPr>
        <w:pStyle w:val="Normal"/>
        <w:rPr>
          <w:rFonts w:ascii="Arial" w:hAnsi="Arial"/>
          <w:lang w:val="en-IN"/>
        </w:rPr>
      </w:pPr>
      <w:r>
        <w:rPr>
          <w:rFonts w:ascii="Arial" w:hAnsi="Arial"/>
          <w:lang w:val="en-IN"/>
        </w:rPr>
        <w:t xml:space="preserve">                                           </w:t>
      </w:r>
      <w:r>
        <w:rPr>
          <w:rFonts w:ascii="Arial" w:hAnsi="Arial"/>
          <w:lang w:val="en-IN"/>
        </w:rPr>
        <w:t>(Individual Report – HR Strategy)</w:t>
      </w:r>
    </w:p>
    <w:p>
      <w:pPr>
        <w:pStyle w:val="Normal"/>
        <w:rPr>
          <w:rFonts w:ascii="Arial" w:hAnsi="Arial"/>
          <w:lang w:val="en-IN"/>
        </w:rPr>
      </w:pPr>
      <w:r>
        <w:rPr>
          <w:rFonts w:ascii="Arial" w:hAnsi="Arial"/>
          <w:lang w:val="en-IN"/>
        </w:rPr>
      </w:r>
    </w:p>
    <w:p>
      <w:pPr>
        <w:pStyle w:val="Normal"/>
        <w:jc w:val="center"/>
        <w:rPr>
          <w:rFonts w:ascii="Arial" w:hAnsi="Arial"/>
          <w:lang w:val="en-IN"/>
        </w:rPr>
      </w:pPr>
      <w:r>
        <w:rPr>
          <w:rFonts w:ascii="Arial" w:hAnsi="Arial"/>
          <w:lang w:val="en-IN"/>
        </w:rPr>
      </w:r>
    </w:p>
    <w:p>
      <w:pPr>
        <w:pStyle w:val="Normal"/>
        <w:rPr>
          <w:rFonts w:ascii="Arial" w:hAnsi="Arial"/>
        </w:rPr>
      </w:pPr>
      <w:r>
        <w:rPr>
          <w:rFonts w:ascii="Arial" w:hAnsi="Arial"/>
          <w:lang w:val="en-IN"/>
        </w:rPr>
        <w:t xml:space="preserve">                    </w:t>
      </w:r>
      <w:r>
        <w:rPr>
          <w:rFonts w:ascii="Arial" w:hAnsi="Arial"/>
          <w:b/>
          <w:bCs/>
          <w:lang w:val="en-IN"/>
        </w:rPr>
        <w:t xml:space="preserve">     </w:t>
      </w:r>
      <w:r>
        <w:rPr>
          <w:rFonts w:ascii="Arial" w:hAnsi="Arial"/>
          <w:b/>
          <w:bCs/>
          <w:lang w:val="en-IN"/>
        </w:rPr>
        <w:t>Programme</w:t>
      </w:r>
      <w:r>
        <w:rPr>
          <w:rFonts w:ascii="Arial" w:hAnsi="Arial"/>
          <w:lang w:val="en-IN"/>
        </w:rPr>
        <w:t>: Master of Business Administration (MBA)</w:t>
      </w:r>
    </w:p>
    <w:p>
      <w:pPr>
        <w:pStyle w:val="Normal"/>
        <w:jc w:val="center"/>
        <w:rPr>
          <w:rFonts w:ascii="Arial" w:hAnsi="Arial"/>
        </w:rPr>
      </w:pPr>
      <w:r>
        <w:rPr>
          <w:rFonts w:ascii="Arial" w:hAnsi="Arial"/>
          <w:b/>
          <w:bCs/>
          <w:lang w:val="en-IN"/>
        </w:rPr>
        <w:t>Module Name</w:t>
      </w:r>
      <w:r>
        <w:rPr>
          <w:rFonts w:ascii="Arial" w:hAnsi="Arial"/>
          <w:lang w:val="en-IN"/>
        </w:rPr>
        <w:t>: Human Capital Management</w:t>
      </w:r>
    </w:p>
    <w:p>
      <w:pPr>
        <w:pStyle w:val="Normal"/>
        <w:jc w:val="center"/>
        <w:rPr>
          <w:rFonts w:ascii="Arial" w:hAnsi="Arial"/>
        </w:rPr>
      </w:pPr>
      <w:r>
        <w:rPr>
          <w:rFonts w:ascii="Arial" w:hAnsi="Arial"/>
          <w:b/>
          <w:bCs/>
          <w:lang w:val="en-IN"/>
        </w:rPr>
        <w:t>Module Code</w:t>
      </w:r>
      <w:r>
        <w:rPr>
          <w:rFonts w:ascii="Arial" w:hAnsi="Arial"/>
          <w:lang w:val="en-IN"/>
        </w:rPr>
        <w:t>: LCMB7023</w:t>
      </w:r>
    </w:p>
    <w:p>
      <w:pPr>
        <w:pStyle w:val="Normal"/>
        <w:jc w:val="center"/>
        <w:rPr/>
      </w:pPr>
      <w:r>
        <w:rPr>
          <w:rFonts w:ascii="Arial" w:hAnsi="Arial"/>
          <w:b/>
          <w:bCs/>
          <w:lang w:val="en-IN"/>
        </w:rPr>
        <w:t>Assignment Title</w:t>
      </w:r>
      <w:r>
        <w:rPr>
          <w:rFonts w:ascii="Arial" w:hAnsi="Arial"/>
        </w:rPr>
        <w:t>: Assessment Component 1: Individual Report - HR Strategy</w:t>
      </w:r>
    </w:p>
    <w:p>
      <w:pPr>
        <w:pStyle w:val="Normal"/>
        <w:jc w:val="center"/>
        <w:rPr>
          <w:rFonts w:ascii="Arial" w:hAnsi="Arial"/>
          <w:lang w:val="en-IN"/>
        </w:rPr>
      </w:pPr>
      <w:r>
        <w:rPr>
          <w:rFonts w:ascii="Arial" w:hAnsi="Arial"/>
          <w:lang w:val="en-IN"/>
        </w:rPr>
      </w:r>
    </w:p>
    <w:p>
      <w:pPr>
        <w:pStyle w:val="Normal"/>
        <w:jc w:val="center"/>
        <w:rPr>
          <w:rFonts w:ascii="Arial" w:hAnsi="Arial"/>
        </w:rPr>
      </w:pPr>
      <w:r>
        <w:rPr>
          <w:rFonts w:ascii="Arial" w:hAnsi="Arial"/>
          <w:b/>
          <w:bCs/>
          <w:lang w:val="en-IN"/>
        </w:rPr>
        <w:t>Student Name:</w:t>
      </w:r>
      <w:r>
        <w:rPr>
          <w:rFonts w:ascii="Arial" w:hAnsi="Arial"/>
          <w:lang w:val="en-IN"/>
        </w:rPr>
        <w:t xml:space="preserve"> Jasmini </w:t>
      </w:r>
      <w:r>
        <w:rPr>
          <w:rFonts w:ascii="Arial" w:hAnsi="Arial"/>
          <w:lang w:val="en-IN"/>
        </w:rPr>
        <w:t xml:space="preserve">Vishnubhai </w:t>
      </w:r>
      <w:r>
        <w:rPr>
          <w:rFonts w:ascii="Arial" w:hAnsi="Arial"/>
          <w:lang w:val="en-IN"/>
        </w:rPr>
        <w:t>Patel</w:t>
      </w:r>
    </w:p>
    <w:p>
      <w:pPr>
        <w:pStyle w:val="Normal"/>
        <w:jc w:val="center"/>
        <w:rPr>
          <w:rFonts w:ascii="Arial" w:hAnsi="Arial"/>
          <w:b/>
          <w:bCs/>
          <w:lang w:val="en-IN"/>
        </w:rPr>
      </w:pPr>
      <w:r>
        <w:rPr>
          <w:rFonts w:ascii="Arial" w:hAnsi="Arial"/>
          <w:b/>
          <w:bCs/>
          <w:lang w:val="en-IN"/>
        </w:rPr>
        <w:t>Student ID: 2530735</w:t>
      </w:r>
    </w:p>
    <w:p>
      <w:pPr>
        <w:pStyle w:val="Normal"/>
        <w:jc w:val="center"/>
        <w:rPr>
          <w:rFonts w:ascii="Arial" w:hAnsi="Arial"/>
          <w:b/>
          <w:bCs/>
          <w:lang w:val="en-IN"/>
        </w:rPr>
      </w:pPr>
      <w:r>
        <w:rPr>
          <w:rFonts w:ascii="Arial" w:hAnsi="Arial"/>
          <w:b/>
          <w:bCs/>
          <w:lang w:val="en-IN"/>
        </w:rPr>
      </w:r>
    </w:p>
    <w:p>
      <w:pPr>
        <w:pStyle w:val="Normal"/>
        <w:jc w:val="center"/>
        <w:rPr>
          <w:rFonts w:ascii="Arial" w:hAnsi="Arial"/>
        </w:rPr>
      </w:pPr>
      <w:r>
        <w:rPr>
          <w:rFonts w:ascii="Arial" w:hAnsi="Arial"/>
          <w:b/>
          <w:bCs/>
          <w:lang w:val="en-IN"/>
        </w:rPr>
        <w:t>Lecturer Name:</w:t>
      </w:r>
      <w:r>
        <w:rPr>
          <w:rFonts w:ascii="Arial" w:hAnsi="Arial"/>
          <w:lang w:val="en-IN"/>
        </w:rPr>
        <w:t xml:space="preserve"> Dr.Lakshani Mendis</w:t>
      </w:r>
    </w:p>
    <w:p>
      <w:pPr>
        <w:pStyle w:val="Normal"/>
        <w:jc w:val="center"/>
        <w:rPr>
          <w:rFonts w:ascii="Arial" w:hAnsi="Arial"/>
          <w:lang w:val="en-IN"/>
        </w:rPr>
      </w:pPr>
      <w:r>
        <w:rPr>
          <w:rFonts w:ascii="Arial" w:hAnsi="Arial"/>
          <w:lang w:val="en-IN"/>
        </w:rPr>
        <w:t>Word Count: 2,639</w:t>
      </w:r>
    </w:p>
    <w:p>
      <w:pPr>
        <w:pStyle w:val="Normal"/>
        <w:jc w:val="center"/>
        <w:rPr>
          <w:rFonts w:ascii="Arial" w:hAnsi="Arial"/>
          <w:lang w:val="en-IN"/>
        </w:rPr>
      </w:pPr>
      <w:r>
        <w:rPr>
          <w:rFonts w:ascii="Arial" w:hAnsi="Arial"/>
          <w:lang w:val="en-IN"/>
        </w:rPr>
      </w:r>
    </w:p>
    <w:p>
      <w:pPr>
        <w:pStyle w:val="Normal"/>
        <w:jc w:val="center"/>
        <w:rPr>
          <w:rFonts w:ascii="Arial" w:hAnsi="Arial"/>
          <w:lang w:val="en-IN"/>
        </w:rPr>
      </w:pPr>
      <w:r>
        <w:rPr>
          <w:rFonts w:ascii="Arial" w:hAnsi="Arial"/>
          <w:lang w:val="en-IN"/>
        </w:rPr>
      </w:r>
    </w:p>
    <w:p>
      <w:pPr>
        <w:pStyle w:val="Normal"/>
        <w:jc w:val="center"/>
        <w:rPr>
          <w:rFonts w:ascii="Arial" w:hAnsi="Arial"/>
          <w:lang w:val="en-IN"/>
        </w:rPr>
      </w:pPr>
      <w:r>
        <w:rPr>
          <w:rFonts w:ascii="Arial" w:hAnsi="Arial"/>
          <w:lang w:val="en-IN"/>
        </w:rPr>
      </w:r>
    </w:p>
    <w:sdt>
      <w:sdtPr>
        <w:docPartObj>
          <w:docPartGallery w:val="Table of Contents"/>
          <w:docPartUnique w:val="true"/>
        </w:docPartObj>
      </w:sdtPr>
      <w:sdtContent>
        <w:p>
          <w:pPr>
            <w:pStyle w:val="TOCHeading"/>
            <w:rPr/>
          </w:pPr>
          <w:r>
            <w:rPr/>
            <w:t>Table of Contents</w:t>
          </w:r>
        </w:p>
        <w:p>
          <w:pPr>
            <w:pStyle w:val="TOC1"/>
            <w:tabs>
              <w:tab w:val="clear" w:pos="720"/>
              <w:tab w:val="right" w:pos="9016" w:leader="dot"/>
            </w:tabs>
            <w:rPr>
              <w:rFonts w:ascii="Calibri" w:hAnsi="Calibri"/>
              <w:szCs w:val="24"/>
              <w:lang w:val="en-IN" w:eastAsia="en-IN"/>
            </w:rPr>
          </w:pPr>
          <w:r>
            <w:fldChar w:fldCharType="begin"/>
          </w:r>
          <w:r>
            <w:rPr>
              <w:rStyle w:val="IndexLink"/>
              <w:lang w:val="en-IN"/>
            </w:rPr>
            <w:instrText xml:space="preserve"> TOC \o "1-3" \h</w:instrText>
          </w:r>
          <w:r>
            <w:rPr>
              <w:rStyle w:val="IndexLink"/>
              <w:lang w:val="en-IN"/>
            </w:rPr>
            <w:fldChar w:fldCharType="separate"/>
          </w:r>
          <w:hyperlink w:anchor="_Toc224769509">
            <w:r>
              <w:rPr>
                <w:rStyle w:val="IndexLink"/>
                <w:lang w:val="en-IN"/>
              </w:rPr>
              <w:t>Part 1: Option 2 – Building a Culture of Innovation &amp; Future Work Practices</w:t>
            </w:r>
            <w:r>
              <w:rPr>
                <w:webHidden/>
              </w:rPr>
              <w:fldChar w:fldCharType="begin"/>
            </w:r>
            <w:r>
              <w:rPr>
                <w:webHidden/>
              </w:rPr>
              <w:instrText xml:space="preserve">PAGEREF _Toc224769509 \h</w:instrText>
            </w:r>
            <w:r>
              <w:rPr>
                <w:webHidden/>
              </w:rPr>
              <w:fldChar w:fldCharType="separate"/>
            </w:r>
            <w:r>
              <w:rPr>
                <w:rStyle w:val="IndexLink"/>
                <w:vanish w:val="false"/>
              </w:rPr>
              <w:tab/>
              <w:t>3</w:t>
            </w:r>
            <w:r>
              <w:rPr>
                <w:webHidden/>
              </w:rPr>
              <w:fldChar w:fldCharType="end"/>
            </w:r>
          </w:hyperlink>
        </w:p>
        <w:p>
          <w:pPr>
            <w:pStyle w:val="TOC2"/>
            <w:tabs>
              <w:tab w:val="clear" w:pos="720"/>
              <w:tab w:val="right" w:pos="9016" w:leader="dot"/>
            </w:tabs>
            <w:rPr>
              <w:rFonts w:ascii="Calibri" w:hAnsi="Calibri"/>
              <w:szCs w:val="24"/>
              <w:lang w:val="en-IN" w:eastAsia="en-IN"/>
            </w:rPr>
          </w:pPr>
          <w:hyperlink w:anchor="_Toc224769510">
            <w:r>
              <w:rPr>
                <w:rStyle w:val="IndexLink"/>
                <w:lang w:val="en-IN"/>
              </w:rPr>
              <w:t>1.1 Introduction</w:t>
            </w:r>
            <w:r>
              <w:rPr>
                <w:webHidden/>
              </w:rPr>
              <w:fldChar w:fldCharType="begin"/>
            </w:r>
            <w:r>
              <w:rPr>
                <w:webHidden/>
              </w:rPr>
              <w:instrText xml:space="preserve">PAGEREF _Toc224769510 \h</w:instrText>
            </w:r>
            <w:r>
              <w:rPr>
                <w:webHidden/>
              </w:rPr>
              <w:fldChar w:fldCharType="separate"/>
            </w:r>
            <w:r>
              <w:rPr>
                <w:rStyle w:val="IndexLink"/>
                <w:vanish w:val="false"/>
              </w:rPr>
              <w:tab/>
              <w:t>3</w:t>
            </w:r>
            <w:r>
              <w:rPr>
                <w:webHidden/>
              </w:rPr>
              <w:fldChar w:fldCharType="end"/>
            </w:r>
          </w:hyperlink>
        </w:p>
        <w:p>
          <w:pPr>
            <w:pStyle w:val="TOC2"/>
            <w:tabs>
              <w:tab w:val="clear" w:pos="720"/>
              <w:tab w:val="right" w:pos="9016" w:leader="dot"/>
            </w:tabs>
            <w:rPr>
              <w:rFonts w:ascii="Calibri" w:hAnsi="Calibri"/>
              <w:szCs w:val="24"/>
              <w:lang w:val="en-IN" w:eastAsia="en-IN"/>
            </w:rPr>
          </w:pPr>
          <w:hyperlink w:anchor="_Toc224769511">
            <w:r>
              <w:rPr>
                <w:rStyle w:val="IndexLink"/>
                <w:lang w:val="en-IN"/>
              </w:rPr>
              <w:t>1.2 Examination of the Current Practice in Culture and Work among the Tech Companies</w:t>
            </w:r>
            <w:r>
              <w:rPr>
                <w:webHidden/>
              </w:rPr>
              <w:fldChar w:fldCharType="begin"/>
            </w:r>
            <w:r>
              <w:rPr>
                <w:webHidden/>
              </w:rPr>
              <w:instrText xml:space="preserve">PAGEREF _Toc224769511 \h</w:instrText>
            </w:r>
            <w:r>
              <w:rPr>
                <w:webHidden/>
              </w:rPr>
              <w:fldChar w:fldCharType="separate"/>
            </w:r>
            <w:r>
              <w:rPr>
                <w:rStyle w:val="IndexLink"/>
                <w:vanish w:val="false"/>
              </w:rPr>
              <w:tab/>
              <w:t>3</w:t>
            </w:r>
            <w:r>
              <w:rPr>
                <w:webHidden/>
              </w:rPr>
              <w:fldChar w:fldCharType="end"/>
            </w:r>
          </w:hyperlink>
        </w:p>
        <w:p>
          <w:pPr>
            <w:pStyle w:val="TOC2"/>
            <w:tabs>
              <w:tab w:val="clear" w:pos="720"/>
              <w:tab w:val="right" w:pos="9016" w:leader="dot"/>
            </w:tabs>
            <w:rPr>
              <w:rFonts w:ascii="Calibri" w:hAnsi="Calibri"/>
              <w:szCs w:val="24"/>
              <w:lang w:val="en-IN" w:eastAsia="en-IN"/>
            </w:rPr>
          </w:pPr>
          <w:hyperlink w:anchor="_Toc224769512">
            <w:r>
              <w:rPr>
                <w:rStyle w:val="IndexLink"/>
                <w:lang w:val="en-IN"/>
              </w:rPr>
              <w:t>1.3 Recommendation of Cultural and Structural Initiatives that Embed Innovation</w:t>
            </w:r>
            <w:r>
              <w:rPr>
                <w:webHidden/>
              </w:rPr>
              <w:fldChar w:fldCharType="begin"/>
            </w:r>
            <w:r>
              <w:rPr>
                <w:webHidden/>
              </w:rPr>
              <w:instrText xml:space="preserve">PAGEREF _Toc224769512 \h</w:instrText>
            </w:r>
            <w:r>
              <w:rPr>
                <w:webHidden/>
              </w:rPr>
              <w:fldChar w:fldCharType="separate"/>
            </w:r>
            <w:r>
              <w:rPr>
                <w:rStyle w:val="IndexLink"/>
                <w:vanish w:val="false"/>
              </w:rPr>
              <w:tab/>
              <w:t>4</w:t>
            </w:r>
            <w:r>
              <w:rPr>
                <w:webHidden/>
              </w:rPr>
              <w:fldChar w:fldCharType="end"/>
            </w:r>
          </w:hyperlink>
        </w:p>
        <w:p>
          <w:pPr>
            <w:pStyle w:val="TOC2"/>
            <w:tabs>
              <w:tab w:val="clear" w:pos="720"/>
              <w:tab w:val="right" w:pos="9016" w:leader="dot"/>
            </w:tabs>
            <w:rPr>
              <w:rFonts w:ascii="Calibri" w:hAnsi="Calibri"/>
              <w:szCs w:val="24"/>
              <w:lang w:val="en-IN" w:eastAsia="en-IN"/>
            </w:rPr>
          </w:pPr>
          <w:hyperlink w:anchor="_Toc224769513">
            <w:r>
              <w:rPr>
                <w:rStyle w:val="IndexLink"/>
                <w:lang w:val="en-IN"/>
              </w:rPr>
              <w:t>1.4 Proposition of Future Work Model to Support Collaboration and Creativity</w:t>
            </w:r>
            <w:r>
              <w:rPr>
                <w:webHidden/>
              </w:rPr>
              <w:fldChar w:fldCharType="begin"/>
            </w:r>
            <w:r>
              <w:rPr>
                <w:webHidden/>
              </w:rPr>
              <w:instrText xml:space="preserve">PAGEREF _Toc224769513 \h</w:instrText>
            </w:r>
            <w:r>
              <w:rPr>
                <w:webHidden/>
              </w:rPr>
              <w:fldChar w:fldCharType="separate"/>
            </w:r>
            <w:r>
              <w:rPr>
                <w:rStyle w:val="IndexLink"/>
                <w:vanish w:val="false"/>
              </w:rPr>
              <w:tab/>
              <w:t>6</w:t>
            </w:r>
            <w:r>
              <w:rPr>
                <w:webHidden/>
              </w:rPr>
              <w:fldChar w:fldCharType="end"/>
            </w:r>
          </w:hyperlink>
        </w:p>
        <w:p>
          <w:pPr>
            <w:pStyle w:val="TOC2"/>
            <w:tabs>
              <w:tab w:val="clear" w:pos="720"/>
              <w:tab w:val="right" w:pos="9016" w:leader="dot"/>
            </w:tabs>
            <w:rPr>
              <w:rFonts w:ascii="Calibri" w:hAnsi="Calibri"/>
              <w:szCs w:val="24"/>
              <w:lang w:val="en-IN" w:eastAsia="en-IN"/>
            </w:rPr>
          </w:pPr>
          <w:hyperlink w:anchor="_Toc224769514">
            <w:r>
              <w:rPr>
                <w:rStyle w:val="IndexLink"/>
                <w:lang w:val="en-IN"/>
              </w:rPr>
              <w:t>1.5 Demonstration of the New Approach to Motivate and Enable Staff to Perform Optimally</w:t>
            </w:r>
            <w:r>
              <w:rPr>
                <w:webHidden/>
              </w:rPr>
              <w:fldChar w:fldCharType="begin"/>
            </w:r>
            <w:r>
              <w:rPr>
                <w:webHidden/>
              </w:rPr>
              <w:instrText xml:space="preserve">PAGEREF _Toc224769514 \h</w:instrText>
            </w:r>
            <w:r>
              <w:rPr>
                <w:webHidden/>
              </w:rPr>
              <w:fldChar w:fldCharType="separate"/>
            </w:r>
            <w:r>
              <w:rPr>
                <w:rStyle w:val="IndexLink"/>
                <w:vanish w:val="false"/>
              </w:rPr>
              <w:tab/>
              <w:t>7</w:t>
            </w:r>
            <w:r>
              <w:rPr>
                <w:webHidden/>
              </w:rPr>
              <w:fldChar w:fldCharType="end"/>
            </w:r>
          </w:hyperlink>
        </w:p>
        <w:p>
          <w:pPr>
            <w:pStyle w:val="TOC2"/>
            <w:tabs>
              <w:tab w:val="clear" w:pos="720"/>
              <w:tab w:val="right" w:pos="9016" w:leader="dot"/>
            </w:tabs>
            <w:rPr>
              <w:rFonts w:ascii="Calibri" w:hAnsi="Calibri"/>
              <w:szCs w:val="24"/>
              <w:lang w:val="en-IN" w:eastAsia="en-IN"/>
            </w:rPr>
          </w:pPr>
          <w:hyperlink w:anchor="_Toc224769515">
            <w:r>
              <w:rPr>
                <w:rStyle w:val="IndexLink"/>
                <w:lang w:val="en-IN"/>
              </w:rPr>
              <w:t>1.6 Conclusion</w:t>
            </w:r>
            <w:r>
              <w:rPr>
                <w:webHidden/>
              </w:rPr>
              <w:fldChar w:fldCharType="begin"/>
            </w:r>
            <w:r>
              <w:rPr>
                <w:webHidden/>
              </w:rPr>
              <w:instrText xml:space="preserve">PAGEREF _Toc224769515 \h</w:instrText>
            </w:r>
            <w:r>
              <w:rPr>
                <w:webHidden/>
              </w:rPr>
              <w:fldChar w:fldCharType="separate"/>
            </w:r>
            <w:r>
              <w:rPr>
                <w:rStyle w:val="IndexLink"/>
                <w:vanish w:val="false"/>
              </w:rPr>
              <w:tab/>
              <w:t>7</w:t>
            </w:r>
            <w:r>
              <w:rPr>
                <w:webHidden/>
              </w:rPr>
              <w:fldChar w:fldCharType="end"/>
            </w:r>
          </w:hyperlink>
        </w:p>
        <w:p>
          <w:pPr>
            <w:pStyle w:val="TOC1"/>
            <w:tabs>
              <w:tab w:val="clear" w:pos="720"/>
              <w:tab w:val="right" w:pos="9016" w:leader="dot"/>
            </w:tabs>
            <w:rPr>
              <w:rFonts w:ascii="Calibri" w:hAnsi="Calibri"/>
              <w:szCs w:val="24"/>
              <w:lang w:val="en-IN" w:eastAsia="en-IN"/>
            </w:rPr>
          </w:pPr>
          <w:hyperlink w:anchor="_Toc224769516">
            <w:r>
              <w:rPr>
                <w:rStyle w:val="IndexLink"/>
                <w:lang w:val="en-IN"/>
              </w:rPr>
              <w:t>Part 2: Reflection</w:t>
            </w:r>
            <w:r>
              <w:rPr>
                <w:webHidden/>
              </w:rPr>
              <w:fldChar w:fldCharType="begin"/>
            </w:r>
            <w:r>
              <w:rPr>
                <w:webHidden/>
              </w:rPr>
              <w:instrText xml:space="preserve">PAGEREF _Toc224769516 \h</w:instrText>
            </w:r>
            <w:r>
              <w:rPr>
                <w:webHidden/>
              </w:rPr>
              <w:fldChar w:fldCharType="separate"/>
            </w:r>
            <w:r>
              <w:rPr>
                <w:rStyle w:val="IndexLink"/>
                <w:vanish w:val="false"/>
              </w:rPr>
              <w:tab/>
              <w:t>8</w:t>
            </w:r>
            <w:r>
              <w:rPr>
                <w:webHidden/>
              </w:rPr>
              <w:fldChar w:fldCharType="end"/>
            </w:r>
          </w:hyperlink>
        </w:p>
        <w:p>
          <w:pPr>
            <w:pStyle w:val="TOC2"/>
            <w:tabs>
              <w:tab w:val="clear" w:pos="720"/>
              <w:tab w:val="right" w:pos="9016" w:leader="dot"/>
            </w:tabs>
            <w:rPr>
              <w:rFonts w:ascii="Calibri" w:hAnsi="Calibri"/>
              <w:szCs w:val="24"/>
              <w:lang w:val="en-IN" w:eastAsia="en-IN"/>
            </w:rPr>
          </w:pPr>
          <w:hyperlink w:anchor="_Toc224769517">
            <w:r>
              <w:rPr>
                <w:rStyle w:val="IndexLink"/>
                <w:lang w:val="en-IN"/>
              </w:rPr>
              <w:t>2.1 Reflection on Personal Learning Journey</w:t>
            </w:r>
            <w:r>
              <w:rPr>
                <w:webHidden/>
              </w:rPr>
              <w:fldChar w:fldCharType="begin"/>
            </w:r>
            <w:r>
              <w:rPr>
                <w:webHidden/>
              </w:rPr>
              <w:instrText xml:space="preserve">PAGEREF _Toc224769517 \h</w:instrText>
            </w:r>
            <w:r>
              <w:rPr>
                <w:webHidden/>
              </w:rPr>
              <w:fldChar w:fldCharType="separate"/>
            </w:r>
            <w:r>
              <w:rPr>
                <w:rStyle w:val="IndexLink"/>
                <w:vanish w:val="false"/>
              </w:rPr>
              <w:tab/>
              <w:t>8</w:t>
            </w:r>
            <w:r>
              <w:rPr>
                <w:webHidden/>
              </w:rPr>
              <w:fldChar w:fldCharType="end"/>
            </w:r>
          </w:hyperlink>
        </w:p>
        <w:p>
          <w:pPr>
            <w:pStyle w:val="TOC2"/>
            <w:tabs>
              <w:tab w:val="clear" w:pos="720"/>
              <w:tab w:val="right" w:pos="9016" w:leader="dot"/>
            </w:tabs>
            <w:rPr>
              <w:rFonts w:ascii="Calibri" w:hAnsi="Calibri"/>
              <w:szCs w:val="24"/>
              <w:lang w:val="en-IN" w:eastAsia="en-IN"/>
            </w:rPr>
          </w:pPr>
          <w:hyperlink w:anchor="_Toc224769518">
            <w:r>
              <w:rPr>
                <w:rStyle w:val="IndexLink"/>
                <w:lang w:val="en-IN"/>
              </w:rPr>
              <w:t>2.2 Discussion of Plan to Stay Relevant in Increasing AI Demand Market Condition</w:t>
            </w:r>
            <w:r>
              <w:rPr>
                <w:webHidden/>
              </w:rPr>
              <w:fldChar w:fldCharType="begin"/>
            </w:r>
            <w:r>
              <w:rPr>
                <w:webHidden/>
              </w:rPr>
              <w:instrText xml:space="preserve">PAGEREF _Toc224769518 \h</w:instrText>
            </w:r>
            <w:r>
              <w:rPr>
                <w:webHidden/>
              </w:rPr>
              <w:fldChar w:fldCharType="separate"/>
            </w:r>
            <w:r>
              <w:rPr>
                <w:rStyle w:val="IndexLink"/>
                <w:vanish w:val="false"/>
              </w:rPr>
              <w:tab/>
              <w:t>10</w:t>
            </w:r>
            <w:r>
              <w:rPr>
                <w:webHidden/>
              </w:rPr>
              <w:fldChar w:fldCharType="end"/>
            </w:r>
          </w:hyperlink>
        </w:p>
        <w:p>
          <w:pPr>
            <w:pStyle w:val="TOC1"/>
            <w:tabs>
              <w:tab w:val="clear" w:pos="720"/>
              <w:tab w:val="right" w:pos="9016" w:leader="dot"/>
            </w:tabs>
            <w:rPr>
              <w:rFonts w:ascii="Calibri" w:hAnsi="Calibri"/>
              <w:szCs w:val="24"/>
              <w:lang w:val="en-IN" w:eastAsia="en-IN"/>
            </w:rPr>
          </w:pPr>
          <w:hyperlink w:anchor="_Toc224769519">
            <w:r>
              <w:rPr>
                <w:rStyle w:val="IndexLink"/>
                <w:lang w:val="en-IN"/>
              </w:rPr>
              <w:t>References</w:t>
            </w:r>
            <w:r>
              <w:rPr>
                <w:webHidden/>
              </w:rPr>
              <w:fldChar w:fldCharType="begin"/>
            </w:r>
            <w:r>
              <w:rPr>
                <w:webHidden/>
              </w:rPr>
              <w:instrText xml:space="preserve">PAGEREF _Toc224769519 \h</w:instrText>
            </w:r>
            <w:r>
              <w:rPr>
                <w:webHidden/>
              </w:rPr>
              <w:fldChar w:fldCharType="separate"/>
            </w:r>
            <w:r>
              <w:rPr>
                <w:rStyle w:val="IndexLink"/>
                <w:vanish w:val="false"/>
              </w:rPr>
              <w:tab/>
              <w:t>12</w:t>
            </w:r>
            <w:r>
              <w:rPr>
                <w:webHidden/>
              </w:rPr>
              <w:fldChar w:fldCharType="end"/>
            </w:r>
          </w:hyperlink>
        </w:p>
        <w:p>
          <w:pPr>
            <w:pStyle w:val="Normal"/>
            <w:rPr/>
          </w:pPr>
          <w:r>
            <w:rPr/>
          </w:r>
          <w:r>
            <w:rPr/>
            <w:fldChar w:fldCharType="end"/>
          </w:r>
        </w:p>
      </w:sdtContent>
    </w:sdt>
    <w:p>
      <w:pPr>
        <w:pStyle w:val="Normal"/>
        <w:spacing w:lineRule="auto" w:line="259"/>
        <w:jc w:val="start"/>
        <w:rPr>
          <w:b/>
          <w:sz w:val="32"/>
          <w:szCs w:val="32"/>
          <w:lang w:val="en-IN"/>
        </w:rPr>
      </w:pPr>
      <w:r>
        <w:rPr>
          <w:b/>
          <w:sz w:val="32"/>
          <w:szCs w:val="32"/>
          <w:lang w:val="en-IN"/>
        </w:rPr>
      </w:r>
      <w:r>
        <w:br w:type="page"/>
      </w:r>
    </w:p>
    <w:p>
      <w:pPr>
        <w:pStyle w:val="Heading1"/>
        <w:spacing w:before="0" w:after="0"/>
        <w:rPr>
          <w:lang w:val="en-IN"/>
        </w:rPr>
      </w:pPr>
      <w:bookmarkStart w:id="0" w:name="_Toc224769509"/>
      <w:r>
        <w:rPr>
          <w:lang w:val="en-IN"/>
        </w:rPr>
        <w:t>Part 1: Option 2 – Building a Culture of Innovation &amp; Future Work Practices</w:t>
      </w:r>
      <w:bookmarkEnd w:id="0"/>
    </w:p>
    <w:p>
      <w:pPr>
        <w:pStyle w:val="Heading2"/>
        <w:rPr>
          <w:lang w:val="en-IN"/>
        </w:rPr>
      </w:pPr>
      <w:bookmarkStart w:id="1" w:name="_Toc224769510"/>
      <w:r>
        <w:rPr>
          <w:lang w:val="en-IN"/>
        </w:rPr>
        <w:t>1.1 Introduction</w:t>
      </w:r>
      <w:bookmarkEnd w:id="1"/>
    </w:p>
    <w:p>
      <w:pPr>
        <w:pStyle w:val="Normal"/>
        <w:rPr>
          <w:lang w:val="en-IN"/>
        </w:rPr>
      </w:pPr>
      <w:r>
        <w:rPr>
          <w:lang w:val="en-IN"/>
        </w:rPr>
        <w:t>Organisations must encourage innovation, teamwork and unremitting learning to create a culture of innovation and future work practices. Organizations should build the culture where individuals are not hesitant to offer ideas, make risks, and draw conclusions. Digital technologies and flexible working in addition to cross-functional teamwork also aid innovation. The leadership is a highly important aspect that promotes free communication, invests in the talent of employees, and the creative work is rewarded (</w:t>
      </w:r>
      <w:r>
        <w:rPr/>
        <w:t xml:space="preserve">Cheong </w:t>
      </w:r>
      <w:r>
        <w:rPr>
          <w:i/>
          <w:iCs/>
        </w:rPr>
        <w:t>et al</w:t>
      </w:r>
      <w:r>
        <w:rPr/>
        <w:t>., 2024</w:t>
      </w:r>
      <w:r>
        <w:rPr>
          <w:lang w:val="en-IN"/>
        </w:rPr>
        <w:t>). Besides, to remain competitive, companies should also adjust to the use of agile working practices and evidence-based decision making. Flexibility, inclusion and preparedness to technology will allow companies to establish a culture of sustainable innovation to make them employees and organisations sustainable to the future of work.</w:t>
      </w:r>
    </w:p>
    <w:p>
      <w:pPr>
        <w:pStyle w:val="Heading2"/>
        <w:rPr>
          <w:lang w:val="en-IN"/>
        </w:rPr>
      </w:pPr>
      <w:bookmarkStart w:id="2" w:name="_Toc224769511"/>
      <w:r>
        <w:rPr>
          <w:lang w:val="en-IN"/>
        </w:rPr>
        <w:t>1.2 Examination of the Current Practice in Culture and Work among the Tech Companies</w:t>
      </w:r>
      <w:bookmarkEnd w:id="2"/>
    </w:p>
    <w:p>
      <w:pPr>
        <w:pStyle w:val="Normal"/>
        <w:rPr>
          <w:lang w:val="en-IN"/>
        </w:rPr>
      </w:pPr>
      <w:r>
        <w:rPr>
          <w:lang w:val="en-IN"/>
        </w:rPr>
        <w:t>Innovation, flexibility and team work is fostered through the establishment of a modern-day workplace that is typified by Aether Innovation Tech. One of the most salient are the hybrid model of the work that implies dividing the employees in such a way that they spend a specific amount of time in the office and the other half of the day at home. This approach increases the productivity and job satisfaction and the global organisations flexibility. The other salient practice is the emphasis on the idea of work-life balance and work flexible time (</w:t>
      </w:r>
      <w:r>
        <w:rPr/>
        <w:t xml:space="preserve">Shea </w:t>
      </w:r>
      <w:r>
        <w:rPr>
          <w:i/>
          <w:iCs/>
        </w:rPr>
        <w:t>et al</w:t>
      </w:r>
      <w:r>
        <w:rPr/>
        <w:t>., 2023</w:t>
      </w:r>
      <w:r>
        <w:rPr>
          <w:lang w:val="en-IN"/>
        </w:rPr>
        <w:t>). The Aether Innovation Tech is more likely to provide the workers with the flexibility to work at their own time, to them the chance to work remotely, and to them the psyche-mental-health and family-friendly workplace policies that will enhance the performance and wellbeing of the employees. There are even technological companies, which are concerned with innovations. The most successful organisations like Google develop creative workspaces that comprise working together spaces, employee benefits, and exploration.</w:t>
      </w:r>
    </w:p>
    <w:p>
      <w:pPr>
        <w:pStyle w:val="Normal"/>
        <w:rPr>
          <w:lang w:val="en-IN"/>
        </w:rPr>
      </w:pPr>
      <w:r>
        <w:rPr>
          <w:lang w:val="en-IN"/>
        </w:rPr>
        <w:t>Such circumstances will help the workers be able to share ideas and present creative solutions. Moreover, agile teamwork and rapt learning are very embraced. The teams that work cross-functional help to discover a resolution to the complex problem within the shortest time, and Aether Innovation Tech invests in online skills, artificial intelligence, and training programs to enhance the capabilities and performance of employees (</w:t>
      </w:r>
      <w:r>
        <w:rPr/>
        <w:t>Tripathi and Kalia, 2024</w:t>
      </w:r>
      <w:r>
        <w:rPr>
          <w:lang w:val="en-IN"/>
        </w:rPr>
        <w:t>). In sum, the Aether Innovation Tech has a culture, work practices, which are centred on flexibility, innovation, and empowered employees. These practices will help Aether Innovation Tech to recruit talents, remain competitive, and adopt fast changes to technological advancements and transformations of the global digital economy.</w:t>
      </w:r>
    </w:p>
    <w:p>
      <w:pPr>
        <w:pStyle w:val="Heading2"/>
        <w:rPr>
          <w:lang w:val="en-IN"/>
        </w:rPr>
      </w:pPr>
      <w:bookmarkStart w:id="3" w:name="_Toc224769512"/>
      <w:r>
        <w:rPr>
          <w:lang w:val="en-IN"/>
        </w:rPr>
        <w:t>1.3 Recommendation of Cultural and Structural Initiatives that Embed Innovation</w:t>
      </w:r>
      <w:bookmarkEnd w:id="3"/>
    </w:p>
    <w:p>
      <w:pPr>
        <w:pStyle w:val="Normal"/>
        <w:rPr>
          <w:lang w:val="en-IN"/>
        </w:rPr>
      </w:pPr>
      <w:r>
        <w:rPr/>
        <w:t xml:space="preserve">Attachment to positive values concerning culture should be accompanied with open structure of </w:t>
      </w:r>
      <w:r>
        <w:rPr>
          <w:lang w:val="en-IN"/>
        </w:rPr>
        <w:t>Aether Innovation Tech</w:t>
      </w:r>
      <w:r>
        <w:rPr/>
        <w:t xml:space="preserve"> that desires to embed the innovation into their operations. The collaboration and open culture of communication can enable employees to develop and implement new ideas by participating in experiments (Jaganjac </w:t>
      </w:r>
      <w:r>
        <w:rPr>
          <w:i/>
          <w:iCs/>
        </w:rPr>
        <w:t>et al</w:t>
      </w:r>
      <w:r>
        <w:rPr/>
        <w:t>., 2025). Structural processes of innovation that also institutionalise innovation and the customisation of creative thinking as the working life norm include innovation programmes, working teams-building and online platforms.</w:t>
      </w:r>
    </w:p>
    <w:p>
      <w:pPr>
        <w:pStyle w:val="Normal"/>
        <w:rPr>
          <w:b/>
          <w:bCs/>
          <w:lang w:val="en-IN"/>
        </w:rPr>
      </w:pPr>
      <w:r>
        <w:rPr>
          <w:b/>
          <w:bCs/>
          <w:lang w:val="en-IN"/>
        </w:rPr>
        <w:t>Innovation Sprints</w:t>
      </w:r>
    </w:p>
    <w:p>
      <w:pPr>
        <w:pStyle w:val="Normal"/>
        <w:rPr>
          <w:lang w:val="en-IN"/>
        </w:rPr>
      </w:pPr>
      <w:r>
        <w:rPr/>
        <w:t xml:space="preserve">Innovation sprints determine the short-focused periods that cross functional teams spend in a sleepless state in an effort to come up with a solution towards some challenges. These are well-planned sessions, which encourage rapid prototyping, innovativeness and rapid decision-making. The opportunities to set certain goals and time limits will allow </w:t>
      </w:r>
      <w:r>
        <w:rPr>
          <w:lang w:val="en-IN"/>
        </w:rPr>
        <w:t>Aether Innovation Tech</w:t>
      </w:r>
      <w:r>
        <w:rPr/>
        <w:t xml:space="preserve"> to speed up the process of generation and testing of ideas (TRZECIAK and JUSZCZYK, 2025). The innovation sprints also assist in interaction across cross-functional workers in the department whereby different knowledge can be applied in solving the difficult issues.</w:t>
      </w:r>
    </w:p>
    <w:p>
      <w:pPr>
        <w:pStyle w:val="Normal"/>
        <w:rPr>
          <w:b/>
          <w:bCs/>
          <w:lang w:val="en-IN"/>
        </w:rPr>
      </w:pPr>
      <w:r>
        <w:rPr>
          <w:b/>
          <w:bCs/>
          <w:lang w:val="en-IN"/>
        </w:rPr>
        <w:t>Intrapreneurship Programs</w:t>
      </w:r>
    </w:p>
    <w:p>
      <w:pPr>
        <w:pStyle w:val="Normal"/>
        <w:rPr/>
      </w:pPr>
      <w:r>
        <w:rPr/>
        <w:t xml:space="preserve">Encouraging intrapreneurship allows employees to develop in </w:t>
      </w:r>
      <w:r>
        <w:rPr>
          <w:lang w:val="en-IN"/>
        </w:rPr>
        <w:t>Aether Innovation Tech</w:t>
      </w:r>
      <w:r>
        <w:rPr/>
        <w:t xml:space="preserve"> as entrepreneurs. </w:t>
      </w:r>
      <w:r>
        <w:rPr>
          <w:lang w:val="en-IN"/>
        </w:rPr>
        <w:t>Aether Innovation Tech</w:t>
      </w:r>
      <w:r>
        <w:rPr/>
        <w:t xml:space="preserve"> can finance this by internal funding, mentoring, and allocation of time, when the employees are free to be innovative in their projects. Such an approach fosters the degree of participation and inspiration within the employees as they feel empowered in order to possess new concepts (Moss, Hartley and Russell, 2022). The intrapreneurship programs are also helpful when it comes to </w:t>
      </w:r>
      <w:r>
        <w:rPr>
          <w:lang w:val="en-IN"/>
        </w:rPr>
        <w:t>Aether Innovation Tech</w:t>
      </w:r>
      <w:r>
        <w:rPr/>
        <w:t xml:space="preserve"> identifying high potential innovations that would lead to new products, services or business models.</w:t>
      </w:r>
    </w:p>
    <w:p>
      <w:pPr>
        <w:pStyle w:val="Normal"/>
        <w:jc w:val="center"/>
        <w:rPr>
          <w:lang w:val="en-IN"/>
        </w:rPr>
      </w:pPr>
      <w:r>
        <w:rPr/>
        <mc:AlternateContent>
          <mc:Choice Requires="wpg">
            <w:drawing>
              <wp:inline distT="0" distB="0" distL="0" distR="0">
                <wp:extent cx="5486400" cy="3200400"/>
                <wp:effectExtent l="0" t="0" r="0" b="0"/>
                <wp:docPr id="2" name="Diagram 2"/>
                <a:graphic xmlns:a="http://schemas.openxmlformats.org/drawingml/2006/main">
                  <a:graphicData uri="http://schemas.microsoft.com/office/word/2010/wordprocessingGroup">
                    <wpg:wgp>
                      <wpg:cNvGrpSpPr/>
                      <wpg:grpSpPr>
                        <a:xfrm>
                          <a:off x="0" y="0"/>
                          <a:ext cx="5486400" cy="3200400"/>
                          <a:chOff x="0" y="0"/>
                          <a:chExt cx="5486400" cy="3200400"/>
                        </a:xfrm>
                      </wpg:grpSpPr>
                      <pic:pic xmlns:pic="http://schemas.openxmlformats.org/drawingml/2006/picture">
                        <pic:nvPicPr>
                          <pic:cNvPr id="3" name="RenderedShapes"/>
                          <pic:cNvPicPr/>
                        </pic:nvPicPr>
                        <pic:blipFill>
                          <a:blip r:embed="rId3"/>
                          <a:stretch/>
                        </pic:blipFill>
                        <pic:spPr>
                          <a:xfrm>
                            <a:off x="0" y="0"/>
                            <a:ext cx="5486400" cy="3200400"/>
                          </a:xfrm>
                          <a:prstGeom prst="rect">
                            <a:avLst/>
                          </a:prstGeom>
                          <a:noFill/>
                          <a:ln w="0">
                            <a:noFill/>
                          </a:ln>
                        </pic:spPr>
                      </pic:pic>
                    </wpg:wgp>
                  </a:graphicData>
                </a:graphic>
              </wp:inline>
            </w:drawing>
          </mc:Choice>
          <mc:Fallback>
            <w:pict>
              <v:group id="shape_0" alt="Diagram 2" style="position:absolute;margin-left:0pt;margin-top:-252.05pt;width:432pt;height:252pt" coordorigin="0,-5041" coordsize="8640,5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left:0;top:-5041;width:8639;height:5039;mso-wrap-style:none;v-text-anchor:middle;mso-position-vertical:top" type="_x0000_t75">
                  <v:imagedata r:id="rId4" o:detectmouseclick="t"/>
                  <v:stroke color="#3465a4" joinstyle="round" endcap="flat"/>
                  <w10:wrap type="square"/>
                </v:shape>
              </v:group>
            </w:pict>
          </mc:Fallback>
        </mc:AlternateContent>
      </w:r>
    </w:p>
    <w:p>
      <w:pPr>
        <w:pStyle w:val="Heading4"/>
        <w:rPr>
          <w:lang w:val="en-IN"/>
        </w:rPr>
      </w:pPr>
      <w:r>
        <w:rPr>
          <w:lang w:val="en-IN"/>
        </w:rPr>
        <w:t>Figure 1: Cultural and Structural Initiatives for Aether</w:t>
      </w:r>
    </w:p>
    <w:p>
      <w:pPr>
        <w:pStyle w:val="Normal"/>
        <w:jc w:val="center"/>
        <w:rPr>
          <w:lang w:val="en-IN"/>
        </w:rPr>
      </w:pPr>
      <w:r>
        <w:rPr>
          <w:lang w:val="en-IN"/>
        </w:rPr>
        <w:t>(Source: As created by self)</w:t>
      </w:r>
    </w:p>
    <w:p>
      <w:pPr>
        <w:pStyle w:val="Normal"/>
        <w:rPr>
          <w:b/>
          <w:bCs/>
          <w:lang w:val="en-IN"/>
        </w:rPr>
      </w:pPr>
      <w:r>
        <w:rPr>
          <w:b/>
          <w:bCs/>
          <w:lang w:val="en-IN"/>
        </w:rPr>
        <w:t>Cross-Functional Teams</w:t>
      </w:r>
    </w:p>
    <w:p>
      <w:pPr>
        <w:pStyle w:val="Normal"/>
        <w:rPr>
          <w:lang w:val="en-IN"/>
        </w:rPr>
      </w:pPr>
      <w:r>
        <w:rPr/>
        <w:t>With the use of cross-functional teams, it is now possible to implement a combination of efforts of employees who express different departments marketing, technology, operations and finance. These teams possess divergent perspectives, expertise and talents that can be applied towards addressing the organisational issue in a novel way (Ahmad, Boit and Aakula, 2023). The cross-functional group work does remove the silos, improves the communication component and also ensures that certain ideas generated are innovative and aligned with the business objectives.</w:t>
      </w:r>
    </w:p>
    <w:p>
      <w:pPr>
        <w:pStyle w:val="Normal"/>
        <w:rPr>
          <w:b/>
          <w:bCs/>
          <w:lang w:val="en-IN"/>
        </w:rPr>
      </w:pPr>
      <w:r>
        <w:rPr>
          <w:b/>
          <w:bCs/>
          <w:lang w:val="en-IN"/>
        </w:rPr>
        <w:t>Learning and Knowledge-Sharing Platforms</w:t>
      </w:r>
    </w:p>
    <w:p>
      <w:pPr>
        <w:pStyle w:val="Normal"/>
        <w:rPr>
          <w:lang w:val="en-IN"/>
        </w:rPr>
      </w:pPr>
      <w:r>
        <w:rPr/>
        <w:t>It is recommended that companies embrace digital platform and regular workshops in which employees are inspired to share ideas, experience, and knowledge. This is enabled by the constant culture of learning through internal innovation portals, brainstorming forums and sharing-of-learnings (Zamiri and Esmaeili, 2024). Such platforms enable to make sure the innovative thinking is secured at the organisational level as well as the valuable ideas are retained, implemented and developed well.</w:t>
      </w:r>
    </w:p>
    <w:p>
      <w:pPr>
        <w:pStyle w:val="Heading2"/>
        <w:rPr>
          <w:lang w:val="en-IN"/>
        </w:rPr>
      </w:pPr>
      <w:bookmarkStart w:id="4" w:name="_Toc224769513"/>
      <w:r>
        <w:rPr>
          <w:lang w:val="en-IN"/>
        </w:rPr>
        <w:t>1.4 Proposition of Future Work Model to Support Collaboration and Creativity</w:t>
      </w:r>
      <w:bookmarkEnd w:id="4"/>
    </w:p>
    <w:p>
      <w:pPr>
        <w:pStyle w:val="Normal"/>
        <w:rPr>
          <w:lang w:val="en-IN"/>
        </w:rPr>
      </w:pPr>
      <w:r>
        <w:rPr>
          <w:lang w:val="en-IN"/>
        </w:rPr>
        <w:t>The model that would be applied to the future of work would be flexible, digital connected, and collaborative work environments to facilitate innovation and creativity. A work hybrid model, i.e. workers working part of time at home and part of their time at the physical location, has emerged to be strong solution to modern organisations. Under this model, the employees would be able to operate in the type of environment that will make them most productive and at the same time enable them to engage in teamwork and knowledge sharing. Elastic remote working is one of the primary aspects of this model (</w:t>
      </w:r>
      <w:r>
        <w:rPr/>
        <w:t xml:space="preserve">Thornhill-Miller </w:t>
      </w:r>
      <w:r>
        <w:rPr>
          <w:i/>
          <w:iCs/>
        </w:rPr>
        <w:t>et al</w:t>
      </w:r>
      <w:r>
        <w:rPr/>
        <w:t>., 2023</w:t>
      </w:r>
      <w:r>
        <w:rPr>
          <w:lang w:val="en-IN"/>
        </w:rPr>
        <w:t>). The home or some distance can be used to do individual and intensive tasks saving commutes and improving work-life balance. Aether Innovation Tech will need to provide safe online system, cloud computing systems, and collaborative services such as virtual meeting system and shared digital desks.</w:t>
      </w:r>
    </w:p>
    <w:p>
      <w:pPr>
        <w:pStyle w:val="Normal"/>
        <w:rPr>
          <w:lang w:val="en-IN"/>
        </w:rPr>
      </w:pPr>
      <w:r>
        <w:rPr>
          <w:lang w:val="en-IN"/>
        </w:rPr>
        <w:t>The place does not stop these technologies from making teams communicate and work well. The other important consideration is team work oriented work areas. It can also be redesigned to transform workplaces into the innovation centres, which employees can congregate and brainstorm ideas and conduct team building sessions and devise solutions to challenges rather than sitting on their desks. One has open spaces, breakout spaces and innovation labs which comprise spontaneous discussions and generation of ideas (</w:t>
      </w:r>
      <w:r>
        <w:rPr/>
        <w:t>Oham and Ejike, 2024</w:t>
      </w:r>
      <w:r>
        <w:rPr>
          <w:lang w:val="en-IN"/>
        </w:rPr>
        <w:t>). They can organize in-office working days where the teams can also keep in touch and on track to the organisation objectives. The future of work model should also foster the work practice and cross-functionally of teamwork. The project-based teams can work in various departments and in various locations implementing the agile methods to reduce the cycles and be swiftly responsive to changes. Regular virtual check-ins, group digital boards and knowledge sharing platforms might facilitate constant communication and transparency.</w:t>
      </w:r>
    </w:p>
    <w:p>
      <w:pPr>
        <w:pStyle w:val="Normal"/>
        <w:rPr>
          <w:lang w:val="en-IN"/>
        </w:rPr>
      </w:pPr>
      <w:r>
        <w:rPr>
          <w:lang w:val="en-IN"/>
        </w:rPr>
        <w:t>In addition, organisations should prioritise on the wellbeing of the employees and lifelong learning. Providing employees with access to digital training programs, virtual workshops and mentoring systems help employees to acquire new skills as well as stay active. This wellbeing is maintained by such programs as flexible working hours, mental health care, and diversity at the working place to keep the employees motivated and productive (</w:t>
      </w:r>
      <w:r>
        <w:rPr/>
        <w:t>Chaudhury and Deng, 2022</w:t>
      </w:r>
      <w:r>
        <w:rPr>
          <w:lang w:val="en-IN"/>
        </w:rPr>
        <w:t>). In most cases, Hybrid Future of Work Model that includes a use of technology, flexible work set up and shared space can improve creativity, reinforce collaboration and support innovation of Aether Innovation Tech in a more digital and global business environment.</w:t>
      </w:r>
    </w:p>
    <w:p>
      <w:pPr>
        <w:pStyle w:val="Heading2"/>
        <w:rPr>
          <w:lang w:val="en-IN"/>
        </w:rPr>
      </w:pPr>
      <w:bookmarkStart w:id="5" w:name="_Toc224769514"/>
      <w:r>
        <w:rPr>
          <w:lang w:val="en-IN"/>
        </w:rPr>
        <w:t>1.5 Demonstration of the New Approach to Motivate and Enable Staff to Perform Optimally</w:t>
      </w:r>
      <w:bookmarkEnd w:id="5"/>
    </w:p>
    <w:p>
      <w:pPr>
        <w:pStyle w:val="Normal"/>
        <w:rPr>
          <w:lang w:val="en-IN"/>
        </w:rPr>
      </w:pPr>
      <w:r>
        <w:rPr>
          <w:lang w:val="en-IN"/>
        </w:rPr>
        <w:t>The new hybrid and innovation-based model of work can have a huge impetus effect among the workers and boost their performance. Aether Innovation Tech can provide flexible working styles hence allowing workers to manage their working schedules and work places better. The work life equilibrium, work stress, job satisfaction, which are outcomes of such a flexible work situation are positive in the end result of the productivity and investment in organisational goals. The other is employee empowerment (</w:t>
      </w:r>
      <w:r>
        <w:rPr/>
        <w:t>Zhao, 2024</w:t>
      </w:r>
      <w:r>
        <w:rPr>
          <w:lang w:val="en-IN"/>
        </w:rPr>
        <w:t>). The employees will be convinced that they are trusted and valued when organisations encourage innovation using various programs such as collaborative projects, innovation sprints and intrapreneurship programs. The ownership will motivate employees to be innovative, most initiative and engage in problem solving initiative. That way, the employees become more engaged and eager to be of high levels of performance.</w:t>
      </w:r>
    </w:p>
    <w:p>
      <w:pPr>
        <w:pStyle w:val="Normal"/>
        <w:rPr>
          <w:lang w:val="en-IN"/>
        </w:rPr>
      </w:pPr>
      <w:r>
        <w:rPr>
          <w:lang w:val="en-IN"/>
        </w:rPr>
        <w:t>Digital collaboration tools can be also integrated in the workplace, which will help the workers to work effectively both across the geographical and internal borders. Knowledge sharing and communication platforms assist in keeping teams in touch as well as assist the team to remain on course with the organisational objectives. The tools increase transparency, reduce communication obstacles and allow the employees to access the resources within the shortest time feasible, in order to conduct their work more efficiently (</w:t>
      </w:r>
      <w:r>
        <w:rPr/>
        <w:t>Latham, 2023</w:t>
      </w:r>
      <w:r>
        <w:rPr>
          <w:lang w:val="en-IN"/>
        </w:rPr>
        <w:t>). The prospects of continuous learning and enabling leadership is also very vital to the improvement of employee performance. The employees are able to adapt to the changes in technology and acquire new skills through training programs, mentorship programs and skills development programs. When the employees are motivated to strive towards their career development, they are assured and become creative and are able to perform to their best in the organisation.</w:t>
      </w:r>
    </w:p>
    <w:p>
      <w:pPr>
        <w:pStyle w:val="Heading2"/>
        <w:rPr>
          <w:lang w:val="en-IN"/>
        </w:rPr>
      </w:pPr>
      <w:bookmarkStart w:id="6" w:name="_Toc224769515"/>
      <w:r>
        <w:rPr>
          <w:lang w:val="en-IN"/>
        </w:rPr>
        <w:t>1.6 Conclusion</w:t>
      </w:r>
      <w:bookmarkEnd w:id="6"/>
    </w:p>
    <w:p>
      <w:pPr>
        <w:pStyle w:val="Normal"/>
        <w:rPr>
          <w:lang w:val="en-IN"/>
        </w:rPr>
      </w:pPr>
      <w:r>
        <w:rPr>
          <w:lang w:val="en-IN"/>
        </w:rPr>
        <w:t>In conclusion, organisations need to adopt new cultural and structural practices so that they can be competitive in the dynamic nature of the digital economy. Incorporating innovation in the daily running of firms can be done through the establishment of a culture that enhances creativity, teambuilding, and lifelong learning. Some of the initiatives that can help in innovating and bring new ideas and improve organisational agility include innovation sprints, intrapreneurship programs and cross-functional teams. Moreover, a hybrid-based future of work that will be succeeded by digital technologies will also help to bring flexibility, collaboration and wellbeing in employees. When employees are included, supported and connected and consequently made to feel empowered, they get more attentive and thus are more motivated to make a delivery. Eventually, an organization that embraces innovation-centred culture and progressive working methods would be more competitive in the future growth and prosperity.</w:t>
      </w:r>
    </w:p>
    <w:p>
      <w:pPr>
        <w:pStyle w:val="Heading1"/>
        <w:rPr>
          <w:lang w:val="en-IN"/>
        </w:rPr>
      </w:pPr>
      <w:bookmarkStart w:id="7" w:name="_Toc224769516"/>
      <w:r>
        <w:rPr>
          <w:lang w:val="en-IN"/>
        </w:rPr>
        <w:t>Part 2: Reflection</w:t>
      </w:r>
      <w:bookmarkEnd w:id="7"/>
    </w:p>
    <w:p>
      <w:pPr>
        <w:pStyle w:val="Heading2"/>
        <w:rPr>
          <w:lang w:val="en-IN"/>
        </w:rPr>
      </w:pPr>
      <w:bookmarkStart w:id="8" w:name="_Toc224769517"/>
      <w:r>
        <w:rPr>
          <w:lang w:val="en-IN"/>
        </w:rPr>
        <w:t>2.1 Reflection on Personal Learning Journey</w:t>
      </w:r>
      <w:bookmarkEnd w:id="8"/>
    </w:p>
    <w:p>
      <w:pPr>
        <w:pStyle w:val="Normal"/>
        <w:rPr>
          <w:lang w:val="en-IN"/>
        </w:rPr>
      </w:pPr>
      <w:r>
        <w:rPr/>
        <w:t xml:space="preserve">Reflective Learning Model provided by Kolb is a step-by-step approach towards the examination of the learning process and its transformation into a successful personal and professional development. The model is typified using four stages, that is, concrete experience, reflective observation, abstract conceptualisation and active experimentation (Cheng </w:t>
      </w:r>
      <w:r>
        <w:rPr>
          <w:i/>
          <w:iCs/>
        </w:rPr>
        <w:t>et al</w:t>
      </w:r>
      <w:r>
        <w:rPr/>
        <w:t>., 2025). This model would help understand how the knowledge that I would gain during this module could help to emerge the growth mindset and the innovation approach to my profession.</w:t>
      </w:r>
    </w:p>
    <w:p>
      <w:pPr>
        <w:pStyle w:val="Normal"/>
        <w:rPr>
          <w:b/>
          <w:bCs/>
        </w:rPr>
      </w:pPr>
      <w:r>
        <w:rPr>
          <w:b/>
          <w:bCs/>
        </w:rPr>
        <w:t>Concrete Experience</w:t>
      </w:r>
    </w:p>
    <w:p>
      <w:pPr>
        <w:pStyle w:val="Normal"/>
        <w:rPr/>
      </w:pPr>
      <w:r>
        <w:rPr/>
        <w:t>A number of ideas that I got during this module include innovation, organisational culture, leadership as well as the future of work. The learning activities that were undertaken included lectures, discussions, case works and personal researches on activities of innovation in organisations. These stories helped me to understand that organisations could be creative to promote partnerships and digital change as a solution to remaining competitive in dynamic environments (Wei, 2024). The other issue that I studied related to the application of global working models, cross-functional teamwork, and innovation schedule by the contemporary organisations to facilitate the performance and adaptability.</w:t>
      </w:r>
    </w:p>
    <w:p>
      <w:pPr>
        <w:pStyle w:val="Normal"/>
        <w:rPr>
          <w:b/>
          <w:bCs/>
        </w:rPr>
      </w:pPr>
      <w:r>
        <w:rPr>
          <w:b/>
          <w:bCs/>
        </w:rPr>
        <w:t>Reflective Observation</w:t>
      </w:r>
    </w:p>
    <w:p>
      <w:pPr>
        <w:pStyle w:val="Normal"/>
        <w:rPr/>
      </w:pPr>
      <w:r>
        <w:rPr/>
        <w:t>After such learning experiences I understood that innovative features could be not only technology or new products but also organisational culture and mindset of the employees have a heavy influence on the organisational culture. I observed that those organisations that tend to encourage free communication, risk-taking, and collaborations possess more innovative ideas (Ryder and Downs, 2022). At an individual level, I also learned that I should learn to take in new concepts, I have to continue developing myself indefinitely and I have to embrace new challenges other than avoid them. This reflection also helped me to understand the ways I can be improved in order to be more creative in my thought process and solving problems and be more adaptive.</w:t>
      </w:r>
    </w:p>
    <w:p>
      <w:pPr>
        <w:pStyle w:val="Normal"/>
        <w:rPr>
          <w:b/>
          <w:bCs/>
        </w:rPr>
      </w:pPr>
      <w:r>
        <w:rPr>
          <w:b/>
          <w:bCs/>
        </w:rPr>
        <w:t>Abstract Conceptualisation</w:t>
      </w:r>
    </w:p>
    <w:p>
      <w:pPr>
        <w:pStyle w:val="Normal"/>
        <w:rPr/>
      </w:pPr>
      <w:r>
        <w:rPr/>
        <w:t>It is upon this reflection that I developed more of an ideal sense of the manner through which innovation can be infused in individuals and organisations. I also learned that growth mentality undergoes development which is the key ingredient in ensuring innovativeness and continuous improvement. Such theoretical frameworks as collaborative leadership, agile working approach, and knowledge sharing underline the role that the people might play in the creation of new environments (Haritha and Rao, 2024). Such concepts provide the reasons behind the establishment of my own learning and development design that will rely on the notion of continuous skill improvement, critical thinking and engagement with emerging ideas.</w:t>
      </w:r>
    </w:p>
    <w:p>
      <w:pPr>
        <w:pStyle w:val="Normal"/>
        <w:rPr>
          <w:b/>
          <w:bCs/>
        </w:rPr>
      </w:pPr>
      <w:r>
        <w:rPr>
          <w:b/>
          <w:bCs/>
        </w:rPr>
        <w:t>Active Experimentation</w:t>
      </w:r>
    </w:p>
    <w:p>
      <w:pPr>
        <w:pStyle w:val="Normal"/>
        <w:rPr/>
      </w:pPr>
      <w:r>
        <w:rPr/>
        <w:t>As part of the implementation of these findings, I will adopt several learning and growth approaches, which will support innovation and growth mentality. These are being engaged in professional training courses, undertaking joint projects and being self-driven to get feedback in order to improve my performance. I will, as well, conduct some research in the digital learning systems and industry source to remain updated with the latest trends and technology (Jan, 2024). I will also be taught how to be innovative in solving problems and teamwork practices that will spur the process of sharing ideas as well as experimentation.</w:t>
      </w:r>
    </w:p>
    <w:p>
      <w:pPr>
        <w:pStyle w:val="Normal"/>
        <w:jc w:val="center"/>
        <w:rPr>
          <w:lang w:val="en-IN"/>
        </w:rPr>
      </w:pPr>
      <w:r>
        <w:rPr/>
        <w:drawing>
          <wp:inline distT="0" distB="0" distL="0" distR="0">
            <wp:extent cx="4372610" cy="3298825"/>
            <wp:effectExtent l="0" t="0" r="0" b="0"/>
            <wp:docPr id="4" name="Image2" descr="Kolb's Experiential Learning Cycle: A Complete Guide - Growth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Kolb's Experiential Learning Cycle: A Complete Guide - Growth Engineering"/>
                    <pic:cNvPicPr>
                      <a:picLocks noChangeAspect="1" noChangeArrowheads="1"/>
                    </pic:cNvPicPr>
                  </pic:nvPicPr>
                  <pic:blipFill>
                    <a:blip r:embed="rId5"/>
                    <a:stretch>
                      <a:fillRect/>
                    </a:stretch>
                  </pic:blipFill>
                  <pic:spPr bwMode="auto">
                    <a:xfrm>
                      <a:off x="0" y="0"/>
                      <a:ext cx="4372610" cy="3298825"/>
                    </a:xfrm>
                    <a:prstGeom prst="rect">
                      <a:avLst/>
                    </a:prstGeom>
                    <a:noFill/>
                  </pic:spPr>
                </pic:pic>
              </a:graphicData>
            </a:graphic>
          </wp:inline>
        </w:drawing>
      </w:r>
    </w:p>
    <w:p>
      <w:pPr>
        <w:pStyle w:val="Heading4"/>
        <w:rPr>
          <w:lang w:val="en-IN"/>
        </w:rPr>
      </w:pPr>
      <w:r>
        <w:rPr>
          <w:lang w:val="en-IN"/>
        </w:rPr>
        <w:t>Figure 2: Kolb’s Experiential Learning Cycle</w:t>
      </w:r>
    </w:p>
    <w:p>
      <w:pPr>
        <w:pStyle w:val="Normal"/>
        <w:jc w:val="center"/>
        <w:rPr>
          <w:lang w:val="en-IN"/>
        </w:rPr>
      </w:pPr>
      <w:r>
        <w:rPr>
          <w:lang w:val="en-IN"/>
        </w:rPr>
        <w:t xml:space="preserve">(Source: </w:t>
      </w:r>
      <w:r>
        <w:rPr/>
        <w:t>Haritha and Rao, 2024</w:t>
      </w:r>
      <w:r>
        <w:rPr>
          <w:lang w:val="en-IN"/>
        </w:rPr>
        <w:t>)</w:t>
      </w:r>
    </w:p>
    <w:p>
      <w:pPr>
        <w:pStyle w:val="Normal"/>
        <w:rPr>
          <w:lang w:val="en-IN"/>
        </w:rPr>
      </w:pPr>
      <w:r>
        <w:rPr/>
        <w:t xml:space="preserve">Lastly, the reflective model implemented by Kolb has also enabled me to make guesses as to my experience of learning the course. The model helped me in associating theories and personal development methods (Wang </w:t>
      </w:r>
      <w:r>
        <w:rPr>
          <w:i/>
          <w:iCs/>
        </w:rPr>
        <w:t>et al</w:t>
      </w:r>
      <w:r>
        <w:rPr/>
        <w:t>., 2025). Becoming an innovative, growth-oriented, person by adopting the culture of the continuous learning, reflexive thinking, and practical experimentation, I would contribute to my further professional growth and the success of the organisation, in a positive way.</w:t>
      </w:r>
    </w:p>
    <w:p>
      <w:pPr>
        <w:pStyle w:val="Heading2"/>
        <w:rPr>
          <w:lang w:val="en-IN"/>
        </w:rPr>
      </w:pPr>
      <w:bookmarkStart w:id="9" w:name="_Toc224769518"/>
      <w:r>
        <w:rPr>
          <w:lang w:val="en-IN"/>
        </w:rPr>
        <w:t>2.2 Discussion of Plan to Stay Relevant in Increasing AI Demand Market Condition</w:t>
      </w:r>
      <w:bookmarkEnd w:id="9"/>
    </w:p>
    <w:p>
      <w:pPr>
        <w:pStyle w:val="Normal"/>
        <w:rPr>
          <w:lang w:val="en-IN"/>
        </w:rPr>
      </w:pPr>
      <w:r>
        <w:rPr>
          <w:lang w:val="en-IN"/>
        </w:rPr>
        <w:t>The rapid progress of artificial intelligence is transforming the world of the majority of industries, and it is obligatory that the workforce continuously adjusts to its new realities and enhances their expertise and skills. To continue to be relevant in a work environment that is driven by AI, I will be participating in the creation of the skills that will not act as a competing force with AI. The innovative thinking ability, management, multi-dimensional problem resolution, emotional intelligence, and critical reasoning are the human attributes that the AI can barely imitate (</w:t>
      </w:r>
      <w:r>
        <w:rPr/>
        <w:t xml:space="preserve">Achumie </w:t>
      </w:r>
      <w:r>
        <w:rPr>
          <w:i/>
          <w:iCs/>
        </w:rPr>
        <w:t>et al</w:t>
      </w:r>
      <w:r>
        <w:rPr/>
        <w:t>., 2022</w:t>
      </w:r>
      <w:r>
        <w:rPr>
          <w:lang w:val="en-IN"/>
        </w:rPr>
        <w:t>). The competencies may also be boosted through value addition to the automated processes. I will also be participating in professional development, on-line learning websites and research within the industry so that I can keep on top of my learning.</w:t>
      </w:r>
    </w:p>
    <w:p>
      <w:pPr>
        <w:pStyle w:val="Normal"/>
        <w:rPr>
          <w:lang w:val="en-IN"/>
        </w:rPr>
      </w:pPr>
      <w:r>
        <w:rPr>
          <w:lang w:val="en-IN"/>
        </w:rPr>
        <w:t>The awareness of innovations in the field of new technologies, including AI tools and web platforms will help me be aware of how to apply them easily to my practice. This would help me to establish efficiency in spite of human supervision and decisions making. The other possible use of AI is as an aiding device, which can be involved in the data analysis, data collection, and more of prosaic routine administration tasks. The automation of monotonous jobs will save AI time and allow me to think strategically and be creative, as well as establish relationships (</w:t>
      </w:r>
      <w:r>
        <w:rPr/>
        <w:t>de Mattos, Correia and Kissimoto, 2024</w:t>
      </w:r>
      <w:r>
        <w:rPr>
          <w:lang w:val="en-IN"/>
        </w:rPr>
        <w:t>). However, it should be presidential in ultimate decision making, moral factors, and innovation. In this way, rather than introducing an AI as a substitute, I will make it my assistant to help stay more efficient and make better decisions, yet my individual human capabilities should take the centre stage of my professional contribution.</w:t>
      </w:r>
      <w:r>
        <w:br w:type="page"/>
      </w:r>
    </w:p>
    <w:p>
      <w:pPr>
        <w:pStyle w:val="Heading1"/>
        <w:spacing w:before="0" w:after="0"/>
        <w:rPr>
          <w:lang w:val="en-IN"/>
        </w:rPr>
      </w:pPr>
      <w:bookmarkStart w:id="10" w:name="_Toc224769519"/>
      <w:r>
        <w:rPr>
          <w:lang w:val="en-IN"/>
        </w:rPr>
        <w:t>References</w:t>
      </w:r>
      <w:bookmarkEnd w:id="10"/>
    </w:p>
    <w:p>
      <w:pPr>
        <w:pStyle w:val="Normal"/>
        <w:rPr/>
      </w:pPr>
      <w:r>
        <w:rPr/>
        <w:t>Achumie, G.O., Oyegbade, I.K., Igwe, A.N., Ofodile, O.C. and Azubuike, C., 2022. AI-driven predictive analytics model for strategic business development and market growth in competitive industries. </w:t>
      </w:r>
      <w:r>
        <w:rPr>
          <w:i/>
          <w:iCs/>
        </w:rPr>
        <w:t>J Bus Innov Technol Res</w:t>
      </w:r>
      <w:r>
        <w:rPr/>
        <w:t>, </w:t>
      </w:r>
      <w:r>
        <w:rPr>
          <w:i/>
          <w:iCs/>
        </w:rPr>
        <w:t>1</w:t>
      </w:r>
      <w:r>
        <w:rPr/>
        <w:t>, pp.13-25.</w:t>
      </w:r>
    </w:p>
    <w:p>
      <w:pPr>
        <w:pStyle w:val="Normal"/>
        <w:rPr/>
      </w:pPr>
      <w:r>
        <w:rPr/>
        <w:t>Ahmad, T., Boit, J. and Aakula, A., 2023. The role of cross-functional collaboration in digital transformation. </w:t>
      </w:r>
      <w:r>
        <w:rPr>
          <w:i/>
          <w:iCs/>
        </w:rPr>
        <w:t>Journal of Computational Intelligence and Robotics</w:t>
      </w:r>
      <w:r>
        <w:rPr/>
        <w:t>, </w:t>
      </w:r>
      <w:r>
        <w:rPr>
          <w:i/>
          <w:iCs/>
        </w:rPr>
        <w:t>3</w:t>
      </w:r>
      <w:r>
        <w:rPr/>
        <w:t>(1), pp.205-42.</w:t>
      </w:r>
    </w:p>
    <w:p>
      <w:pPr>
        <w:pStyle w:val="Normal"/>
        <w:rPr/>
      </w:pPr>
      <w:r>
        <w:rPr/>
        <w:t>Chaudhury, A. and Deng, P.S., 2022. Does hybrid working promote collaboration and creativity? An empirical study. </w:t>
      </w:r>
      <w:r>
        <w:rPr>
          <w:i/>
          <w:iCs/>
        </w:rPr>
        <w:t>Issues in Information Systems</w:t>
      </w:r>
      <w:r>
        <w:rPr/>
        <w:t>, </w:t>
      </w:r>
      <w:r>
        <w:rPr>
          <w:i/>
          <w:iCs/>
        </w:rPr>
        <w:t>23</w:t>
      </w:r>
      <w:r>
        <w:rPr/>
        <w:t>(2).</w:t>
      </w:r>
    </w:p>
    <w:p>
      <w:pPr>
        <w:pStyle w:val="Normal"/>
        <w:rPr/>
      </w:pPr>
      <w:r>
        <w:rPr/>
        <w:t>Cheng, J., Wu, Y., Huang, L., Wu, Y. and Guan, Y., 2025. Integrating Kolb’s experiential learning theory into nursing education: a four-stage intervention with case analysis, mind maps, reflective journals, and peer simulations for advanced health assessment. </w:t>
      </w:r>
      <w:r>
        <w:rPr>
          <w:i/>
          <w:iCs/>
        </w:rPr>
        <w:t>Frontiers in Medicine</w:t>
      </w:r>
      <w:r>
        <w:rPr/>
        <w:t>, </w:t>
      </w:r>
      <w:r>
        <w:rPr>
          <w:i/>
          <w:iCs/>
        </w:rPr>
        <w:t>12</w:t>
      </w:r>
      <w:r>
        <w:rPr/>
        <w:t>, p.1616392.</w:t>
      </w:r>
    </w:p>
    <w:p>
      <w:pPr>
        <w:pStyle w:val="Normal"/>
        <w:rPr/>
      </w:pPr>
      <w:r>
        <w:rPr/>
        <w:t>Cheong, C.W., She, L., Ma, L., Karim, S., Chan, L.F., Chong, P.L., Choong, P.W., Gan, C.C., Gultom, N.D., Homer, S.T. and Hossain, S.M., 2024. Building a culture of innovation: Innovation 360. </w:t>
      </w:r>
      <w:r>
        <w:rPr>
          <w:i/>
          <w:iCs/>
        </w:rPr>
        <w:t>Global business and organizational excellence</w:t>
      </w:r>
      <w:r>
        <w:rPr/>
        <w:t>, </w:t>
      </w:r>
      <w:r>
        <w:rPr>
          <w:i/>
          <w:iCs/>
        </w:rPr>
        <w:t>43</w:t>
      </w:r>
      <w:r>
        <w:rPr/>
        <w:t>(6), pp.5-23.</w:t>
      </w:r>
    </w:p>
    <w:p>
      <w:pPr>
        <w:pStyle w:val="Normal"/>
        <w:rPr>
          <w:lang w:val="en-IN"/>
        </w:rPr>
      </w:pPr>
      <w:r>
        <w:rPr/>
        <w:t>de Mattos, C.A., Correia, F.C. and Kissimoto, K.O., 2024. Artificial intelligence capabilities for demand planning process. </w:t>
      </w:r>
      <w:r>
        <w:rPr>
          <w:i/>
          <w:iCs/>
        </w:rPr>
        <w:t>Logistics</w:t>
      </w:r>
      <w:r>
        <w:rPr/>
        <w:t>, </w:t>
      </w:r>
      <w:r>
        <w:rPr>
          <w:i/>
          <w:iCs/>
        </w:rPr>
        <w:t>8</w:t>
      </w:r>
      <w:r>
        <w:rPr/>
        <w:t>(2), p.53.</w:t>
      </w:r>
    </w:p>
    <w:p>
      <w:pPr>
        <w:pStyle w:val="Normal"/>
        <w:rPr/>
      </w:pPr>
      <w:r>
        <w:rPr/>
        <w:t>Haritha, G. and Rao, R., 2024. A holistic approach to professional development: Integrating Kolb's experiential learning theory for soft skills mastery. </w:t>
      </w:r>
      <w:r>
        <w:rPr>
          <w:i/>
          <w:iCs/>
        </w:rPr>
        <w:t>Journal of Engineering Education Transformations</w:t>
      </w:r>
      <w:r>
        <w:rPr/>
        <w:t>, pp.415-424.</w:t>
      </w:r>
    </w:p>
    <w:p>
      <w:pPr>
        <w:pStyle w:val="Normal"/>
        <w:rPr/>
      </w:pPr>
      <w:r>
        <w:rPr/>
        <w:t>Jaganjac, B., Hansen, K.W., Lunde, H. and Hunnes, J.A., 2025. The role of organizational culture and structure in implementing sustainability initiatives. </w:t>
      </w:r>
      <w:r>
        <w:rPr>
          <w:i/>
          <w:iCs/>
        </w:rPr>
        <w:t>Business Ethics, the Environment &amp; Responsibility</w:t>
      </w:r>
      <w:r>
        <w:rPr/>
        <w:t>, </w:t>
      </w:r>
      <w:r>
        <w:rPr>
          <w:i/>
          <w:iCs/>
        </w:rPr>
        <w:t>34</w:t>
      </w:r>
      <w:r>
        <w:rPr/>
        <w:t>(4), pp.1239-1254.</w:t>
      </w:r>
    </w:p>
    <w:p>
      <w:pPr>
        <w:pStyle w:val="Normal"/>
        <w:rPr/>
      </w:pPr>
      <w:r>
        <w:rPr/>
        <w:t>Jan, I., 2024. Experiential Learning Theory in Academic Technology Entrepreneurship: Preparing Students for Technopreneur Development. </w:t>
      </w:r>
      <w:r>
        <w:rPr>
          <w:i/>
          <w:iCs/>
        </w:rPr>
        <w:t>Journal of Academic Technology Entrepreneurship</w:t>
      </w:r>
      <w:r>
        <w:rPr/>
        <w:t>, </w:t>
      </w:r>
      <w:r>
        <w:rPr>
          <w:i/>
          <w:iCs/>
        </w:rPr>
        <w:t>6</w:t>
      </w:r>
      <w:r>
        <w:rPr/>
        <w:t>(1), pp.45-60.</w:t>
      </w:r>
    </w:p>
    <w:p>
      <w:pPr>
        <w:pStyle w:val="Normal"/>
        <w:rPr/>
      </w:pPr>
      <w:r>
        <w:rPr/>
        <w:t>Latham, G.P., 2023. Motivate employee performance through goal setting. </w:t>
      </w:r>
      <w:r>
        <w:rPr>
          <w:i/>
          <w:iCs/>
        </w:rPr>
        <w:t>Principles of organizational behavior: the handbook of evidence‐based management 3rd Edition</w:t>
      </w:r>
      <w:r>
        <w:rPr/>
        <w:t>, pp.83-111.</w:t>
      </w:r>
    </w:p>
    <w:p>
      <w:pPr>
        <w:pStyle w:val="Normal"/>
        <w:rPr/>
      </w:pPr>
      <w:r>
        <w:rPr/>
        <w:t>Moss, P., Hartley, N. and Russell, T., 2022. Integration intrapreneurship: implementing innovation in a public healthcare organization. </w:t>
      </w:r>
      <w:r>
        <w:rPr>
          <w:i/>
          <w:iCs/>
        </w:rPr>
        <w:t>Journal of Innovation and Entrepreneurship</w:t>
      </w:r>
      <w:r>
        <w:rPr/>
        <w:t>, </w:t>
      </w:r>
      <w:r>
        <w:rPr>
          <w:i/>
          <w:iCs/>
        </w:rPr>
        <w:t>11</w:t>
      </w:r>
      <w:r>
        <w:rPr/>
        <w:t>(1), p.50.</w:t>
      </w:r>
    </w:p>
    <w:p>
      <w:pPr>
        <w:pStyle w:val="Normal"/>
        <w:rPr/>
      </w:pPr>
      <w:r>
        <w:rPr/>
        <w:t>Oham, C. and Ejike, O.G., 2024. Creativity and collaboration in creative industries: Proposing a conceptual model for enhanced team dynamics. </w:t>
      </w:r>
      <w:r>
        <w:rPr>
          <w:i/>
          <w:iCs/>
        </w:rPr>
        <w:t>Magna Scientia Advanced Research and Reviews</w:t>
      </w:r>
      <w:r>
        <w:rPr/>
        <w:t>, </w:t>
      </w:r>
      <w:r>
        <w:rPr>
          <w:i/>
          <w:iCs/>
        </w:rPr>
        <w:t>12</w:t>
      </w:r>
      <w:r>
        <w:rPr/>
        <w:t>(1), pp.185-188.</w:t>
      </w:r>
    </w:p>
    <w:p>
      <w:pPr>
        <w:pStyle w:val="Normal"/>
        <w:rPr/>
      </w:pPr>
      <w:r>
        <w:rPr/>
        <w:t>Ryder, M. and Downs, C., 2022. Rethinking reflective practice: John Boyd’s OODA loop as an alternative to Kolb. </w:t>
      </w:r>
      <w:r>
        <w:rPr>
          <w:i/>
          <w:iCs/>
        </w:rPr>
        <w:t>The International Journal of Management Education</w:t>
      </w:r>
      <w:r>
        <w:rPr/>
        <w:t>, </w:t>
      </w:r>
      <w:r>
        <w:rPr>
          <w:i/>
          <w:iCs/>
        </w:rPr>
        <w:t>20</w:t>
      </w:r>
      <w:r>
        <w:rPr/>
        <w:t>(3), p.100703.</w:t>
      </w:r>
    </w:p>
    <w:p>
      <w:pPr>
        <w:pStyle w:val="Normal"/>
        <w:rPr/>
      </w:pPr>
      <w:r>
        <w:rPr/>
        <w:t>Shea, T., Usman, S.A., Arivalagan, S. and Parayitam, S., 2023. “Knowledge management practices” as moderator in the relationship between organizational culture and performance in information technology companies in India. </w:t>
      </w:r>
      <w:r>
        <w:rPr>
          <w:i/>
          <w:iCs/>
        </w:rPr>
        <w:t>VINE Journal of Information and Knowledge Management Systems</w:t>
      </w:r>
      <w:r>
        <w:rPr/>
        <w:t>, </w:t>
      </w:r>
      <w:r>
        <w:rPr>
          <w:i/>
          <w:iCs/>
        </w:rPr>
        <w:t>53</w:t>
      </w:r>
      <w:r>
        <w:rPr/>
        <w:t>(4), pp.719-747.</w:t>
      </w:r>
    </w:p>
    <w:p>
      <w:pPr>
        <w:pStyle w:val="Normal"/>
        <w:rPr/>
      </w:pPr>
      <w:r>
        <w:rPr/>
        <w:t>Thornhill-Miller, B., Camarda, A., Mercier, M., Burkhardt, J.M., Morisseau, T., Bourgeois-Bougrine, S., Vinchon, F., El Hayek, S., Augereau-Landais, M., Mourey, F. and Feybesse, C., 2023. Creativity, critical thinking, communication, and collaboration: Assessment, certification, and promotion of 21st century skills for the future of work and education. </w:t>
      </w:r>
      <w:r>
        <w:rPr>
          <w:i/>
          <w:iCs/>
        </w:rPr>
        <w:t>Journal of Intelligence</w:t>
      </w:r>
      <w:r>
        <w:rPr/>
        <w:t>, </w:t>
      </w:r>
      <w:r>
        <w:rPr>
          <w:i/>
          <w:iCs/>
        </w:rPr>
        <w:t>11</w:t>
      </w:r>
      <w:r>
        <w:rPr/>
        <w:t>(3), p.54.</w:t>
      </w:r>
    </w:p>
    <w:p>
      <w:pPr>
        <w:pStyle w:val="Normal"/>
        <w:rPr/>
      </w:pPr>
      <w:r>
        <w:rPr/>
        <w:t>Tripathi, A. and Kalia, P., 2024. Examining the effects of supportive work environment and organisational learning culture on organisational performance in information technology companies: The mediating role of learning agility and organisational innovation. </w:t>
      </w:r>
      <w:r>
        <w:rPr>
          <w:i/>
          <w:iCs/>
        </w:rPr>
        <w:t>Innovation</w:t>
      </w:r>
      <w:r>
        <w:rPr/>
        <w:t>, </w:t>
      </w:r>
      <w:r>
        <w:rPr>
          <w:i/>
          <w:iCs/>
        </w:rPr>
        <w:t>26</w:t>
      </w:r>
      <w:r>
        <w:rPr/>
        <w:t>(2), pp.257-277.</w:t>
      </w:r>
    </w:p>
    <w:p>
      <w:pPr>
        <w:pStyle w:val="Normal"/>
        <w:rPr/>
      </w:pPr>
      <w:r>
        <w:rPr/>
        <w:t>TRZECIAK, M. and JUSZCZYK, K., 2025. DRIVING CULTURAL TRANSFORMATION: A PROGRAMMATIC APPROACH TO FOSTERING INNOVATION–INSIGHTS FROM THE SAINT-GOBAIN POLAND CASE STUDY. </w:t>
      </w:r>
      <w:r>
        <w:rPr>
          <w:i/>
          <w:iCs/>
        </w:rPr>
        <w:t>Scientific Papers of Silesian University of Technology. Organization &amp; Management/Zeszyty Naukowe Politechniki Slaskiej. Seria Organizacji i Zarzadzanie</w:t>
      </w:r>
      <w:r>
        <w:rPr/>
        <w:t>, (234).</w:t>
      </w:r>
    </w:p>
    <w:p>
      <w:pPr>
        <w:pStyle w:val="Normal"/>
        <w:rPr/>
      </w:pPr>
      <w:r>
        <w:rPr/>
        <w:t>Wang, Y., Fu, Y., Wu, X., Deng, H., Ruan, Y., Liu, C., Chen, C., Gao, Y., You, H., Sun, C. and Liu, Y., 2025. Integrating experiential learning theory with innovation and entrepreneurship education: a qualitative study on Chinese medical students. </w:t>
      </w:r>
      <w:r>
        <w:rPr>
          <w:i/>
          <w:iCs/>
        </w:rPr>
        <w:t>BMC Medical Education</w:t>
      </w:r>
      <w:r>
        <w:rPr/>
        <w:t>, </w:t>
      </w:r>
      <w:r>
        <w:rPr>
          <w:i/>
          <w:iCs/>
        </w:rPr>
        <w:t>25</w:t>
      </w:r>
      <w:r>
        <w:rPr/>
        <w:t>(1), p.1227.</w:t>
      </w:r>
    </w:p>
    <w:p>
      <w:pPr>
        <w:pStyle w:val="Normal"/>
        <w:rPr/>
      </w:pPr>
      <w:r>
        <w:rPr/>
        <w:t>Wei, J., 2024. Reflective learning: a new leadership development framework driving engineering innovation. </w:t>
      </w:r>
      <w:r>
        <w:rPr>
          <w:i/>
          <w:iCs/>
        </w:rPr>
        <w:t>Reflective Practice</w:t>
      </w:r>
      <w:r>
        <w:rPr/>
        <w:t>, </w:t>
      </w:r>
      <w:r>
        <w:rPr>
          <w:i/>
          <w:iCs/>
        </w:rPr>
        <w:t>25</w:t>
      </w:r>
      <w:r>
        <w:rPr/>
        <w:t>(3), pp.352-377.</w:t>
      </w:r>
    </w:p>
    <w:p>
      <w:pPr>
        <w:pStyle w:val="Normal"/>
        <w:rPr/>
      </w:pPr>
      <w:r>
        <w:rPr/>
        <w:t>Zamiri, M. and Esmaeili, A., 2024. Methods and technologies for supporting knowledge sharing within learning communities: A systematic literature review. </w:t>
      </w:r>
      <w:r>
        <w:rPr>
          <w:i/>
          <w:iCs/>
        </w:rPr>
        <w:t>Administrative Sciences</w:t>
      </w:r>
      <w:r>
        <w:rPr/>
        <w:t>, </w:t>
      </w:r>
      <w:r>
        <w:rPr>
          <w:i/>
          <w:iCs/>
        </w:rPr>
        <w:t>14</w:t>
      </w:r>
      <w:r>
        <w:rPr/>
        <w:t>(1), p.17.</w:t>
      </w:r>
    </w:p>
    <w:p>
      <w:pPr>
        <w:pStyle w:val="Normal"/>
        <w:widowControl/>
        <w:bidi w:val="0"/>
        <w:spacing w:lineRule="auto" w:line="360" w:before="0" w:after="160"/>
        <w:jc w:val="both"/>
        <w:rPr/>
      </w:pPr>
      <w:r>
        <w:rPr/>
        <w:t>Zhao, M., 2024. Strategies for improving performance and motivation among academic staff in higher education. </w:t>
      </w:r>
      <w:r>
        <w:rPr>
          <w:i/>
          <w:iCs/>
        </w:rPr>
        <w:t>Pacific International Journal</w:t>
      </w:r>
      <w:r>
        <w:rPr/>
        <w:t>, </w:t>
      </w:r>
      <w:r>
        <w:rPr>
          <w:i/>
          <w:iCs/>
        </w:rPr>
        <w:t>7</w:t>
      </w:r>
      <w:r>
        <w:rPr/>
        <w:t>(1), pp.73-80.</w:t>
      </w:r>
    </w:p>
    <w:sectPr>
      <w:footerReference w:type="default" r:id="rId6"/>
      <w:footerReference w:type="first" r:id="rId7"/>
      <w:type w:val="nextPage"/>
      <w:pgSz w:w="11906" w:h="16838"/>
      <w:pgMar w:left="1440" w:right="1440" w:gutter="0" w:header="0" w:top="1440" w:footer="708" w:bottom="1440"/>
      <w:pgBorders w:display="allPages" w:offsetFrom="page">
        <w:top w:val="single" w:sz="18" w:space="24" w:color="000000"/>
        <w:left w:val="single" w:sz="18" w:space="24" w:color="000000"/>
        <w:bottom w:val="single" w:sz="18" w:space="24" w:color="000000"/>
        <w:right w:val="single" w:sz="18" w:space="24" w:color="000000"/>
      </w:pgBorders>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Liberation Sans">
    <w:altName w:val="Arial"/>
    <w:charset w:val="00" w:characterSet="windows-1252"/>
    <w:family w:val="swiss"/>
    <w:pitch w:val="variable"/>
  </w:font>
  <w:font w:name="Arial">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end"/>
      <w:rPr/>
    </w:pPr>
    <w:r>
      <w:rPr/>
      <w:t xml:space="preserve">Page | </w:t>
    </w:r>
    <w:r>
      <w:rPr/>
      <w:fldChar w:fldCharType="begin"/>
    </w:r>
    <w:r>
      <w:rPr/>
      <w:instrText xml:space="preserve"> PAGE </w:instrText>
    </w:r>
    <w:r>
      <w:rPr/>
      <w:fldChar w:fldCharType="separate"/>
    </w:r>
    <w:r>
      <w:rPr/>
      <w:t>14</w:t>
    </w:r>
    <w:r>
      <w:rPr/>
      <w:fldChar w:fldCharType="end"/>
    </w:r>
    <w:r>
      <w:rPr/>
      <w:t xml:space="preserve"> </w:t>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abstractNum w:abstractNumId="2">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num w:numId="1">
    <w:abstractNumId w:val="1"/>
  </w:num>
  <w:num w:numId="2">
    <w:abstractNumId w:val="2"/>
  </w:num>
</w:numbering>
</file>

<file path=word/settings.xml><?xml version="1.0" encoding="utf-8"?>
<w:settings xmlns:w="http://schemas.openxmlformats.org/wordprocessingml/2006/main">
  <w:zoom w:percent="90"/>
  <w:defaultTabStop w:val="720"/>
  <w:autoHyphenation w:val="true"/>
  <w:hyphenationZone w:val="0"/>
  <w:compat>
    <w:doNotBreakWrappedTables/>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kern w:val="2"/>
        <w:sz w:val="22"/>
        <w:szCs w:val="22"/>
        <w:lang w:val="en-IN" w:eastAsia="en-US" w:bidi="ar-SA"/>
      </w:rPr>
    </w:rPrDefault>
    <w:pPrDefault>
      <w:pPr>
        <w:suppressAutoHyphens w:val="true"/>
      </w:pPr>
    </w:pPrDefault>
  </w:docDefaults>
  <w:style w:type="paragraph" w:styleId="Normal">
    <w:name w:val="Normal"/>
    <w:qFormat/>
    <w:pPr>
      <w:widowControl/>
      <w:kinsoku w:val="true"/>
      <w:overflowPunct w:val="true"/>
      <w:autoSpaceDE w:val="true"/>
      <w:bidi w:val="0"/>
      <w:spacing w:lineRule="auto" w:line="360" w:before="0" w:after="160"/>
      <w:jc w:val="both"/>
    </w:pPr>
    <w:rPr>
      <w:rFonts w:ascii="Times New Roman" w:hAnsi="Times New Roman" w:eastAsia="Calibri"/>
      <w:color w:val="auto"/>
      <w:kern w:val="2"/>
      <w:sz w:val="24"/>
      <w:szCs w:val="22"/>
      <w:lang w:val="en-GB" w:eastAsia="en-US" w:bidi="ar-SA"/>
    </w:rPr>
  </w:style>
  <w:style w:type="paragraph" w:styleId="Heading1">
    <w:name w:val="heading 1"/>
    <w:basedOn w:val="Normal"/>
    <w:next w:val="Normal"/>
    <w:link w:val="Heading1Char"/>
    <w:autoRedefine/>
    <w:qFormat/>
    <w:pPr>
      <w:keepNext w:val="true"/>
      <w:keepLines/>
      <w:numPr>
        <w:ilvl w:val="0"/>
        <w:numId w:val="0"/>
      </w:numPr>
      <w:spacing w:before="240" w:after="0"/>
      <w:outlineLvl w:val="0"/>
    </w:pPr>
    <w:rPr>
      <w:rFonts w:eastAsia="Calibri" w:cs="Tahoma"/>
      <w:b/>
      <w:sz w:val="32"/>
      <w:szCs w:val="32"/>
    </w:rPr>
  </w:style>
  <w:style w:type="paragraph" w:styleId="Heading2">
    <w:name w:val="heading 2"/>
    <w:basedOn w:val="Normal"/>
    <w:next w:val="Normal"/>
    <w:link w:val="Heading2Char"/>
    <w:autoRedefine/>
    <w:qFormat/>
    <w:pPr>
      <w:keepNext w:val="true"/>
      <w:keepLines/>
      <w:numPr>
        <w:ilvl w:val="0"/>
        <w:numId w:val="0"/>
      </w:numPr>
      <w:spacing w:before="40" w:after="0"/>
      <w:outlineLvl w:val="1"/>
    </w:pPr>
    <w:rPr>
      <w:rFonts w:eastAsia="Calibri" w:cs="Tahoma"/>
      <w:b/>
      <w:bCs/>
      <w:sz w:val="28"/>
      <w:szCs w:val="24"/>
    </w:rPr>
  </w:style>
  <w:style w:type="paragraph" w:styleId="Heading3">
    <w:name w:val="heading 3"/>
    <w:basedOn w:val="Normal"/>
    <w:next w:val="Normal"/>
    <w:link w:val="Heading3Char"/>
    <w:autoRedefine/>
    <w:qFormat/>
    <w:pPr>
      <w:keepNext w:val="true"/>
      <w:keepLines/>
      <w:numPr>
        <w:ilvl w:val="0"/>
        <w:numId w:val="0"/>
      </w:numPr>
      <w:spacing w:before="40" w:after="0"/>
      <w:outlineLvl w:val="2"/>
    </w:pPr>
    <w:rPr>
      <w:rFonts w:eastAsia="Calibri" w:cs="Tahoma"/>
      <w:b/>
      <w:sz w:val="26"/>
      <w:szCs w:val="24"/>
    </w:rPr>
  </w:style>
  <w:style w:type="paragraph" w:styleId="Heading4">
    <w:name w:val="heading 4"/>
    <w:basedOn w:val="Normal"/>
    <w:next w:val="Normal"/>
    <w:link w:val="Heading4Char"/>
    <w:autoRedefine/>
    <w:qFormat/>
    <w:pPr>
      <w:keepNext w:val="true"/>
      <w:keepLines/>
      <w:numPr>
        <w:ilvl w:val="0"/>
        <w:numId w:val="0"/>
      </w:numPr>
      <w:spacing w:before="40" w:after="0"/>
      <w:jc w:val="center"/>
      <w:outlineLvl w:val="3"/>
    </w:pPr>
    <w:rPr>
      <w:rFonts w:eastAsia="Calibri" w:cs="Tahoma"/>
      <w:b/>
      <w:iCs/>
    </w:rPr>
  </w:style>
  <w:style w:type="paragraph" w:styleId="Heading5">
    <w:name w:val="heading 5"/>
    <w:basedOn w:val="Normal"/>
    <w:next w:val="Normal"/>
    <w:link w:val="Heading5Char"/>
    <w:autoRedefine/>
    <w:qFormat/>
    <w:pPr>
      <w:keepNext w:val="true"/>
      <w:keepLines/>
      <w:numPr>
        <w:ilvl w:val="0"/>
        <w:numId w:val="0"/>
      </w:numPr>
      <w:spacing w:before="40" w:after="160"/>
      <w:jc w:val="center"/>
      <w:outlineLvl w:val="4"/>
    </w:pPr>
    <w:rPr>
      <w:rFonts w:eastAsia="Calibri" w:cs="Tahoma"/>
      <w:b/>
      <w:sz w:val="22"/>
    </w:rPr>
  </w:style>
  <w:style w:type="paragraph" w:styleId="Heading6">
    <w:name w:val="heading 6"/>
    <w:basedOn w:val="Normal"/>
    <w:next w:val="Normal"/>
    <w:link w:val="Heading6Char"/>
    <w:qFormat/>
    <w:pPr>
      <w:keepNext w:val="true"/>
      <w:keepLines/>
      <w:numPr>
        <w:ilvl w:val="0"/>
        <w:numId w:val="0"/>
      </w:numPr>
      <w:spacing w:before="40" w:after="0"/>
      <w:outlineLvl w:val="5"/>
    </w:pPr>
    <w:rPr>
      <w:rFonts w:ascii="Calibri" w:hAnsi="Calibri" w:eastAsia="Calibri" w:cs="Tahoma"/>
      <w:i/>
      <w:iCs/>
      <w:color w:themeColor="dark1" w:themeTint="a6" w:val="595959"/>
    </w:rPr>
  </w:style>
  <w:style w:type="paragraph" w:styleId="Heading7">
    <w:name w:val="heading 7"/>
    <w:basedOn w:val="Normal"/>
    <w:next w:val="Normal"/>
    <w:link w:val="Heading7Char"/>
    <w:qFormat/>
    <w:pPr>
      <w:keepNext w:val="true"/>
      <w:keepLines/>
      <w:numPr>
        <w:ilvl w:val="0"/>
        <w:numId w:val="0"/>
      </w:numPr>
      <w:spacing w:before="40" w:after="0"/>
      <w:outlineLvl w:val="6"/>
    </w:pPr>
    <w:rPr>
      <w:rFonts w:ascii="Calibri" w:hAnsi="Calibri" w:eastAsia="Calibri" w:cs="Tahoma"/>
      <w:color w:themeColor="dark1" w:themeTint="a6" w:val="595959"/>
    </w:rPr>
  </w:style>
  <w:style w:type="paragraph" w:styleId="Heading8">
    <w:name w:val="heading 8"/>
    <w:basedOn w:val="Normal"/>
    <w:next w:val="Normal"/>
    <w:link w:val="Heading8Char"/>
    <w:qFormat/>
    <w:pPr>
      <w:keepNext w:val="true"/>
      <w:keepLines/>
      <w:numPr>
        <w:ilvl w:val="0"/>
        <w:numId w:val="0"/>
      </w:numPr>
      <w:spacing w:before="0" w:after="0"/>
      <w:outlineLvl w:val="7"/>
    </w:pPr>
    <w:rPr>
      <w:rFonts w:ascii="Calibri" w:hAnsi="Calibri" w:eastAsia="Calibri" w:cs="Tahoma"/>
      <w:i/>
      <w:iCs/>
      <w:color w:themeColor="dark1" w:themeTint="d8" w:val="272727"/>
    </w:rPr>
  </w:style>
  <w:style w:type="paragraph" w:styleId="Heading9">
    <w:name w:val="heading 9"/>
    <w:basedOn w:val="Normal"/>
    <w:next w:val="Normal"/>
    <w:link w:val="Heading9Char"/>
    <w:qFormat/>
    <w:pPr>
      <w:keepNext w:val="true"/>
      <w:keepLines/>
      <w:numPr>
        <w:ilvl w:val="0"/>
        <w:numId w:val="0"/>
      </w:numPr>
      <w:spacing w:before="0" w:after="0"/>
      <w:outlineLvl w:val="8"/>
    </w:pPr>
    <w:rPr>
      <w:rFonts w:ascii="Calibri" w:hAnsi="Calibri" w:eastAsia="Calibri" w:cs="Tahoma"/>
      <w:color w:themeColor="dark1" w:themeTint="d8" w:val="272727"/>
    </w:rPr>
  </w:style>
  <w:style w:type="character" w:styleId="DefaultParagraphFont">
    <w:name w:val="Default Paragraph Font"/>
    <w:qFormat/>
    <w:rPr/>
  </w:style>
  <w:style w:type="character" w:styleId="Heading1Char">
    <w:name w:val="Heading 1 Char"/>
    <w:basedOn w:val="DefaultParagraphFont"/>
    <w:link w:val="Heading1"/>
    <w:qFormat/>
    <w:rPr>
      <w:rFonts w:ascii="Times New Roman" w:hAnsi="Times New Roman" w:eastAsia="Calibri" w:cs="Tahoma"/>
      <w:b/>
      <w:sz w:val="32"/>
      <w:szCs w:val="32"/>
    </w:rPr>
  </w:style>
  <w:style w:type="character" w:styleId="Heading2Char">
    <w:name w:val="Heading 2 Char"/>
    <w:basedOn w:val="DefaultParagraphFont"/>
    <w:link w:val="Heading2"/>
    <w:qFormat/>
    <w:rPr>
      <w:rFonts w:ascii="Times New Roman" w:hAnsi="Times New Roman" w:eastAsia="Calibri" w:cs="Tahoma"/>
      <w:b/>
      <w:bCs/>
      <w:sz w:val="28"/>
      <w:szCs w:val="24"/>
      <w:lang w:val="en-GB"/>
    </w:rPr>
  </w:style>
  <w:style w:type="character" w:styleId="Heading3Char">
    <w:name w:val="Heading 3 Char"/>
    <w:basedOn w:val="DefaultParagraphFont"/>
    <w:link w:val="Heading3"/>
    <w:qFormat/>
    <w:rPr>
      <w:rFonts w:ascii="Times New Roman" w:hAnsi="Times New Roman" w:eastAsia="Calibri" w:cs="Tahoma"/>
      <w:b/>
      <w:sz w:val="26"/>
      <w:szCs w:val="24"/>
    </w:rPr>
  </w:style>
  <w:style w:type="character" w:styleId="Heading4Char">
    <w:name w:val="Heading 4 Char"/>
    <w:basedOn w:val="DefaultParagraphFont"/>
    <w:link w:val="Heading4"/>
    <w:qFormat/>
    <w:rPr>
      <w:rFonts w:ascii="Times New Roman" w:hAnsi="Times New Roman" w:eastAsia="Calibri" w:cs="Tahoma"/>
      <w:b/>
      <w:iCs/>
      <w:sz w:val="24"/>
    </w:rPr>
  </w:style>
  <w:style w:type="character" w:styleId="TitleChar">
    <w:name w:val="Title Char"/>
    <w:basedOn w:val="DefaultParagraphFont"/>
    <w:link w:val="Title"/>
    <w:qFormat/>
    <w:rPr>
      <w:rFonts w:ascii="Times New Roman" w:hAnsi="Times New Roman" w:eastAsia="Calibri" w:cs="Tahoma"/>
      <w:b/>
      <w:spacing w:val="-10"/>
      <w:kern w:val="2"/>
      <w:sz w:val="48"/>
      <w:szCs w:val="56"/>
    </w:rPr>
  </w:style>
  <w:style w:type="character" w:styleId="SubtitleChar">
    <w:name w:val="Subtitle Char"/>
    <w:basedOn w:val="DefaultParagraphFont"/>
    <w:link w:val="Subtitle"/>
    <w:qFormat/>
    <w:rPr>
      <w:rFonts w:ascii="Times New Roman" w:hAnsi="Times New Roman" w:eastAsia="Calibri"/>
      <w:b/>
      <w:spacing w:val="15"/>
      <w:sz w:val="40"/>
    </w:rPr>
  </w:style>
  <w:style w:type="character" w:styleId="Heading5Char">
    <w:name w:val="Heading 5 Char"/>
    <w:basedOn w:val="DefaultParagraphFont"/>
    <w:link w:val="Heading5"/>
    <w:qFormat/>
    <w:rPr>
      <w:rFonts w:ascii="Times New Roman" w:hAnsi="Times New Roman" w:eastAsia="Calibri" w:cs="Tahoma"/>
      <w:b/>
    </w:rPr>
  </w:style>
  <w:style w:type="character" w:styleId="Heading6Char">
    <w:name w:val="Heading 6 Char"/>
    <w:basedOn w:val="DefaultParagraphFont"/>
    <w:link w:val="Heading6"/>
    <w:qFormat/>
    <w:rPr>
      <w:rFonts w:eastAsia="Calibri" w:cs="Tahoma"/>
      <w:i/>
      <w:iCs/>
      <w:color w:themeColor="dark1" w:themeTint="a6" w:val="595959"/>
      <w:sz w:val="24"/>
      <w:lang w:val="en-GB"/>
    </w:rPr>
  </w:style>
  <w:style w:type="character" w:styleId="Heading7Char">
    <w:name w:val="Heading 7 Char"/>
    <w:basedOn w:val="DefaultParagraphFont"/>
    <w:link w:val="Heading7"/>
    <w:qFormat/>
    <w:rPr>
      <w:rFonts w:eastAsia="Calibri" w:cs="Tahoma"/>
      <w:color w:themeColor="dark1" w:themeTint="a6" w:val="595959"/>
      <w:sz w:val="24"/>
      <w:lang w:val="en-GB"/>
    </w:rPr>
  </w:style>
  <w:style w:type="character" w:styleId="Heading8Char">
    <w:name w:val="Heading 8 Char"/>
    <w:basedOn w:val="DefaultParagraphFont"/>
    <w:link w:val="Heading8"/>
    <w:qFormat/>
    <w:rPr>
      <w:rFonts w:eastAsia="Calibri" w:cs="Tahoma"/>
      <w:i/>
      <w:iCs/>
      <w:color w:themeColor="dark1" w:themeTint="d8" w:val="272727"/>
      <w:sz w:val="24"/>
      <w:lang w:val="en-GB"/>
    </w:rPr>
  </w:style>
  <w:style w:type="character" w:styleId="Heading9Char">
    <w:name w:val="Heading 9 Char"/>
    <w:basedOn w:val="DefaultParagraphFont"/>
    <w:link w:val="Heading9"/>
    <w:qFormat/>
    <w:rPr>
      <w:rFonts w:eastAsia="Calibri" w:cs="Tahoma"/>
      <w:color w:themeColor="dark1" w:themeTint="d8" w:val="272727"/>
      <w:sz w:val="24"/>
      <w:lang w:val="en-GB"/>
    </w:rPr>
  </w:style>
  <w:style w:type="character" w:styleId="QuoteChar">
    <w:name w:val="Quote Char"/>
    <w:basedOn w:val="DefaultParagraphFont"/>
    <w:link w:val="Quote"/>
    <w:qFormat/>
    <w:rPr>
      <w:rFonts w:ascii="Times New Roman" w:hAnsi="Times New Roman"/>
      <w:i/>
      <w:iCs/>
      <w:color w:themeColor="dark1" w:themeTint="bf" w:val="404040"/>
      <w:sz w:val="24"/>
      <w:lang w:val="en-GB"/>
    </w:rPr>
  </w:style>
  <w:style w:type="character" w:styleId="IntenseEmphasis">
    <w:name w:val="Intense Emphasis"/>
    <w:basedOn w:val="DefaultParagraphFont"/>
    <w:qFormat/>
    <w:rPr>
      <w:i/>
      <w:iCs/>
      <w:color w:themeColor="accent1" w:themeShade="bf" w:val="2F5496"/>
    </w:rPr>
  </w:style>
  <w:style w:type="character" w:styleId="IntenseQuoteChar">
    <w:name w:val="Intense Quote Char"/>
    <w:basedOn w:val="DefaultParagraphFont"/>
    <w:link w:val="IntenseQuote"/>
    <w:qFormat/>
    <w:rPr>
      <w:rFonts w:ascii="Times New Roman" w:hAnsi="Times New Roman"/>
      <w:i/>
      <w:iCs/>
      <w:color w:themeColor="accent1" w:themeShade="bf" w:val="2F5496"/>
      <w:sz w:val="24"/>
      <w:lang w:val="en-GB"/>
    </w:rPr>
  </w:style>
  <w:style w:type="character" w:styleId="IntenseReference">
    <w:name w:val="Intense Reference"/>
    <w:basedOn w:val="DefaultParagraphFont"/>
    <w:qFormat/>
    <w:rPr>
      <w:b/>
      <w:bCs/>
      <w:smallCaps/>
      <w:color w:themeColor="accent1" w:themeShade="bf" w:val="2F5496"/>
      <w:spacing w:val="5"/>
    </w:rPr>
  </w:style>
  <w:style w:type="character" w:styleId="Hyperlink">
    <w:name w:val="Hyperlink"/>
    <w:basedOn w:val="DefaultParagraphFont"/>
    <w:rPr>
      <w:color w:themeColor="hyperlink" w:val="0563C1"/>
      <w:u w:val="single"/>
    </w:rPr>
  </w:style>
  <w:style w:type="character" w:styleId="HeaderChar">
    <w:name w:val="Header Char"/>
    <w:basedOn w:val="DefaultParagraphFont"/>
    <w:link w:val="Header"/>
    <w:qFormat/>
    <w:rPr>
      <w:rFonts w:ascii="Times New Roman" w:hAnsi="Times New Roman"/>
      <w:sz w:val="24"/>
      <w:lang w:val="en-GB"/>
    </w:rPr>
  </w:style>
  <w:style w:type="character" w:styleId="FooterChar">
    <w:name w:val="Footer Char"/>
    <w:basedOn w:val="DefaultParagraphFont"/>
    <w:link w:val="Footer"/>
    <w:qFormat/>
    <w:rPr>
      <w:rFonts w:ascii="Times New Roman" w:hAnsi="Times New Roman"/>
      <w:sz w:val="24"/>
      <w:lang w:val="en-GB"/>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Normal"/>
    <w:link w:val="TitleChar"/>
    <w:autoRedefine/>
    <w:qFormat/>
    <w:pPr>
      <w:spacing w:before="0" w:after="0"/>
      <w:contextualSpacing/>
      <w:jc w:val="center"/>
    </w:pPr>
    <w:rPr>
      <w:rFonts w:eastAsia="Calibri" w:cs="Tahoma"/>
      <w:b/>
      <w:spacing w:val="-10"/>
      <w:kern w:val="2"/>
      <w:sz w:val="48"/>
      <w:szCs w:val="56"/>
    </w:rPr>
  </w:style>
  <w:style w:type="paragraph" w:styleId="Subtitle">
    <w:name w:val="Subtitle"/>
    <w:basedOn w:val="Normal"/>
    <w:next w:val="Normal"/>
    <w:link w:val="SubtitleChar"/>
    <w:autoRedefine/>
    <w:qFormat/>
    <w:pPr>
      <w:jc w:val="center"/>
    </w:pPr>
    <w:rPr>
      <w:rFonts w:eastAsia="Calibri"/>
      <w:b/>
      <w:spacing w:val="15"/>
      <w:sz w:val="40"/>
    </w:rPr>
  </w:style>
  <w:style w:type="paragraph" w:styleId="IndexHeading">
    <w:name w:val="index heading"/>
    <w:basedOn w:val="Heading"/>
    <w:pPr/>
    <w:rPr/>
  </w:style>
  <w:style w:type="paragraph" w:styleId="TOCHeading">
    <w:name w:val="TOC Heading"/>
    <w:basedOn w:val="Heading1"/>
    <w:next w:val="Normal"/>
    <w:autoRedefine/>
    <w:qFormat/>
    <w:pPr>
      <w:jc w:val="center"/>
      <w:outlineLvl w:val="9"/>
    </w:pPr>
    <w:rPr>
      <w:color w:themeColor="dark1" w:val="000000"/>
      <w:kern w:val="0"/>
      <w:u w:val="single"/>
    </w:rPr>
  </w:style>
  <w:style w:type="paragraph" w:styleId="ListParagraph">
    <w:name w:val="List Paragraph"/>
    <w:basedOn w:val="Normal"/>
    <w:autoRedefine/>
    <w:qFormat/>
    <w:pPr>
      <w:numPr>
        <w:ilvl w:val="0"/>
        <w:numId w:val="2"/>
      </w:numPr>
      <w:spacing w:before="0" w:after="160"/>
      <w:contextualSpacing/>
    </w:pPr>
    <w:rPr>
      <w:kern w:val="0"/>
    </w:rPr>
  </w:style>
  <w:style w:type="paragraph" w:styleId="Quote">
    <w:name w:val="Quote"/>
    <w:basedOn w:val="Normal"/>
    <w:next w:val="Normal"/>
    <w:link w:val="QuoteChar"/>
    <w:qFormat/>
    <w:pPr>
      <w:spacing w:before="160" w:after="160"/>
      <w:jc w:val="center"/>
    </w:pPr>
    <w:rPr>
      <w:i/>
      <w:iCs/>
      <w:color w:themeColor="dark1" w:themeTint="bf" w:val="404040"/>
    </w:rPr>
  </w:style>
  <w:style w:type="paragraph" w:styleId="IntenseQuote">
    <w:name w:val="Intense Quote"/>
    <w:basedOn w:val="Normal"/>
    <w:next w:val="Normal"/>
    <w:link w:val="IntenseQuoteChar"/>
    <w:qFormat/>
    <w:pPr>
      <w:pBdr>
        <w:top w:val="single" w:sz="4" w:space="10" w:color="2F5496"/>
        <w:bottom w:val="single" w:sz="4" w:space="10" w:color="2F5496"/>
      </w:pBdr>
      <w:spacing w:before="360" w:after="360"/>
      <w:ind w:start="864" w:end="864"/>
      <w:jc w:val="center"/>
    </w:pPr>
    <w:rPr>
      <w:i/>
      <w:iCs/>
      <w:color w:themeColor="accent1" w:themeShade="bf" w:val="2F5496"/>
    </w:rPr>
  </w:style>
  <w:style w:type="paragraph" w:styleId="TOC1">
    <w:name w:val="toc 1"/>
    <w:basedOn w:val="Normal"/>
    <w:next w:val="Normal"/>
    <w:autoRedefine/>
    <w:pPr>
      <w:spacing w:before="0" w:after="100"/>
    </w:pPr>
    <w:rPr/>
  </w:style>
  <w:style w:type="paragraph" w:styleId="TOC2">
    <w:name w:val="toc 2"/>
    <w:basedOn w:val="Normal"/>
    <w:next w:val="Normal"/>
    <w:autoRedefine/>
    <w:pPr>
      <w:spacing w:before="0" w:after="100"/>
      <w:ind w:start="240"/>
    </w:pPr>
    <w:rPr/>
  </w:style>
  <w:style w:type="paragraph" w:styleId="HeaderandFooter">
    <w:name w:val="Header and Footer"/>
    <w:basedOn w:val="Normal"/>
    <w:qFormat/>
    <w:pPr/>
    <w:rPr/>
  </w:style>
  <w:style w:type="paragraph" w:styleId="Header">
    <w:name w:val="header"/>
    <w:basedOn w:val="Normal"/>
    <w:link w:val="HeaderChar"/>
    <w:pPr>
      <w:tabs>
        <w:tab w:val="clear" w:pos="720"/>
        <w:tab w:val="center" w:pos="4513" w:leader="none"/>
        <w:tab w:val="right" w:pos="9026" w:leader="none"/>
      </w:tabs>
      <w:spacing w:lineRule="auto" w:line="240" w:before="0" w:after="0"/>
    </w:pPr>
    <w:rPr/>
  </w:style>
  <w:style w:type="paragraph" w:styleId="Footer">
    <w:name w:val="footer"/>
    <w:basedOn w:val="Normal"/>
    <w:link w:val="FooterChar"/>
    <w:pPr>
      <w:tabs>
        <w:tab w:val="clear" w:pos="720"/>
        <w:tab w:val="center" w:pos="4513" w:leader="none"/>
        <w:tab w:val="right" w:pos="9026" w:leader="none"/>
      </w:tabs>
      <w:spacing w:lineRule="auto" w:line="240" w:before="0" w:after="0"/>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image" Target="media/image3.wmf"/><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TotalTime>
  <Application>LibreOffice/26.2.1.2$Windows_X86_64 LibreOffice_project/620$Build-2</Application>
  <AppVersion>15.0000</AppVersion>
  <Pages>14</Pages>
  <Words>3444</Words>
  <Characters>20258</Characters>
  <CharactersWithSpaces>23791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2026-03-19T18:55:00Z</dcterms:created>
  <dc:creator/>
  <dc:description/>
  <dc:language>en-IN</dc:language>
  <cp:lastModifiedBy/>
  <dcterms:modified xsi:type="dcterms:W3CDTF">2026-03-20T04:10:40Z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