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0AC8B04">
      <w:pPr>
        <w:pStyle w:val="3"/>
        <w:spacing w:line="360" w:lineRule="auto"/>
        <w:jc w:val="center"/>
        <w:rPr>
          <w:rFonts w:ascii="Times New Roman" w:hAnsi="Times New Roman" w:eastAsia="Times New Roman" w:cs="Times New Roman"/>
          <w:b/>
          <w:color w:val="222222"/>
          <w:sz w:val="32"/>
          <w:szCs w:val="24"/>
        </w:rPr>
      </w:pPr>
      <w:r>
        <w:rPr>
          <w:rFonts w:ascii="Times New Roman" w:hAnsi="Times New Roman" w:eastAsia="Times New Roman" w:cs="Times New Roman"/>
          <w:b/>
          <w:color w:val="222222"/>
          <w:sz w:val="32"/>
          <w:szCs w:val="24"/>
          <w:lang w:val="en-US" w:eastAsia="en-US"/>
        </w:rPr>
        <w:drawing>
          <wp:inline distT="114300" distB="114300" distL="114300" distR="114300">
            <wp:extent cx="3314700" cy="14382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7"/>
                    <a:srcRect/>
                    <a:stretch>
                      <a:fillRect/>
                    </a:stretch>
                  </pic:blipFill>
                  <pic:spPr>
                    <a:xfrm>
                      <a:off x="0" y="0"/>
                      <a:ext cx="3314700" cy="1438275"/>
                    </a:xfrm>
                    <a:prstGeom prst="rect">
                      <a:avLst/>
                    </a:prstGeom>
                  </pic:spPr>
                </pic:pic>
              </a:graphicData>
            </a:graphic>
          </wp:inline>
        </w:drawing>
      </w:r>
    </w:p>
    <w:p w14:paraId="0179B506">
      <w:pPr>
        <w:pStyle w:val="17"/>
        <w:jc w:val="center"/>
        <w:rPr>
          <w:rFonts w:ascii="Times New Roman" w:hAnsi="Times New Roman" w:cs="Times New Roman"/>
          <w:b/>
          <w:color w:val="000000" w:themeColor="text1"/>
          <w:sz w:val="40"/>
          <w:szCs w:val="40"/>
        </w:rPr>
      </w:pPr>
      <w:r>
        <w:rPr>
          <w:rFonts w:ascii="Times New Roman" w:hAnsi="Times New Roman" w:cs="Times New Roman"/>
          <w:b/>
          <w:color w:val="000000" w:themeColor="text1"/>
          <w:sz w:val="40"/>
          <w:szCs w:val="40"/>
        </w:rPr>
        <w:t>MODULE CODE: BMIH5007</w:t>
      </w:r>
    </w:p>
    <w:p w14:paraId="1CBCD536">
      <w:pPr>
        <w:pStyle w:val="3"/>
        <w:spacing w:line="360" w:lineRule="auto"/>
        <w:jc w:val="center"/>
        <w:rPr>
          <w:rFonts w:ascii="Times New Roman" w:hAnsi="Times New Roman" w:eastAsia="Times New Roman" w:cs="Times New Roman"/>
          <w:b/>
          <w:color w:val="222222"/>
          <w:sz w:val="40"/>
          <w:szCs w:val="40"/>
        </w:rPr>
      </w:pPr>
    </w:p>
    <w:p w14:paraId="01FC6078">
      <w:pPr>
        <w:pStyle w:val="3"/>
        <w:spacing w:line="360" w:lineRule="auto"/>
        <w:jc w:val="center"/>
        <w:rPr>
          <w:rFonts w:ascii="Times New Roman" w:hAnsi="Times New Roman" w:eastAsia="Times New Roman" w:cs="Times New Roman"/>
          <w:b/>
          <w:color w:val="222222"/>
          <w:sz w:val="40"/>
          <w:szCs w:val="40"/>
        </w:rPr>
      </w:pPr>
    </w:p>
    <w:p w14:paraId="35E119F4">
      <w:pPr>
        <w:pStyle w:val="3"/>
        <w:spacing w:line="360" w:lineRule="auto"/>
        <w:jc w:val="center"/>
        <w:rPr>
          <w:rFonts w:ascii="Times New Roman" w:hAnsi="Times New Roman" w:eastAsia="Times New Roman" w:cs="Times New Roman"/>
          <w:b/>
          <w:color w:val="222222"/>
          <w:sz w:val="40"/>
          <w:szCs w:val="40"/>
        </w:rPr>
      </w:pPr>
    </w:p>
    <w:p w14:paraId="3CCA9A9C">
      <w:pPr>
        <w:pStyle w:val="3"/>
        <w:spacing w:line="360" w:lineRule="auto"/>
        <w:jc w:val="center"/>
        <w:rPr>
          <w:rFonts w:ascii="Times New Roman" w:hAnsi="Times New Roman" w:eastAsia="Times New Roman" w:cs="Times New Roman"/>
          <w:b/>
          <w:color w:val="222222"/>
          <w:sz w:val="40"/>
          <w:szCs w:val="40"/>
        </w:rPr>
      </w:pPr>
    </w:p>
    <w:p w14:paraId="30700C3E">
      <w:pPr>
        <w:pStyle w:val="3"/>
        <w:spacing w:line="360" w:lineRule="auto"/>
        <w:jc w:val="center"/>
        <w:rPr>
          <w:rFonts w:ascii="Times New Roman" w:hAnsi="Times New Roman" w:eastAsia="Times New Roman" w:cs="Times New Roman"/>
          <w:b/>
          <w:color w:val="222222"/>
          <w:sz w:val="40"/>
          <w:szCs w:val="40"/>
        </w:rPr>
      </w:pPr>
    </w:p>
    <w:p w14:paraId="5813B442">
      <w:pPr>
        <w:pStyle w:val="3"/>
        <w:spacing w:line="360" w:lineRule="auto"/>
        <w:jc w:val="center"/>
        <w:rPr>
          <w:rFonts w:ascii="Times New Roman" w:hAnsi="Times New Roman" w:eastAsia="Times New Roman" w:cs="Times New Roman"/>
          <w:b/>
          <w:color w:val="222222"/>
          <w:sz w:val="40"/>
          <w:szCs w:val="40"/>
        </w:rPr>
      </w:pPr>
      <w:r>
        <w:rPr>
          <w:rFonts w:ascii="Times New Roman" w:hAnsi="Times New Roman" w:eastAsia="Times New Roman" w:cs="Times New Roman"/>
          <w:b/>
          <w:color w:val="222222"/>
          <w:sz w:val="40"/>
          <w:szCs w:val="40"/>
        </w:rPr>
        <w:t>FINANCIAL MANAGEMENT FOR THE HOTEL INDUSTRY</w:t>
      </w:r>
    </w:p>
    <w:p w14:paraId="523B20AF">
      <w:pPr>
        <w:jc w:val="center"/>
        <w:rPr>
          <w:rFonts w:hint="default" w:ascii="Times New Roman" w:hAnsi="Times New Roman" w:cs="Times New Roman"/>
          <w:b/>
          <w:i/>
          <w:color w:val="000000" w:themeColor="text1"/>
          <w:sz w:val="40"/>
          <w:szCs w:val="40"/>
          <w:lang w:val="en-GB"/>
        </w:rPr>
      </w:pPr>
      <w:r>
        <w:rPr>
          <w:rFonts w:ascii="Times New Roman" w:hAnsi="Times New Roman" w:cs="Times New Roman"/>
          <w:b/>
          <w:i/>
          <w:color w:val="000000" w:themeColor="text1"/>
          <w:sz w:val="40"/>
          <w:szCs w:val="40"/>
        </w:rPr>
        <w:t>Student Name:</w:t>
      </w:r>
      <w:r>
        <w:rPr>
          <w:rFonts w:hint="default" w:ascii="Times New Roman" w:hAnsi="Times New Roman" w:cs="Times New Roman"/>
          <w:b/>
          <w:i/>
          <w:color w:val="000000" w:themeColor="text1"/>
          <w:sz w:val="40"/>
          <w:szCs w:val="40"/>
          <w:lang w:val="en-GB"/>
        </w:rPr>
        <w:t xml:space="preserve"> Maria Andrei </w:t>
      </w:r>
    </w:p>
    <w:p w14:paraId="4C410AD2">
      <w:pPr>
        <w:jc w:val="center"/>
        <w:rPr>
          <w:rFonts w:hint="default" w:ascii="Times New Roman" w:hAnsi="Times New Roman" w:cs="Times New Roman"/>
          <w:b/>
          <w:i/>
          <w:color w:val="000000" w:themeColor="text1"/>
          <w:sz w:val="40"/>
          <w:szCs w:val="40"/>
          <w:lang w:val="en-GB"/>
        </w:rPr>
      </w:pPr>
      <w:r>
        <w:rPr>
          <w:rFonts w:ascii="Times New Roman" w:hAnsi="Times New Roman" w:cs="Times New Roman"/>
          <w:b/>
          <w:i/>
          <w:color w:val="000000" w:themeColor="text1"/>
          <w:sz w:val="40"/>
          <w:szCs w:val="40"/>
        </w:rPr>
        <w:t>Student ID:</w:t>
      </w:r>
      <w:r>
        <w:rPr>
          <w:rFonts w:hint="default" w:ascii="Times New Roman" w:hAnsi="Times New Roman" w:cs="Times New Roman"/>
          <w:b/>
          <w:i/>
          <w:color w:val="000000" w:themeColor="text1"/>
          <w:sz w:val="40"/>
          <w:szCs w:val="40"/>
          <w:lang w:val="en-GB"/>
        </w:rPr>
        <w:t>2243878</w:t>
      </w:r>
      <w:bookmarkStart w:id="19" w:name="_GoBack"/>
      <w:bookmarkEnd w:id="19"/>
    </w:p>
    <w:p w14:paraId="2F872B59">
      <w:pPr>
        <w:pStyle w:val="3"/>
        <w:spacing w:line="360" w:lineRule="auto"/>
        <w:jc w:val="center"/>
        <w:rPr>
          <w:rFonts w:ascii="Times New Roman" w:hAnsi="Times New Roman" w:eastAsia="Times New Roman" w:cs="Times New Roman"/>
          <w:b/>
          <w:color w:val="222222"/>
          <w:sz w:val="40"/>
          <w:szCs w:val="40"/>
        </w:rPr>
      </w:pPr>
      <w:r>
        <w:rPr>
          <w:rFonts w:hint="default" w:ascii="Times New Roman" w:hAnsi="Times New Roman" w:cs="Times New Roman"/>
          <w:b/>
          <w:i/>
          <w:color w:val="000000" w:themeColor="text1"/>
          <w:sz w:val="40"/>
          <w:szCs w:val="40"/>
          <w:lang w:val="en-GB"/>
        </w:rPr>
        <w:t>Module leader</w:t>
      </w:r>
      <w:r>
        <w:rPr>
          <w:rFonts w:ascii="Times New Roman" w:hAnsi="Times New Roman" w:cs="Times New Roman"/>
          <w:b/>
          <w:i/>
          <w:color w:val="000000" w:themeColor="text1"/>
          <w:sz w:val="40"/>
          <w:szCs w:val="40"/>
        </w:rPr>
        <w:t>:</w:t>
      </w:r>
      <w:r>
        <w:rPr>
          <w:rFonts w:hint="default" w:ascii="Times New Roman" w:hAnsi="Times New Roman"/>
          <w:b/>
          <w:i/>
          <w:color w:val="000000" w:themeColor="text1"/>
          <w:sz w:val="40"/>
          <w:szCs w:val="40"/>
        </w:rPr>
        <w:t>Tristan Hawkins</w:t>
      </w:r>
    </w:p>
    <w:p w14:paraId="32CC96EE">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sdt>
      <w:sdtPr>
        <w:rPr>
          <w:rFonts w:ascii="Arial" w:hAnsi="Arial" w:eastAsia="Arial" w:cs="Arial"/>
          <w:b w:val="0"/>
          <w:bCs w:val="0"/>
          <w:color w:val="auto"/>
          <w:sz w:val="22"/>
          <w:szCs w:val="22"/>
          <w:lang w:val="en-GB" w:eastAsia="en-GB"/>
        </w:rPr>
        <w:id w:val="7007881"/>
        <w:docPartObj>
          <w:docPartGallery w:val="Table of Contents"/>
          <w:docPartUnique/>
        </w:docPartObj>
      </w:sdtPr>
      <w:sdtEndPr>
        <w:rPr>
          <w:rFonts w:ascii="Times New Roman" w:hAnsi="Times New Roman" w:eastAsia="Arial" w:cs="Times New Roman"/>
          <w:b w:val="0"/>
          <w:bCs w:val="0"/>
          <w:color w:val="auto"/>
          <w:sz w:val="24"/>
          <w:szCs w:val="22"/>
          <w:lang w:val="en-GB" w:eastAsia="en-GB"/>
        </w:rPr>
      </w:sdtEndPr>
      <w:sdtContent>
        <w:p w14:paraId="12E283EA">
          <w:pPr>
            <w:pStyle w:val="22"/>
            <w:jc w:val="center"/>
            <w:rPr>
              <w:rFonts w:ascii="Times New Roman" w:hAnsi="Times New Roman" w:cs="Times New Roman"/>
              <w:color w:val="000000" w:themeColor="text1"/>
            </w:rPr>
          </w:pPr>
          <w:r>
            <w:rPr>
              <w:rFonts w:ascii="Times New Roman" w:hAnsi="Times New Roman" w:cs="Times New Roman"/>
              <w:color w:val="000000" w:themeColor="text1"/>
            </w:rPr>
            <w:t>Table of Contents</w:t>
          </w:r>
        </w:p>
        <w:p w14:paraId="3764C15C">
          <w:pPr>
            <w:pStyle w:val="18"/>
            <w:tabs>
              <w:tab w:val="right" w:leader="dot" w:pos="9029"/>
            </w:tabs>
          </w:pPr>
          <w:r>
            <w:rPr>
              <w:rFonts w:ascii="Times New Roman" w:hAnsi="Times New Roman" w:cs="Times New Roman"/>
              <w:sz w:val="24"/>
            </w:rPr>
            <w:fldChar w:fldCharType="begin"/>
          </w:r>
          <w:r>
            <w:rPr>
              <w:rFonts w:ascii="Times New Roman" w:hAnsi="Times New Roman" w:cs="Times New Roman"/>
              <w:sz w:val="24"/>
            </w:rPr>
            <w:instrText xml:space="preserve"> TOC \o "1-3" \h \z \u </w:instrText>
          </w:r>
          <w:r>
            <w:rPr>
              <w:rFonts w:ascii="Times New Roman" w:hAnsi="Times New Roman" w:cs="Times New Roman"/>
              <w:sz w:val="24"/>
            </w:rPr>
            <w:fldChar w:fldCharType="separate"/>
          </w:r>
          <w:r>
            <w:rPr>
              <w:rFonts w:ascii="Times New Roman" w:hAnsi="Times New Roman" w:cs="Times New Roman"/>
            </w:rPr>
            <w:fldChar w:fldCharType="begin"/>
          </w:r>
          <w:r>
            <w:rPr>
              <w:rFonts w:ascii="Times New Roman" w:hAnsi="Times New Roman" w:cs="Times New Roman"/>
            </w:rPr>
            <w:instrText xml:space="preserve"> HYPERLINK \l _Toc6159 </w:instrText>
          </w:r>
          <w:r>
            <w:rPr>
              <w:rFonts w:ascii="Times New Roman" w:hAnsi="Times New Roman" w:cs="Times New Roman"/>
            </w:rPr>
            <w:fldChar w:fldCharType="separate"/>
          </w:r>
          <w:r>
            <w:t>Assessment 2- Report Case Study: The City Hotel</w:t>
          </w:r>
          <w:r>
            <w:tab/>
          </w:r>
          <w:r>
            <w:fldChar w:fldCharType="begin"/>
          </w:r>
          <w:r>
            <w:instrText xml:space="preserve"> PAGEREF _Toc6159 \h </w:instrText>
          </w:r>
          <w:r>
            <w:fldChar w:fldCharType="separate"/>
          </w:r>
          <w:r>
            <w:t>3</w:t>
          </w:r>
          <w:r>
            <w:fldChar w:fldCharType="end"/>
          </w:r>
          <w:r>
            <w:rPr>
              <w:rFonts w:ascii="Times New Roman" w:hAnsi="Times New Roman" w:cs="Times New Roman"/>
            </w:rPr>
            <w:fldChar w:fldCharType="end"/>
          </w:r>
        </w:p>
        <w:p w14:paraId="262F8676">
          <w:pPr>
            <w:pStyle w:val="19"/>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_Toc12718 </w:instrText>
          </w:r>
          <w:r>
            <w:rPr>
              <w:rFonts w:ascii="Times New Roman" w:hAnsi="Times New Roman" w:cs="Times New Roman"/>
            </w:rPr>
            <w:fldChar w:fldCharType="separate"/>
          </w:r>
          <w:r>
            <w:t>1. Introduction</w:t>
          </w:r>
          <w:r>
            <w:tab/>
          </w:r>
          <w:r>
            <w:fldChar w:fldCharType="begin"/>
          </w:r>
          <w:r>
            <w:instrText xml:space="preserve"> PAGEREF _Toc12718 \h </w:instrText>
          </w:r>
          <w:r>
            <w:fldChar w:fldCharType="separate"/>
          </w:r>
          <w:r>
            <w:t>3</w:t>
          </w:r>
          <w:r>
            <w:fldChar w:fldCharType="end"/>
          </w:r>
          <w:r>
            <w:rPr>
              <w:rFonts w:ascii="Times New Roman" w:hAnsi="Times New Roman" w:cs="Times New Roman"/>
            </w:rPr>
            <w:fldChar w:fldCharType="end"/>
          </w:r>
        </w:p>
        <w:p w14:paraId="70120ACE">
          <w:pPr>
            <w:pStyle w:val="19"/>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_Toc381 </w:instrText>
          </w:r>
          <w:r>
            <w:rPr>
              <w:rFonts w:ascii="Times New Roman" w:hAnsi="Times New Roman" w:cs="Times New Roman"/>
            </w:rPr>
            <w:fldChar w:fldCharType="separate"/>
          </w:r>
          <w:r>
            <w:rPr>
              <w:lang w:eastAsia="en-US"/>
            </w:rPr>
            <w:t>2. Trends in the financial performance of the last three years of “The City Hotel”</w:t>
          </w:r>
          <w:r>
            <w:tab/>
          </w:r>
          <w:r>
            <w:fldChar w:fldCharType="begin"/>
          </w:r>
          <w:r>
            <w:instrText xml:space="preserve"> PAGEREF _Toc381 \h </w:instrText>
          </w:r>
          <w:r>
            <w:fldChar w:fldCharType="separate"/>
          </w:r>
          <w:r>
            <w:t>3</w:t>
          </w:r>
          <w:r>
            <w:fldChar w:fldCharType="end"/>
          </w:r>
          <w:r>
            <w:rPr>
              <w:rFonts w:ascii="Times New Roman" w:hAnsi="Times New Roman" w:cs="Times New Roman"/>
            </w:rPr>
            <w:fldChar w:fldCharType="end"/>
          </w:r>
        </w:p>
        <w:p w14:paraId="6B8BF590">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_Toc20987 </w:instrText>
          </w:r>
          <w:r>
            <w:rPr>
              <w:rFonts w:ascii="Times New Roman" w:hAnsi="Times New Roman" w:cs="Times New Roman"/>
            </w:rPr>
            <w:fldChar w:fldCharType="separate"/>
          </w:r>
          <w:r>
            <w:t>2.1 Trends of revenue and expenses</w:t>
          </w:r>
          <w:r>
            <w:tab/>
          </w:r>
          <w:r>
            <w:fldChar w:fldCharType="begin"/>
          </w:r>
          <w:r>
            <w:instrText xml:space="preserve"> PAGEREF _Toc20987 \h </w:instrText>
          </w:r>
          <w:r>
            <w:fldChar w:fldCharType="separate"/>
          </w:r>
          <w:r>
            <w:t>3</w:t>
          </w:r>
          <w:r>
            <w:fldChar w:fldCharType="end"/>
          </w:r>
          <w:r>
            <w:rPr>
              <w:rFonts w:ascii="Times New Roman" w:hAnsi="Times New Roman" w:cs="Times New Roman"/>
            </w:rPr>
            <w:fldChar w:fldCharType="end"/>
          </w:r>
        </w:p>
        <w:p w14:paraId="4E417015">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_Toc7923 </w:instrText>
          </w:r>
          <w:r>
            <w:rPr>
              <w:rFonts w:ascii="Times New Roman" w:hAnsi="Times New Roman" w:cs="Times New Roman"/>
            </w:rPr>
            <w:fldChar w:fldCharType="separate"/>
          </w:r>
          <w:r>
            <w:t>2.2 Profitability trends</w:t>
          </w:r>
          <w:r>
            <w:tab/>
          </w:r>
          <w:r>
            <w:fldChar w:fldCharType="begin"/>
          </w:r>
          <w:r>
            <w:instrText xml:space="preserve"> PAGEREF _Toc7923 \h </w:instrText>
          </w:r>
          <w:r>
            <w:fldChar w:fldCharType="separate"/>
          </w:r>
          <w:r>
            <w:t>4</w:t>
          </w:r>
          <w:r>
            <w:fldChar w:fldCharType="end"/>
          </w:r>
          <w:r>
            <w:rPr>
              <w:rFonts w:ascii="Times New Roman" w:hAnsi="Times New Roman" w:cs="Times New Roman"/>
            </w:rPr>
            <w:fldChar w:fldCharType="end"/>
          </w:r>
        </w:p>
        <w:p w14:paraId="189C67A0">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_Toc16932 </w:instrText>
          </w:r>
          <w:r>
            <w:rPr>
              <w:rFonts w:ascii="Times New Roman" w:hAnsi="Times New Roman" w:cs="Times New Roman"/>
            </w:rPr>
            <w:fldChar w:fldCharType="separate"/>
          </w:r>
          <w:r>
            <w:t>2.3 Patterns of liquidity</w:t>
          </w:r>
          <w:r>
            <w:tab/>
          </w:r>
          <w:r>
            <w:fldChar w:fldCharType="begin"/>
          </w:r>
          <w:r>
            <w:instrText xml:space="preserve"> PAGEREF _Toc16932 \h </w:instrText>
          </w:r>
          <w:r>
            <w:fldChar w:fldCharType="separate"/>
          </w:r>
          <w:r>
            <w:t>5</w:t>
          </w:r>
          <w:r>
            <w:fldChar w:fldCharType="end"/>
          </w:r>
          <w:r>
            <w:rPr>
              <w:rFonts w:ascii="Times New Roman" w:hAnsi="Times New Roman" w:cs="Times New Roman"/>
            </w:rPr>
            <w:fldChar w:fldCharType="end"/>
          </w:r>
        </w:p>
        <w:p w14:paraId="53C04083">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_Toc10742 </w:instrText>
          </w:r>
          <w:r>
            <w:rPr>
              <w:rFonts w:ascii="Times New Roman" w:hAnsi="Times New Roman" w:cs="Times New Roman"/>
            </w:rPr>
            <w:fldChar w:fldCharType="separate"/>
          </w:r>
          <w:r>
            <w:t>2.4 Trends of solvency</w:t>
          </w:r>
          <w:r>
            <w:tab/>
          </w:r>
          <w:r>
            <w:fldChar w:fldCharType="begin"/>
          </w:r>
          <w:r>
            <w:instrText xml:space="preserve"> PAGEREF _Toc10742 \h </w:instrText>
          </w:r>
          <w:r>
            <w:fldChar w:fldCharType="separate"/>
          </w:r>
          <w:r>
            <w:t>6</w:t>
          </w:r>
          <w:r>
            <w:fldChar w:fldCharType="end"/>
          </w:r>
          <w:r>
            <w:rPr>
              <w:rFonts w:ascii="Times New Roman" w:hAnsi="Times New Roman" w:cs="Times New Roman"/>
            </w:rPr>
            <w:fldChar w:fldCharType="end"/>
          </w:r>
        </w:p>
        <w:p w14:paraId="0FC8DDAE">
          <w:pPr>
            <w:pStyle w:val="19"/>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_Toc28474 </w:instrText>
          </w:r>
          <w:r>
            <w:rPr>
              <w:rFonts w:ascii="Times New Roman" w:hAnsi="Times New Roman" w:cs="Times New Roman"/>
            </w:rPr>
            <w:fldChar w:fldCharType="separate"/>
          </w:r>
          <w:r>
            <w:t>3. Key reasons for the decline in profit to focus on real-world events and the current economy</w:t>
          </w:r>
          <w:r>
            <w:tab/>
          </w:r>
          <w:r>
            <w:fldChar w:fldCharType="begin"/>
          </w:r>
          <w:r>
            <w:instrText xml:space="preserve"> PAGEREF _Toc28474 \h </w:instrText>
          </w:r>
          <w:r>
            <w:fldChar w:fldCharType="separate"/>
          </w:r>
          <w:r>
            <w:t>7</w:t>
          </w:r>
          <w:r>
            <w:fldChar w:fldCharType="end"/>
          </w:r>
          <w:r>
            <w:rPr>
              <w:rFonts w:ascii="Times New Roman" w:hAnsi="Times New Roman" w:cs="Times New Roman"/>
            </w:rPr>
            <w:fldChar w:fldCharType="end"/>
          </w:r>
        </w:p>
        <w:p w14:paraId="030B2DAA">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_Toc5746 </w:instrText>
          </w:r>
          <w:r>
            <w:rPr>
              <w:rFonts w:ascii="Times New Roman" w:hAnsi="Times New Roman" w:cs="Times New Roman"/>
            </w:rPr>
            <w:fldChar w:fldCharType="separate"/>
          </w:r>
          <w:r>
            <w:t>3.1 Hotel staff shortages</w:t>
          </w:r>
          <w:r>
            <w:tab/>
          </w:r>
          <w:r>
            <w:fldChar w:fldCharType="begin"/>
          </w:r>
          <w:r>
            <w:instrText xml:space="preserve"> PAGEREF _Toc5746 \h </w:instrText>
          </w:r>
          <w:r>
            <w:fldChar w:fldCharType="separate"/>
          </w:r>
          <w:r>
            <w:t>7</w:t>
          </w:r>
          <w:r>
            <w:fldChar w:fldCharType="end"/>
          </w:r>
          <w:r>
            <w:rPr>
              <w:rFonts w:ascii="Times New Roman" w:hAnsi="Times New Roman" w:cs="Times New Roman"/>
            </w:rPr>
            <w:fldChar w:fldCharType="end"/>
          </w:r>
        </w:p>
        <w:p w14:paraId="7CC17E87">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_Toc13360 </w:instrText>
          </w:r>
          <w:r>
            <w:rPr>
              <w:rFonts w:ascii="Times New Roman" w:hAnsi="Times New Roman" w:cs="Times New Roman"/>
            </w:rPr>
            <w:fldChar w:fldCharType="separate"/>
          </w:r>
          <w:r>
            <w:t>3.2 Cost of living crisis</w:t>
          </w:r>
          <w:r>
            <w:tab/>
          </w:r>
          <w:r>
            <w:fldChar w:fldCharType="begin"/>
          </w:r>
          <w:r>
            <w:instrText xml:space="preserve"> PAGEREF _Toc13360 \h </w:instrText>
          </w:r>
          <w:r>
            <w:fldChar w:fldCharType="separate"/>
          </w:r>
          <w:r>
            <w:t>8</w:t>
          </w:r>
          <w:r>
            <w:fldChar w:fldCharType="end"/>
          </w:r>
          <w:r>
            <w:rPr>
              <w:rFonts w:ascii="Times New Roman" w:hAnsi="Times New Roman" w:cs="Times New Roman"/>
            </w:rPr>
            <w:fldChar w:fldCharType="end"/>
          </w:r>
        </w:p>
        <w:p w14:paraId="4819F504">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_Toc30580 </w:instrText>
          </w:r>
          <w:r>
            <w:rPr>
              <w:rFonts w:ascii="Times New Roman" w:hAnsi="Times New Roman" w:cs="Times New Roman"/>
            </w:rPr>
            <w:fldChar w:fldCharType="separate"/>
          </w:r>
          <w:r>
            <w:t>3.3 Changing consumer behaviour</w:t>
          </w:r>
          <w:r>
            <w:tab/>
          </w:r>
          <w:r>
            <w:fldChar w:fldCharType="begin"/>
          </w:r>
          <w:r>
            <w:instrText xml:space="preserve"> PAGEREF _Toc30580 \h </w:instrText>
          </w:r>
          <w:r>
            <w:fldChar w:fldCharType="separate"/>
          </w:r>
          <w:r>
            <w:t>9</w:t>
          </w:r>
          <w:r>
            <w:fldChar w:fldCharType="end"/>
          </w:r>
          <w:r>
            <w:rPr>
              <w:rFonts w:ascii="Times New Roman" w:hAnsi="Times New Roman" w:cs="Times New Roman"/>
            </w:rPr>
            <w:fldChar w:fldCharType="end"/>
          </w:r>
        </w:p>
        <w:p w14:paraId="1AEC10D2">
          <w:pPr>
            <w:pStyle w:val="19"/>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_Toc5150 </w:instrText>
          </w:r>
          <w:r>
            <w:rPr>
              <w:rFonts w:ascii="Times New Roman" w:hAnsi="Times New Roman" w:cs="Times New Roman"/>
            </w:rPr>
            <w:fldChar w:fldCharType="separate"/>
          </w:r>
          <w:r>
            <w:rPr>
              <w:lang w:eastAsia="en-US"/>
            </w:rPr>
            <w:t>4. Turnaround strategy to revitalize the financial health and develop a brand reputation of the Hotel</w:t>
          </w:r>
          <w:r>
            <w:tab/>
          </w:r>
          <w:r>
            <w:fldChar w:fldCharType="begin"/>
          </w:r>
          <w:r>
            <w:instrText xml:space="preserve"> PAGEREF _Toc5150 \h </w:instrText>
          </w:r>
          <w:r>
            <w:fldChar w:fldCharType="separate"/>
          </w:r>
          <w:r>
            <w:t>9</w:t>
          </w:r>
          <w:r>
            <w:fldChar w:fldCharType="end"/>
          </w:r>
          <w:r>
            <w:rPr>
              <w:rFonts w:ascii="Times New Roman" w:hAnsi="Times New Roman" w:cs="Times New Roman"/>
            </w:rPr>
            <w:fldChar w:fldCharType="end"/>
          </w:r>
        </w:p>
        <w:p w14:paraId="5AB76230">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_Toc5871 </w:instrText>
          </w:r>
          <w:r>
            <w:rPr>
              <w:rFonts w:ascii="Times New Roman" w:hAnsi="Times New Roman" w:cs="Times New Roman"/>
            </w:rPr>
            <w:fldChar w:fldCharType="separate"/>
          </w:r>
          <w:r>
            <w:t>4.1 Controlling operational costs and maximizing profit</w:t>
          </w:r>
          <w:r>
            <w:tab/>
          </w:r>
          <w:r>
            <w:fldChar w:fldCharType="begin"/>
          </w:r>
          <w:r>
            <w:instrText xml:space="preserve"> PAGEREF _Toc5871 \h </w:instrText>
          </w:r>
          <w:r>
            <w:fldChar w:fldCharType="separate"/>
          </w:r>
          <w:r>
            <w:t>9</w:t>
          </w:r>
          <w:r>
            <w:fldChar w:fldCharType="end"/>
          </w:r>
          <w:r>
            <w:rPr>
              <w:rFonts w:ascii="Times New Roman" w:hAnsi="Times New Roman" w:cs="Times New Roman"/>
            </w:rPr>
            <w:fldChar w:fldCharType="end"/>
          </w:r>
        </w:p>
        <w:p w14:paraId="46D06B6B">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_Toc8060 </w:instrText>
          </w:r>
          <w:r>
            <w:rPr>
              <w:rFonts w:ascii="Times New Roman" w:hAnsi="Times New Roman" w:cs="Times New Roman"/>
            </w:rPr>
            <w:fldChar w:fldCharType="separate"/>
          </w:r>
          <w:r>
            <w:t>4.2 Delivering personalized services to customers to improve experience</w:t>
          </w:r>
          <w:r>
            <w:tab/>
          </w:r>
          <w:r>
            <w:fldChar w:fldCharType="begin"/>
          </w:r>
          <w:r>
            <w:instrText xml:space="preserve"> PAGEREF _Toc8060 \h </w:instrText>
          </w:r>
          <w:r>
            <w:fldChar w:fldCharType="separate"/>
          </w:r>
          <w:r>
            <w:t>10</w:t>
          </w:r>
          <w:r>
            <w:fldChar w:fldCharType="end"/>
          </w:r>
          <w:r>
            <w:rPr>
              <w:rFonts w:ascii="Times New Roman" w:hAnsi="Times New Roman" w:cs="Times New Roman"/>
            </w:rPr>
            <w:fldChar w:fldCharType="end"/>
          </w:r>
        </w:p>
        <w:p w14:paraId="72635605">
          <w:pPr>
            <w:pStyle w:val="20"/>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_Toc16519 </w:instrText>
          </w:r>
          <w:r>
            <w:rPr>
              <w:rFonts w:ascii="Times New Roman" w:hAnsi="Times New Roman" w:cs="Times New Roman"/>
            </w:rPr>
            <w:fldChar w:fldCharType="separate"/>
          </w:r>
          <w:r>
            <w:t>4.3 Promoting digital presence and innovation to develop brand value</w:t>
          </w:r>
          <w:r>
            <w:tab/>
          </w:r>
          <w:r>
            <w:fldChar w:fldCharType="begin"/>
          </w:r>
          <w:r>
            <w:instrText xml:space="preserve"> PAGEREF _Toc16519 \h </w:instrText>
          </w:r>
          <w:r>
            <w:fldChar w:fldCharType="separate"/>
          </w:r>
          <w:r>
            <w:t>10</w:t>
          </w:r>
          <w:r>
            <w:fldChar w:fldCharType="end"/>
          </w:r>
          <w:r>
            <w:rPr>
              <w:rFonts w:ascii="Times New Roman" w:hAnsi="Times New Roman" w:cs="Times New Roman"/>
            </w:rPr>
            <w:fldChar w:fldCharType="end"/>
          </w:r>
        </w:p>
        <w:p w14:paraId="13BE2CFE">
          <w:pPr>
            <w:pStyle w:val="19"/>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_Toc9283 </w:instrText>
          </w:r>
          <w:r>
            <w:rPr>
              <w:rFonts w:ascii="Times New Roman" w:hAnsi="Times New Roman" w:cs="Times New Roman"/>
            </w:rPr>
            <w:fldChar w:fldCharType="separate"/>
          </w:r>
          <w:r>
            <w:rPr>
              <w:lang w:eastAsia="en-US"/>
            </w:rPr>
            <w:t>5. Conclusion</w:t>
          </w:r>
          <w:r>
            <w:tab/>
          </w:r>
          <w:r>
            <w:fldChar w:fldCharType="begin"/>
          </w:r>
          <w:r>
            <w:instrText xml:space="preserve"> PAGEREF _Toc9283 \h </w:instrText>
          </w:r>
          <w:r>
            <w:fldChar w:fldCharType="separate"/>
          </w:r>
          <w:r>
            <w:t>10</w:t>
          </w:r>
          <w:r>
            <w:fldChar w:fldCharType="end"/>
          </w:r>
          <w:r>
            <w:rPr>
              <w:rFonts w:ascii="Times New Roman" w:hAnsi="Times New Roman" w:cs="Times New Roman"/>
            </w:rPr>
            <w:fldChar w:fldCharType="end"/>
          </w:r>
        </w:p>
        <w:p w14:paraId="3517CF16">
          <w:pPr>
            <w:pStyle w:val="18"/>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_Toc32680 </w:instrText>
          </w:r>
          <w:r>
            <w:rPr>
              <w:rFonts w:ascii="Times New Roman" w:hAnsi="Times New Roman" w:cs="Times New Roman"/>
            </w:rPr>
            <w:fldChar w:fldCharType="separate"/>
          </w:r>
          <w:r>
            <w:t>References</w:t>
          </w:r>
          <w:r>
            <w:tab/>
          </w:r>
          <w:r>
            <w:fldChar w:fldCharType="begin"/>
          </w:r>
          <w:r>
            <w:instrText xml:space="preserve"> PAGEREF _Toc32680 \h </w:instrText>
          </w:r>
          <w:r>
            <w:fldChar w:fldCharType="separate"/>
          </w:r>
          <w:r>
            <w:t>12</w:t>
          </w:r>
          <w:r>
            <w:fldChar w:fldCharType="end"/>
          </w:r>
          <w:r>
            <w:rPr>
              <w:rFonts w:ascii="Times New Roman" w:hAnsi="Times New Roman" w:cs="Times New Roman"/>
            </w:rPr>
            <w:fldChar w:fldCharType="end"/>
          </w:r>
        </w:p>
        <w:p w14:paraId="1D72B235">
          <w:pPr>
            <w:pStyle w:val="18"/>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_Toc2077 </w:instrText>
          </w:r>
          <w:r>
            <w:rPr>
              <w:rFonts w:ascii="Times New Roman" w:hAnsi="Times New Roman" w:cs="Times New Roman"/>
            </w:rPr>
            <w:fldChar w:fldCharType="separate"/>
          </w:r>
          <w:r>
            <w:t>Appendices</w:t>
          </w:r>
          <w:r>
            <w:tab/>
          </w:r>
          <w:r>
            <w:fldChar w:fldCharType="begin"/>
          </w:r>
          <w:r>
            <w:instrText xml:space="preserve"> PAGEREF _Toc2077 \h </w:instrText>
          </w:r>
          <w:r>
            <w:fldChar w:fldCharType="separate"/>
          </w:r>
          <w:r>
            <w:t>14</w:t>
          </w:r>
          <w:r>
            <w:fldChar w:fldCharType="end"/>
          </w:r>
          <w:r>
            <w:rPr>
              <w:rFonts w:ascii="Times New Roman" w:hAnsi="Times New Roman" w:cs="Times New Roman"/>
            </w:rPr>
            <w:fldChar w:fldCharType="end"/>
          </w:r>
        </w:p>
        <w:p w14:paraId="54338F9F">
          <w:pPr>
            <w:pStyle w:val="19"/>
            <w:tabs>
              <w:tab w:val="right" w:leader="dot" w:pos="9029"/>
            </w:tabs>
          </w:pPr>
          <w:r>
            <w:rPr>
              <w:rFonts w:ascii="Times New Roman" w:hAnsi="Times New Roman" w:cs="Times New Roman"/>
            </w:rPr>
            <w:fldChar w:fldCharType="begin"/>
          </w:r>
          <w:r>
            <w:rPr>
              <w:rFonts w:ascii="Times New Roman" w:hAnsi="Times New Roman" w:cs="Times New Roman"/>
            </w:rPr>
            <w:instrText xml:space="preserve"> HYPERLINK \l _Toc21375 </w:instrText>
          </w:r>
          <w:r>
            <w:rPr>
              <w:rFonts w:ascii="Times New Roman" w:hAnsi="Times New Roman" w:cs="Times New Roman"/>
            </w:rPr>
            <w:fldChar w:fldCharType="separate"/>
          </w:r>
          <w:r>
            <w:t>Appendix 1- Calculation of ratios</w:t>
          </w:r>
          <w:r>
            <w:tab/>
          </w:r>
          <w:r>
            <w:fldChar w:fldCharType="begin"/>
          </w:r>
          <w:r>
            <w:instrText xml:space="preserve"> PAGEREF _Toc21375 \h </w:instrText>
          </w:r>
          <w:r>
            <w:fldChar w:fldCharType="separate"/>
          </w:r>
          <w:r>
            <w:t>14</w:t>
          </w:r>
          <w:r>
            <w:fldChar w:fldCharType="end"/>
          </w:r>
          <w:r>
            <w:rPr>
              <w:rFonts w:ascii="Times New Roman" w:hAnsi="Times New Roman" w:cs="Times New Roman"/>
            </w:rPr>
            <w:fldChar w:fldCharType="end"/>
          </w:r>
        </w:p>
        <w:p w14:paraId="495A36A6">
          <w:pPr>
            <w:spacing w:line="360" w:lineRule="auto"/>
            <w:jc w:val="both"/>
            <w:rPr>
              <w:rFonts w:ascii="Times New Roman" w:hAnsi="Times New Roman" w:cs="Times New Roman"/>
              <w:sz w:val="24"/>
            </w:rPr>
          </w:pPr>
          <w:r>
            <w:rPr>
              <w:rFonts w:ascii="Times New Roman" w:hAnsi="Times New Roman" w:cs="Times New Roman"/>
            </w:rPr>
            <w:fldChar w:fldCharType="end"/>
          </w:r>
        </w:p>
      </w:sdtContent>
    </w:sdt>
    <w:p w14:paraId="35978A7A">
      <w:pPr>
        <w:spacing w:line="360" w:lineRule="auto"/>
        <w:jc w:val="both"/>
        <w:rPr>
          <w:rFonts w:ascii="Times New Roman" w:hAnsi="Times New Roman" w:eastAsia="Times New Roman" w:cs="Times New Roman"/>
          <w:b/>
          <w:sz w:val="28"/>
          <w:szCs w:val="24"/>
        </w:rPr>
      </w:pPr>
      <w:r>
        <w:rPr>
          <w:rFonts w:ascii="Times New Roman" w:hAnsi="Times New Roman" w:eastAsia="Times New Roman" w:cs="Times New Roman"/>
          <w:b/>
          <w:sz w:val="28"/>
          <w:szCs w:val="24"/>
        </w:rPr>
        <w:br w:type="page"/>
      </w:r>
    </w:p>
    <w:p w14:paraId="726E22DC">
      <w:pPr>
        <w:pStyle w:val="2"/>
      </w:pPr>
      <w:bookmarkStart w:id="0" w:name="_Toc6159"/>
      <w:r>
        <w:t>Assessment 2- Report Case Study: The City Hotel</w:t>
      </w:r>
      <w:bookmarkEnd w:id="0"/>
      <w:r>
        <w:t xml:space="preserve"> </w:t>
      </w:r>
    </w:p>
    <w:p w14:paraId="69A3CAA9">
      <w:pPr>
        <w:pStyle w:val="4"/>
      </w:pPr>
      <w:bookmarkStart w:id="1" w:name="_Toc12718"/>
      <w:r>
        <w:t>1. Introduction</w:t>
      </w:r>
      <w:bookmarkEnd w:id="1"/>
    </w:p>
    <w:p w14:paraId="65FA199D">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Financial management is the procedure for managing the financial resources of a business and utilising the financial resources in the business operation and the growth and productivity of the company. The report has been developed by analysing the annual revenue record and financial performance of The city hotel from the fiscal years of 2021-2023. The study has discussed various key factors associated with the financial management of the company and analysed the profitability, sustainability, growth and liquidity on the performance matrix of the company. The main aim of the study is to analyse the financial performance of the hotel and identify all the relevant challenges regarding finance existing within the company. Moreover, the recommendations and suggestions have also been presented to overcome the barriers and challenges to determine the growth of the company. </w:t>
      </w:r>
    </w:p>
    <w:p w14:paraId="00A19A03">
      <w:pPr>
        <w:pStyle w:val="4"/>
        <w:rPr>
          <w:lang w:eastAsia="en-US"/>
        </w:rPr>
      </w:pPr>
      <w:bookmarkStart w:id="2" w:name="_Toc381"/>
      <w:r>
        <w:rPr>
          <w:lang w:eastAsia="en-US"/>
        </w:rPr>
        <w:t>2. Trends in the financial performance of the last three years of “The City Hotel”</w:t>
      </w:r>
      <w:bookmarkEnd w:id="2"/>
    </w:p>
    <w:p w14:paraId="5572EAF1">
      <w:pPr>
        <w:pStyle w:val="5"/>
      </w:pPr>
      <w:bookmarkStart w:id="3" w:name="_Toc20987"/>
      <w:r>
        <w:t>2.1 Trends of revenue and expenses</w:t>
      </w:r>
      <w:bookmarkEnd w:id="3"/>
    </w:p>
    <w:p w14:paraId="27624F01">
      <w:pPr>
        <w:spacing w:line="360" w:lineRule="auto"/>
        <w:jc w:val="center"/>
        <w:rPr>
          <w:rFonts w:ascii="Times New Roman" w:hAnsi="Times New Roman" w:eastAsia="Times New Roman" w:cs="Times New Roman"/>
          <w:b/>
          <w:sz w:val="24"/>
          <w:szCs w:val="24"/>
          <w:lang w:eastAsia="en-US"/>
        </w:rPr>
      </w:pPr>
      <w:r>
        <w:rPr>
          <w:rFonts w:ascii="Times New Roman" w:hAnsi="Times New Roman" w:eastAsia="Times New Roman" w:cs="Times New Roman"/>
          <w:b/>
          <w:sz w:val="24"/>
          <w:szCs w:val="24"/>
          <w:lang w:val="en-US" w:eastAsia="en-US"/>
        </w:rPr>
        <w:drawing>
          <wp:inline distT="114300" distB="114300" distL="114300" distR="114300">
            <wp:extent cx="5886450" cy="2847975"/>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referRelativeResize="0"/>
                  </pic:nvPicPr>
                  <pic:blipFill>
                    <a:blip r:embed="rId8"/>
                    <a:srcRect/>
                    <a:stretch>
                      <a:fillRect/>
                    </a:stretch>
                  </pic:blipFill>
                  <pic:spPr>
                    <a:xfrm>
                      <a:off x="0" y="0"/>
                      <a:ext cx="5886450" cy="2847975"/>
                    </a:xfrm>
                    <a:prstGeom prst="rect">
                      <a:avLst/>
                    </a:prstGeom>
                  </pic:spPr>
                </pic:pic>
              </a:graphicData>
            </a:graphic>
          </wp:inline>
        </w:drawing>
      </w:r>
    </w:p>
    <w:p w14:paraId="719F7DDA">
      <w:pPr>
        <w:spacing w:line="360" w:lineRule="auto"/>
        <w:jc w:val="center"/>
        <w:rPr>
          <w:rFonts w:ascii="Times New Roman" w:hAnsi="Times New Roman" w:eastAsia="Times New Roman" w:cs="Times New Roman"/>
          <w:b/>
          <w:sz w:val="24"/>
          <w:szCs w:val="24"/>
          <w:lang w:eastAsia="en-US"/>
        </w:rPr>
      </w:pPr>
      <w:r>
        <w:rPr>
          <w:rFonts w:ascii="Times New Roman" w:hAnsi="Times New Roman" w:eastAsia="Times New Roman" w:cs="Times New Roman"/>
          <w:b/>
          <w:sz w:val="24"/>
          <w:szCs w:val="24"/>
          <w:lang w:eastAsia="en-US"/>
        </w:rPr>
        <w:t>Figure 1: Trends of revenue and expenses</w:t>
      </w:r>
    </w:p>
    <w:p w14:paraId="35774912">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The financial performance of The City Hotel from 2021 to 2023 shows major fluctuations. This is observed in revenue and expenses. This is affecting its overall fiscal health. Revenue generated from operational activities. This has declined due to lower occupancy rates as well as customer dissatisfaction. Contributing factors include changing consumer preferences, stiff competition as well as economic uncertainty. Expenses include depreciation, amortization as well as charges to provisions rose (</w:t>
      </w:r>
      <w:r>
        <w:rPr>
          <w:rFonts w:ascii="Times New Roman" w:hAnsi="Times New Roman" w:eastAsia="Times New Roman" w:cs="Times New Roman"/>
          <w:sz w:val="24"/>
          <w:szCs w:val="24"/>
          <w:highlight w:val="white"/>
          <w:lang w:eastAsia="en-US"/>
        </w:rPr>
        <w:t xml:space="preserve">Al Farooque </w:t>
      </w:r>
      <w:r>
        <w:rPr>
          <w:rFonts w:ascii="Times New Roman" w:hAnsi="Times New Roman" w:eastAsia="Times New Roman" w:cs="Times New Roman"/>
          <w:i/>
          <w:sz w:val="24"/>
          <w:szCs w:val="24"/>
          <w:highlight w:val="white"/>
          <w:lang w:eastAsia="en-US"/>
        </w:rPr>
        <w:t>et al.,</w:t>
      </w:r>
      <w:r>
        <w:rPr>
          <w:rFonts w:ascii="Times New Roman" w:hAnsi="Times New Roman" w:eastAsia="Times New Roman" w:cs="Times New Roman"/>
          <w:sz w:val="24"/>
          <w:szCs w:val="24"/>
          <w:highlight w:val="white"/>
          <w:lang w:eastAsia="en-US"/>
        </w:rPr>
        <w:t xml:space="preserve"> 2020</w:t>
      </w:r>
      <w:r>
        <w:rPr>
          <w:rFonts w:ascii="Times New Roman" w:hAnsi="Times New Roman" w:eastAsia="Times New Roman" w:cs="Times New Roman"/>
          <w:sz w:val="24"/>
          <w:szCs w:val="24"/>
          <w:lang w:eastAsia="en-US"/>
        </w:rPr>
        <w:t>). As a result, the profit from operations of the hotel suffered. These trends highlight the struggle of the hotel to balance costs and income. This is particularly with increasing operational costs. Despite optimal cost levels, the decrease in revenue reflects poor financial performance. These are largely driven by low occupancy as well as negative guest experiences. This damaged the brand value of the hotel. The City Hotel needs to focus on enhancing service quality along with guest experiences for regaining competitive advantage and to address this. The hotel can improve occupancy rates and overall financial health through optimizing services and managing costs effectively.</w:t>
      </w:r>
    </w:p>
    <w:p w14:paraId="7B87E600">
      <w:pPr>
        <w:pStyle w:val="5"/>
      </w:pPr>
      <w:bookmarkStart w:id="4" w:name="_Toc7923"/>
      <w:r>
        <w:t>2.2 Profitability trends</w:t>
      </w:r>
      <w:bookmarkEnd w:id="4"/>
    </w:p>
    <w:p w14:paraId="695F11EE">
      <w:pPr>
        <w:spacing w:line="360" w:lineRule="auto"/>
        <w:jc w:val="center"/>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val="en-US" w:eastAsia="en-US"/>
        </w:rPr>
        <w:drawing>
          <wp:inline distT="114300" distB="114300" distL="114300" distR="114300">
            <wp:extent cx="5943600" cy="36830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referRelativeResize="0"/>
                  </pic:nvPicPr>
                  <pic:blipFill>
                    <a:blip r:embed="rId9"/>
                    <a:srcRect/>
                    <a:stretch>
                      <a:fillRect/>
                    </a:stretch>
                  </pic:blipFill>
                  <pic:spPr>
                    <a:xfrm>
                      <a:off x="0" y="0"/>
                      <a:ext cx="5943600" cy="3683000"/>
                    </a:xfrm>
                    <a:prstGeom prst="rect">
                      <a:avLst/>
                    </a:prstGeom>
                  </pic:spPr>
                </pic:pic>
              </a:graphicData>
            </a:graphic>
          </wp:inline>
        </w:drawing>
      </w:r>
    </w:p>
    <w:p w14:paraId="0D1724ED">
      <w:pPr>
        <w:spacing w:line="360" w:lineRule="auto"/>
        <w:jc w:val="center"/>
        <w:rPr>
          <w:rFonts w:ascii="Times New Roman" w:hAnsi="Times New Roman" w:eastAsia="Times New Roman" w:cs="Times New Roman"/>
          <w:b/>
          <w:sz w:val="24"/>
          <w:szCs w:val="24"/>
          <w:lang w:eastAsia="en-US"/>
        </w:rPr>
      </w:pPr>
      <w:r>
        <w:rPr>
          <w:rFonts w:ascii="Times New Roman" w:hAnsi="Times New Roman" w:eastAsia="Times New Roman" w:cs="Times New Roman"/>
          <w:b/>
          <w:sz w:val="24"/>
          <w:szCs w:val="24"/>
          <w:lang w:eastAsia="en-US"/>
        </w:rPr>
        <w:t>Figure 2: Profitability trends</w:t>
      </w:r>
    </w:p>
    <w:p w14:paraId="279BE8CA">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The profitability trends of The City Hotel from 2021 to 2023 indicate a major decline. This is primarily driven by decreasing revenue as well as increasing operational costs. A poor pricing strategy led to guests opting for alternative accommodations. This also observed reducing occupancy rates. This negatively impacted the profitability of the hotel. The operating margin has shown a negative trend. Despite gross profit remaining relatively stable, a negative trend is observed. This reflects the rising costs of operations as well as declining customer engagement. Competition in the hospitality sector further contributed to lower demand for The City Hotel. This is observed as many guests chose competitors with better pricing as well as service offerings. The inability of hotels to effectively manage costs as well as maintaining competitive pricing has resulted in diminished profits. The operating margin showed a sharp downward trend. This highlighted the challenges The City Hotel faced in managing its costs. Despite maintaining relatively stable gross profit levels, challenges are observed. The rising costs as well as low customer engagement led to a negative operating margin. This was fostered by the availability of alternative accommodation options. This shifted demand away from the hotel. This further reduced occupancy rates as well as income. The City Hotel needs to reassess its pricing strategy, improve service quality along with enhancing customer satisfaction for reversing this trend. The hotel can improve its revenue streams and profitability through attracting more guests and increasing occupancy rates (</w:t>
      </w:r>
      <w:r>
        <w:rPr>
          <w:rFonts w:ascii="Times New Roman" w:hAnsi="Times New Roman" w:eastAsia="Times New Roman" w:cs="Times New Roman"/>
          <w:sz w:val="24"/>
          <w:szCs w:val="24"/>
          <w:highlight w:val="white"/>
          <w:lang w:eastAsia="en-US"/>
        </w:rPr>
        <w:t>Ali, 2020</w:t>
      </w:r>
      <w:r>
        <w:rPr>
          <w:rFonts w:ascii="Times New Roman" w:hAnsi="Times New Roman" w:eastAsia="Times New Roman" w:cs="Times New Roman"/>
          <w:sz w:val="24"/>
          <w:szCs w:val="24"/>
          <w:lang w:eastAsia="en-US"/>
        </w:rPr>
        <w:t>). In addition, controlling operational costs will help increase the operating margin. This led to improved overall financial performance.</w:t>
      </w:r>
    </w:p>
    <w:p w14:paraId="03FA2FBC">
      <w:pPr>
        <w:pStyle w:val="5"/>
      </w:pPr>
      <w:bookmarkStart w:id="5" w:name="_Toc16932"/>
      <w:r>
        <w:t>2.3 Patterns of liquidity</w:t>
      </w:r>
      <w:bookmarkEnd w:id="5"/>
    </w:p>
    <w:p w14:paraId="4716666F">
      <w:pPr>
        <w:spacing w:line="360" w:lineRule="auto"/>
        <w:jc w:val="center"/>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val="en-US" w:eastAsia="en-US"/>
        </w:rPr>
        <w:drawing>
          <wp:inline distT="114300" distB="114300" distL="114300" distR="114300">
            <wp:extent cx="5943600" cy="35814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referRelativeResize="0"/>
                  </pic:nvPicPr>
                  <pic:blipFill>
                    <a:blip r:embed="rId10"/>
                    <a:srcRect/>
                    <a:stretch>
                      <a:fillRect/>
                    </a:stretch>
                  </pic:blipFill>
                  <pic:spPr>
                    <a:xfrm>
                      <a:off x="0" y="0"/>
                      <a:ext cx="5943600" cy="3581400"/>
                    </a:xfrm>
                    <a:prstGeom prst="rect">
                      <a:avLst/>
                    </a:prstGeom>
                  </pic:spPr>
                </pic:pic>
              </a:graphicData>
            </a:graphic>
          </wp:inline>
        </w:drawing>
      </w:r>
    </w:p>
    <w:p w14:paraId="663590C3">
      <w:pPr>
        <w:spacing w:line="360" w:lineRule="auto"/>
        <w:jc w:val="center"/>
        <w:rPr>
          <w:rFonts w:ascii="Times New Roman" w:hAnsi="Times New Roman" w:eastAsia="Times New Roman" w:cs="Times New Roman"/>
          <w:b/>
          <w:sz w:val="24"/>
          <w:szCs w:val="24"/>
          <w:lang w:eastAsia="en-US"/>
        </w:rPr>
      </w:pPr>
      <w:r>
        <w:rPr>
          <w:rFonts w:ascii="Times New Roman" w:hAnsi="Times New Roman" w:eastAsia="Times New Roman" w:cs="Times New Roman"/>
          <w:b/>
          <w:sz w:val="24"/>
          <w:szCs w:val="24"/>
          <w:lang w:eastAsia="en-US"/>
        </w:rPr>
        <w:t>Figure 3: Patterns of liquidity</w:t>
      </w:r>
    </w:p>
    <w:p w14:paraId="71154ED4">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The liquidity patterns of The City Hotel over the past three years (2021-2023) have shown a declining trend. This is majorly affecting its financial performance. Liquidity reflects the ability of the hotel to meet short-term obligations. This has been negatively impacted by reduced cash flow due to lower occupancy rates as well as a drop in revenue. The decrease in operational performance has made it difficult for the hotel to maintain enough liquid assets for covering immediate financial needs. This included paying off current liabilities. The liquidity ratios highlight the struggle of the hotels to maintain optimal cash reserves (</w:t>
      </w:r>
      <w:r>
        <w:rPr>
          <w:rFonts w:ascii="Times New Roman" w:hAnsi="Times New Roman" w:eastAsia="Times New Roman" w:cs="Times New Roman"/>
          <w:sz w:val="24"/>
          <w:szCs w:val="24"/>
          <w:highlight w:val="white"/>
          <w:lang w:eastAsia="en-US"/>
        </w:rPr>
        <w:t xml:space="preserve">Kartanaitė </w:t>
      </w:r>
      <w:r>
        <w:rPr>
          <w:rFonts w:ascii="Times New Roman" w:hAnsi="Times New Roman" w:eastAsia="Times New Roman" w:cs="Times New Roman"/>
          <w:i/>
          <w:sz w:val="24"/>
          <w:szCs w:val="24"/>
          <w:highlight w:val="white"/>
          <w:lang w:eastAsia="en-US"/>
        </w:rPr>
        <w:t>et al.</w:t>
      </w:r>
      <w:r>
        <w:rPr>
          <w:rFonts w:ascii="Times New Roman" w:hAnsi="Times New Roman" w:eastAsia="Times New Roman" w:cs="Times New Roman"/>
          <w:sz w:val="24"/>
          <w:szCs w:val="24"/>
          <w:highlight w:val="white"/>
          <w:lang w:eastAsia="en-US"/>
        </w:rPr>
        <w:t>, 2021</w:t>
      </w:r>
      <w:r>
        <w:rPr>
          <w:rFonts w:ascii="Times New Roman" w:hAnsi="Times New Roman" w:eastAsia="Times New Roman" w:cs="Times New Roman"/>
          <w:sz w:val="24"/>
          <w:szCs w:val="24"/>
          <w:lang w:eastAsia="en-US"/>
        </w:rPr>
        <w:t>). The current liabilities have consistently exceeded available liquid assets. This further strained its ability to manage cash flow effectively. Low guest engagement as well as rising operational costs has compounded these challenges. Moreover, financial policies that failed to maintain adequate cash reserves degraded the inability of the hotel to handle emergency financial requirements. The City Hotel needs to focus on enhancing cash flow management for improving liquidity. This can be done by optimizing revenue generation through better guest services as well as pricing strategies. Improving occupancy rates along with managing costs efficiently will enable the hotel for restoring its liquidity position as well as strengthening its overall financial performance.</w:t>
      </w:r>
    </w:p>
    <w:p w14:paraId="487A506F">
      <w:pPr>
        <w:pStyle w:val="5"/>
      </w:pPr>
      <w:bookmarkStart w:id="6" w:name="_Toc10742"/>
      <w:r>
        <w:t>2.4 Trends of solvency</w:t>
      </w:r>
      <w:bookmarkEnd w:id="6"/>
    </w:p>
    <w:p w14:paraId="659D8A92">
      <w:pPr>
        <w:spacing w:line="360" w:lineRule="auto"/>
        <w:jc w:val="center"/>
        <w:rPr>
          <w:rFonts w:ascii="Times New Roman" w:hAnsi="Times New Roman" w:eastAsia="Times New Roman" w:cs="Times New Roman"/>
          <w:b/>
          <w:sz w:val="24"/>
          <w:szCs w:val="24"/>
          <w:lang w:eastAsia="en-US"/>
        </w:rPr>
      </w:pPr>
      <w:r>
        <w:rPr>
          <w:rFonts w:ascii="Times New Roman" w:hAnsi="Times New Roman" w:eastAsia="Times New Roman" w:cs="Times New Roman"/>
          <w:b/>
          <w:sz w:val="24"/>
          <w:szCs w:val="24"/>
          <w:lang w:val="en-US" w:eastAsia="en-US"/>
        </w:rPr>
        <w:drawing>
          <wp:inline distT="114300" distB="114300" distL="114300" distR="114300">
            <wp:extent cx="5943600" cy="35814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referRelativeResize="0"/>
                  </pic:nvPicPr>
                  <pic:blipFill>
                    <a:blip r:embed="rId11"/>
                    <a:srcRect/>
                    <a:stretch>
                      <a:fillRect/>
                    </a:stretch>
                  </pic:blipFill>
                  <pic:spPr>
                    <a:xfrm>
                      <a:off x="0" y="0"/>
                      <a:ext cx="5943600" cy="3581400"/>
                    </a:xfrm>
                    <a:prstGeom prst="rect">
                      <a:avLst/>
                    </a:prstGeom>
                  </pic:spPr>
                </pic:pic>
              </a:graphicData>
            </a:graphic>
          </wp:inline>
        </w:drawing>
      </w:r>
    </w:p>
    <w:p w14:paraId="417D9EE3">
      <w:pPr>
        <w:spacing w:line="360" w:lineRule="auto"/>
        <w:jc w:val="center"/>
        <w:rPr>
          <w:rFonts w:ascii="Times New Roman" w:hAnsi="Times New Roman" w:eastAsia="Times New Roman" w:cs="Times New Roman"/>
          <w:sz w:val="24"/>
          <w:szCs w:val="24"/>
          <w:lang w:eastAsia="en-US"/>
        </w:rPr>
      </w:pPr>
      <w:r>
        <w:rPr>
          <w:rFonts w:ascii="Times New Roman" w:hAnsi="Times New Roman" w:eastAsia="Times New Roman" w:cs="Times New Roman"/>
          <w:b/>
          <w:sz w:val="24"/>
          <w:szCs w:val="24"/>
          <w:lang w:eastAsia="en-US"/>
        </w:rPr>
        <w:t>Figure 4: Trends of solvency</w:t>
      </w:r>
    </w:p>
    <w:p w14:paraId="1D72BA54">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Over the past three years, The City Hotel has experienced negative solvency trends. This was observed primarily due to an increased reliance on debt for financing its operations as well as long-term obligations (</w:t>
      </w:r>
      <w:r>
        <w:rPr>
          <w:rFonts w:ascii="Times New Roman" w:hAnsi="Times New Roman" w:eastAsia="Times New Roman" w:cs="Times New Roman"/>
          <w:sz w:val="24"/>
          <w:szCs w:val="24"/>
          <w:highlight w:val="white"/>
          <w:lang w:eastAsia="en-US"/>
        </w:rPr>
        <w:t>Dimitrios</w:t>
      </w:r>
      <w:r>
        <w:rPr>
          <w:rFonts w:ascii="Times New Roman" w:hAnsi="Times New Roman" w:eastAsia="Times New Roman" w:cs="Times New Roman"/>
          <w:i/>
          <w:sz w:val="24"/>
          <w:szCs w:val="24"/>
          <w:highlight w:val="white"/>
          <w:lang w:eastAsia="en-US"/>
        </w:rPr>
        <w:t xml:space="preserve"> et al.</w:t>
      </w:r>
      <w:r>
        <w:rPr>
          <w:rFonts w:ascii="Times New Roman" w:hAnsi="Times New Roman" w:eastAsia="Times New Roman" w:cs="Times New Roman"/>
          <w:sz w:val="24"/>
          <w:szCs w:val="24"/>
          <w:highlight w:val="white"/>
          <w:lang w:eastAsia="en-US"/>
        </w:rPr>
        <w:t>, 2020</w:t>
      </w:r>
      <w:r>
        <w:rPr>
          <w:rFonts w:ascii="Times New Roman" w:hAnsi="Times New Roman" w:eastAsia="Times New Roman" w:cs="Times New Roman"/>
          <w:sz w:val="24"/>
          <w:szCs w:val="24"/>
          <w:lang w:eastAsia="en-US"/>
        </w:rPr>
        <w:t>). As revenue levels declined from 2021 to 2023, the hotel increasingly turned to debt. This resulted in a higher debt-to-equity ratio. This raises concerns about its financial stability. The solvency ratios indicate that the proportion of debt in the capital structure of a hotel is disproportionately high as compared to its assets and equity. This has led to financial distress and increased risk of insolvency. This excessive debt usage puts major pressure on The City Hotel for managing its liabilities. This further complicated its ability to sustain long-term financial health. The hotel needs to reduce its debt burden for improving solvency. This can be done by optimizing its use of equity and assets. In addition, improving customer satisfaction and brand value can attract more investment (</w:t>
      </w:r>
      <w:r>
        <w:rPr>
          <w:rFonts w:ascii="Times New Roman" w:hAnsi="Times New Roman" w:eastAsia="Times New Roman" w:cs="Times New Roman"/>
          <w:sz w:val="24"/>
          <w:szCs w:val="24"/>
          <w:highlight w:val="white"/>
          <w:lang w:eastAsia="en-US"/>
        </w:rPr>
        <w:t>Saeed and Sroufe, 2021</w:t>
      </w:r>
      <w:r>
        <w:rPr>
          <w:rFonts w:ascii="Times New Roman" w:hAnsi="Times New Roman" w:eastAsia="Times New Roman" w:cs="Times New Roman"/>
          <w:sz w:val="24"/>
          <w:szCs w:val="24"/>
          <w:lang w:eastAsia="en-US"/>
        </w:rPr>
        <w:t>). This strengthens the equity base and reduces the need for debt financing for the hotel. The City Hotel can enhance its solvency and mitigate financial risk by rebalancing its capital structure to minimize reliance on debt. This will position itself for a more stable financial future.</w:t>
      </w:r>
    </w:p>
    <w:p w14:paraId="580AD27F">
      <w:pPr>
        <w:pStyle w:val="4"/>
      </w:pPr>
      <w:bookmarkStart w:id="7" w:name="_Toc28474"/>
      <w:r>
        <w:t>3. Key reasons for the decline in profit to focus on real-world events and the current economy</w:t>
      </w:r>
      <w:bookmarkEnd w:id="7"/>
    </w:p>
    <w:p w14:paraId="0A15D102">
      <w:pPr>
        <w:pStyle w:val="5"/>
      </w:pPr>
      <w:bookmarkStart w:id="8" w:name="_Toc5746"/>
      <w:r>
        <w:t>3.1 Hotel staff shortages</w:t>
      </w:r>
      <w:bookmarkEnd w:id="8"/>
    </w:p>
    <w:p w14:paraId="206D1F5A">
      <w:pPr>
        <w:pStyle w:val="3"/>
        <w:spacing w:line="360" w:lineRule="auto"/>
        <w:jc w:val="both"/>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 xml:space="preserve">The restaurants and hospitality sectors of the UK have been reported to face the problem of staff shortage. The productivity and profitability of the hotels, restaurants and pubs are being reduced due to the staff crisis and lack of skilled and efficient employees within the workforce. The success and growth of a business organisation depend on the motivation of the employees towards the business operations.  In the recent era, the rate of labour shortage has been witnessed within the global market. It has been surveyed that almost 40,000 employees from several industries expanding around 40 countries have faced the difficulty and challenges of staff shortages. In 2017 the number of staff shortages reached 45% as compared to 2013, because in 2013 the number was 36% (Statista, 2024). One of the main causes of the increase in the rate of labour shortage in UK hospitality companies is the rising cost of labour. The global employment rate has reached 56.15% and companies are struggling to retain employees due to the high rise of employee costs (Statista, 2024). </w:t>
      </w:r>
    </w:p>
    <w:p w14:paraId="77F630E1">
      <w:pPr>
        <w:pStyle w:val="3"/>
        <w:spacing w:line="360" w:lineRule="auto"/>
        <w:jc w:val="center"/>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lang w:val="en-US" w:eastAsia="en-US"/>
        </w:rPr>
        <w:drawing>
          <wp:inline distT="114300" distB="114300" distL="114300" distR="114300">
            <wp:extent cx="4500245" cy="401129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4500563" cy="4011537"/>
                    </a:xfrm>
                    <a:prstGeom prst="rect">
                      <a:avLst/>
                    </a:prstGeom>
                    <a:ln w="25400">
                      <a:solidFill>
                        <a:srgbClr val="000000"/>
                      </a:solidFill>
                      <a:prstDash val="solid"/>
                    </a:ln>
                  </pic:spPr>
                </pic:pic>
              </a:graphicData>
            </a:graphic>
          </wp:inline>
        </w:drawing>
      </w:r>
    </w:p>
    <w:p w14:paraId="38B27393">
      <w:pPr>
        <w:pStyle w:val="3"/>
        <w:spacing w:line="360" w:lineRule="auto"/>
        <w:jc w:val="center"/>
        <w:rPr>
          <w:rFonts w:ascii="Times New Roman" w:hAnsi="Times New Roman" w:eastAsia="Times New Roman" w:cs="Times New Roman"/>
          <w:b/>
          <w:color w:val="222222"/>
          <w:sz w:val="24"/>
          <w:szCs w:val="24"/>
        </w:rPr>
      </w:pPr>
      <w:r>
        <w:rPr>
          <w:rFonts w:ascii="Times New Roman" w:hAnsi="Times New Roman" w:eastAsia="Times New Roman" w:cs="Times New Roman"/>
          <w:b/>
          <w:color w:val="222222"/>
          <w:sz w:val="24"/>
          <w:szCs w:val="24"/>
        </w:rPr>
        <w:t xml:space="preserve">Figure 5: Global staff shortage balloon </w:t>
      </w:r>
    </w:p>
    <w:p w14:paraId="18D47F61">
      <w:pPr>
        <w:pStyle w:val="3"/>
        <w:spacing w:line="360" w:lineRule="auto"/>
        <w:jc w:val="center"/>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(Source: Statista, 2024)</w:t>
      </w:r>
    </w:p>
    <w:p w14:paraId="5DBA1876">
      <w:pPr>
        <w:pStyle w:val="3"/>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color w:val="222222"/>
          <w:sz w:val="24"/>
          <w:szCs w:val="24"/>
        </w:rPr>
        <w:t xml:space="preserve">Brexit and the sudden emergence of the pandemic is considered to be one of the most significant reasons for the staff shortage in UK hospitality companies. The hotel and hospitality industry of the UK is struggling hard and the companies are experiencing a 20-25% shortage of staff in their organisational force (ET, 2024). In a similar manner, the City Hotel of the UK has also witnessed a lack of job applicants and a labour shortage and these factors have impacted the productivity and satisfaction of the customers within the business. </w:t>
      </w:r>
    </w:p>
    <w:p w14:paraId="7B3FDCCC">
      <w:pPr>
        <w:pStyle w:val="5"/>
      </w:pPr>
      <w:bookmarkStart w:id="9" w:name="_Toc13360"/>
      <w:r>
        <w:t>3.2 Cost of living crisis</w:t>
      </w:r>
      <w:bookmarkEnd w:id="9"/>
      <w:r>
        <w:t xml:space="preserve"> </w:t>
      </w:r>
    </w:p>
    <w:p w14:paraId="50B14F38">
      <w:pPr>
        <w:pStyle w:val="3"/>
        <w:spacing w:line="360" w:lineRule="auto"/>
        <w:jc w:val="both"/>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 xml:space="preserve">Another significant factor that has been affecting the labour market and the growth and profitability of the business of the hotel and hospitality sector of the UK is the crisis of the cost of living. Inflation impacts the bookings, services, productivity and efficiency of the hotel and hospitality businesses. The staff market is declining but the demand and sales of the products are increasing by 30% (Institute of Hospitality, 2024). These factors have impacted the process of collecting the resources, ensuring sustainability, giving the salary of the employees and many other operations of the businesses. The rate of cost of living in the UK has increased to 3.4% in 2024 (Statista, 2024). </w:t>
      </w:r>
    </w:p>
    <w:p w14:paraId="5861E5EA">
      <w:pPr>
        <w:pStyle w:val="3"/>
        <w:spacing w:line="360" w:lineRule="auto"/>
        <w:jc w:val="center"/>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lang w:val="en-US" w:eastAsia="en-US"/>
        </w:rPr>
        <w:drawing>
          <wp:inline distT="114300" distB="114300" distL="114300" distR="114300">
            <wp:extent cx="4636770" cy="303403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3"/>
                    <a:stretch>
                      <a:fillRect/>
                    </a:stretch>
                  </pic:blipFill>
                  <pic:spPr>
                    <a:xfrm>
                      <a:off x="0" y="0"/>
                      <a:ext cx="4637250" cy="3034250"/>
                    </a:xfrm>
                    <a:prstGeom prst="rect">
                      <a:avLst/>
                    </a:prstGeom>
                    <a:ln w="25400">
                      <a:solidFill>
                        <a:srgbClr val="000000"/>
                      </a:solidFill>
                      <a:prstDash val="solid"/>
                    </a:ln>
                  </pic:spPr>
                </pic:pic>
              </a:graphicData>
            </a:graphic>
          </wp:inline>
        </w:drawing>
      </w:r>
    </w:p>
    <w:p w14:paraId="0A14E89E">
      <w:pPr>
        <w:pStyle w:val="3"/>
        <w:spacing w:line="360" w:lineRule="auto"/>
        <w:jc w:val="center"/>
        <w:rPr>
          <w:rFonts w:ascii="Times New Roman" w:hAnsi="Times New Roman" w:eastAsia="Times New Roman" w:cs="Times New Roman"/>
          <w:b/>
          <w:color w:val="222222"/>
          <w:sz w:val="24"/>
          <w:szCs w:val="24"/>
        </w:rPr>
      </w:pPr>
      <w:r>
        <w:rPr>
          <w:rFonts w:ascii="Times New Roman" w:hAnsi="Times New Roman" w:eastAsia="Times New Roman" w:cs="Times New Roman"/>
          <w:b/>
          <w:color w:val="222222"/>
          <w:sz w:val="24"/>
          <w:szCs w:val="24"/>
        </w:rPr>
        <w:t xml:space="preserve">Figure 6: Cost of living in the UK </w:t>
      </w:r>
    </w:p>
    <w:p w14:paraId="458E57F1">
      <w:pPr>
        <w:pStyle w:val="3"/>
        <w:spacing w:line="360" w:lineRule="auto"/>
        <w:jc w:val="center"/>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(Source: Statista, 2024)</w:t>
      </w:r>
    </w:p>
    <w:p w14:paraId="4FA784C7">
      <w:pPr>
        <w:pStyle w:val="3"/>
        <w:spacing w:line="360" w:lineRule="auto"/>
        <w:jc w:val="both"/>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 xml:space="preserve">Therefore it has been identified that the crisis of high turnover has impacted upon the hiring, selection and onboarding process of the employees in the city hotel and different companies of the hospitality industry. </w:t>
      </w:r>
    </w:p>
    <w:p w14:paraId="465B3159">
      <w:pPr>
        <w:pStyle w:val="5"/>
      </w:pPr>
      <w:bookmarkStart w:id="10" w:name="_Toc30580"/>
      <w:r>
        <w:t>3.3 Changing consumer behaviour</w:t>
      </w:r>
      <w:bookmarkEnd w:id="10"/>
    </w:p>
    <w:p w14:paraId="3A6A83DD">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The decline in profits for The City Hotel can be attributed to changing consumer behaviour in the UK. This is driven by the current economic crisis as well as inflationary pressures. Rising living costs due to high inflation as well as interest rates have reduced disposable incomes (</w:t>
      </w:r>
      <w:r>
        <w:rPr>
          <w:rFonts w:ascii="Times New Roman" w:hAnsi="Times New Roman" w:eastAsia="Times New Roman" w:cs="Times New Roman"/>
          <w:sz w:val="24"/>
          <w:szCs w:val="24"/>
          <w:highlight w:val="white"/>
          <w:lang w:eastAsia="en-US"/>
        </w:rPr>
        <w:t>Zakhidov, 2024</w:t>
      </w:r>
      <w:r>
        <w:rPr>
          <w:rFonts w:ascii="Times New Roman" w:hAnsi="Times New Roman" w:eastAsia="Times New Roman" w:cs="Times New Roman"/>
          <w:sz w:val="24"/>
          <w:szCs w:val="24"/>
          <w:lang w:eastAsia="en-US"/>
        </w:rPr>
        <w:t xml:space="preserve">). This led consumers to cut back on luxury spending like hotel stays. Additionally, the economic uncertainty following Brexit and the COVID-19 pandemic has caused a shift in preferences. More people are opting for budget accommodations or domestic travel alternatives. This is further impacting hotel profitability. This shift reflects the broader challenges facing the hospitality industry in the current economy of the UK. </w:t>
      </w:r>
    </w:p>
    <w:p w14:paraId="4EF40D95">
      <w:pPr>
        <w:pStyle w:val="4"/>
        <w:rPr>
          <w:lang w:eastAsia="en-US"/>
        </w:rPr>
      </w:pPr>
      <w:bookmarkStart w:id="11" w:name="_Toc5150"/>
      <w:r>
        <w:rPr>
          <w:lang w:eastAsia="en-US"/>
        </w:rPr>
        <w:t>4. Turnaround strategy to revitalize the financial health and develop a brand reputation of the Hotel</w:t>
      </w:r>
      <w:bookmarkEnd w:id="11"/>
    </w:p>
    <w:p w14:paraId="12112EA7">
      <w:pPr>
        <w:pStyle w:val="5"/>
      </w:pPr>
      <w:bookmarkStart w:id="12" w:name="_Toc5871"/>
      <w:r>
        <w:t>4.1 Controlling operational costs and maximizing profit</w:t>
      </w:r>
      <w:bookmarkEnd w:id="12"/>
    </w:p>
    <w:p w14:paraId="7558B2FA">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A key turnaround strategy involves controlling operational costs as well as maximizing profit for revitalizing the financial health and brand reputation of The City Hotel. This can be achieved through reducing waste in food and beverage services as well as investing in energy-efficient systems for lowering utility costs. Implementing competitive room rates can attract more guests along with increasing occupancy rates (</w:t>
      </w:r>
      <w:r>
        <w:rPr>
          <w:rFonts w:ascii="Times New Roman" w:hAnsi="Times New Roman" w:eastAsia="Times New Roman" w:cs="Times New Roman"/>
          <w:sz w:val="24"/>
          <w:szCs w:val="24"/>
          <w:highlight w:val="white"/>
          <w:lang w:eastAsia="en-US"/>
        </w:rPr>
        <w:t>Stefani and Priatmodjo, 2021</w:t>
      </w:r>
      <w:r>
        <w:rPr>
          <w:rFonts w:ascii="Times New Roman" w:hAnsi="Times New Roman" w:eastAsia="Times New Roman" w:cs="Times New Roman"/>
          <w:sz w:val="24"/>
          <w:szCs w:val="24"/>
          <w:lang w:eastAsia="en-US"/>
        </w:rPr>
        <w:t>). Additionally, promoting online bookings streamlines operations along with enhanced revenue generation. The City Hotel can improve profitability through focusing on cost management and optimizing resources. This reduces financial burdens along with building a stronger brand reputation in the competitive hospitality market.</w:t>
      </w:r>
    </w:p>
    <w:p w14:paraId="1A361401">
      <w:pPr>
        <w:pStyle w:val="5"/>
      </w:pPr>
      <w:bookmarkStart w:id="13" w:name="_Toc8060"/>
      <w:r>
        <w:t>4.2 Delivering personalized services to customers to improve experience</w:t>
      </w:r>
      <w:bookmarkEnd w:id="13"/>
    </w:p>
    <w:p w14:paraId="0DA7E2F2">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Delivering personalized services is essential for revitalizing the financial health of The City Hotel along with enhancing its brand reputation. Implementing Customer Relationship Management (CRM) systems as well as loyalty programs allows the hotel to offer tailored services, rewards as well as experiences. This boosts guest satisfaction as well as loyalty. Personalized interactions build long-term relationships (</w:t>
      </w:r>
      <w:r>
        <w:rPr>
          <w:rFonts w:ascii="Times New Roman" w:hAnsi="Times New Roman" w:eastAsia="Times New Roman" w:cs="Times New Roman"/>
          <w:sz w:val="24"/>
          <w:szCs w:val="24"/>
          <w:highlight w:val="white"/>
          <w:lang w:eastAsia="en-US"/>
        </w:rPr>
        <w:t xml:space="preserve">Lei </w:t>
      </w:r>
      <w:r>
        <w:rPr>
          <w:rFonts w:ascii="Times New Roman" w:hAnsi="Times New Roman" w:eastAsia="Times New Roman" w:cs="Times New Roman"/>
          <w:i/>
          <w:sz w:val="24"/>
          <w:szCs w:val="24"/>
          <w:highlight w:val="white"/>
          <w:lang w:eastAsia="en-US"/>
        </w:rPr>
        <w:t>et al.,</w:t>
      </w:r>
      <w:r>
        <w:rPr>
          <w:rFonts w:ascii="Times New Roman" w:hAnsi="Times New Roman" w:eastAsia="Times New Roman" w:cs="Times New Roman"/>
          <w:sz w:val="24"/>
          <w:szCs w:val="24"/>
          <w:highlight w:val="white"/>
          <w:lang w:eastAsia="en-US"/>
        </w:rPr>
        <w:t xml:space="preserve"> 2022</w:t>
      </w:r>
      <w:r>
        <w:rPr>
          <w:rFonts w:ascii="Times New Roman" w:hAnsi="Times New Roman" w:eastAsia="Times New Roman" w:cs="Times New Roman"/>
          <w:sz w:val="24"/>
          <w:szCs w:val="24"/>
          <w:lang w:eastAsia="en-US"/>
        </w:rPr>
        <w:t>). This encourages repeat visits along with word-of-mouth referrals. This increases occupancy rates. This customer-centric approach improves the guest experience along with strengthening the brand value of the hotel. This strategy enhances the financial performance of the hotel by fostering customer retention as well as promoting a positive market image.</w:t>
      </w:r>
    </w:p>
    <w:p w14:paraId="53622A87">
      <w:pPr>
        <w:pStyle w:val="5"/>
      </w:pPr>
      <w:bookmarkStart w:id="14" w:name="_Toc16519"/>
      <w:r>
        <w:t>4.3 Promoting digital presence and innovation to develop brand value</w:t>
      </w:r>
      <w:bookmarkEnd w:id="14"/>
    </w:p>
    <w:p w14:paraId="584C6998">
      <w:pPr>
        <w:spacing w:line="360" w:lineRule="auto"/>
        <w:jc w:val="both"/>
        <w:rPr>
          <w:rFonts w:ascii="Times New Roman" w:hAnsi="Times New Roman" w:eastAsia="Times New Roman" w:cs="Times New Roman"/>
          <w:sz w:val="24"/>
          <w:szCs w:val="24"/>
          <w:lang w:eastAsia="en-US"/>
        </w:rPr>
      </w:pPr>
      <w:r>
        <w:rPr>
          <w:rFonts w:ascii="Times New Roman" w:hAnsi="Times New Roman" w:eastAsia="Times New Roman" w:cs="Times New Roman"/>
          <w:sz w:val="24"/>
          <w:szCs w:val="24"/>
          <w:lang w:eastAsia="en-US"/>
        </w:rPr>
        <w:t>Promoting a digital presence is essential for revitalizing the financial health and brand reputation of The City Hotel. The hotel can attract a wider audience and boost guest interaction through enhancing its website and engaging actively on social media platforms like Instagram and Facebook. Implementing innovative technologies like online check-in/check-out, digital booking systems as well as AI-driven chatbots will streamline operations (</w:t>
      </w:r>
      <w:r>
        <w:rPr>
          <w:rFonts w:ascii="Times New Roman" w:hAnsi="Times New Roman" w:eastAsia="Times New Roman" w:cs="Times New Roman"/>
          <w:sz w:val="24"/>
          <w:szCs w:val="24"/>
          <w:highlight w:val="white"/>
          <w:lang w:eastAsia="en-US"/>
        </w:rPr>
        <w:t>Wambua and Muthimi, 2024</w:t>
      </w:r>
      <w:r>
        <w:rPr>
          <w:rFonts w:ascii="Times New Roman" w:hAnsi="Times New Roman" w:eastAsia="Times New Roman" w:cs="Times New Roman"/>
          <w:sz w:val="24"/>
          <w:szCs w:val="24"/>
          <w:lang w:eastAsia="en-US"/>
        </w:rPr>
        <w:t>). This improves customer service in an effective way. These advancements enhance user experience along with positioning the hotel as a modern and tech-savvy choice for travellers. This drives occupancy rates, increasing revenue along with strengthening brand value in a competitive market.</w:t>
      </w:r>
    </w:p>
    <w:p w14:paraId="5C6E7B76">
      <w:pPr>
        <w:pStyle w:val="4"/>
        <w:rPr>
          <w:lang w:eastAsia="en-US"/>
        </w:rPr>
      </w:pPr>
      <w:bookmarkStart w:id="15" w:name="_Toc9283"/>
      <w:r>
        <w:rPr>
          <w:lang w:eastAsia="en-US"/>
        </w:rPr>
        <w:t>5. Conclusion</w:t>
      </w:r>
      <w:bookmarkEnd w:id="15"/>
    </w:p>
    <w:p w14:paraId="4DC9D0BC">
      <w:pPr>
        <w:spacing w:line="360" w:lineRule="auto"/>
        <w:jc w:val="both"/>
      </w:pPr>
      <w:r>
        <w:rPr>
          <w:rFonts w:ascii="Times New Roman" w:hAnsi="Times New Roman" w:eastAsia="Times New Roman" w:cs="Times New Roman"/>
          <w:sz w:val="24"/>
          <w:szCs w:val="24"/>
          <w:lang w:eastAsia="en-US"/>
        </w:rPr>
        <w:t>From the above report, this can be concluded that the financial performance analysis of The City Hotel reveals declining profitability as well as cash flow levels. This degraded by an increasing debt burden from 2021 to 2023. Unfavorable solvency, liquidity along with profitability ratios highlights the negative impact of the UK economy on the hotel industry. This was driven by inflation, shifting consumer behavior as well as high labor costs. The hotel needs to focus on personalized service delivery for managing its financial health. Controlling operational costs as well as enhancing its digital presence through innovation are effective. Efficient financial management and informed decision-making based on trend analysis will be essential in improving the overall performance and brand value of The City Hotel.</w:t>
      </w:r>
    </w:p>
    <w:p w14:paraId="0D756880">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14:paraId="35E464B6">
      <w:pPr>
        <w:pStyle w:val="2"/>
      </w:pPr>
      <w:bookmarkStart w:id="16" w:name="_Toc32680"/>
      <w:r>
        <w:t>References</w:t>
      </w:r>
      <w:bookmarkEnd w:id="16"/>
      <w:r>
        <w:t xml:space="preserve"> </w:t>
      </w:r>
    </w:p>
    <w:p w14:paraId="390BAB2D">
      <w:pPr>
        <w:pStyle w:val="3"/>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Task 2</w:t>
      </w:r>
    </w:p>
    <w:p w14:paraId="3CAABDA9">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Al Farooque, O., Buachoom, W. and Sun, L., 2020. Board, audit committee, ownership and financial performance–emerging trends from Thailand. </w:t>
      </w:r>
      <w:r>
        <w:rPr>
          <w:rFonts w:ascii="Times New Roman" w:hAnsi="Times New Roman" w:eastAsia="Times New Roman" w:cs="Times New Roman"/>
          <w:i/>
          <w:sz w:val="24"/>
          <w:szCs w:val="24"/>
          <w:highlight w:val="white"/>
          <w:lang w:eastAsia="en-US"/>
        </w:rPr>
        <w:t>Pacific Accounting Review</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32</w:t>
      </w:r>
      <w:r>
        <w:rPr>
          <w:rFonts w:ascii="Times New Roman" w:hAnsi="Times New Roman" w:eastAsia="Times New Roman" w:cs="Times New Roman"/>
          <w:sz w:val="24"/>
          <w:szCs w:val="24"/>
          <w:highlight w:val="white"/>
          <w:lang w:eastAsia="en-US"/>
        </w:rPr>
        <w:t>(1), pp.54-81.</w:t>
      </w:r>
    </w:p>
    <w:p w14:paraId="24D1D79D">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Ali, A., 2020. Financial performance and size determinants: growth trend and similarity analysis of Indian pharmaceutical industry. </w:t>
      </w:r>
      <w:r>
        <w:rPr>
          <w:rFonts w:ascii="Times New Roman" w:hAnsi="Times New Roman" w:eastAsia="Times New Roman" w:cs="Times New Roman"/>
          <w:i/>
          <w:sz w:val="24"/>
          <w:szCs w:val="24"/>
          <w:highlight w:val="white"/>
          <w:lang w:eastAsia="en-US"/>
        </w:rPr>
        <w:t>Humanities &amp; Social Sciences Reviews</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8</w:t>
      </w:r>
      <w:r>
        <w:rPr>
          <w:rFonts w:ascii="Times New Roman" w:hAnsi="Times New Roman" w:eastAsia="Times New Roman" w:cs="Times New Roman"/>
          <w:sz w:val="24"/>
          <w:szCs w:val="24"/>
          <w:highlight w:val="white"/>
          <w:lang w:eastAsia="en-US"/>
        </w:rPr>
        <w:t>(4), pp.547-560.</w:t>
      </w:r>
    </w:p>
    <w:p w14:paraId="3D20340A">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Dimitrios, B., Christos, P., Ioannis, R. and Vasiliadis, L., 2020. Strategic management in the hotel industry: Proposed strategic practices to recover from COVID-19 global crisis. </w:t>
      </w:r>
      <w:r>
        <w:rPr>
          <w:rFonts w:ascii="Times New Roman" w:hAnsi="Times New Roman" w:eastAsia="Times New Roman" w:cs="Times New Roman"/>
          <w:i/>
          <w:sz w:val="24"/>
          <w:szCs w:val="24"/>
          <w:highlight w:val="white"/>
          <w:lang w:eastAsia="en-US"/>
        </w:rPr>
        <w:t>Academic Journal of Interdisciplinary Studies</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9</w:t>
      </w:r>
      <w:r>
        <w:rPr>
          <w:rFonts w:ascii="Times New Roman" w:hAnsi="Times New Roman" w:eastAsia="Times New Roman" w:cs="Times New Roman"/>
          <w:sz w:val="24"/>
          <w:szCs w:val="24"/>
          <w:highlight w:val="white"/>
          <w:lang w:eastAsia="en-US"/>
        </w:rPr>
        <w:t>(6), pp.130-130.</w:t>
      </w:r>
    </w:p>
    <w:p w14:paraId="7A1EB47B">
      <w:pPr>
        <w:pStyle w:val="3"/>
        <w:spacing w:line="360" w:lineRule="auto"/>
        <w:jc w:val="both"/>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 xml:space="preserve">ET, 2024. </w:t>
      </w:r>
      <w:r>
        <w:rPr>
          <w:rFonts w:ascii="Times New Roman" w:hAnsi="Times New Roman" w:eastAsia="Times New Roman" w:cs="Times New Roman"/>
          <w:i/>
          <w:color w:val="222222"/>
          <w:sz w:val="24"/>
          <w:szCs w:val="24"/>
        </w:rPr>
        <w:t>Manpower Crisis</w:t>
      </w:r>
      <w:r>
        <w:rPr>
          <w:rFonts w:ascii="Times New Roman" w:hAnsi="Times New Roman" w:eastAsia="Times New Roman" w:cs="Times New Roman"/>
          <w:color w:val="222222"/>
          <w:sz w:val="24"/>
          <w:szCs w:val="24"/>
        </w:rPr>
        <w:t xml:space="preserve"> </w:t>
      </w:r>
      <w:r>
        <w:rPr>
          <w:rFonts w:ascii="Times New Roman" w:hAnsi="Times New Roman" w:eastAsia="Times New Roman" w:cs="Times New Roman"/>
          <w:sz w:val="24"/>
          <w:szCs w:val="24"/>
        </w:rPr>
        <w:t>[Online] Available at:&lt;https://hospitality.economictimes.indiatimes.com/news/speaking-heads/manpower-crisis-a-recurrent-conundrum-in-the-hospitality-industry/107376823#:~:text=One%20of%20the%20foremost%20challenges,percent%20shortage%20of%20quality%20manpower.&gt; [Accessed on 15 October 2024]</w:t>
      </w:r>
    </w:p>
    <w:p w14:paraId="7D220440">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rPr>
        <w:t xml:space="preserve">Institute of Hospitality, 2024. </w:t>
      </w:r>
      <w:r>
        <w:rPr>
          <w:rFonts w:ascii="Times New Roman" w:hAnsi="Times New Roman" w:eastAsia="Times New Roman" w:cs="Times New Roman"/>
          <w:i/>
          <w:color w:val="222222"/>
          <w:sz w:val="24"/>
          <w:szCs w:val="24"/>
        </w:rPr>
        <w:t>Institute of Hospitality</w:t>
      </w:r>
      <w:r>
        <w:rPr>
          <w:rFonts w:ascii="Times New Roman" w:hAnsi="Times New Roman" w:eastAsia="Times New Roman" w:cs="Times New Roman"/>
          <w:color w:val="222222"/>
          <w:sz w:val="24"/>
          <w:szCs w:val="24"/>
        </w:rPr>
        <w:t xml:space="preserve"> </w:t>
      </w:r>
      <w:r>
        <w:rPr>
          <w:rFonts w:ascii="Times New Roman" w:hAnsi="Times New Roman" w:eastAsia="Times New Roman" w:cs="Times New Roman"/>
          <w:sz w:val="24"/>
          <w:szCs w:val="24"/>
        </w:rPr>
        <w:t>[Online] Available at:&lt;https://www.instituteofhospitality.org/wp-content/uploads/2024/04/Cost_of_Living_April_2024.pdf&gt; [Accessed on 15 October 2024]</w:t>
      </w:r>
    </w:p>
    <w:p w14:paraId="0A726067">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Kartanaitė, I., Kovalov, B.L., Kubatko, O.V. and Krušinskas, R., 2021. Financial modeling trends for production companies in the context of Industry 4.0.</w:t>
      </w:r>
    </w:p>
    <w:p w14:paraId="269557F8">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Lei, J., Lin, S., Khan, M.R., Xie, S., Sadiq, M., Ali, R., Bashir, M.F., Shahzad, L., Eldin, S.M. and Amin, A.H., 2022. Research trends of board characteristics and firms’ environmental performance: research directions and agenda. </w:t>
      </w:r>
      <w:r>
        <w:rPr>
          <w:rFonts w:ascii="Times New Roman" w:hAnsi="Times New Roman" w:eastAsia="Times New Roman" w:cs="Times New Roman"/>
          <w:i/>
          <w:sz w:val="24"/>
          <w:szCs w:val="24"/>
          <w:highlight w:val="white"/>
          <w:lang w:eastAsia="en-US"/>
        </w:rPr>
        <w:t>Sustainability</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14</w:t>
      </w:r>
      <w:r>
        <w:rPr>
          <w:rFonts w:ascii="Times New Roman" w:hAnsi="Times New Roman" w:eastAsia="Times New Roman" w:cs="Times New Roman"/>
          <w:sz w:val="24"/>
          <w:szCs w:val="24"/>
          <w:highlight w:val="white"/>
          <w:lang w:eastAsia="en-US"/>
        </w:rPr>
        <w:t>(21), p.14296.</w:t>
      </w:r>
    </w:p>
    <w:p w14:paraId="3707DADA">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Saeed, A. and Sroufe, R., 2021. Performance, risk, and cost of capital: Trends and opportunities for future CSR research. </w:t>
      </w:r>
      <w:r>
        <w:rPr>
          <w:rFonts w:ascii="Times New Roman" w:hAnsi="Times New Roman" w:eastAsia="Times New Roman" w:cs="Times New Roman"/>
          <w:i/>
          <w:sz w:val="24"/>
          <w:szCs w:val="24"/>
          <w:highlight w:val="white"/>
          <w:lang w:eastAsia="en-US"/>
        </w:rPr>
        <w:t>Journal of Risk and Financial Management</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14</w:t>
      </w:r>
      <w:r>
        <w:rPr>
          <w:rFonts w:ascii="Times New Roman" w:hAnsi="Times New Roman" w:eastAsia="Times New Roman" w:cs="Times New Roman"/>
          <w:sz w:val="24"/>
          <w:szCs w:val="24"/>
          <w:highlight w:val="white"/>
          <w:lang w:eastAsia="en-US"/>
        </w:rPr>
        <w:t>(12), p.586.</w:t>
      </w:r>
    </w:p>
    <w:p w14:paraId="46AFD718">
      <w:pPr>
        <w:pStyle w:val="3"/>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rPr>
        <w:t xml:space="preserve">Statista, 2024. </w:t>
      </w:r>
      <w:r>
        <w:rPr>
          <w:rFonts w:ascii="Times New Roman" w:hAnsi="Times New Roman" w:eastAsia="Times New Roman" w:cs="Times New Roman"/>
          <w:i/>
          <w:color w:val="222222"/>
          <w:sz w:val="24"/>
          <w:szCs w:val="24"/>
        </w:rPr>
        <w:t>Cost of living in Uk</w:t>
      </w:r>
      <w:r>
        <w:rPr>
          <w:rFonts w:ascii="Times New Roman" w:hAnsi="Times New Roman" w:eastAsia="Times New Roman" w:cs="Times New Roman"/>
          <w:color w:val="222222"/>
          <w:sz w:val="24"/>
          <w:szCs w:val="24"/>
        </w:rPr>
        <w:t xml:space="preserve"> </w:t>
      </w:r>
      <w:r>
        <w:rPr>
          <w:rFonts w:ascii="Times New Roman" w:hAnsi="Times New Roman" w:eastAsia="Times New Roman" w:cs="Times New Roman"/>
          <w:sz w:val="24"/>
          <w:szCs w:val="24"/>
        </w:rPr>
        <w:t>[Online] Available at:&lt;https://www.statista.com/statistics/1300280/great-britain-cost-of-living-increase/#:~:text=After%20several%20years%20of%20relatively,3.4%20percent%20in%20February%202024&gt; [Accessed on 15 October 2024]</w:t>
      </w:r>
    </w:p>
    <w:p w14:paraId="6E4C6B2F">
      <w:pPr>
        <w:pStyle w:val="3"/>
        <w:spacing w:line="360" w:lineRule="auto"/>
        <w:jc w:val="both"/>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 xml:space="preserve">Statista, 2024. </w:t>
      </w:r>
      <w:r>
        <w:rPr>
          <w:rFonts w:ascii="Times New Roman" w:hAnsi="Times New Roman" w:eastAsia="Times New Roman" w:cs="Times New Roman"/>
          <w:i/>
          <w:color w:val="222222"/>
          <w:sz w:val="24"/>
          <w:szCs w:val="24"/>
        </w:rPr>
        <w:t>Labour market overview</w:t>
      </w:r>
      <w:r>
        <w:rPr>
          <w:rFonts w:ascii="Times New Roman" w:hAnsi="Times New Roman" w:eastAsia="Times New Roman" w:cs="Times New Roman"/>
          <w:color w:val="222222"/>
          <w:sz w:val="24"/>
          <w:szCs w:val="24"/>
        </w:rPr>
        <w:t xml:space="preserve"> </w:t>
      </w:r>
      <w:r>
        <w:rPr>
          <w:rFonts w:ascii="Times New Roman" w:hAnsi="Times New Roman" w:eastAsia="Times New Roman" w:cs="Times New Roman"/>
          <w:sz w:val="24"/>
          <w:szCs w:val="24"/>
        </w:rPr>
        <w:t>[Online] Available at:&lt;https://www.statista.com/topics/775/labor/#topicOverview&gt; [Accessed on 15 October 2024]</w:t>
      </w:r>
    </w:p>
    <w:p w14:paraId="2E30CCD0">
      <w:pPr>
        <w:pStyle w:val="3"/>
        <w:spacing w:line="360" w:lineRule="auto"/>
        <w:jc w:val="both"/>
        <w:rPr>
          <w:rFonts w:ascii="Times New Roman" w:hAnsi="Times New Roman" w:eastAsia="Times New Roman" w:cs="Times New Roman"/>
          <w:color w:val="222222"/>
          <w:sz w:val="24"/>
          <w:szCs w:val="24"/>
        </w:rPr>
      </w:pPr>
      <w:r>
        <w:rPr>
          <w:rFonts w:ascii="Times New Roman" w:hAnsi="Times New Roman" w:eastAsia="Times New Roman" w:cs="Times New Roman"/>
          <w:color w:val="222222"/>
          <w:sz w:val="24"/>
          <w:szCs w:val="24"/>
        </w:rPr>
        <w:t xml:space="preserve">Statista, 2024. </w:t>
      </w:r>
      <w:r>
        <w:rPr>
          <w:rFonts w:ascii="Times New Roman" w:hAnsi="Times New Roman" w:eastAsia="Times New Roman" w:cs="Times New Roman"/>
          <w:i/>
          <w:color w:val="222222"/>
          <w:sz w:val="24"/>
          <w:szCs w:val="24"/>
        </w:rPr>
        <w:t>Skill shortage</w:t>
      </w:r>
      <w:r>
        <w:rPr>
          <w:rFonts w:ascii="Times New Roman" w:hAnsi="Times New Roman" w:eastAsia="Times New Roman" w:cs="Times New Roman"/>
          <w:color w:val="222222"/>
          <w:sz w:val="24"/>
          <w:szCs w:val="24"/>
        </w:rPr>
        <w:t xml:space="preserve"> </w:t>
      </w:r>
      <w:r>
        <w:rPr>
          <w:rFonts w:ascii="Times New Roman" w:hAnsi="Times New Roman" w:eastAsia="Times New Roman" w:cs="Times New Roman"/>
          <w:sz w:val="24"/>
          <w:szCs w:val="24"/>
        </w:rPr>
        <w:t>[Online] Available at:&lt;https://www.statista.com/chart/4690/the-countries-facing-the-greatest-skill-shortages/#:~:text=Out%20of%20the%20approximately%2040%2C000,group's%20first%20report%20covering%202013.&gt; [Accessed on 15 October 2024]</w:t>
      </w:r>
    </w:p>
    <w:p w14:paraId="70296A45">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Stefani, S.F. and Priatmodjo, D., 2021. TURNAROUND MANAGEMENT THROUGH BUSINESS PROCESS RE-ENGINEERING FOR SBH HOTEL BANDUNG INDONESIA. </w:t>
      </w:r>
      <w:r>
        <w:rPr>
          <w:rFonts w:ascii="Times New Roman" w:hAnsi="Times New Roman" w:eastAsia="Times New Roman" w:cs="Times New Roman"/>
          <w:i/>
          <w:sz w:val="24"/>
          <w:szCs w:val="24"/>
          <w:highlight w:val="white"/>
          <w:lang w:eastAsia="en-US"/>
        </w:rPr>
        <w:t>BIMP-EAGA Journal for Sustainable Tourism Development</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10</w:t>
      </w:r>
      <w:r>
        <w:rPr>
          <w:rFonts w:ascii="Times New Roman" w:hAnsi="Times New Roman" w:eastAsia="Times New Roman" w:cs="Times New Roman"/>
          <w:sz w:val="24"/>
          <w:szCs w:val="24"/>
          <w:highlight w:val="white"/>
          <w:lang w:eastAsia="en-US"/>
        </w:rPr>
        <w:t>(1), pp.105-119.</w:t>
      </w:r>
    </w:p>
    <w:p w14:paraId="2178640F">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Wambua, R.W. and Muthimi, J., 2024. Revitalizing Performance of Three Star Hotels in Machakos County, Kenya Through the Application of Turnaround Strategies. </w:t>
      </w:r>
      <w:r>
        <w:rPr>
          <w:rFonts w:ascii="Times New Roman" w:hAnsi="Times New Roman" w:eastAsia="Times New Roman" w:cs="Times New Roman"/>
          <w:i/>
          <w:sz w:val="24"/>
          <w:szCs w:val="24"/>
          <w:highlight w:val="white"/>
          <w:lang w:eastAsia="en-US"/>
        </w:rPr>
        <w:t>Journal of Strategic Management</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4</w:t>
      </w:r>
      <w:r>
        <w:rPr>
          <w:rFonts w:ascii="Times New Roman" w:hAnsi="Times New Roman" w:eastAsia="Times New Roman" w:cs="Times New Roman"/>
          <w:sz w:val="24"/>
          <w:szCs w:val="24"/>
          <w:highlight w:val="white"/>
          <w:lang w:eastAsia="en-US"/>
        </w:rPr>
        <w:t>(2), pp.32-49.</w:t>
      </w:r>
    </w:p>
    <w:p w14:paraId="45675319">
      <w:pPr>
        <w:spacing w:line="360" w:lineRule="auto"/>
        <w:jc w:val="both"/>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t xml:space="preserve">Zakhidov, G., 2024. Economic indicators: tools for analyzing market trends and predicting future performance. </w:t>
      </w:r>
      <w:r>
        <w:rPr>
          <w:rFonts w:ascii="Times New Roman" w:hAnsi="Times New Roman" w:eastAsia="Times New Roman" w:cs="Times New Roman"/>
          <w:i/>
          <w:sz w:val="24"/>
          <w:szCs w:val="24"/>
          <w:highlight w:val="white"/>
          <w:lang w:eastAsia="en-US"/>
        </w:rPr>
        <w:t>International Multidisciplinary Journal of Universal Scientific Prospectives</w:t>
      </w:r>
      <w:r>
        <w:rPr>
          <w:rFonts w:ascii="Times New Roman" w:hAnsi="Times New Roman" w:eastAsia="Times New Roman" w:cs="Times New Roman"/>
          <w:sz w:val="24"/>
          <w:szCs w:val="24"/>
          <w:highlight w:val="white"/>
          <w:lang w:eastAsia="en-US"/>
        </w:rPr>
        <w:t xml:space="preserve">, </w:t>
      </w:r>
      <w:r>
        <w:rPr>
          <w:rFonts w:ascii="Times New Roman" w:hAnsi="Times New Roman" w:eastAsia="Times New Roman" w:cs="Times New Roman"/>
          <w:i/>
          <w:sz w:val="24"/>
          <w:szCs w:val="24"/>
          <w:highlight w:val="white"/>
          <w:lang w:eastAsia="en-US"/>
        </w:rPr>
        <w:t>2</w:t>
      </w:r>
      <w:r>
        <w:rPr>
          <w:rFonts w:ascii="Times New Roman" w:hAnsi="Times New Roman" w:eastAsia="Times New Roman" w:cs="Times New Roman"/>
          <w:sz w:val="24"/>
          <w:szCs w:val="24"/>
          <w:highlight w:val="white"/>
          <w:lang w:eastAsia="en-US"/>
        </w:rPr>
        <w:t>(3), pp.23-29.</w:t>
      </w:r>
    </w:p>
    <w:p w14:paraId="3BFDBA87">
      <w:pPr>
        <w:rPr>
          <w:rFonts w:ascii="Times New Roman" w:hAnsi="Times New Roman" w:eastAsia="Times New Roman" w:cs="Times New Roman"/>
          <w:sz w:val="24"/>
          <w:szCs w:val="24"/>
          <w:highlight w:val="white"/>
          <w:lang w:eastAsia="en-US"/>
        </w:rPr>
      </w:pPr>
      <w:r>
        <w:rPr>
          <w:rFonts w:ascii="Times New Roman" w:hAnsi="Times New Roman" w:eastAsia="Times New Roman" w:cs="Times New Roman"/>
          <w:sz w:val="24"/>
          <w:szCs w:val="24"/>
          <w:highlight w:val="white"/>
          <w:lang w:eastAsia="en-US"/>
        </w:rPr>
        <w:br w:type="page"/>
      </w:r>
    </w:p>
    <w:p w14:paraId="3A18F69B">
      <w:pPr>
        <w:pStyle w:val="2"/>
      </w:pPr>
      <w:bookmarkStart w:id="17" w:name="_Toc2077"/>
      <w:r>
        <w:t>Appendices</w:t>
      </w:r>
      <w:bookmarkEnd w:id="17"/>
    </w:p>
    <w:p w14:paraId="5EE99C50">
      <w:pPr>
        <w:pStyle w:val="4"/>
      </w:pPr>
      <w:bookmarkStart w:id="18" w:name="_Toc21375"/>
      <w:r>
        <w:t>Appendix 1- Calculation of ratios</w:t>
      </w:r>
      <w:bookmarkEnd w:id="18"/>
    </w:p>
    <w:tbl>
      <w:tblPr>
        <w:tblStyle w:val="10"/>
        <w:tblW w:w="981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57"/>
        <w:gridCol w:w="1354"/>
        <w:gridCol w:w="1353"/>
        <w:gridCol w:w="1353"/>
      </w:tblGrid>
      <w:tr w14:paraId="04CAB2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CC4DB"/>
            <w:noWrap/>
            <w:vAlign w:val="bottom"/>
          </w:tcPr>
          <w:p w14:paraId="6D8C72C5">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4060" w:type="dxa"/>
            <w:gridSpan w:val="3"/>
            <w:shd w:val="clear" w:color="000000" w:fill="ECC4DB"/>
            <w:noWrap/>
            <w:vAlign w:val="bottom"/>
          </w:tcPr>
          <w:p w14:paraId="05BCB041">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The City Hotel (in GBP)</w:t>
            </w:r>
          </w:p>
        </w:tc>
      </w:tr>
      <w:tr w14:paraId="2481A1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E1AF"/>
            <w:noWrap/>
            <w:vAlign w:val="bottom"/>
          </w:tcPr>
          <w:p w14:paraId="37C55739">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Inputs:</w:t>
            </w:r>
          </w:p>
        </w:tc>
        <w:tc>
          <w:tcPr>
            <w:tcW w:w="1354" w:type="dxa"/>
            <w:shd w:val="clear" w:color="000000" w:fill="FDE1AF"/>
            <w:noWrap/>
            <w:vAlign w:val="bottom"/>
          </w:tcPr>
          <w:p w14:paraId="34AE24DD">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2021</w:t>
            </w:r>
          </w:p>
        </w:tc>
        <w:tc>
          <w:tcPr>
            <w:tcW w:w="1353" w:type="dxa"/>
            <w:shd w:val="clear" w:color="000000" w:fill="FDE1AF"/>
            <w:noWrap/>
            <w:vAlign w:val="bottom"/>
          </w:tcPr>
          <w:p w14:paraId="5C0545B0">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2022</w:t>
            </w:r>
          </w:p>
        </w:tc>
        <w:tc>
          <w:tcPr>
            <w:tcW w:w="1353" w:type="dxa"/>
            <w:shd w:val="clear" w:color="000000" w:fill="FDE1AF"/>
            <w:noWrap/>
            <w:vAlign w:val="bottom"/>
          </w:tcPr>
          <w:p w14:paraId="02228AA4">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2023</w:t>
            </w:r>
          </w:p>
        </w:tc>
      </w:tr>
      <w:tr w14:paraId="565A28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37D62FFC">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Current Assets</w:t>
            </w:r>
          </w:p>
        </w:tc>
        <w:tc>
          <w:tcPr>
            <w:tcW w:w="1354" w:type="dxa"/>
            <w:shd w:val="clear" w:color="000000" w:fill="EBA585"/>
            <w:noWrap/>
            <w:vAlign w:val="bottom"/>
          </w:tcPr>
          <w:p w14:paraId="1FF80E0A">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1,891,970</w:t>
            </w:r>
          </w:p>
        </w:tc>
        <w:tc>
          <w:tcPr>
            <w:tcW w:w="1353" w:type="dxa"/>
            <w:shd w:val="clear" w:color="000000" w:fill="EBA585"/>
            <w:noWrap/>
            <w:vAlign w:val="bottom"/>
          </w:tcPr>
          <w:p w14:paraId="3B520D4F">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1,965,340</w:t>
            </w:r>
          </w:p>
        </w:tc>
        <w:tc>
          <w:tcPr>
            <w:tcW w:w="1353" w:type="dxa"/>
            <w:shd w:val="clear" w:color="000000" w:fill="EBA585"/>
            <w:noWrap/>
            <w:vAlign w:val="bottom"/>
          </w:tcPr>
          <w:p w14:paraId="3A640F1A">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1,285,880</w:t>
            </w:r>
          </w:p>
        </w:tc>
      </w:tr>
      <w:tr w14:paraId="5578BB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55FE4A8B">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Current Liabilities</w:t>
            </w:r>
          </w:p>
        </w:tc>
        <w:tc>
          <w:tcPr>
            <w:tcW w:w="1354" w:type="dxa"/>
            <w:shd w:val="clear" w:color="000000" w:fill="EBA585"/>
            <w:noWrap/>
            <w:vAlign w:val="bottom"/>
          </w:tcPr>
          <w:p w14:paraId="193BB434">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1,957,360</w:t>
            </w:r>
          </w:p>
        </w:tc>
        <w:tc>
          <w:tcPr>
            <w:tcW w:w="1353" w:type="dxa"/>
            <w:shd w:val="clear" w:color="000000" w:fill="EBA585"/>
            <w:noWrap/>
            <w:vAlign w:val="bottom"/>
          </w:tcPr>
          <w:p w14:paraId="1EE466C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2,107,750</w:t>
            </w:r>
          </w:p>
        </w:tc>
        <w:tc>
          <w:tcPr>
            <w:tcW w:w="1353" w:type="dxa"/>
            <w:shd w:val="clear" w:color="000000" w:fill="EBA585"/>
            <w:noWrap/>
            <w:vAlign w:val="bottom"/>
          </w:tcPr>
          <w:p w14:paraId="3C56D7B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2,014,600</w:t>
            </w:r>
          </w:p>
        </w:tc>
      </w:tr>
      <w:tr w14:paraId="04CF28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3B5C6703">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Inventories</w:t>
            </w:r>
          </w:p>
        </w:tc>
        <w:tc>
          <w:tcPr>
            <w:tcW w:w="1354" w:type="dxa"/>
            <w:shd w:val="clear" w:color="000000" w:fill="EBA585"/>
            <w:noWrap/>
            <w:vAlign w:val="bottom"/>
          </w:tcPr>
          <w:p w14:paraId="141B316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35,230</w:t>
            </w:r>
          </w:p>
        </w:tc>
        <w:tc>
          <w:tcPr>
            <w:tcW w:w="1353" w:type="dxa"/>
            <w:shd w:val="clear" w:color="000000" w:fill="EBA585"/>
            <w:noWrap/>
            <w:vAlign w:val="bottom"/>
          </w:tcPr>
          <w:p w14:paraId="49A03DC3">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36,350</w:t>
            </w:r>
          </w:p>
        </w:tc>
        <w:tc>
          <w:tcPr>
            <w:tcW w:w="1353" w:type="dxa"/>
            <w:shd w:val="clear" w:color="000000" w:fill="EBA585"/>
            <w:noWrap/>
            <w:vAlign w:val="bottom"/>
          </w:tcPr>
          <w:p w14:paraId="0B9DAEEB">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29,470</w:t>
            </w:r>
          </w:p>
        </w:tc>
      </w:tr>
      <w:tr w14:paraId="7381B1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1D8EB4DA">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4" w:type="dxa"/>
            <w:shd w:val="clear" w:color="000000" w:fill="EBA585"/>
            <w:noWrap/>
            <w:vAlign w:val="bottom"/>
          </w:tcPr>
          <w:p w14:paraId="001F8E68">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EBA585"/>
            <w:noWrap/>
            <w:vAlign w:val="bottom"/>
          </w:tcPr>
          <w:p w14:paraId="68939395">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EBA585"/>
            <w:noWrap/>
            <w:vAlign w:val="bottom"/>
          </w:tcPr>
          <w:p w14:paraId="006E916F">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r w14:paraId="68CB09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E1AF"/>
            <w:noWrap/>
            <w:vAlign w:val="bottom"/>
          </w:tcPr>
          <w:p w14:paraId="70F9F088">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LIQUIDITY RATIOS:</w:t>
            </w:r>
          </w:p>
        </w:tc>
        <w:tc>
          <w:tcPr>
            <w:tcW w:w="1354" w:type="dxa"/>
            <w:shd w:val="clear" w:color="000000" w:fill="FDE1AF"/>
            <w:noWrap/>
            <w:vAlign w:val="bottom"/>
          </w:tcPr>
          <w:p w14:paraId="1A978932">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2021</w:t>
            </w:r>
          </w:p>
        </w:tc>
        <w:tc>
          <w:tcPr>
            <w:tcW w:w="1353" w:type="dxa"/>
            <w:shd w:val="clear" w:color="000000" w:fill="FDE1AF"/>
            <w:noWrap/>
            <w:vAlign w:val="bottom"/>
          </w:tcPr>
          <w:p w14:paraId="332203CA">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2022</w:t>
            </w:r>
          </w:p>
        </w:tc>
        <w:tc>
          <w:tcPr>
            <w:tcW w:w="1353" w:type="dxa"/>
            <w:shd w:val="clear" w:color="000000" w:fill="FDE1AF"/>
            <w:noWrap/>
            <w:vAlign w:val="bottom"/>
          </w:tcPr>
          <w:p w14:paraId="10F31836">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2023</w:t>
            </w:r>
          </w:p>
        </w:tc>
      </w:tr>
      <w:tr w14:paraId="4B95CD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2FAAF3E6">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Current Ratio</w:t>
            </w:r>
          </w:p>
        </w:tc>
        <w:tc>
          <w:tcPr>
            <w:tcW w:w="1354" w:type="dxa"/>
            <w:shd w:val="clear" w:color="000000" w:fill="FDD2B1"/>
            <w:noWrap/>
            <w:vAlign w:val="bottom"/>
          </w:tcPr>
          <w:p w14:paraId="7EA35B43">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0.97</w:t>
            </w:r>
          </w:p>
        </w:tc>
        <w:tc>
          <w:tcPr>
            <w:tcW w:w="1353" w:type="dxa"/>
            <w:shd w:val="clear" w:color="000000" w:fill="FDD2B1"/>
            <w:noWrap/>
            <w:vAlign w:val="bottom"/>
          </w:tcPr>
          <w:p w14:paraId="507E605B">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0.93</w:t>
            </w:r>
          </w:p>
        </w:tc>
        <w:tc>
          <w:tcPr>
            <w:tcW w:w="1353" w:type="dxa"/>
            <w:shd w:val="clear" w:color="000000" w:fill="FDD2B1"/>
            <w:noWrap/>
            <w:vAlign w:val="bottom"/>
          </w:tcPr>
          <w:p w14:paraId="2A468F59">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0.64</w:t>
            </w:r>
          </w:p>
        </w:tc>
      </w:tr>
      <w:tr w14:paraId="053884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4A38E27B">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Current Assets/Current Liabilities</w:t>
            </w:r>
          </w:p>
        </w:tc>
        <w:tc>
          <w:tcPr>
            <w:tcW w:w="1354" w:type="dxa"/>
            <w:shd w:val="clear" w:color="000000" w:fill="FDD2B1"/>
            <w:noWrap/>
            <w:vAlign w:val="bottom"/>
          </w:tcPr>
          <w:p w14:paraId="22931743">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0E64C32F">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2166F501">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r>
      <w:tr w14:paraId="52D47C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032E2ABA">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Quick Ratio</w:t>
            </w:r>
          </w:p>
        </w:tc>
        <w:tc>
          <w:tcPr>
            <w:tcW w:w="1354" w:type="dxa"/>
            <w:shd w:val="clear" w:color="000000" w:fill="FDD2B1"/>
            <w:noWrap/>
            <w:vAlign w:val="bottom"/>
          </w:tcPr>
          <w:p w14:paraId="022EB194">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0.95</w:t>
            </w:r>
          </w:p>
        </w:tc>
        <w:tc>
          <w:tcPr>
            <w:tcW w:w="1353" w:type="dxa"/>
            <w:shd w:val="clear" w:color="000000" w:fill="FDD2B1"/>
            <w:noWrap/>
            <w:vAlign w:val="bottom"/>
          </w:tcPr>
          <w:p w14:paraId="1DE8D9D6">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0.92</w:t>
            </w:r>
          </w:p>
        </w:tc>
        <w:tc>
          <w:tcPr>
            <w:tcW w:w="1353" w:type="dxa"/>
            <w:shd w:val="clear" w:color="000000" w:fill="FDD2B1"/>
            <w:noWrap/>
            <w:vAlign w:val="bottom"/>
          </w:tcPr>
          <w:p w14:paraId="0AB7E79A">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0.62</w:t>
            </w:r>
          </w:p>
        </w:tc>
      </w:tr>
      <w:tr w14:paraId="45EAF7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1C4964D1">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(Current Assets-Inventories)/Current Liabilities</w:t>
            </w:r>
          </w:p>
        </w:tc>
        <w:tc>
          <w:tcPr>
            <w:tcW w:w="1354" w:type="dxa"/>
            <w:shd w:val="clear" w:color="000000" w:fill="FDD2B1"/>
            <w:noWrap/>
            <w:vAlign w:val="bottom"/>
          </w:tcPr>
          <w:p w14:paraId="556C3D23">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2044FD11">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5CB050C9">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r w14:paraId="496410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20FC0307">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4" w:type="dxa"/>
            <w:shd w:val="clear" w:color="000000" w:fill="FDD2B1"/>
            <w:noWrap/>
            <w:vAlign w:val="bottom"/>
          </w:tcPr>
          <w:p w14:paraId="26528179">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77830DA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120CB61B">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r w14:paraId="692EAC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CC4DB"/>
            <w:noWrap/>
            <w:vAlign w:val="bottom"/>
          </w:tcPr>
          <w:p w14:paraId="38A265EB">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4060" w:type="dxa"/>
            <w:gridSpan w:val="3"/>
            <w:shd w:val="clear" w:color="000000" w:fill="ECC4DB"/>
            <w:noWrap/>
            <w:vAlign w:val="bottom"/>
          </w:tcPr>
          <w:p w14:paraId="1EAF691D">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The City Hotel (in GBP)</w:t>
            </w:r>
          </w:p>
        </w:tc>
      </w:tr>
      <w:tr w14:paraId="2F5107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E1AF"/>
            <w:noWrap/>
            <w:vAlign w:val="bottom"/>
          </w:tcPr>
          <w:p w14:paraId="46A8C95F">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Inputs:</w:t>
            </w:r>
          </w:p>
        </w:tc>
        <w:tc>
          <w:tcPr>
            <w:tcW w:w="1354" w:type="dxa"/>
            <w:shd w:val="clear" w:color="000000" w:fill="FDE1AF"/>
            <w:noWrap/>
            <w:vAlign w:val="bottom"/>
          </w:tcPr>
          <w:p w14:paraId="1566C2DD">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2021</w:t>
            </w:r>
          </w:p>
        </w:tc>
        <w:tc>
          <w:tcPr>
            <w:tcW w:w="1353" w:type="dxa"/>
            <w:shd w:val="clear" w:color="000000" w:fill="FDE1AF"/>
            <w:noWrap/>
            <w:vAlign w:val="bottom"/>
          </w:tcPr>
          <w:p w14:paraId="6A263401">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2022</w:t>
            </w:r>
          </w:p>
        </w:tc>
        <w:tc>
          <w:tcPr>
            <w:tcW w:w="1353" w:type="dxa"/>
            <w:shd w:val="clear" w:color="000000" w:fill="FDE1AF"/>
            <w:noWrap/>
            <w:vAlign w:val="bottom"/>
          </w:tcPr>
          <w:p w14:paraId="75932599">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2023</w:t>
            </w:r>
          </w:p>
        </w:tc>
      </w:tr>
      <w:tr w14:paraId="0AD7B5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4BE03337">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Gross Profit (Revenue - Cost of Goods Sold)</w:t>
            </w:r>
          </w:p>
        </w:tc>
        <w:tc>
          <w:tcPr>
            <w:tcW w:w="1354" w:type="dxa"/>
            <w:shd w:val="clear" w:color="000000" w:fill="EBA585"/>
            <w:noWrap/>
            <w:vAlign w:val="bottom"/>
          </w:tcPr>
          <w:p w14:paraId="685F4633">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4836690</w:t>
            </w:r>
          </w:p>
        </w:tc>
        <w:tc>
          <w:tcPr>
            <w:tcW w:w="1353" w:type="dxa"/>
            <w:shd w:val="clear" w:color="000000" w:fill="EBA585"/>
            <w:noWrap/>
            <w:vAlign w:val="bottom"/>
          </w:tcPr>
          <w:p w14:paraId="1938FD2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4905970</w:t>
            </w:r>
          </w:p>
        </w:tc>
        <w:tc>
          <w:tcPr>
            <w:tcW w:w="1353" w:type="dxa"/>
            <w:shd w:val="clear" w:color="000000" w:fill="EBA585"/>
            <w:noWrap/>
            <w:vAlign w:val="bottom"/>
          </w:tcPr>
          <w:p w14:paraId="4C9100DD">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2149190</w:t>
            </w:r>
          </w:p>
        </w:tc>
      </w:tr>
      <w:tr w14:paraId="18B95F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567567C1">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Operating Income</w:t>
            </w:r>
          </w:p>
        </w:tc>
        <w:tc>
          <w:tcPr>
            <w:tcW w:w="1354" w:type="dxa"/>
            <w:shd w:val="clear" w:color="000000" w:fill="EBA585"/>
            <w:noWrap/>
            <w:vAlign w:val="bottom"/>
          </w:tcPr>
          <w:p w14:paraId="6F827DDC">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664,160</w:t>
            </w:r>
          </w:p>
        </w:tc>
        <w:tc>
          <w:tcPr>
            <w:tcW w:w="1353" w:type="dxa"/>
            <w:shd w:val="clear" w:color="000000" w:fill="EBA585"/>
            <w:noWrap/>
            <w:vAlign w:val="bottom"/>
          </w:tcPr>
          <w:p w14:paraId="05207EEB">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674,730</w:t>
            </w:r>
          </w:p>
        </w:tc>
        <w:tc>
          <w:tcPr>
            <w:tcW w:w="1353" w:type="dxa"/>
            <w:shd w:val="clear" w:color="000000" w:fill="EBA585"/>
            <w:noWrap/>
            <w:vAlign w:val="bottom"/>
          </w:tcPr>
          <w:p w14:paraId="49F51FF6">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-1,218,850</w:t>
            </w:r>
          </w:p>
        </w:tc>
      </w:tr>
      <w:tr w14:paraId="033697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78CF0D5F">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Sales</w:t>
            </w:r>
          </w:p>
        </w:tc>
        <w:tc>
          <w:tcPr>
            <w:tcW w:w="1354" w:type="dxa"/>
            <w:shd w:val="clear" w:color="000000" w:fill="EBA585"/>
            <w:noWrap/>
            <w:vAlign w:val="bottom"/>
          </w:tcPr>
          <w:p w14:paraId="35477E60">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5,248,290</w:t>
            </w:r>
          </w:p>
        </w:tc>
        <w:tc>
          <w:tcPr>
            <w:tcW w:w="1353" w:type="dxa"/>
            <w:shd w:val="clear" w:color="000000" w:fill="EBA585"/>
            <w:noWrap/>
            <w:vAlign w:val="bottom"/>
          </w:tcPr>
          <w:p w14:paraId="6555772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5,307,480</w:t>
            </w:r>
          </w:p>
        </w:tc>
        <w:tc>
          <w:tcPr>
            <w:tcW w:w="1353" w:type="dxa"/>
            <w:shd w:val="clear" w:color="000000" w:fill="EBA585"/>
            <w:noWrap/>
            <w:vAlign w:val="bottom"/>
          </w:tcPr>
          <w:p w14:paraId="65EFE07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2,325,440</w:t>
            </w:r>
          </w:p>
        </w:tc>
      </w:tr>
      <w:tr w14:paraId="36896B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45598AEA">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4" w:type="dxa"/>
            <w:shd w:val="clear" w:color="000000" w:fill="EBA585"/>
            <w:noWrap/>
            <w:vAlign w:val="bottom"/>
          </w:tcPr>
          <w:p w14:paraId="02782570">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EBA585"/>
            <w:noWrap/>
            <w:vAlign w:val="bottom"/>
          </w:tcPr>
          <w:p w14:paraId="74E6B691">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EBA585"/>
            <w:noWrap/>
            <w:vAlign w:val="bottom"/>
          </w:tcPr>
          <w:p w14:paraId="6E1D33EC">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r w14:paraId="72617F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E1AF"/>
            <w:noWrap/>
            <w:vAlign w:val="bottom"/>
          </w:tcPr>
          <w:p w14:paraId="55648A9C">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PROFITABILITY RATIOS:</w:t>
            </w:r>
          </w:p>
        </w:tc>
        <w:tc>
          <w:tcPr>
            <w:tcW w:w="1354" w:type="dxa"/>
            <w:shd w:val="clear" w:color="000000" w:fill="FDE1AF"/>
            <w:noWrap/>
            <w:vAlign w:val="bottom"/>
          </w:tcPr>
          <w:p w14:paraId="5B35D157">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2021</w:t>
            </w:r>
          </w:p>
        </w:tc>
        <w:tc>
          <w:tcPr>
            <w:tcW w:w="1353" w:type="dxa"/>
            <w:shd w:val="clear" w:color="000000" w:fill="FDE1AF"/>
            <w:noWrap/>
            <w:vAlign w:val="bottom"/>
          </w:tcPr>
          <w:p w14:paraId="74A9ACD3">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2022</w:t>
            </w:r>
          </w:p>
        </w:tc>
        <w:tc>
          <w:tcPr>
            <w:tcW w:w="1353" w:type="dxa"/>
            <w:shd w:val="clear" w:color="000000" w:fill="FDE1AF"/>
            <w:noWrap/>
            <w:vAlign w:val="bottom"/>
          </w:tcPr>
          <w:p w14:paraId="183DB95E">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2023</w:t>
            </w:r>
          </w:p>
        </w:tc>
      </w:tr>
      <w:tr w14:paraId="0A75B6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517E51C8">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Gross Margin</w:t>
            </w:r>
          </w:p>
        </w:tc>
        <w:tc>
          <w:tcPr>
            <w:tcW w:w="1354" w:type="dxa"/>
            <w:shd w:val="clear" w:color="000000" w:fill="FDD2B1"/>
            <w:noWrap/>
            <w:vAlign w:val="bottom"/>
          </w:tcPr>
          <w:p w14:paraId="604AAFE3">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92.16%</w:t>
            </w:r>
          </w:p>
        </w:tc>
        <w:tc>
          <w:tcPr>
            <w:tcW w:w="1353" w:type="dxa"/>
            <w:shd w:val="clear" w:color="000000" w:fill="FDD2B1"/>
            <w:noWrap/>
            <w:vAlign w:val="bottom"/>
          </w:tcPr>
          <w:p w14:paraId="32A0FF5E">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92.44%</w:t>
            </w:r>
          </w:p>
        </w:tc>
        <w:tc>
          <w:tcPr>
            <w:tcW w:w="1353" w:type="dxa"/>
            <w:shd w:val="clear" w:color="000000" w:fill="FDD2B1"/>
            <w:noWrap/>
            <w:vAlign w:val="bottom"/>
          </w:tcPr>
          <w:p w14:paraId="2E138D48">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92.42%</w:t>
            </w:r>
          </w:p>
        </w:tc>
      </w:tr>
      <w:tr w14:paraId="620D4D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21B096E3">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Gross Profit/Sales</w:t>
            </w:r>
          </w:p>
        </w:tc>
        <w:tc>
          <w:tcPr>
            <w:tcW w:w="1354" w:type="dxa"/>
            <w:shd w:val="clear" w:color="000000" w:fill="FDD2B1"/>
            <w:noWrap/>
            <w:vAlign w:val="bottom"/>
          </w:tcPr>
          <w:p w14:paraId="434255F4">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40AEDADD">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3DC49FFF">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r>
      <w:tr w14:paraId="6F8794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2DDFF09F">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Operating Margin</w:t>
            </w:r>
          </w:p>
        </w:tc>
        <w:tc>
          <w:tcPr>
            <w:tcW w:w="1354" w:type="dxa"/>
            <w:shd w:val="clear" w:color="000000" w:fill="FDD2B1"/>
            <w:noWrap/>
            <w:vAlign w:val="bottom"/>
          </w:tcPr>
          <w:p w14:paraId="4A60E70C">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12.65%</w:t>
            </w:r>
          </w:p>
        </w:tc>
        <w:tc>
          <w:tcPr>
            <w:tcW w:w="1353" w:type="dxa"/>
            <w:shd w:val="clear" w:color="000000" w:fill="FDD2B1"/>
            <w:noWrap/>
            <w:vAlign w:val="bottom"/>
          </w:tcPr>
          <w:p w14:paraId="19B56241">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12.71%</w:t>
            </w:r>
          </w:p>
        </w:tc>
        <w:tc>
          <w:tcPr>
            <w:tcW w:w="1353" w:type="dxa"/>
            <w:shd w:val="clear" w:color="000000" w:fill="FDD2B1"/>
            <w:noWrap/>
            <w:vAlign w:val="bottom"/>
          </w:tcPr>
          <w:p w14:paraId="2711FB2C">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-52.41%</w:t>
            </w:r>
          </w:p>
        </w:tc>
      </w:tr>
      <w:tr w14:paraId="493D9A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5631014C">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Operating Income/Sales</w:t>
            </w:r>
          </w:p>
        </w:tc>
        <w:tc>
          <w:tcPr>
            <w:tcW w:w="1354" w:type="dxa"/>
            <w:shd w:val="clear" w:color="000000" w:fill="FDD2B1"/>
            <w:noWrap/>
            <w:vAlign w:val="bottom"/>
          </w:tcPr>
          <w:p w14:paraId="59A574EB">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29650F38">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230095F2">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r>
      <w:tr w14:paraId="2A8461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458014D2">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4" w:type="dxa"/>
            <w:shd w:val="clear" w:color="000000" w:fill="FDD2B1"/>
            <w:noWrap/>
            <w:vAlign w:val="bottom"/>
          </w:tcPr>
          <w:p w14:paraId="5CEE8AA0">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6108E8D2">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1FF1590D">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r w14:paraId="061757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CC4DB"/>
            <w:noWrap/>
            <w:vAlign w:val="bottom"/>
          </w:tcPr>
          <w:p w14:paraId="43244541">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4060" w:type="dxa"/>
            <w:gridSpan w:val="3"/>
            <w:shd w:val="clear" w:color="000000" w:fill="ECC4DB"/>
            <w:noWrap/>
            <w:vAlign w:val="bottom"/>
          </w:tcPr>
          <w:p w14:paraId="4291BD08">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The City Hotel (in GBP)</w:t>
            </w:r>
          </w:p>
        </w:tc>
      </w:tr>
      <w:tr w14:paraId="1DA079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E1AF"/>
            <w:noWrap/>
            <w:vAlign w:val="bottom"/>
          </w:tcPr>
          <w:p w14:paraId="22610E2D">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Inputs:</w:t>
            </w:r>
          </w:p>
        </w:tc>
        <w:tc>
          <w:tcPr>
            <w:tcW w:w="1354" w:type="dxa"/>
            <w:shd w:val="clear" w:color="000000" w:fill="FDE1AF"/>
            <w:noWrap/>
            <w:vAlign w:val="bottom"/>
          </w:tcPr>
          <w:p w14:paraId="2BFE6E51">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2021</w:t>
            </w:r>
          </w:p>
        </w:tc>
        <w:tc>
          <w:tcPr>
            <w:tcW w:w="1353" w:type="dxa"/>
            <w:shd w:val="clear" w:color="000000" w:fill="FDE1AF"/>
            <w:noWrap/>
            <w:vAlign w:val="bottom"/>
          </w:tcPr>
          <w:p w14:paraId="5BDE661C">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2022</w:t>
            </w:r>
          </w:p>
        </w:tc>
        <w:tc>
          <w:tcPr>
            <w:tcW w:w="1353" w:type="dxa"/>
            <w:shd w:val="clear" w:color="000000" w:fill="FDE1AF"/>
            <w:noWrap/>
            <w:vAlign w:val="bottom"/>
          </w:tcPr>
          <w:p w14:paraId="69DD5913">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2023</w:t>
            </w:r>
          </w:p>
        </w:tc>
      </w:tr>
      <w:tr w14:paraId="0A9C0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708F9B89">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 Debt (Long-term borrowings + Long-term lease debt)</w:t>
            </w:r>
          </w:p>
        </w:tc>
        <w:tc>
          <w:tcPr>
            <w:tcW w:w="1354" w:type="dxa"/>
            <w:shd w:val="clear" w:color="000000" w:fill="EBA585"/>
            <w:noWrap/>
            <w:vAlign w:val="bottom"/>
          </w:tcPr>
          <w:p w14:paraId="68C2F10D">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8113710</w:t>
            </w:r>
          </w:p>
        </w:tc>
        <w:tc>
          <w:tcPr>
            <w:tcW w:w="1353" w:type="dxa"/>
            <w:shd w:val="clear" w:color="000000" w:fill="EBA585"/>
            <w:noWrap/>
            <w:vAlign w:val="bottom"/>
          </w:tcPr>
          <w:p w14:paraId="1B6FE53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10,600,810 </w:t>
            </w:r>
          </w:p>
        </w:tc>
        <w:tc>
          <w:tcPr>
            <w:tcW w:w="1353" w:type="dxa"/>
            <w:shd w:val="clear" w:color="000000" w:fill="EBA585"/>
            <w:noWrap/>
            <w:vAlign w:val="bottom"/>
          </w:tcPr>
          <w:p w14:paraId="45F9752E">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11,643,830 </w:t>
            </w:r>
          </w:p>
        </w:tc>
      </w:tr>
      <w:tr w14:paraId="52DBAB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214B5E5A">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 Equity</w:t>
            </w:r>
          </w:p>
        </w:tc>
        <w:tc>
          <w:tcPr>
            <w:tcW w:w="1354" w:type="dxa"/>
            <w:shd w:val="clear" w:color="000000" w:fill="EBA585"/>
            <w:noWrap/>
            <w:vAlign w:val="bottom"/>
          </w:tcPr>
          <w:p w14:paraId="3228E332">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2,256,180</w:t>
            </w:r>
          </w:p>
        </w:tc>
        <w:tc>
          <w:tcPr>
            <w:tcW w:w="1353" w:type="dxa"/>
            <w:shd w:val="clear" w:color="000000" w:fill="EBA585"/>
            <w:noWrap/>
            <w:vAlign w:val="bottom"/>
          </w:tcPr>
          <w:p w14:paraId="0B8AF5F4">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2,583,030</w:t>
            </w:r>
          </w:p>
        </w:tc>
        <w:tc>
          <w:tcPr>
            <w:tcW w:w="1353" w:type="dxa"/>
            <w:shd w:val="clear" w:color="000000" w:fill="EBA585"/>
            <w:noWrap/>
            <w:vAlign w:val="bottom"/>
          </w:tcPr>
          <w:p w14:paraId="41305B38">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1,410,580</w:t>
            </w:r>
          </w:p>
        </w:tc>
      </w:tr>
      <w:tr w14:paraId="27D476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755810ED">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 Assets</w:t>
            </w:r>
          </w:p>
        </w:tc>
        <w:tc>
          <w:tcPr>
            <w:tcW w:w="1354" w:type="dxa"/>
            <w:shd w:val="clear" w:color="000000" w:fill="EBA585"/>
            <w:noWrap/>
            <w:vAlign w:val="bottom"/>
          </w:tcPr>
          <w:p w14:paraId="63A667EA">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12,941,110</w:t>
            </w:r>
          </w:p>
        </w:tc>
        <w:tc>
          <w:tcPr>
            <w:tcW w:w="1353" w:type="dxa"/>
            <w:shd w:val="clear" w:color="000000" w:fill="EBA585"/>
            <w:noWrap/>
            <w:vAlign w:val="bottom"/>
          </w:tcPr>
          <w:p w14:paraId="6766C5E9">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15,921,080</w:t>
            </w:r>
          </w:p>
        </w:tc>
        <w:tc>
          <w:tcPr>
            <w:tcW w:w="1353" w:type="dxa"/>
            <w:shd w:val="clear" w:color="000000" w:fill="EBA585"/>
            <w:noWrap/>
            <w:vAlign w:val="bottom"/>
          </w:tcPr>
          <w:p w14:paraId="4C81635B">
            <w:pPr>
              <w:spacing w:line="360" w:lineRule="auto"/>
              <w:jc w:val="right"/>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15,653,970</w:t>
            </w:r>
          </w:p>
        </w:tc>
      </w:tr>
      <w:tr w14:paraId="4453C1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EBA585"/>
            <w:noWrap/>
            <w:vAlign w:val="bottom"/>
          </w:tcPr>
          <w:p w14:paraId="2DD47B57">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4" w:type="dxa"/>
            <w:shd w:val="clear" w:color="000000" w:fill="EBA585"/>
            <w:noWrap/>
            <w:vAlign w:val="bottom"/>
          </w:tcPr>
          <w:p w14:paraId="54706D35">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EBA585"/>
            <w:noWrap/>
            <w:vAlign w:val="bottom"/>
          </w:tcPr>
          <w:p w14:paraId="5F58DA80">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EBA585"/>
            <w:noWrap/>
            <w:vAlign w:val="bottom"/>
          </w:tcPr>
          <w:p w14:paraId="01180335">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r w14:paraId="7F39CA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E1AF"/>
            <w:noWrap/>
            <w:vAlign w:val="bottom"/>
          </w:tcPr>
          <w:p w14:paraId="494C0341">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SOLVENCY RATIOS:</w:t>
            </w:r>
          </w:p>
        </w:tc>
        <w:tc>
          <w:tcPr>
            <w:tcW w:w="1354" w:type="dxa"/>
            <w:shd w:val="clear" w:color="000000" w:fill="FDE1AF"/>
            <w:noWrap/>
            <w:vAlign w:val="bottom"/>
          </w:tcPr>
          <w:p w14:paraId="54A2E9B1">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2021</w:t>
            </w:r>
          </w:p>
        </w:tc>
        <w:tc>
          <w:tcPr>
            <w:tcW w:w="1353" w:type="dxa"/>
            <w:shd w:val="clear" w:color="000000" w:fill="FDE1AF"/>
            <w:noWrap/>
            <w:vAlign w:val="bottom"/>
          </w:tcPr>
          <w:p w14:paraId="1B88F5C4">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2022</w:t>
            </w:r>
          </w:p>
        </w:tc>
        <w:tc>
          <w:tcPr>
            <w:tcW w:w="1353" w:type="dxa"/>
            <w:shd w:val="clear" w:color="000000" w:fill="FDE1AF"/>
            <w:noWrap/>
            <w:vAlign w:val="bottom"/>
          </w:tcPr>
          <w:p w14:paraId="297EBCB8">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2023</w:t>
            </w:r>
          </w:p>
        </w:tc>
      </w:tr>
      <w:tr w14:paraId="67C67B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65E2D3DD">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Debt/Equity Ratio</w:t>
            </w:r>
          </w:p>
        </w:tc>
        <w:tc>
          <w:tcPr>
            <w:tcW w:w="1354" w:type="dxa"/>
            <w:shd w:val="clear" w:color="000000" w:fill="FDD2B1"/>
            <w:noWrap/>
            <w:vAlign w:val="bottom"/>
          </w:tcPr>
          <w:p w14:paraId="3264A242">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3.60</w:t>
            </w:r>
          </w:p>
        </w:tc>
        <w:tc>
          <w:tcPr>
            <w:tcW w:w="1353" w:type="dxa"/>
            <w:shd w:val="clear" w:color="000000" w:fill="FDD2B1"/>
            <w:noWrap/>
            <w:vAlign w:val="bottom"/>
          </w:tcPr>
          <w:p w14:paraId="554AD86D">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4.10</w:t>
            </w:r>
          </w:p>
        </w:tc>
        <w:tc>
          <w:tcPr>
            <w:tcW w:w="1353" w:type="dxa"/>
            <w:shd w:val="clear" w:color="000000" w:fill="FDD2B1"/>
            <w:noWrap/>
            <w:vAlign w:val="bottom"/>
          </w:tcPr>
          <w:p w14:paraId="58AABC20">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8.25</w:t>
            </w:r>
          </w:p>
        </w:tc>
      </w:tr>
      <w:tr w14:paraId="291898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30950B85">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 Debt/Total Equity</w:t>
            </w:r>
          </w:p>
        </w:tc>
        <w:tc>
          <w:tcPr>
            <w:tcW w:w="1354" w:type="dxa"/>
            <w:shd w:val="clear" w:color="000000" w:fill="FDD2B1"/>
            <w:noWrap/>
            <w:vAlign w:val="bottom"/>
          </w:tcPr>
          <w:p w14:paraId="4378326B">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7DFC14EA">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c>
          <w:tcPr>
            <w:tcW w:w="1353" w:type="dxa"/>
            <w:shd w:val="clear" w:color="000000" w:fill="FDD2B1"/>
            <w:noWrap/>
            <w:vAlign w:val="bottom"/>
          </w:tcPr>
          <w:p w14:paraId="681B61DD">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 </w:t>
            </w:r>
          </w:p>
        </w:tc>
      </w:tr>
      <w:tr w14:paraId="4D0840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474155BF">
            <w:pPr>
              <w:spacing w:line="360" w:lineRule="auto"/>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Debt/Assets Ratio</w:t>
            </w:r>
          </w:p>
        </w:tc>
        <w:tc>
          <w:tcPr>
            <w:tcW w:w="1354" w:type="dxa"/>
            <w:shd w:val="clear" w:color="000000" w:fill="FDD2B1"/>
            <w:noWrap/>
            <w:vAlign w:val="bottom"/>
          </w:tcPr>
          <w:p w14:paraId="1F739234">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0.63</w:t>
            </w:r>
          </w:p>
        </w:tc>
        <w:tc>
          <w:tcPr>
            <w:tcW w:w="1353" w:type="dxa"/>
            <w:shd w:val="clear" w:color="000000" w:fill="FDD2B1"/>
            <w:noWrap/>
            <w:vAlign w:val="bottom"/>
          </w:tcPr>
          <w:p w14:paraId="728FA12C">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0.67</w:t>
            </w:r>
          </w:p>
        </w:tc>
        <w:tc>
          <w:tcPr>
            <w:tcW w:w="1353" w:type="dxa"/>
            <w:shd w:val="clear" w:color="000000" w:fill="FDD2B1"/>
            <w:noWrap/>
            <w:vAlign w:val="bottom"/>
          </w:tcPr>
          <w:p w14:paraId="7ACD8244">
            <w:pPr>
              <w:spacing w:line="360" w:lineRule="auto"/>
              <w:jc w:val="right"/>
              <w:rPr>
                <w:rFonts w:ascii="Times New Roman" w:hAnsi="Times New Roman" w:cs="Times New Roman"/>
                <w:b/>
                <w:bCs/>
                <w:color w:val="000000"/>
                <w:sz w:val="24"/>
                <w:szCs w:val="24"/>
                <w:lang w:val="en-US"/>
              </w:rPr>
            </w:pPr>
            <w:r>
              <w:rPr>
                <w:rFonts w:ascii="Times New Roman" w:hAnsi="Times New Roman" w:cs="Times New Roman"/>
                <w:b/>
                <w:bCs/>
                <w:color w:val="000000"/>
                <w:sz w:val="24"/>
                <w:szCs w:val="24"/>
                <w:lang w:val="en-US"/>
              </w:rPr>
              <w:t>0.74</w:t>
            </w:r>
          </w:p>
        </w:tc>
      </w:tr>
      <w:tr w14:paraId="0E4903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6AF410E3">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 Debt/Total Assets</w:t>
            </w:r>
          </w:p>
        </w:tc>
        <w:tc>
          <w:tcPr>
            <w:tcW w:w="1354" w:type="dxa"/>
            <w:shd w:val="clear" w:color="000000" w:fill="FDD2B1"/>
            <w:noWrap/>
            <w:vAlign w:val="bottom"/>
          </w:tcPr>
          <w:p w14:paraId="79DC892C">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39B008D9">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3055755A">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r w14:paraId="5AA94C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757" w:type="dxa"/>
            <w:shd w:val="clear" w:color="000000" w:fill="FDD2B1"/>
            <w:noWrap/>
            <w:vAlign w:val="bottom"/>
          </w:tcPr>
          <w:p w14:paraId="5D0A4DAC">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4" w:type="dxa"/>
            <w:shd w:val="clear" w:color="000000" w:fill="FDD2B1"/>
            <w:noWrap/>
            <w:vAlign w:val="bottom"/>
          </w:tcPr>
          <w:p w14:paraId="3A30C70E">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7260C7F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c>
          <w:tcPr>
            <w:tcW w:w="1353" w:type="dxa"/>
            <w:shd w:val="clear" w:color="000000" w:fill="FDD2B1"/>
            <w:noWrap/>
            <w:vAlign w:val="bottom"/>
          </w:tcPr>
          <w:p w14:paraId="6432F43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w:t>
            </w:r>
          </w:p>
        </w:tc>
      </w:tr>
    </w:tbl>
    <w:p w14:paraId="70CF21C5"/>
    <w:p w14:paraId="5B6494AB">
      <w:pPr>
        <w:spacing w:line="360" w:lineRule="auto"/>
        <w:jc w:val="both"/>
        <w:rPr>
          <w:rFonts w:ascii="Times New Roman" w:hAnsi="Times New Roman" w:eastAsia="Times New Roman" w:cs="Times New Roman"/>
          <w:sz w:val="24"/>
          <w:szCs w:val="24"/>
          <w:highlight w:val="white"/>
          <w:lang w:eastAsia="en-US"/>
        </w:rPr>
      </w:pPr>
    </w:p>
    <w:p w14:paraId="1C409759">
      <w:pPr>
        <w:pStyle w:val="3"/>
        <w:spacing w:line="360" w:lineRule="auto"/>
        <w:jc w:val="both"/>
        <w:rPr>
          <w:rFonts w:ascii="Times New Roman" w:hAnsi="Times New Roman" w:eastAsia="Times New Roman" w:cs="Times New Roman"/>
          <w:b/>
          <w:sz w:val="24"/>
          <w:szCs w:val="24"/>
        </w:rPr>
      </w:pP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403958"/>
      <w:docPartObj>
        <w:docPartGallery w:val="autotext"/>
      </w:docPartObj>
    </w:sdtPr>
    <w:sdtContent>
      <w:p w14:paraId="76F9D4D6">
        <w:pPr>
          <w:pStyle w:val="12"/>
          <w:jc w:val="right"/>
        </w:pPr>
        <w:r>
          <w:fldChar w:fldCharType="begin"/>
        </w:r>
        <w:r>
          <w:instrText xml:space="preserve"> PAGE   \* MERGEFORMAT </w:instrText>
        </w:r>
        <w:r>
          <w:fldChar w:fldCharType="separate"/>
        </w:r>
        <w:r>
          <w:t>16</w:t>
        </w:r>
        <w:r>
          <w:fldChar w:fldCharType="end"/>
        </w:r>
      </w:p>
    </w:sdtContent>
  </w:sdt>
  <w:p w14:paraId="09F8B405">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6E08B9"/>
    <w:rsid w:val="000D22C5"/>
    <w:rsid w:val="000F7545"/>
    <w:rsid w:val="001C0EFD"/>
    <w:rsid w:val="00343192"/>
    <w:rsid w:val="00385F33"/>
    <w:rsid w:val="004E6CFC"/>
    <w:rsid w:val="005F3504"/>
    <w:rsid w:val="00615916"/>
    <w:rsid w:val="006E08B9"/>
    <w:rsid w:val="007510D4"/>
    <w:rsid w:val="0079375F"/>
    <w:rsid w:val="007A350E"/>
    <w:rsid w:val="007D464E"/>
    <w:rsid w:val="007F05A0"/>
    <w:rsid w:val="008C35C0"/>
    <w:rsid w:val="00B4444B"/>
    <w:rsid w:val="00B705C1"/>
    <w:rsid w:val="00B91D36"/>
    <w:rsid w:val="00E97D25"/>
    <w:rsid w:val="00EB5361"/>
    <w:rsid w:val="00F0190B"/>
    <w:rsid w:val="00FE15BB"/>
    <w:rsid w:val="08C31F9B"/>
    <w:rsid w:val="464A3236"/>
    <w:rsid w:val="48112949"/>
    <w:rsid w:val="4B692FA4"/>
    <w:rsid w:val="5B373E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GB" w:bidi="ar-SA"/>
    </w:rPr>
  </w:style>
  <w:style w:type="paragraph" w:styleId="2">
    <w:name w:val="heading 1"/>
    <w:basedOn w:val="3"/>
    <w:next w:val="3"/>
    <w:autoRedefine/>
    <w:qFormat/>
    <w:uiPriority w:val="0"/>
    <w:pPr>
      <w:keepNext/>
      <w:keepLines/>
      <w:spacing w:before="400" w:after="120" w:line="360" w:lineRule="auto"/>
      <w:jc w:val="both"/>
      <w:outlineLvl w:val="0"/>
    </w:pPr>
    <w:rPr>
      <w:rFonts w:ascii="Times New Roman" w:hAnsi="Times New Roman"/>
      <w:b/>
      <w:color w:val="000000" w:themeColor="text1"/>
      <w:sz w:val="28"/>
      <w:szCs w:val="40"/>
    </w:rPr>
  </w:style>
  <w:style w:type="paragraph" w:styleId="4">
    <w:name w:val="heading 2"/>
    <w:basedOn w:val="3"/>
    <w:next w:val="3"/>
    <w:autoRedefine/>
    <w:qFormat/>
    <w:uiPriority w:val="0"/>
    <w:pPr>
      <w:keepNext/>
      <w:keepLines/>
      <w:spacing w:before="360" w:after="120" w:line="360" w:lineRule="auto"/>
      <w:jc w:val="both"/>
      <w:outlineLvl w:val="1"/>
    </w:pPr>
    <w:rPr>
      <w:rFonts w:ascii="Times New Roman" w:hAnsi="Times New Roman"/>
      <w:b/>
      <w:color w:val="000000" w:themeColor="text1"/>
      <w:sz w:val="24"/>
      <w:szCs w:val="32"/>
    </w:rPr>
  </w:style>
  <w:style w:type="paragraph" w:styleId="5">
    <w:name w:val="heading 3"/>
    <w:basedOn w:val="1"/>
    <w:next w:val="3"/>
    <w:link w:val="25"/>
    <w:autoRedefine/>
    <w:qFormat/>
    <w:uiPriority w:val="0"/>
    <w:pPr>
      <w:spacing w:line="360" w:lineRule="auto"/>
      <w:jc w:val="both"/>
      <w:outlineLvl w:val="2"/>
    </w:pPr>
    <w:rPr>
      <w:rFonts w:ascii="Times New Roman" w:hAnsi="Times New Roman" w:eastAsia="Times New Roman" w:cs="Times New Roman"/>
      <w:b/>
      <w:sz w:val="24"/>
      <w:szCs w:val="24"/>
      <w:lang w:eastAsia="en-US"/>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qFormat/>
    <w:uiPriority w:val="0"/>
    <w:pPr>
      <w:spacing w:line="276" w:lineRule="auto"/>
    </w:pPr>
    <w:rPr>
      <w:rFonts w:ascii="Arial" w:hAnsi="Arial" w:eastAsia="Arial" w:cs="Arial"/>
      <w:sz w:val="22"/>
      <w:szCs w:val="22"/>
      <w:lang w:val="en-GB" w:eastAsia="en-GB" w:bidi="ar-SA"/>
    </w:rPr>
  </w:style>
  <w:style w:type="paragraph" w:styleId="11">
    <w:name w:val="Balloon Text"/>
    <w:basedOn w:val="1"/>
    <w:link w:val="21"/>
    <w:semiHidden/>
    <w:unhideWhenUsed/>
    <w:qFormat/>
    <w:uiPriority w:val="99"/>
    <w:pPr>
      <w:spacing w:line="240" w:lineRule="auto"/>
    </w:pPr>
    <w:rPr>
      <w:rFonts w:ascii="Tahoma" w:hAnsi="Tahoma" w:cs="Tahoma"/>
      <w:sz w:val="16"/>
      <w:szCs w:val="16"/>
    </w:rPr>
  </w:style>
  <w:style w:type="paragraph" w:styleId="12">
    <w:name w:val="footer"/>
    <w:basedOn w:val="1"/>
    <w:link w:val="24"/>
    <w:unhideWhenUsed/>
    <w:qFormat/>
    <w:uiPriority w:val="99"/>
    <w:pPr>
      <w:tabs>
        <w:tab w:val="center" w:pos="4513"/>
        <w:tab w:val="right" w:pos="9026"/>
      </w:tabs>
      <w:spacing w:line="240" w:lineRule="auto"/>
    </w:pPr>
  </w:style>
  <w:style w:type="paragraph" w:styleId="13">
    <w:name w:val="header"/>
    <w:basedOn w:val="1"/>
    <w:link w:val="23"/>
    <w:semiHidden/>
    <w:unhideWhenUsed/>
    <w:qFormat/>
    <w:uiPriority w:val="99"/>
    <w:pPr>
      <w:tabs>
        <w:tab w:val="center" w:pos="4513"/>
        <w:tab w:val="right" w:pos="9026"/>
      </w:tabs>
      <w:spacing w:line="240" w:lineRule="auto"/>
    </w:pPr>
  </w:style>
  <w:style w:type="character" w:styleId="14">
    <w:name w:val="Hyperlink"/>
    <w:basedOn w:val="9"/>
    <w:unhideWhenUsed/>
    <w:qFormat/>
    <w:uiPriority w:val="99"/>
    <w:rPr>
      <w:color w:val="0000FF" w:themeColor="hyperlink"/>
      <w:u w:val="single"/>
    </w:rPr>
  </w:style>
  <w:style w:type="paragraph" w:styleId="15">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16">
    <w:name w:val="Subtitle"/>
    <w:basedOn w:val="3"/>
    <w:next w:val="3"/>
    <w:qFormat/>
    <w:uiPriority w:val="0"/>
    <w:pPr>
      <w:keepNext/>
      <w:keepLines/>
      <w:spacing w:after="320"/>
    </w:pPr>
    <w:rPr>
      <w:color w:val="666666"/>
      <w:sz w:val="30"/>
      <w:szCs w:val="30"/>
    </w:rPr>
  </w:style>
  <w:style w:type="paragraph" w:styleId="17">
    <w:name w:val="Title"/>
    <w:basedOn w:val="3"/>
    <w:next w:val="3"/>
    <w:qFormat/>
    <w:uiPriority w:val="10"/>
    <w:pPr>
      <w:keepNext/>
      <w:keepLines/>
      <w:spacing w:after="60"/>
    </w:pPr>
    <w:rPr>
      <w:sz w:val="52"/>
      <w:szCs w:val="52"/>
    </w:rPr>
  </w:style>
  <w:style w:type="paragraph" w:styleId="18">
    <w:name w:val="toc 1"/>
    <w:basedOn w:val="1"/>
    <w:next w:val="1"/>
    <w:autoRedefine/>
    <w:unhideWhenUsed/>
    <w:qFormat/>
    <w:uiPriority w:val="39"/>
    <w:pPr>
      <w:spacing w:after="100"/>
    </w:pPr>
  </w:style>
  <w:style w:type="paragraph" w:styleId="19">
    <w:name w:val="toc 2"/>
    <w:basedOn w:val="1"/>
    <w:next w:val="1"/>
    <w:autoRedefine/>
    <w:unhideWhenUsed/>
    <w:qFormat/>
    <w:uiPriority w:val="39"/>
    <w:pPr>
      <w:spacing w:after="100"/>
      <w:ind w:left="220"/>
    </w:pPr>
  </w:style>
  <w:style w:type="paragraph" w:styleId="20">
    <w:name w:val="toc 3"/>
    <w:basedOn w:val="1"/>
    <w:next w:val="1"/>
    <w:autoRedefine/>
    <w:unhideWhenUsed/>
    <w:qFormat/>
    <w:uiPriority w:val="39"/>
    <w:pPr>
      <w:spacing w:after="100"/>
      <w:ind w:left="440"/>
    </w:pPr>
  </w:style>
  <w:style w:type="character" w:customStyle="1" w:styleId="21">
    <w:name w:val="Balloon Text Char"/>
    <w:basedOn w:val="9"/>
    <w:link w:val="11"/>
    <w:semiHidden/>
    <w:uiPriority w:val="99"/>
    <w:rPr>
      <w:rFonts w:ascii="Tahoma" w:hAnsi="Tahoma" w:cs="Tahoma"/>
      <w:sz w:val="16"/>
      <w:szCs w:val="16"/>
    </w:rPr>
  </w:style>
  <w:style w:type="paragraph" w:customStyle="1" w:styleId="22">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lang w:val="en-US" w:eastAsia="en-US"/>
    </w:rPr>
  </w:style>
  <w:style w:type="character" w:customStyle="1" w:styleId="23">
    <w:name w:val="Header Char"/>
    <w:basedOn w:val="9"/>
    <w:link w:val="13"/>
    <w:semiHidden/>
    <w:qFormat/>
    <w:uiPriority w:val="99"/>
  </w:style>
  <w:style w:type="character" w:customStyle="1" w:styleId="24">
    <w:name w:val="Footer Char"/>
    <w:basedOn w:val="9"/>
    <w:link w:val="12"/>
    <w:uiPriority w:val="99"/>
  </w:style>
  <w:style w:type="character" w:customStyle="1" w:styleId="25">
    <w:name w:val="Heading 3 Char"/>
    <w:basedOn w:val="9"/>
    <w:link w:val="5"/>
    <w:uiPriority w:val="0"/>
    <w:rPr>
      <w:rFonts w:ascii="Times New Roman" w:hAnsi="Times New Roman" w:eastAsia="Times New Roman" w:cs="Times New Roman"/>
      <w:b/>
      <w:sz w:val="24"/>
      <w:szCs w:val="24"/>
      <w:lang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9DD637-D849-491B-955C-9DC7174172C0}">
  <ds:schemaRefs/>
</ds:datastoreItem>
</file>

<file path=docProps/app.xml><?xml version="1.0" encoding="utf-8"?>
<Properties xmlns="http://schemas.openxmlformats.org/officeDocument/2006/extended-properties" xmlns:vt="http://schemas.openxmlformats.org/officeDocument/2006/docPropsVTypes">
  <Template>Normal</Template>
  <Company>Grizli777</Company>
  <Pages>15</Pages>
  <Words>6404</Words>
  <Characters>36508</Characters>
  <Lines>304</Lines>
  <Paragraphs>85</Paragraphs>
  <TotalTime>0</TotalTime>
  <ScaleCrop>false</ScaleCrop>
  <LinksUpToDate>false</LinksUpToDate>
  <CharactersWithSpaces>42827</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2024-10-15T10:00:00Z</dcterms:created>
  <dc:creator>Wordwizards</dc:creator>
  <cp:lastModifiedBy>i study</cp:lastModifiedBy>
  <dcterms:modified xsi:type="dcterms:W3CDTF">2024-10-17T08:32:46Z</dcterms:modified>
  <cp:revision>29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8BD20F5966AA4338BD1A2F3B9DF5DFB2_12</vt:lpwstr>
  </property>
</Properties>
</file>