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FFD838" w14:textId="77777777" w:rsidR="00AD3BEB" w:rsidRDefault="00AD3BEB" w:rsidP="00AD3BEB"/>
    <w:p w14:paraId="074F86A6" w14:textId="11713CD7" w:rsidR="00AD3BEB" w:rsidRDefault="00AD3BEB" w:rsidP="00AD3BEB">
      <w:r>
        <w:t>Ameerah di amico</w:t>
      </w:r>
    </w:p>
    <w:p w14:paraId="377E9ECA" w14:textId="32C6729E" w:rsidR="00AD3BEB" w:rsidRDefault="00AD3BEB" w:rsidP="00AD3BEB">
      <w:r>
        <w:t>Student number 2319162</w:t>
      </w:r>
    </w:p>
    <w:p w14:paraId="7843AFDC" w14:textId="77777777" w:rsidR="00AD3BEB" w:rsidRDefault="00AD3BEB" w:rsidP="00AD3BEB"/>
    <w:p w14:paraId="445F1733" w14:textId="77777777" w:rsidR="00AD3BEB" w:rsidRDefault="00AD3BEB" w:rsidP="00AD3BEB"/>
    <w:p w14:paraId="2531A0F2" w14:textId="167B6D92" w:rsidR="00AD3BEB" w:rsidRDefault="00AD3BEB" w:rsidP="00AD3BEB">
      <w:r>
        <w:t>Introduction</w:t>
      </w:r>
    </w:p>
    <w:p w14:paraId="7BF81CB5" w14:textId="77777777" w:rsidR="00AD3BEB" w:rsidRDefault="00AD3BEB" w:rsidP="00AD3BEB">
      <w:r>
        <w:t xml:space="preserve"> </w:t>
      </w:r>
    </w:p>
    <w:p w14:paraId="78723FD1" w14:textId="29E69ED9" w:rsidR="00AD3BEB" w:rsidRDefault="00AD3BEB" w:rsidP="00AD3BEB">
      <w:r>
        <w:t>Person-centred care (PCC) and partnership working  are the twin pillars of modern health and social care in the United Kingdom. Moving away from historical, paternalistic models where clinicians held absolute authority, contemporary practice emphasizes the individual’s right to be an active participant in their own care. This report evaluates the definitions, benefits, and limitations of PCC, critically examines the "VIPS" model of care, and analyses the ethical and legislative frameworks—such as the Health and Social Care Act 2012—that mandate collaborative practice. Furthermore, it explores how partnership working is applied in dementia care settings and provides recommendations for future practice.</w:t>
      </w:r>
    </w:p>
    <w:p w14:paraId="52071CB3" w14:textId="77777777" w:rsidR="00AD3BEB" w:rsidRDefault="00AD3BEB" w:rsidP="00AD3BEB">
      <w:r>
        <w:t xml:space="preserve"> </w:t>
      </w:r>
    </w:p>
    <w:p w14:paraId="75E4EEE4" w14:textId="6F4C3611" w:rsidR="00AD3BEB" w:rsidRDefault="00AD3BEB" w:rsidP="00AD3BEB">
      <w:r>
        <w:t xml:space="preserve"> Defining Person-Centred Care</w:t>
      </w:r>
    </w:p>
    <w:p w14:paraId="6AADA84C" w14:textId="77777777" w:rsidR="00AD3BEB" w:rsidRDefault="00AD3BEB" w:rsidP="00AD3BEB">
      <w:r>
        <w:t xml:space="preserve"> </w:t>
      </w:r>
    </w:p>
    <w:p w14:paraId="231E5509" w14:textId="77777777" w:rsidR="00AD3BEB" w:rsidRDefault="00AD3BEB" w:rsidP="00AD3BEB">
      <w:r>
        <w:t>Person-centred care is defined as an approach that fosters a relationship between providers and service users, ensuring that care is tailored to the individual’s needs, values, and preferences (Health Foundation, 2016). It moves beyond treating a "disease" to treating a "person" by considering their psychological, social, and spiritual well-being.</w:t>
      </w:r>
    </w:p>
    <w:p w14:paraId="6AE2046C" w14:textId="5A0337A7" w:rsidR="00AD3BEB" w:rsidRDefault="00AD3BEB" w:rsidP="00AD3BEB">
      <w:r>
        <w:t xml:space="preserve">  Benefits of PCC</w:t>
      </w:r>
    </w:p>
    <w:p w14:paraId="7BD09905" w14:textId="77777777" w:rsidR="00AD3BEB" w:rsidRDefault="00AD3BEB" w:rsidP="00AD3BEB">
      <w:r>
        <w:t xml:space="preserve"> </w:t>
      </w:r>
    </w:p>
    <w:p w14:paraId="0C8B4357" w14:textId="77777777" w:rsidR="00AD3BEB" w:rsidRDefault="00AD3BEB" w:rsidP="00AD3BEB">
      <w:r>
        <w:t>The primary benefit of PCC is improved health outcomes. When patients are involved in decision-making, they demonstrate higher levels of treatment adherence and satisfaction (NICE, 2021). For the healthcare system, PCC can reduce unnecessary hospital admissions and lower costs by focusing on preventative, personalised interventions. Furthermore, it empowers the service user, enhancing their dignity and sense of autonomy (CQC, 2023).</w:t>
      </w:r>
    </w:p>
    <w:p w14:paraId="55A31115" w14:textId="77777777" w:rsidR="00AD3BEB" w:rsidRDefault="00AD3BEB" w:rsidP="00AD3BEB">
      <w:r>
        <w:t xml:space="preserve"> </w:t>
      </w:r>
    </w:p>
    <w:p w14:paraId="6BD34079" w14:textId="12AAEA36" w:rsidR="00AD3BEB" w:rsidRDefault="00AD3BEB" w:rsidP="00AD3BEB">
      <w:r>
        <w:t>Limitations of PCC</w:t>
      </w:r>
    </w:p>
    <w:p w14:paraId="225D46BD" w14:textId="77777777" w:rsidR="00AD3BEB" w:rsidRDefault="00AD3BEB" w:rsidP="00AD3BEB">
      <w:r>
        <w:t xml:space="preserve"> </w:t>
      </w:r>
    </w:p>
    <w:p w14:paraId="6F6F7FF9" w14:textId="77777777" w:rsidR="00AD3BEB" w:rsidRDefault="00AD3BEB" w:rsidP="00AD3BEB">
      <w:r>
        <w:t>Despite its merits, PCC faces significant limitations. The most prominent is the "resource-constriction" barrier; implementing deeply personalised care requires time and staffing levels that are often unavailable in the current overstretched NHS climate (House of Commons, 2022). Additionally, there is often a power imbalance where professionals find it difficult to relinquish control, or patients—particularly the elderly—may prefer a traditional "doctor knows best" approach, leading to resistance against shared decision-making.</w:t>
      </w:r>
    </w:p>
    <w:p w14:paraId="238D5FF5" w14:textId="77777777" w:rsidR="00AD3BEB" w:rsidRDefault="00AD3BEB" w:rsidP="00AD3BEB">
      <w:r>
        <w:t xml:space="preserve"> </w:t>
      </w:r>
    </w:p>
    <w:p w14:paraId="01A6EE15" w14:textId="39BCDBCE" w:rsidR="00AD3BEB" w:rsidRDefault="00AD3BEB" w:rsidP="00AD3BEB">
      <w:r>
        <w:t xml:space="preserve"> Critical Examination of the VIPS Model</w:t>
      </w:r>
    </w:p>
    <w:p w14:paraId="7C085851" w14:textId="77777777" w:rsidR="00AD3BEB" w:rsidRDefault="00AD3BEB" w:rsidP="00AD3BEB">
      <w:r>
        <w:t xml:space="preserve"> </w:t>
      </w:r>
    </w:p>
    <w:p w14:paraId="67312093" w14:textId="77777777" w:rsidR="00AD3BEB" w:rsidRDefault="00AD3BEB" w:rsidP="00AD3BEB">
      <w:r>
        <w:t>A foundational theory underpinning PCC is the VIPS Model, developed by Dawn Brooker (2007) specifically for dementia care. The acronym stands for:</w:t>
      </w:r>
    </w:p>
    <w:p w14:paraId="62BB8416" w14:textId="77777777" w:rsidR="00AD3BEB" w:rsidRDefault="00AD3BEB" w:rsidP="00AD3BEB">
      <w:r>
        <w:t xml:space="preserve"> </w:t>
      </w:r>
    </w:p>
    <w:p w14:paraId="4EC73448" w14:textId="77777777" w:rsidR="00AD3BEB" w:rsidRDefault="00AD3BEB" w:rsidP="00AD3BEB">
      <w:r>
        <w:t>- V (Valuing): Valuing people with dementia and those who care for them.</w:t>
      </w:r>
    </w:p>
    <w:p w14:paraId="4B2D8466" w14:textId="77777777" w:rsidR="00AD3BEB" w:rsidRDefault="00AD3BEB" w:rsidP="00AD3BEB">
      <w:r>
        <w:rPr>
          <w:rFonts w:ascii="Arial" w:hAnsi="Arial" w:cs="Arial"/>
        </w:rPr>
        <w:t>​</w:t>
      </w:r>
    </w:p>
    <w:p w14:paraId="2C3D1985" w14:textId="77777777" w:rsidR="00AD3BEB" w:rsidRDefault="00AD3BEB" w:rsidP="00AD3BEB">
      <w:r>
        <w:t>- I (Individualised): Treating the person as a unique individual.</w:t>
      </w:r>
    </w:p>
    <w:p w14:paraId="3F08BC56" w14:textId="77777777" w:rsidR="00AD3BEB" w:rsidRDefault="00AD3BEB" w:rsidP="00AD3BEB">
      <w:r>
        <w:rPr>
          <w:rFonts w:ascii="Arial" w:hAnsi="Arial" w:cs="Arial"/>
        </w:rPr>
        <w:t>​</w:t>
      </w:r>
    </w:p>
    <w:p w14:paraId="4D2E11D9" w14:textId="77777777" w:rsidR="00AD3BEB" w:rsidRDefault="00AD3BEB" w:rsidP="00AD3BEB">
      <w:r>
        <w:t>- P (Perspective): Looking at the world through the eyes of the person with dementia.</w:t>
      </w:r>
    </w:p>
    <w:p w14:paraId="7B6F8D2B" w14:textId="77777777" w:rsidR="00AD3BEB" w:rsidRDefault="00AD3BEB" w:rsidP="00AD3BEB">
      <w:r>
        <w:rPr>
          <w:rFonts w:ascii="Arial" w:hAnsi="Arial" w:cs="Arial"/>
        </w:rPr>
        <w:t>​</w:t>
      </w:r>
    </w:p>
    <w:p w14:paraId="01879493" w14:textId="77777777" w:rsidR="00AD3BEB" w:rsidRDefault="00AD3BEB" w:rsidP="00AD3BEB">
      <w:r>
        <w:t>- S (Social Psychology): Providing a supportive social environment.</w:t>
      </w:r>
    </w:p>
    <w:p w14:paraId="495B78BC" w14:textId="77777777" w:rsidR="00AD3BEB" w:rsidRDefault="00AD3BEB" w:rsidP="00AD3BEB">
      <w:r>
        <w:t xml:space="preserve"> </w:t>
      </w:r>
    </w:p>
    <w:p w14:paraId="55339A04" w14:textId="77777777" w:rsidR="00AD3BEB" w:rsidRDefault="00AD3BEB" w:rsidP="00AD3BEB">
      <w:r>
        <w:t>Critique: The VIPS model is highly effective because it provides a clear framework for staff to move beyond clinical symptoms. However, critics argue that the "S" (Social Psychology) element is difficult to achieve in clinical settings that are physically designed for efficiency rather than social interaction (Brooker and Latham, 2016). While the model excels in promoting dignity, it requires a high level of emotional intelligence from staff, which necessitates continuous training and support.</w:t>
      </w:r>
    </w:p>
    <w:p w14:paraId="37A868F7" w14:textId="77777777" w:rsidR="00AD3BEB" w:rsidRDefault="00AD3BEB" w:rsidP="00AD3BEB">
      <w:r>
        <w:t xml:space="preserve"> </w:t>
      </w:r>
    </w:p>
    <w:p w14:paraId="52CF9995" w14:textId="06FDAB0B" w:rsidR="00AD3BEB" w:rsidRDefault="00AD3BEB" w:rsidP="00AD3BEB">
      <w:r>
        <w:t xml:space="preserve"> Ethical Fundamentals of Health and Social Care</w:t>
      </w:r>
    </w:p>
    <w:p w14:paraId="0143B868" w14:textId="77777777" w:rsidR="00AD3BEB" w:rsidRDefault="00AD3BEB" w:rsidP="00AD3BEB">
      <w:r>
        <w:t xml:space="preserve"> </w:t>
      </w:r>
    </w:p>
    <w:p w14:paraId="1E062801" w14:textId="77777777" w:rsidR="00AD3BEB" w:rsidRDefault="00AD3BEB" w:rsidP="00AD3BEB">
      <w:r>
        <w:t>Ethical practice is central to both PCC and PW. The four pillars of bioethics—autonomy, beneficence, non-maleficence, and justice—serve as the foundation for professional conduct (Beauchamp and Childress, 2019).</w:t>
      </w:r>
    </w:p>
    <w:p w14:paraId="6D396702" w14:textId="77777777" w:rsidR="00AD3BEB" w:rsidRDefault="00AD3BEB" w:rsidP="00AD3BEB">
      <w:r>
        <w:t xml:space="preserve"> </w:t>
      </w:r>
    </w:p>
    <w:p w14:paraId="4E31A95B" w14:textId="77777777" w:rsidR="00AD3BEB" w:rsidRDefault="00AD3BEB" w:rsidP="00AD3BEB">
      <w:r>
        <w:t>- Autonomy: This is the most critical pillar for PCC. it ensures the service user has the right to refuse treatment and make choices about their lifestyle.</w:t>
      </w:r>
    </w:p>
    <w:p w14:paraId="623AE03F" w14:textId="77777777" w:rsidR="00AD3BEB" w:rsidRDefault="00AD3BEB" w:rsidP="00AD3BEB">
      <w:r>
        <w:rPr>
          <w:rFonts w:ascii="Arial" w:hAnsi="Arial" w:cs="Arial"/>
        </w:rPr>
        <w:t>​</w:t>
      </w:r>
    </w:p>
    <w:p w14:paraId="07B9C913" w14:textId="77777777" w:rsidR="00AD3BEB" w:rsidRDefault="00AD3BEB" w:rsidP="00AD3BEB">
      <w:r>
        <w:t>- Beneficence and Non-Maleficence: Professionals must act in the best interest of the patient while "doing no harm." In partnership working, this involves sharing information between agencies to prevent harm (e.g., safeguarding).</w:t>
      </w:r>
    </w:p>
    <w:p w14:paraId="7D639EDD" w14:textId="77777777" w:rsidR="00AD3BEB" w:rsidRDefault="00AD3BEB" w:rsidP="00AD3BEB">
      <w:r>
        <w:rPr>
          <w:rFonts w:ascii="Arial" w:hAnsi="Arial" w:cs="Arial"/>
        </w:rPr>
        <w:t>​</w:t>
      </w:r>
    </w:p>
    <w:p w14:paraId="71D270A1" w14:textId="77777777" w:rsidR="00AD3BEB" w:rsidRDefault="00AD3BEB" w:rsidP="00AD3BEB">
      <w:r>
        <w:t>- Justice: This refers to the fair distribution of resources. Partnership working ensures that a patient does not "fall through the cracks" of different services, promoting social justice (NMC, 2018).</w:t>
      </w:r>
    </w:p>
    <w:p w14:paraId="3137C35B" w14:textId="77777777" w:rsidR="00AD3BEB" w:rsidRDefault="00AD3BEB" w:rsidP="00AD3BEB">
      <w:r>
        <w:t xml:space="preserve"> </w:t>
      </w:r>
    </w:p>
    <w:p w14:paraId="434E3F11" w14:textId="034909E9" w:rsidR="00AD3BEB" w:rsidRDefault="00AD3BEB" w:rsidP="00AD3BEB">
      <w:r>
        <w:t xml:space="preserve">Evaluation of Partnership Working </w:t>
      </w:r>
    </w:p>
    <w:p w14:paraId="2BD6542E" w14:textId="77777777" w:rsidR="00AD3BEB" w:rsidRDefault="00AD3BEB" w:rsidP="00AD3BEB">
      <w:r>
        <w:t xml:space="preserve"> </w:t>
      </w:r>
    </w:p>
    <w:p w14:paraId="58683CDB" w14:textId="77777777" w:rsidR="00AD3BEB" w:rsidRDefault="00AD3BEB" w:rsidP="00AD3BEB">
      <w:r>
        <w:t>Partnership working involves professionals from different sectors (health, social care, housing, and the voluntary sector) collaborating to provide integrated care.</w:t>
      </w:r>
    </w:p>
    <w:p w14:paraId="31F376B9" w14:textId="77777777" w:rsidR="00AD3BEB" w:rsidRDefault="00AD3BEB" w:rsidP="00AD3BEB">
      <w:r>
        <w:t xml:space="preserve"> </w:t>
      </w:r>
    </w:p>
    <w:p w14:paraId="641E76E3" w14:textId="6121A124" w:rsidR="00AD3BEB" w:rsidRDefault="00AD3BEB" w:rsidP="00AD3BEB">
      <w:r>
        <w:t>Advantages and Challenges</w:t>
      </w:r>
    </w:p>
    <w:p w14:paraId="7FC3E0F1" w14:textId="77777777" w:rsidR="00AD3BEB" w:rsidRDefault="00AD3BEB" w:rsidP="00AD3BEB">
      <w:r>
        <w:t xml:space="preserve"> </w:t>
      </w:r>
    </w:p>
    <w:p w14:paraId="18996EC5" w14:textId="77777777" w:rsidR="00AD3BEB" w:rsidRDefault="00AD3BEB" w:rsidP="00AD3BEB">
      <w:r>
        <w:t>The core advantage of PW is the "seamless" transition for patients between services. For example, a patient being discharged from a hospital (Health) needs an immediate home care package (Social Care) to prevent readmission.</w:t>
      </w:r>
    </w:p>
    <w:p w14:paraId="513B40B9" w14:textId="77777777" w:rsidR="00AD3BEB" w:rsidRDefault="00AD3BEB" w:rsidP="00AD3BEB">
      <w:r>
        <w:t>However, challenges include "professional silos," where different sectors use different terminology, have conflicting budgets, or use incompatible IT systems for data sharing (Glasby, 2017). Trust between professionals is essential; without it, partnership working becomes a mere bureaucratic exercise rather than a functional benefit to the patient.</w:t>
      </w:r>
    </w:p>
    <w:p w14:paraId="692EEC25" w14:textId="77777777" w:rsidR="00AD3BEB" w:rsidRDefault="00AD3BEB" w:rsidP="00AD3BEB">
      <w:r>
        <w:t xml:space="preserve"> </w:t>
      </w:r>
    </w:p>
    <w:p w14:paraId="482639B5" w14:textId="0D71825F" w:rsidR="00AD3BEB" w:rsidRDefault="00AD3BEB" w:rsidP="00AD3BEB">
      <w:r>
        <w:t xml:space="preserve"> Application of PW in a Practical Setting: Dementia Care</w:t>
      </w:r>
    </w:p>
    <w:p w14:paraId="7D80AEAA" w14:textId="77777777" w:rsidR="00AD3BEB" w:rsidRDefault="00AD3BEB" w:rsidP="00AD3BEB">
      <w:r>
        <w:t xml:space="preserve"> </w:t>
      </w:r>
    </w:p>
    <w:p w14:paraId="4CB9AEC3" w14:textId="77777777" w:rsidR="00AD3BEB" w:rsidRDefault="00AD3BEB" w:rsidP="00AD3BEB">
      <w:r>
        <w:t>In a residential dementia care setting, partnership working is applied through the Multidisciplinary Team (MDT).</w:t>
      </w:r>
    </w:p>
    <w:p w14:paraId="0A724430" w14:textId="77777777" w:rsidR="00AD3BEB" w:rsidRDefault="00AD3BEB" w:rsidP="00AD3BEB">
      <w:r>
        <w:t>An MDT for a resident might include a GP, a social worker, a mental health nurse, and the family. In this setting, PW ensures that the "Perspective" element of the VIPS model is maintained. For instance, the family provides biographical information (PCC), the GP manages medication, and the social worker ensures the resident’s rights are protected under the Mental Capacity Act 2005. This integrated approach prevents "crisis-led" care and promotes a stable, supportive environment for the resident (Social Care Institute for Excellence, 2020).</w:t>
      </w:r>
    </w:p>
    <w:p w14:paraId="3089420D" w14:textId="47D61B76" w:rsidR="00AD3BEB" w:rsidRDefault="00AD3BEB" w:rsidP="00AD3BEB">
      <w:r>
        <w:t xml:space="preserve"> Policy and Legislation</w:t>
      </w:r>
    </w:p>
    <w:p w14:paraId="1CB7CAD6" w14:textId="77777777" w:rsidR="00AD3BEB" w:rsidRDefault="00AD3BEB" w:rsidP="00AD3BEB">
      <w:r>
        <w:t xml:space="preserve"> </w:t>
      </w:r>
    </w:p>
    <w:p w14:paraId="51ED2C9D" w14:textId="77777777" w:rsidR="00AD3BEB" w:rsidRDefault="00AD3BEB" w:rsidP="00AD3BEB">
      <w:r>
        <w:t>Several key policies drive the integration of PCC and PW in the UK:</w:t>
      </w:r>
    </w:p>
    <w:p w14:paraId="12D557B5" w14:textId="77777777" w:rsidR="00AD3BEB" w:rsidRDefault="00AD3BEB" w:rsidP="00AD3BEB">
      <w:r>
        <w:t xml:space="preserve"> </w:t>
      </w:r>
    </w:p>
    <w:p w14:paraId="1D9277F9" w14:textId="1AA4D600" w:rsidR="00AD3BEB" w:rsidRDefault="00AD3BEB" w:rsidP="00AD3BEB">
      <w:r>
        <w:t> Health and Social Care Act 2012: This act legally mandated that the NHS must promote integration between health and social care services to improve quality and reduce inequalities.</w:t>
      </w:r>
    </w:p>
    <w:p w14:paraId="17114E4C" w14:textId="77777777" w:rsidR="00AD3BEB" w:rsidRDefault="00AD3BEB" w:rsidP="00AD3BEB">
      <w:r>
        <w:rPr>
          <w:rFonts w:ascii="Arial" w:hAnsi="Arial" w:cs="Arial"/>
        </w:rPr>
        <w:t>​</w:t>
      </w:r>
    </w:p>
    <w:p w14:paraId="0DF56DFD" w14:textId="185C2B22" w:rsidR="00AD3BEB" w:rsidRDefault="00AD3BEB" w:rsidP="00AD3BEB">
      <w:r>
        <w:t> The Care Act 2014: This is perhaps the most significant piece of legislation for PCC. It introduced the "Well-being Principle," shifting the focus of local authorities from "providing services" to "meeting needs" and promoting individual well-being (Legislation.gov.uk, 2014).</w:t>
      </w:r>
    </w:p>
    <w:p w14:paraId="1B89351D" w14:textId="77777777" w:rsidR="00AD3BEB" w:rsidRDefault="00AD3BEB" w:rsidP="00AD3BEB">
      <w:r>
        <w:rPr>
          <w:rFonts w:ascii="Arial" w:hAnsi="Arial" w:cs="Arial"/>
        </w:rPr>
        <w:t>​</w:t>
      </w:r>
    </w:p>
    <w:p w14:paraId="79C767D5" w14:textId="45D01D7E" w:rsidR="00AD3BEB" w:rsidRDefault="00AD3BEB" w:rsidP="00AD3BEB">
      <w:r>
        <w:t>The NHS Long Term Plan (2019): This policy emphasises "Personalised Care" as one of its five major changes, aiming to give people more choice and control over their mental and physical health.</w:t>
      </w:r>
    </w:p>
    <w:p w14:paraId="71E74F76" w14:textId="77777777" w:rsidR="00AD3BEB" w:rsidRDefault="00AD3BEB" w:rsidP="00AD3BEB">
      <w:r>
        <w:t xml:space="preserve"> </w:t>
      </w:r>
    </w:p>
    <w:p w14:paraId="51E05016" w14:textId="77777777" w:rsidR="00AD3BEB" w:rsidRDefault="00AD3BEB" w:rsidP="00AD3BEB">
      <w:r>
        <w:t>These policies ensure that PCC is not just an "optional extra" but a statutory requirement for all registered providers.</w:t>
      </w:r>
    </w:p>
    <w:p w14:paraId="256D3D53" w14:textId="77777777" w:rsidR="00AD3BEB" w:rsidRDefault="00AD3BEB" w:rsidP="00AD3BEB">
      <w:r>
        <w:t xml:space="preserve"> </w:t>
      </w:r>
    </w:p>
    <w:p w14:paraId="6AD6711E" w14:textId="5BD0589E" w:rsidR="00AD3BEB" w:rsidRDefault="00AD3BEB" w:rsidP="00AD3BEB">
      <w:r>
        <w:t>Recommendations for Future Development</w:t>
      </w:r>
    </w:p>
    <w:p w14:paraId="3FBE6F2E" w14:textId="77777777" w:rsidR="00AD3BEB" w:rsidRDefault="00AD3BEB" w:rsidP="00AD3BEB">
      <w:r>
        <w:t xml:space="preserve"> </w:t>
      </w:r>
    </w:p>
    <w:p w14:paraId="07BC051E" w14:textId="77777777" w:rsidR="00AD3BEB" w:rsidRDefault="00AD3BEB" w:rsidP="00AD3BEB">
      <w:r>
        <w:t>To improve PCC and PW in the UK, the following is recommended:</w:t>
      </w:r>
    </w:p>
    <w:p w14:paraId="531CF55D" w14:textId="77777777" w:rsidR="00AD3BEB" w:rsidRDefault="00AD3BEB" w:rsidP="00AD3BEB">
      <w:r>
        <w:t xml:space="preserve"> </w:t>
      </w:r>
    </w:p>
    <w:p w14:paraId="18FDC3BC" w14:textId="778F83AD" w:rsidR="00AD3BEB" w:rsidRDefault="00AD3BEB" w:rsidP="00AD3BEB">
      <w:r>
        <w:t> Unified Digital Records: The government should invest in a single, secure digital health and care record accessible by both NHS and Social Care staff to eliminate information delays.</w:t>
      </w:r>
    </w:p>
    <w:p w14:paraId="5A4AB9B2" w14:textId="77777777" w:rsidR="00AD3BEB" w:rsidRDefault="00AD3BEB" w:rsidP="00AD3BEB">
      <w:r>
        <w:rPr>
          <w:rFonts w:ascii="Arial" w:hAnsi="Arial" w:cs="Arial"/>
        </w:rPr>
        <w:t>​</w:t>
      </w:r>
    </w:p>
    <w:p w14:paraId="7FC2B68E" w14:textId="4ED72321" w:rsidR="00AD3BEB" w:rsidRDefault="00AD3BEB" w:rsidP="00AD3BEB">
      <w:r>
        <w:t> Mandatory Training in PCC Models: Staff across all sectors should receive standardised training in models like VIPS or Kitwood’s Enriched Model of Care to ensure consistency in service delivery.</w:t>
      </w:r>
    </w:p>
    <w:p w14:paraId="6BE25E11" w14:textId="77777777" w:rsidR="00AD3BEB" w:rsidRDefault="00AD3BEB" w:rsidP="00AD3BEB">
      <w:r>
        <w:rPr>
          <w:rFonts w:ascii="Arial" w:hAnsi="Arial" w:cs="Arial"/>
        </w:rPr>
        <w:t>​</w:t>
      </w:r>
    </w:p>
    <w:p w14:paraId="663FB560" w14:textId="6CF9F706" w:rsidR="00AD3BEB" w:rsidRDefault="00AD3BEB" w:rsidP="00AD3BEB">
      <w:r>
        <w:t> Community-Led Partnerships: Future PW should move beyond clinical agencies to include community groups and "social prescribing," which addresses the social determinants of health such as loneliness (NHS England, 2023).</w:t>
      </w:r>
    </w:p>
    <w:p w14:paraId="351DFFD0" w14:textId="77777777" w:rsidR="00AD3BEB" w:rsidRDefault="00AD3BEB" w:rsidP="00AD3BEB">
      <w:r>
        <w:t xml:space="preserve"> </w:t>
      </w:r>
    </w:p>
    <w:p w14:paraId="5AEBA388" w14:textId="277430B2" w:rsidR="00AD3BEB" w:rsidRDefault="00AD3BEB" w:rsidP="00AD3BEB">
      <w:r>
        <w:t xml:space="preserve"> Conclusion</w:t>
      </w:r>
    </w:p>
    <w:p w14:paraId="1CED7180" w14:textId="77777777" w:rsidR="00AD3BEB" w:rsidRDefault="00AD3BEB" w:rsidP="00AD3BEB">
      <w:r>
        <w:t xml:space="preserve"> </w:t>
      </w:r>
    </w:p>
    <w:p w14:paraId="5C27EDDA" w14:textId="77777777" w:rsidR="00AD3BEB" w:rsidRDefault="00AD3BEB" w:rsidP="00AD3BEB">
      <w:r>
        <w:t>Person-centred care and partnership working are essential for high-quality care. While PCC ensures that the individual remains the focus of all interventions, PW provides the structural framework necessary to deliver that care across complex organisational boundaries. Despite the challenges of funding and professional silos, current UK legislation provides a strong foundation for these practices. Moving forward, the focus must remain on breaking down digital and cultural barriers to ensure that the "Well-being Principle" of the Care Act 2014 is a reality for every service user.</w:t>
      </w:r>
    </w:p>
    <w:p w14:paraId="02DCA070" w14:textId="77777777" w:rsidR="00AD3BEB" w:rsidRDefault="00AD3BEB" w:rsidP="00AD3BEB">
      <w:r>
        <w:t xml:space="preserve"> </w:t>
      </w:r>
    </w:p>
    <w:p w14:paraId="56E87744" w14:textId="56213B90" w:rsidR="00AD3BEB" w:rsidRDefault="00AD3BEB" w:rsidP="00AD3BEB">
      <w:r>
        <w:t> References</w:t>
      </w:r>
    </w:p>
    <w:p w14:paraId="2F345727" w14:textId="77777777" w:rsidR="00AD3BEB" w:rsidRDefault="00AD3BEB" w:rsidP="00AD3BEB">
      <w:r>
        <w:t xml:space="preserve"> </w:t>
      </w:r>
    </w:p>
    <w:p w14:paraId="060038C8" w14:textId="77777777" w:rsidR="00AD3BEB" w:rsidRDefault="00AD3BEB" w:rsidP="00AD3BEB">
      <w:r>
        <w:t>Beauchamp, T.L. and Childress, J.F. (2019). Principles of Biomedical Ethics. 8th ed. New York: Oxford University Press.</w:t>
      </w:r>
    </w:p>
    <w:p w14:paraId="518EFA51" w14:textId="77777777" w:rsidR="00AD3BEB" w:rsidRDefault="00AD3BEB" w:rsidP="00AD3BEB">
      <w:r>
        <w:t xml:space="preserve"> </w:t>
      </w:r>
    </w:p>
    <w:p w14:paraId="7525CEF6" w14:textId="77777777" w:rsidR="00AD3BEB" w:rsidRDefault="00AD3BEB" w:rsidP="00AD3BEB">
      <w:r>
        <w:t>Brooker, D. (2007). Person-Centred Dementia Care: Making Services Better. London: Jessica Kingsley Publishers.</w:t>
      </w:r>
    </w:p>
    <w:p w14:paraId="4681B5E4" w14:textId="77777777" w:rsidR="00AD3BEB" w:rsidRDefault="00AD3BEB" w:rsidP="00AD3BEB">
      <w:r>
        <w:t xml:space="preserve"> </w:t>
      </w:r>
    </w:p>
    <w:p w14:paraId="792BD5B3" w14:textId="77777777" w:rsidR="00AD3BEB" w:rsidRDefault="00AD3BEB" w:rsidP="00AD3BEB">
      <w:r>
        <w:t>Brooker, D. and Latham, I. (2016). Person-Centred Dementia Care: Evidence-Based Practice. 2nd ed. London: Jessica Kingsley Publishers.</w:t>
      </w:r>
    </w:p>
    <w:p w14:paraId="21B2271F" w14:textId="77777777" w:rsidR="00AD3BEB" w:rsidRDefault="00AD3BEB" w:rsidP="00AD3BEB">
      <w:r>
        <w:t xml:space="preserve"> </w:t>
      </w:r>
    </w:p>
    <w:p w14:paraId="4A9383BD" w14:textId="77777777" w:rsidR="00AD3BEB" w:rsidRDefault="00AD3BEB" w:rsidP="00AD3BEB">
      <w:r>
        <w:t>Care Quality Commission (CQC) (2023). Person-centred care. [online] Available at: https://www.cqc.org.uk [Accessed 15 March 2026].</w:t>
      </w:r>
    </w:p>
    <w:p w14:paraId="1831BB56" w14:textId="77777777" w:rsidR="00AD3BEB" w:rsidRDefault="00AD3BEB" w:rsidP="00AD3BEB">
      <w:r>
        <w:t xml:space="preserve"> </w:t>
      </w:r>
    </w:p>
    <w:p w14:paraId="46EC8545" w14:textId="77777777" w:rsidR="00AD3BEB" w:rsidRDefault="00AD3BEB" w:rsidP="00AD3BEB">
      <w:r>
        <w:t>Glasby, J. (2017). Understanding Health and Social Care. 3rd ed. Bristol: Policy Press.</w:t>
      </w:r>
    </w:p>
    <w:p w14:paraId="7AC1764A" w14:textId="77777777" w:rsidR="00AD3BEB" w:rsidRDefault="00AD3BEB" w:rsidP="00AD3BEB">
      <w:r>
        <w:t xml:space="preserve"> </w:t>
      </w:r>
    </w:p>
    <w:p w14:paraId="6AE3E6FF" w14:textId="77777777" w:rsidR="00AD3BEB" w:rsidRDefault="00AD3BEB" w:rsidP="00AD3BEB">
      <w:r>
        <w:t>Health Foundation (2016). Person-centred care made simple. London: The Health Foundation.</w:t>
      </w:r>
    </w:p>
    <w:p w14:paraId="4421B70D" w14:textId="77777777" w:rsidR="00AD3BEB" w:rsidRDefault="00AD3BEB" w:rsidP="00AD3BEB">
      <w:r>
        <w:t xml:space="preserve"> </w:t>
      </w:r>
    </w:p>
    <w:p w14:paraId="5C7855A6" w14:textId="77777777" w:rsidR="00AD3BEB" w:rsidRDefault="00AD3BEB" w:rsidP="00AD3BEB">
      <w:r>
        <w:t>House of Commons (2022). Workforce burnout and resilience in the NHS and social care. London: The Stationery Office.</w:t>
      </w:r>
    </w:p>
    <w:p w14:paraId="0F7A98AD" w14:textId="77777777" w:rsidR="00AD3BEB" w:rsidRDefault="00AD3BEB" w:rsidP="00AD3BEB">
      <w:r>
        <w:t xml:space="preserve"> </w:t>
      </w:r>
    </w:p>
    <w:p w14:paraId="6D3FD061" w14:textId="77777777" w:rsidR="00AD3BEB" w:rsidRDefault="00AD3BEB" w:rsidP="00AD3BEB">
      <w:r>
        <w:t>Legislation.gov.uk (2014). Care Act 2014. [online] Available at: https://www.legislation.gov.uk/ukpga/2014/23/contents/enacted [Accessed 15 March 2026].</w:t>
      </w:r>
    </w:p>
    <w:p w14:paraId="442A0788" w14:textId="77777777" w:rsidR="00AD3BEB" w:rsidRDefault="00AD3BEB" w:rsidP="00AD3BEB">
      <w:r>
        <w:t xml:space="preserve"> </w:t>
      </w:r>
    </w:p>
    <w:p w14:paraId="1B6FD4A2" w14:textId="77777777" w:rsidR="00AD3BEB" w:rsidRDefault="00AD3BEB" w:rsidP="00AD3BEB">
      <w:r>
        <w:t>National Institute for Health and Care Excellence (NICE) (2021). Shared decision making. [NG197]. London: NICE.</w:t>
      </w:r>
    </w:p>
    <w:p w14:paraId="2C3D17BB" w14:textId="77777777" w:rsidR="00AD3BEB" w:rsidRDefault="00AD3BEB" w:rsidP="00AD3BEB">
      <w:r>
        <w:t xml:space="preserve"> </w:t>
      </w:r>
    </w:p>
    <w:p w14:paraId="3EC42259" w14:textId="77777777" w:rsidR="00AD3BEB" w:rsidRDefault="00AD3BEB" w:rsidP="00AD3BEB">
      <w:r>
        <w:t>NHS (2019). The NHS Long Term Plan. London: NHS England.</w:t>
      </w:r>
    </w:p>
    <w:p w14:paraId="056679C4" w14:textId="77777777" w:rsidR="00AD3BEB" w:rsidRDefault="00AD3BEB" w:rsidP="00AD3BEB">
      <w:r>
        <w:t xml:space="preserve"> </w:t>
      </w:r>
    </w:p>
    <w:p w14:paraId="475A07FA" w14:textId="77777777" w:rsidR="00AD3BEB" w:rsidRDefault="00AD3BEB" w:rsidP="00AD3BEB">
      <w:r>
        <w:t>NHS England (2023). Social prescribing. [online] Available at: https://www.england.nhs.uk/personalisedcare/social-prescribing/ [Accessed 15 March 2026].</w:t>
      </w:r>
    </w:p>
    <w:p w14:paraId="63F0EF5D" w14:textId="77777777" w:rsidR="00AD3BEB" w:rsidRDefault="00AD3BEB" w:rsidP="00AD3BEB">
      <w:r>
        <w:t xml:space="preserve"> </w:t>
      </w:r>
    </w:p>
    <w:p w14:paraId="2D1BB20E" w14:textId="77777777" w:rsidR="00AD3BEB" w:rsidRDefault="00AD3BEB" w:rsidP="00AD3BEB">
      <w:r>
        <w:t>Nursing and Midwifery Council (NMC) (2018). The Code: Professional standards of practice and behaviour for nurses, midwives and nursing associates. London: NMC.</w:t>
      </w:r>
    </w:p>
    <w:p w14:paraId="1A8A92D0" w14:textId="77777777" w:rsidR="00AD3BEB" w:rsidRDefault="00AD3BEB" w:rsidP="00AD3BEB">
      <w:r>
        <w:t xml:space="preserve"> </w:t>
      </w:r>
    </w:p>
    <w:p w14:paraId="512EF33A" w14:textId="77777777" w:rsidR="00AD3BEB" w:rsidRDefault="00AD3BEB" w:rsidP="00AD3BEB">
      <w:r>
        <w:t>Social Care Institute for Excellence (SCIE) (2020). Integrated care: What is it? [online] Available at: https://www.scie.org.uk [Accessed 15 March 2026].</w:t>
      </w:r>
    </w:p>
    <w:p w14:paraId="1135E4B8" w14:textId="77777777" w:rsidR="00AD3BEB" w:rsidRDefault="00AD3BEB" w:rsidP="00AD3BEB">
      <w:r>
        <w:t xml:space="preserve"> </w:t>
      </w:r>
    </w:p>
    <w:p w14:paraId="5B9428DB" w14:textId="77777777" w:rsidR="00AD3BEB" w:rsidRDefault="00AD3BEB" w:rsidP="00AD3BEB">
      <w:r>
        <w:t>The King’s Fund (2020). Integrated care systems explained. London: The King’s Fund.</w:t>
      </w:r>
    </w:p>
    <w:p w14:paraId="5DF0345F" w14:textId="77777777" w:rsidR="00AD3BEB" w:rsidRDefault="00AD3BEB" w:rsidP="00AD3BEB">
      <w:r>
        <w:t xml:space="preserve"> </w:t>
      </w:r>
    </w:p>
    <w:p w14:paraId="73F9067D" w14:textId="6316000B" w:rsidR="00AD3BEB" w:rsidRDefault="00AD3BEB">
      <w:r>
        <w:t>World Health Organization (WHO) (2015). WHO Global Strategy on People-Centred and Integrated Health Services. Geneva: WHO.</w:t>
      </w:r>
    </w:p>
    <w:p w14:paraId="23F7FF3B" w14:textId="77777777" w:rsidR="00AD3BEB" w:rsidRDefault="00AD3BEB"/>
    <w:sectPr w:rsidR="00AD3B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BEB"/>
    <w:rsid w:val="005662B4"/>
    <w:rsid w:val="008A6C43"/>
    <w:rsid w:val="00AD3B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A4EA75"/>
  <w15:chartTrackingRefBased/>
  <w15:docId w15:val="{CD3EB024-BF0C-E343-A6A4-D9BBBA58E1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3B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3B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3B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3B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3B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3B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3B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3B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3B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B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3B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3B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3B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3B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3B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3B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3B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3BEB"/>
    <w:rPr>
      <w:rFonts w:eastAsiaTheme="majorEastAsia" w:cstheme="majorBidi"/>
      <w:color w:val="272727" w:themeColor="text1" w:themeTint="D8"/>
    </w:rPr>
  </w:style>
  <w:style w:type="paragraph" w:styleId="Title">
    <w:name w:val="Title"/>
    <w:basedOn w:val="Normal"/>
    <w:next w:val="Normal"/>
    <w:link w:val="TitleChar"/>
    <w:uiPriority w:val="10"/>
    <w:qFormat/>
    <w:rsid w:val="00AD3B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3B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3B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3B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3BEB"/>
    <w:pPr>
      <w:spacing w:before="160"/>
      <w:jc w:val="center"/>
    </w:pPr>
    <w:rPr>
      <w:i/>
      <w:iCs/>
      <w:color w:val="404040" w:themeColor="text1" w:themeTint="BF"/>
    </w:rPr>
  </w:style>
  <w:style w:type="character" w:customStyle="1" w:styleId="QuoteChar">
    <w:name w:val="Quote Char"/>
    <w:basedOn w:val="DefaultParagraphFont"/>
    <w:link w:val="Quote"/>
    <w:uiPriority w:val="29"/>
    <w:rsid w:val="00AD3BEB"/>
    <w:rPr>
      <w:i/>
      <w:iCs/>
      <w:color w:val="404040" w:themeColor="text1" w:themeTint="BF"/>
    </w:rPr>
  </w:style>
  <w:style w:type="paragraph" w:styleId="ListParagraph">
    <w:name w:val="List Paragraph"/>
    <w:basedOn w:val="Normal"/>
    <w:uiPriority w:val="34"/>
    <w:qFormat/>
    <w:rsid w:val="00AD3BEB"/>
    <w:pPr>
      <w:ind w:left="720"/>
      <w:contextualSpacing/>
    </w:pPr>
  </w:style>
  <w:style w:type="character" w:styleId="IntenseEmphasis">
    <w:name w:val="Intense Emphasis"/>
    <w:basedOn w:val="DefaultParagraphFont"/>
    <w:uiPriority w:val="21"/>
    <w:qFormat/>
    <w:rsid w:val="00AD3BEB"/>
    <w:rPr>
      <w:i/>
      <w:iCs/>
      <w:color w:val="0F4761" w:themeColor="accent1" w:themeShade="BF"/>
    </w:rPr>
  </w:style>
  <w:style w:type="paragraph" w:styleId="IntenseQuote">
    <w:name w:val="Intense Quote"/>
    <w:basedOn w:val="Normal"/>
    <w:next w:val="Normal"/>
    <w:link w:val="IntenseQuoteChar"/>
    <w:uiPriority w:val="30"/>
    <w:qFormat/>
    <w:rsid w:val="00AD3B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3BEB"/>
    <w:rPr>
      <w:i/>
      <w:iCs/>
      <w:color w:val="0F4761" w:themeColor="accent1" w:themeShade="BF"/>
    </w:rPr>
  </w:style>
  <w:style w:type="character" w:styleId="IntenseReference">
    <w:name w:val="Intense Reference"/>
    <w:basedOn w:val="DefaultParagraphFont"/>
    <w:uiPriority w:val="32"/>
    <w:qFormat/>
    <w:rsid w:val="00AD3BE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1428</Words>
  <Characters>8142</Characters>
  <Application>Microsoft Office Word</Application>
  <DocSecurity>0</DocSecurity>
  <Lines>67</Lines>
  <Paragraphs>19</Paragraphs>
  <ScaleCrop>false</ScaleCrop>
  <Company/>
  <LinksUpToDate>false</LinksUpToDate>
  <CharactersWithSpaces>9551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ameerah diamico</dc:creator>
  <cp:keywords/>
  <dc:description/>
  <cp:lastModifiedBy>ameerah diamico</cp:lastModifiedBy>
  <cp:revision>2</cp:revision>
  <dcterms:created xsi:type="dcterms:W3CDTF">2026-03-16T16:36:00Z</dcterms:created>
  <dcterms:modified xsi:type="dcterms:W3CDTF">2026-03-16T16:36:00Z</dcterms:modified>
</cp:coreProperties>
</file>