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83FB6" w:rsidP="00166746" w:rsidRDefault="00FB6CE0" w14:paraId="3398BD60" w14:textId="635A4B05">
      <w:pPr>
        <w:spacing w:after="0"/>
        <w:rPr>
          <w:b/>
          <w:sz w:val="24"/>
          <w:szCs w:val="24"/>
          <w:u w:val="single"/>
        </w:rPr>
      </w:pPr>
      <w:r w:rsidRPr="00166746">
        <w:rPr>
          <w:b/>
          <w:sz w:val="24"/>
          <w:szCs w:val="24"/>
          <w:u w:val="single"/>
        </w:rPr>
        <w:t xml:space="preserve">Athenian Naval Power in the </w:t>
      </w:r>
      <w:r w:rsidRPr="00C8556D" w:rsidR="00C8556D">
        <w:rPr>
          <w:rFonts w:eastAsia="Times New Roman" w:cstheme="minorHAnsi"/>
          <w:b/>
          <w:bCs/>
          <w:sz w:val="24"/>
          <w:szCs w:val="24"/>
          <w:u w:val="single"/>
          <w:lang w:eastAsia="en-GB"/>
        </w:rPr>
        <w:t>Peloponnesian War</w:t>
      </w:r>
      <w:r w:rsidRPr="00C8556D">
        <w:rPr>
          <w:b/>
          <w:bCs/>
          <w:sz w:val="24"/>
          <w:szCs w:val="24"/>
          <w:u w:val="single"/>
        </w:rPr>
        <w:t>:</w:t>
      </w:r>
      <w:r w:rsidRPr="00166746">
        <w:rPr>
          <w:b/>
          <w:sz w:val="24"/>
          <w:szCs w:val="24"/>
          <w:u w:val="single"/>
        </w:rPr>
        <w:t xml:space="preserve"> </w:t>
      </w:r>
      <w:r w:rsidR="00B41DAD">
        <w:rPr>
          <w:b/>
          <w:sz w:val="24"/>
          <w:szCs w:val="24"/>
          <w:u w:val="single"/>
        </w:rPr>
        <w:t>T</w:t>
      </w:r>
      <w:r w:rsidRPr="00166746">
        <w:rPr>
          <w:b/>
          <w:sz w:val="24"/>
          <w:szCs w:val="24"/>
          <w:u w:val="single"/>
        </w:rPr>
        <w:t xml:space="preserve">he </w:t>
      </w:r>
      <w:r w:rsidR="00B41DAD">
        <w:rPr>
          <w:b/>
          <w:sz w:val="24"/>
          <w:szCs w:val="24"/>
          <w:u w:val="single"/>
        </w:rPr>
        <w:t>S</w:t>
      </w:r>
      <w:r w:rsidRPr="00166746">
        <w:rPr>
          <w:b/>
          <w:sz w:val="24"/>
          <w:szCs w:val="24"/>
          <w:u w:val="single"/>
        </w:rPr>
        <w:t xml:space="preserve">quandering of </w:t>
      </w:r>
      <w:r w:rsidR="00B41DAD">
        <w:rPr>
          <w:b/>
          <w:sz w:val="24"/>
          <w:szCs w:val="24"/>
          <w:u w:val="single"/>
        </w:rPr>
        <w:t>A</w:t>
      </w:r>
      <w:r w:rsidRPr="00166746">
        <w:rPr>
          <w:b/>
          <w:sz w:val="24"/>
          <w:szCs w:val="24"/>
          <w:u w:val="single"/>
        </w:rPr>
        <w:t>dvantage</w:t>
      </w:r>
      <w:r w:rsidRPr="00166746" w:rsidR="006E4783">
        <w:rPr>
          <w:b/>
          <w:sz w:val="24"/>
          <w:szCs w:val="24"/>
          <w:u w:val="single"/>
        </w:rPr>
        <w:t xml:space="preserve"> or </w:t>
      </w:r>
      <w:r w:rsidR="00B41DAD">
        <w:rPr>
          <w:b/>
          <w:sz w:val="24"/>
          <w:szCs w:val="24"/>
          <w:u w:val="single"/>
        </w:rPr>
        <w:t>M</w:t>
      </w:r>
      <w:r w:rsidRPr="00166746" w:rsidR="006E4783">
        <w:rPr>
          <w:b/>
          <w:sz w:val="24"/>
          <w:szCs w:val="24"/>
          <w:u w:val="single"/>
        </w:rPr>
        <w:t xml:space="preserve">anagement of </w:t>
      </w:r>
      <w:r w:rsidR="00B41DAD">
        <w:rPr>
          <w:b/>
          <w:sz w:val="24"/>
          <w:szCs w:val="24"/>
          <w:u w:val="single"/>
        </w:rPr>
        <w:t>D</w:t>
      </w:r>
      <w:r w:rsidRPr="00166746" w:rsidR="006E4783">
        <w:rPr>
          <w:b/>
          <w:sz w:val="24"/>
          <w:szCs w:val="24"/>
          <w:u w:val="single"/>
        </w:rPr>
        <w:t>isadvantage?</w:t>
      </w:r>
    </w:p>
    <w:p w:rsidRPr="00166746" w:rsidR="00166746" w:rsidP="00166746" w:rsidRDefault="00166746" w14:paraId="2F0DF881" w14:textId="77777777">
      <w:pPr>
        <w:spacing w:after="0"/>
        <w:rPr>
          <w:b/>
          <w:sz w:val="24"/>
          <w:szCs w:val="24"/>
          <w:u w:val="single"/>
        </w:rPr>
      </w:pPr>
    </w:p>
    <w:p w:rsidR="00B83FB6" w:rsidP="00166746" w:rsidRDefault="00FB6CE0" w14:paraId="05A5DC80" w14:textId="4CD9988F">
      <w:pPr>
        <w:spacing w:after="0"/>
        <w:ind w:left="283" w:right="283"/>
        <w:rPr>
          <w:sz w:val="24"/>
          <w:szCs w:val="24"/>
        </w:rPr>
      </w:pPr>
      <w:r w:rsidRPr="00166746">
        <w:rPr>
          <w:sz w:val="24"/>
          <w:szCs w:val="24"/>
        </w:rPr>
        <w:t xml:space="preserve"> "Already distressed at all points and in all quarters, after what had now happened, they were seized by a fear and consternation quite without example. It was grievous enough for the state and for every man in his proper person to lose so many heavy infan</w:t>
      </w:r>
      <w:r w:rsidRPr="00166746">
        <w:rPr>
          <w:sz w:val="24"/>
          <w:szCs w:val="24"/>
        </w:rPr>
        <w:t>try, cavalry and able bodied troops, and to see none left to replace them; but when they saw also that they had not sufficient ships in their docks, or money in their treasury, or crews for the ships they began to despair of salvation</w:t>
      </w:r>
      <w:r w:rsidRPr="00166746" w:rsidR="00166746">
        <w:rPr>
          <w:sz w:val="24"/>
          <w:szCs w:val="24"/>
        </w:rPr>
        <w:t>.</w:t>
      </w:r>
      <w:r w:rsidRPr="00166746">
        <w:rPr>
          <w:sz w:val="24"/>
          <w:szCs w:val="24"/>
        </w:rPr>
        <w:t>”</w:t>
      </w:r>
      <w:r>
        <w:rPr>
          <w:rStyle w:val="FootnoteReference"/>
          <w:sz w:val="24"/>
          <w:szCs w:val="24"/>
        </w:rPr>
        <w:footnoteReference w:id="1"/>
      </w:r>
      <w:r w:rsidRPr="00166746">
        <w:rPr>
          <w:sz w:val="24"/>
          <w:szCs w:val="24"/>
        </w:rPr>
        <w:t xml:space="preserve"> </w:t>
      </w:r>
    </w:p>
    <w:p w:rsidRPr="00166746" w:rsidR="00166746" w:rsidP="00166746" w:rsidRDefault="00166746" w14:paraId="56798C41" w14:textId="77777777">
      <w:pPr>
        <w:spacing w:after="0"/>
        <w:ind w:left="283" w:right="283"/>
        <w:rPr>
          <w:sz w:val="24"/>
          <w:szCs w:val="24"/>
        </w:rPr>
      </w:pPr>
    </w:p>
    <w:p w:rsidR="00B512AA" w:rsidP="00B512AA" w:rsidRDefault="00FB6CE0" w14:paraId="440E4761" w14:textId="6C76C233">
      <w:pPr>
        <w:spacing w:after="0"/>
        <w:rPr>
          <w:sz w:val="24"/>
          <w:szCs w:val="24"/>
        </w:rPr>
      </w:pPr>
      <w:r w:rsidRPr="00166746">
        <w:rPr>
          <w:sz w:val="24"/>
          <w:szCs w:val="24"/>
        </w:rPr>
        <w:t>Thucydides' res</w:t>
      </w:r>
      <w:r w:rsidRPr="00166746">
        <w:rPr>
          <w:sz w:val="24"/>
          <w:szCs w:val="24"/>
        </w:rPr>
        <w:t>ume of the effects felt in Athens when news of their defeat in Sicily reached them, in many ways, encapsulates the essential nature of the Peloponnesian War. The loss of Athenian land forces, whilst a heavy blow, appears by implication to be inconsequentia</w:t>
      </w:r>
      <w:r w:rsidRPr="00166746">
        <w:rPr>
          <w:sz w:val="24"/>
          <w:szCs w:val="24"/>
        </w:rPr>
        <w:t>l when compared to the number of triremes, and in particular, their highly trained crews, that were lost.</w:t>
      </w:r>
      <w:r w:rsidR="007E393B">
        <w:rPr>
          <w:sz w:val="24"/>
          <w:szCs w:val="24"/>
        </w:rPr>
        <w:t xml:space="preserve"> </w:t>
      </w:r>
      <w:r w:rsidRPr="00166746">
        <w:rPr>
          <w:sz w:val="24"/>
          <w:szCs w:val="24"/>
        </w:rPr>
        <w:t xml:space="preserve">At one stroke, the Sicilian Expedition, seen as a combination of imperial expansion and </w:t>
      </w:r>
      <w:r w:rsidR="00FF49AE">
        <w:rPr>
          <w:sz w:val="24"/>
          <w:szCs w:val="24"/>
        </w:rPr>
        <w:t xml:space="preserve">a </w:t>
      </w:r>
      <w:r w:rsidRPr="00166746">
        <w:rPr>
          <w:sz w:val="24"/>
          <w:szCs w:val="24"/>
        </w:rPr>
        <w:t>daring outflanking manoeuvre, had been transformed into a ca</w:t>
      </w:r>
      <w:r w:rsidRPr="00166746">
        <w:rPr>
          <w:sz w:val="24"/>
          <w:szCs w:val="24"/>
        </w:rPr>
        <w:t>tastrophe for the Athenian Empire. Events in the Great Harbour at Syracuse can be viewed as a turning point, a mortal wound similar to that suffered by the Imperial Japanese Navy at Leyte Gulf in 1944</w:t>
      </w:r>
      <w:r w:rsidRPr="00D0577C">
        <w:rPr>
          <w:sz w:val="24"/>
          <w:szCs w:val="24"/>
        </w:rPr>
        <w:t>. An examination of the naval strategy of Athens, how it</w:t>
      </w:r>
      <w:r w:rsidRPr="00D0577C">
        <w:rPr>
          <w:sz w:val="24"/>
          <w:szCs w:val="24"/>
        </w:rPr>
        <w:t xml:space="preserve"> was forged of necessity and opportunity, how it was executed and what part it played in the final victory of Sparta in 404 BC is the key to understanding the true nature of this </w:t>
      </w:r>
      <w:r w:rsidR="00D56CBF">
        <w:rPr>
          <w:sz w:val="24"/>
          <w:szCs w:val="24"/>
        </w:rPr>
        <w:t>27-</w:t>
      </w:r>
      <w:r w:rsidRPr="00D0577C">
        <w:rPr>
          <w:sz w:val="24"/>
          <w:szCs w:val="24"/>
        </w:rPr>
        <w:t>year conflict between two opposing hegemonies.</w:t>
      </w:r>
      <w:r w:rsidRPr="00B97800">
        <w:rPr>
          <w:sz w:val="24"/>
          <w:szCs w:val="24"/>
        </w:rPr>
        <w:t xml:space="preserve"> </w:t>
      </w:r>
    </w:p>
    <w:p w:rsidR="00B512AA" w:rsidP="00B512AA" w:rsidRDefault="00B512AA" w14:paraId="6C81B5ED" w14:textId="472D2874">
      <w:pPr>
        <w:spacing w:after="0"/>
        <w:rPr>
          <w:sz w:val="24"/>
          <w:szCs w:val="24"/>
        </w:rPr>
      </w:pPr>
    </w:p>
    <w:p w:rsidRPr="00D0577C" w:rsidR="00B512AA" w:rsidP="00B512AA" w:rsidRDefault="00FB6CE0" w14:paraId="41CC8B47" w14:textId="42A3333E">
      <w:pPr>
        <w:spacing w:after="0"/>
        <w:rPr>
          <w:sz w:val="24"/>
          <w:szCs w:val="24"/>
        </w:rPr>
      </w:pPr>
      <w:r w:rsidRPr="00D0577C">
        <w:rPr>
          <w:sz w:val="24"/>
          <w:szCs w:val="24"/>
        </w:rPr>
        <w:t xml:space="preserve">Despite its </w:t>
      </w:r>
      <w:r w:rsidRPr="00D0577C">
        <w:rPr>
          <w:sz w:val="24"/>
          <w:szCs w:val="24"/>
        </w:rPr>
        <w:t>antiquity and the limitations in the technology employed, the Peloponnesian War has been continually compared with more modern conflicts. In particular, it has been seized upon by various national naval war college historians, often attempting to promote t</w:t>
      </w:r>
      <w:r w:rsidRPr="00D0577C">
        <w:rPr>
          <w:sz w:val="24"/>
          <w:szCs w:val="24"/>
        </w:rPr>
        <w:t>heir particular branch of the service. Navies have always sought to be the possessor of the capital weapon, the unique war-winning device. The aircraft carrier, the dreadnought, and, in the case of the Peloponnesian War, the trireme have all been eagerly d</w:t>
      </w:r>
      <w:r w:rsidRPr="00D0577C">
        <w:rPr>
          <w:sz w:val="24"/>
          <w:szCs w:val="24"/>
        </w:rPr>
        <w:t>epicted as such devices. Nash, writing in the Naval War College Review, lamented the fact that the conflict between Athens and Sparta had been seen as primarily a contest between a great land power and a great sea power.</w:t>
      </w:r>
      <w:r>
        <w:rPr>
          <w:rStyle w:val="FootnoteReference"/>
          <w:sz w:val="24"/>
          <w:szCs w:val="24"/>
        </w:rPr>
        <w:footnoteReference w:id="2"/>
      </w:r>
      <w:r w:rsidRPr="00D0577C">
        <w:rPr>
          <w:sz w:val="24"/>
          <w:szCs w:val="24"/>
        </w:rPr>
        <w:t xml:space="preserve"> “The effect of viewing it in this</w:t>
      </w:r>
      <w:r w:rsidRPr="00D0577C">
        <w:rPr>
          <w:sz w:val="24"/>
          <w:szCs w:val="24"/>
        </w:rPr>
        <w:t xml:space="preserve"> way is to give less prominence to the place of sea power in the conduct of the war.”</w:t>
      </w:r>
      <w:r>
        <w:rPr>
          <w:rStyle w:val="FootnoteReference"/>
          <w:sz w:val="24"/>
          <w:szCs w:val="24"/>
        </w:rPr>
        <w:footnoteReference w:id="3"/>
      </w:r>
      <w:r w:rsidRPr="00D0577C">
        <w:rPr>
          <w:sz w:val="24"/>
          <w:szCs w:val="24"/>
        </w:rPr>
        <w:t xml:space="preserve">  Not only was Sparta only able to defeat Athens once it had a navy, Nash argues that sea power was a vital component throughout.</w:t>
      </w:r>
      <w:r>
        <w:rPr>
          <w:rStyle w:val="FootnoteReference"/>
          <w:sz w:val="24"/>
          <w:szCs w:val="24"/>
        </w:rPr>
        <w:footnoteReference w:id="4"/>
      </w:r>
      <w:r w:rsidRPr="00D0577C">
        <w:rPr>
          <w:sz w:val="24"/>
          <w:szCs w:val="24"/>
        </w:rPr>
        <w:t xml:space="preserve">  This was not an aspect that had been</w:t>
      </w:r>
      <w:r w:rsidRPr="00D0577C">
        <w:rPr>
          <w:sz w:val="24"/>
          <w:szCs w:val="24"/>
        </w:rPr>
        <w:t xml:space="preserve"> lost on Pericles, arguably the preeminent architect of Athenian geopolitical strategy. Within his framework, Nash argues that Athens, from the outset, pursued a military policy that was "conspicuously and unambiguously maritime in nature."</w:t>
      </w:r>
      <w:r>
        <w:rPr>
          <w:rStyle w:val="FootnoteReference"/>
          <w:sz w:val="24"/>
          <w:szCs w:val="24"/>
        </w:rPr>
        <w:footnoteReference w:id="5"/>
      </w:r>
      <w:r w:rsidRPr="00D0577C">
        <w:rPr>
          <w:sz w:val="24"/>
          <w:szCs w:val="24"/>
        </w:rPr>
        <w:t xml:space="preserve">  The constitu</w:t>
      </w:r>
      <w:r w:rsidRPr="00D0577C">
        <w:rPr>
          <w:sz w:val="24"/>
          <w:szCs w:val="24"/>
        </w:rPr>
        <w:t>ent basis of Athens's hegemony within the Delian League meant that from the very outset, she was dependent upon sea power for food and silver imports, the avoidance of the insuperable Spartan phalanx and yet able to take the war to the enemy in the shape o</w:t>
      </w:r>
      <w:r w:rsidRPr="00D0577C">
        <w:rPr>
          <w:sz w:val="24"/>
          <w:szCs w:val="24"/>
        </w:rPr>
        <w:t xml:space="preserve">f amphibious assault. The expansion of what started as the Delian League and later became the de facto Athenian Empire was interdependent with the size and reach of the Athenian fleet. The vast cost of this fleet was supported by the profits from commerce </w:t>
      </w:r>
      <w:r w:rsidRPr="00D0577C">
        <w:rPr>
          <w:sz w:val="24"/>
          <w:szCs w:val="24"/>
        </w:rPr>
        <w:t>and industry, which were in an exponential accelerator, far exceeding the financial power of other Greek states.</w:t>
      </w:r>
      <w:r>
        <w:rPr>
          <w:rStyle w:val="FootnoteReference"/>
          <w:sz w:val="24"/>
          <w:szCs w:val="24"/>
        </w:rPr>
        <w:footnoteReference w:id="6"/>
      </w:r>
      <w:r w:rsidRPr="00D0577C">
        <w:rPr>
          <w:sz w:val="24"/>
          <w:szCs w:val="24"/>
        </w:rPr>
        <w:t xml:space="preserve"> There are obvious parallels here with the strategy envisioned by the Liberal  Government in Great Britain during the First World War.</w:t>
      </w:r>
    </w:p>
    <w:p w:rsidRPr="00D0577C" w:rsidR="00B512AA" w:rsidP="00B512AA" w:rsidRDefault="00B512AA" w14:paraId="4E62BC52" w14:textId="77777777">
      <w:pPr>
        <w:spacing w:after="0"/>
        <w:rPr>
          <w:sz w:val="24"/>
          <w:szCs w:val="24"/>
        </w:rPr>
      </w:pPr>
    </w:p>
    <w:p w:rsidRPr="00D0577C" w:rsidR="002B7575" w:rsidP="00B512AA" w:rsidRDefault="00FB6CE0" w14:paraId="0E85A7F4" w14:textId="0C066954">
      <w:pPr>
        <w:spacing w:after="0"/>
        <w:rPr>
          <w:sz w:val="24"/>
          <w:szCs w:val="24"/>
        </w:rPr>
      </w:pPr>
      <w:r w:rsidRPr="00D0577C">
        <w:rPr>
          <w:sz w:val="24"/>
          <w:szCs w:val="24"/>
        </w:rPr>
        <w:t>Athens</w:t>
      </w:r>
      <w:r w:rsidRPr="00D0577C">
        <w:rPr>
          <w:sz w:val="24"/>
          <w:szCs w:val="24"/>
        </w:rPr>
        <w:t>’ strategy changed in the second half of the war. From 413-404 BC, the Decelean, or Ionian War, was mostly fought in the eastern Aegean.</w:t>
      </w:r>
      <w:r>
        <w:rPr>
          <w:rStyle w:val="FootnoteReference"/>
          <w:sz w:val="24"/>
          <w:szCs w:val="24"/>
        </w:rPr>
        <w:footnoteReference w:id="7"/>
      </w:r>
      <w:r w:rsidRPr="00D0577C">
        <w:rPr>
          <w:sz w:val="24"/>
          <w:szCs w:val="24"/>
        </w:rPr>
        <w:t xml:space="preserve"> By this stage, the war at sea had all the traits of modern naval warfare: trade interdiction, diplomatic pressure, am</w:t>
      </w:r>
      <w:r w:rsidRPr="00D0577C">
        <w:rPr>
          <w:sz w:val="24"/>
          <w:szCs w:val="24"/>
        </w:rPr>
        <w:t>phibious assault and set-piece naval battles.</w:t>
      </w:r>
      <w:r>
        <w:rPr>
          <w:rStyle w:val="FootnoteReference"/>
          <w:sz w:val="24"/>
          <w:szCs w:val="24"/>
        </w:rPr>
        <w:footnoteReference w:id="8"/>
      </w:r>
      <w:r w:rsidRPr="00D0577C">
        <w:rPr>
          <w:sz w:val="24"/>
          <w:szCs w:val="24"/>
        </w:rPr>
        <w:t xml:space="preserve">  Nash is adamant that this did not simply constitute a “land war afloat.”</w:t>
      </w:r>
      <w:r>
        <w:rPr>
          <w:rStyle w:val="FootnoteReference"/>
          <w:sz w:val="24"/>
          <w:szCs w:val="24"/>
        </w:rPr>
        <w:footnoteReference w:id="9"/>
      </w:r>
      <w:r w:rsidRPr="00D0577C">
        <w:rPr>
          <w:sz w:val="24"/>
          <w:szCs w:val="24"/>
        </w:rPr>
        <w:t xml:space="preserve">  Charles agrees that “few conflicts have been so exclusively naval as the Peloponnesian War,”</w:t>
      </w:r>
      <w:r>
        <w:rPr>
          <w:rStyle w:val="FootnoteReference"/>
          <w:sz w:val="24"/>
          <w:szCs w:val="24"/>
        </w:rPr>
        <w:footnoteReference w:id="10"/>
      </w:r>
      <w:r w:rsidRPr="00D0577C">
        <w:rPr>
          <w:sz w:val="24"/>
          <w:szCs w:val="24"/>
        </w:rPr>
        <w:t xml:space="preserve"> however, believes that quintessentia</w:t>
      </w:r>
      <w:r w:rsidRPr="00D0577C">
        <w:rPr>
          <w:sz w:val="24"/>
          <w:szCs w:val="24"/>
        </w:rPr>
        <w:t>l naval pedigree was in view before the end of the Achidamian war.</w:t>
      </w:r>
      <w:r>
        <w:rPr>
          <w:rStyle w:val="FootnoteReference"/>
          <w:sz w:val="24"/>
          <w:szCs w:val="24"/>
        </w:rPr>
        <w:footnoteReference w:id="11"/>
      </w:r>
      <w:r w:rsidRPr="00D0577C">
        <w:rPr>
          <w:sz w:val="24"/>
          <w:szCs w:val="24"/>
        </w:rPr>
        <w:t xml:space="preserve">  Seek and destroy was not a worthwhile strategy because Sparta did not have a fleet initially worth the effort, and "the enemy's safety was not dependent on his fleet.”</w:t>
      </w:r>
      <w:r>
        <w:rPr>
          <w:rStyle w:val="FootnoteReference"/>
          <w:sz w:val="24"/>
          <w:szCs w:val="24"/>
        </w:rPr>
        <w:footnoteReference w:id="12"/>
      </w:r>
      <w:r w:rsidRPr="00D0577C">
        <w:rPr>
          <w:sz w:val="24"/>
          <w:szCs w:val="24"/>
        </w:rPr>
        <w:t xml:space="preserve">  It would be lik</w:t>
      </w:r>
      <w:r w:rsidRPr="00D0577C">
        <w:rPr>
          <w:sz w:val="24"/>
          <w:szCs w:val="24"/>
        </w:rPr>
        <w:t>e The Royal Navy attempting to hunt down the Grand Fleet at Jutland, shunning the known threat of torpedo attack. Much was at stake with little gain. The successes at Pylos or Cyzicius had not brought victory in the war.</w:t>
      </w:r>
      <w:r>
        <w:rPr>
          <w:rStyle w:val="FootnoteReference"/>
          <w:sz w:val="24"/>
          <w:szCs w:val="24"/>
        </w:rPr>
        <w:footnoteReference w:id="13"/>
      </w:r>
      <w:r w:rsidRPr="00D0577C">
        <w:rPr>
          <w:sz w:val="24"/>
          <w:szCs w:val="24"/>
        </w:rPr>
        <w:t xml:space="preserve"> However, the seizing and fortifyi</w:t>
      </w:r>
      <w:r w:rsidRPr="00D0577C">
        <w:rPr>
          <w:sz w:val="24"/>
          <w:szCs w:val="24"/>
        </w:rPr>
        <w:t>ng of strong points in 425 BC had a considerable effect on Sparta's determination to continue fighting. The Spartans were "forced to tramp futilely about Attica while their foes were burning the coastal towns of Laconia, seizing forts and luring away disaf</w:t>
      </w:r>
      <w:r w:rsidRPr="00D0577C">
        <w:rPr>
          <w:sz w:val="24"/>
          <w:szCs w:val="24"/>
        </w:rPr>
        <w:t>fected helots.”</w:t>
      </w:r>
      <w:r>
        <w:rPr>
          <w:rStyle w:val="FootnoteReference"/>
          <w:sz w:val="24"/>
          <w:szCs w:val="24"/>
        </w:rPr>
        <w:footnoteReference w:id="14"/>
      </w:r>
      <w:r w:rsidRPr="00D0577C">
        <w:rPr>
          <w:sz w:val="24"/>
          <w:szCs w:val="24"/>
        </w:rPr>
        <w:t xml:space="preserve">  This made the Spartans more malleable and led to the Peace of Nicias.</w:t>
      </w:r>
    </w:p>
    <w:p w:rsidR="002B7575" w:rsidP="00B512AA" w:rsidRDefault="002B7575" w14:paraId="77614E0B" w14:textId="77777777">
      <w:pPr>
        <w:spacing w:after="0"/>
        <w:rPr>
          <w:sz w:val="24"/>
          <w:szCs w:val="24"/>
          <w:highlight w:val="yellow"/>
        </w:rPr>
      </w:pPr>
    </w:p>
    <w:p w:rsidRPr="00D0577C" w:rsidR="002B7575" w:rsidP="002B7575" w:rsidRDefault="00FB6CE0" w14:paraId="33FD1774" w14:textId="0C6179BA">
      <w:pPr>
        <w:spacing w:after="0"/>
        <w:rPr>
          <w:sz w:val="24"/>
          <w:szCs w:val="24"/>
        </w:rPr>
      </w:pPr>
      <w:r w:rsidRPr="00D0577C">
        <w:rPr>
          <w:sz w:val="24"/>
          <w:szCs w:val="24"/>
        </w:rPr>
        <w:t>Conversely, like the Kriegsmarine in 1939, Sparta could operate effectively in the commerce raiding role. Like Britain in 1939, Athens had considerable and vital mari</w:t>
      </w:r>
      <w:r w:rsidRPr="00D0577C">
        <w:rPr>
          <w:sz w:val="24"/>
          <w:szCs w:val="24"/>
        </w:rPr>
        <w:t>time trade at risk. Despite this, there was precious little activity in this area, although at one point, the Athenians had to send forces to stop attacks in the Levant.</w:t>
      </w:r>
      <w:r>
        <w:rPr>
          <w:rStyle w:val="FootnoteReference"/>
          <w:sz w:val="24"/>
          <w:szCs w:val="24"/>
        </w:rPr>
        <w:footnoteReference w:id="15"/>
      </w:r>
      <w:r w:rsidRPr="00D0577C">
        <w:rPr>
          <w:sz w:val="24"/>
          <w:szCs w:val="24"/>
        </w:rPr>
        <w:t xml:space="preserve">  However, there were many surprise attacks until the Spartan defeat at Pylos, such as at Zacynthus, but none were a great success.</w:t>
      </w:r>
      <w:r>
        <w:rPr>
          <w:rStyle w:val="FootnoteReference"/>
          <w:sz w:val="24"/>
          <w:szCs w:val="24"/>
        </w:rPr>
        <w:footnoteReference w:id="16"/>
      </w:r>
      <w:r w:rsidRPr="00D0577C">
        <w:rPr>
          <w:sz w:val="24"/>
          <w:szCs w:val="24"/>
        </w:rPr>
        <w:t xml:space="preserve">  Despite the technical limitations of the trireme as a patrol vessel, the Peloponnesians were simply afraid to risk direct</w:t>
      </w:r>
      <w:r w:rsidRPr="00D0577C">
        <w:rPr>
          <w:sz w:val="24"/>
          <w:szCs w:val="24"/>
        </w:rPr>
        <w:t xml:space="preserve"> action against the Athenian navy in the Archidamian war. They had just cause. At Rhium in 429 BC, 22 Athenian triremes commanded by Phormio first defeated 47 and then 77 Peloponnesian vessels.</w:t>
      </w:r>
      <w:r>
        <w:rPr>
          <w:rStyle w:val="FootnoteReference"/>
          <w:sz w:val="24"/>
          <w:szCs w:val="24"/>
        </w:rPr>
        <w:footnoteReference w:id="17"/>
      </w:r>
      <w:r w:rsidRPr="00D0577C">
        <w:rPr>
          <w:sz w:val="24"/>
          <w:szCs w:val="24"/>
        </w:rPr>
        <w:t xml:space="preserve"> </w:t>
      </w:r>
    </w:p>
    <w:p w:rsidRPr="00D0577C" w:rsidR="002B7575" w:rsidP="002B7575" w:rsidRDefault="002B7575" w14:paraId="472BE6A6" w14:textId="77777777">
      <w:pPr>
        <w:spacing w:after="0"/>
        <w:rPr>
          <w:sz w:val="24"/>
          <w:szCs w:val="24"/>
        </w:rPr>
      </w:pPr>
    </w:p>
    <w:p w:rsidR="00BD2546" w:rsidP="00BD2546" w:rsidRDefault="00FB6CE0" w14:paraId="61906373" w14:textId="1D7F25BC">
      <w:pPr>
        <w:spacing w:after="0"/>
        <w:rPr>
          <w:sz w:val="24"/>
          <w:szCs w:val="24"/>
        </w:rPr>
      </w:pPr>
      <w:r w:rsidRPr="00D0577C">
        <w:rPr>
          <w:bCs/>
          <w:sz w:val="24"/>
          <w:szCs w:val="24"/>
        </w:rPr>
        <w:t>Notwithstanding the competing naval strengths</w:t>
      </w:r>
      <w:r w:rsidR="007E393B">
        <w:rPr>
          <w:bCs/>
          <w:sz w:val="24"/>
          <w:szCs w:val="24"/>
        </w:rPr>
        <w:t>,</w:t>
      </w:r>
      <w:r w:rsidRPr="00D0577C">
        <w:rPr>
          <w:bCs/>
          <w:sz w:val="24"/>
          <w:szCs w:val="24"/>
        </w:rPr>
        <w:t xml:space="preserve"> was the Ath</w:t>
      </w:r>
      <w:r w:rsidRPr="00D0577C">
        <w:rPr>
          <w:bCs/>
          <w:sz w:val="24"/>
          <w:szCs w:val="24"/>
        </w:rPr>
        <w:t xml:space="preserve">enian model destined to lose? Were there systemic flaws in its ability to defeat a land power occupying the central ground? </w:t>
      </w:r>
      <w:r w:rsidRPr="00166746">
        <w:rPr>
          <w:sz w:val="24"/>
          <w:szCs w:val="24"/>
        </w:rPr>
        <w:t>When war was declared</w:t>
      </w:r>
      <w:r>
        <w:rPr>
          <w:sz w:val="24"/>
          <w:szCs w:val="24"/>
        </w:rPr>
        <w:t>,</w:t>
      </w:r>
      <w:r w:rsidRPr="00166746">
        <w:rPr>
          <w:sz w:val="24"/>
          <w:szCs w:val="24"/>
        </w:rPr>
        <w:t xml:space="preserve"> Athens had an army of 13</w:t>
      </w:r>
      <w:r>
        <w:rPr>
          <w:sz w:val="24"/>
          <w:szCs w:val="24"/>
        </w:rPr>
        <w:t>,</w:t>
      </w:r>
      <w:r w:rsidRPr="00166746">
        <w:rPr>
          <w:sz w:val="24"/>
          <w:szCs w:val="24"/>
        </w:rPr>
        <w:t>000 of fighting age and a further 16</w:t>
      </w:r>
      <w:r>
        <w:rPr>
          <w:sz w:val="24"/>
          <w:szCs w:val="24"/>
        </w:rPr>
        <w:t>,</w:t>
      </w:r>
      <w:r w:rsidRPr="00166746">
        <w:rPr>
          <w:sz w:val="24"/>
          <w:szCs w:val="24"/>
        </w:rPr>
        <w:t>000 in reserve</w:t>
      </w:r>
      <w:r>
        <w:rPr>
          <w:sz w:val="24"/>
          <w:szCs w:val="24"/>
        </w:rPr>
        <w:t>.</w:t>
      </w:r>
      <w:r>
        <w:rPr>
          <w:rStyle w:val="FootnoteReference"/>
          <w:sz w:val="24"/>
          <w:szCs w:val="24"/>
        </w:rPr>
        <w:footnoteReference w:id="18"/>
      </w:r>
      <w:r w:rsidRPr="00166746">
        <w:rPr>
          <w:sz w:val="24"/>
          <w:szCs w:val="24"/>
        </w:rPr>
        <w:t xml:space="preserve"> The army that Sparta deployed in Attica in 431 </w:t>
      </w:r>
      <w:r w:rsidR="00992243">
        <w:rPr>
          <w:sz w:val="24"/>
          <w:szCs w:val="24"/>
        </w:rPr>
        <w:t xml:space="preserve">BC </w:t>
      </w:r>
      <w:r w:rsidRPr="00166746">
        <w:rPr>
          <w:sz w:val="24"/>
          <w:szCs w:val="24"/>
        </w:rPr>
        <w:t>was considerably larger</w:t>
      </w:r>
      <w:r>
        <w:rPr>
          <w:sz w:val="24"/>
          <w:szCs w:val="24"/>
        </w:rPr>
        <w:t>.</w:t>
      </w:r>
      <w:r>
        <w:rPr>
          <w:rStyle w:val="FootnoteReference"/>
          <w:sz w:val="24"/>
          <w:szCs w:val="24"/>
        </w:rPr>
        <w:footnoteReference w:id="19"/>
      </w:r>
      <w:r w:rsidRPr="00166746">
        <w:rPr>
          <w:sz w:val="24"/>
          <w:szCs w:val="24"/>
        </w:rPr>
        <w:t xml:space="preserve">   “Pericles, however, looked upon it as a terrible thing to join battle with sixty thousand Peloponnesian and Beotian hoplites, and stake the city itself upon the issue</w:t>
      </w:r>
      <w:r>
        <w:rPr>
          <w:sz w:val="24"/>
          <w:szCs w:val="24"/>
        </w:rPr>
        <w:t>.</w:t>
      </w:r>
      <w:r w:rsidRPr="00166746">
        <w:rPr>
          <w:sz w:val="24"/>
          <w:szCs w:val="24"/>
        </w:rPr>
        <w:t>”</w:t>
      </w:r>
      <w:r>
        <w:rPr>
          <w:rStyle w:val="FootnoteReference"/>
          <w:sz w:val="24"/>
          <w:szCs w:val="24"/>
        </w:rPr>
        <w:footnoteReference w:id="20"/>
      </w:r>
      <w:r w:rsidRPr="00166746">
        <w:rPr>
          <w:sz w:val="24"/>
          <w:szCs w:val="24"/>
        </w:rPr>
        <w:t xml:space="preserve">  </w:t>
      </w:r>
      <w:r w:rsidR="000340C0">
        <w:rPr>
          <w:sz w:val="24"/>
          <w:szCs w:val="24"/>
        </w:rPr>
        <w:t>G</w:t>
      </w:r>
      <w:r w:rsidRPr="00166746">
        <w:rPr>
          <w:sz w:val="24"/>
          <w:szCs w:val="24"/>
        </w:rPr>
        <w:t>ivi</w:t>
      </w:r>
      <w:r w:rsidRPr="00166746">
        <w:rPr>
          <w:sz w:val="24"/>
          <w:szCs w:val="24"/>
        </w:rPr>
        <w:t xml:space="preserve">ng allowance for exaggeration, the in-balance in land forces was considerable and estimated </w:t>
      </w:r>
      <w:r w:rsidRPr="00376703">
        <w:rPr>
          <w:sz w:val="24"/>
          <w:szCs w:val="24"/>
        </w:rPr>
        <w:t>to be at least two</w:t>
      </w:r>
      <w:r w:rsidRPr="00166746">
        <w:rPr>
          <w:sz w:val="24"/>
          <w:szCs w:val="24"/>
        </w:rPr>
        <w:t xml:space="preserve"> to one in favour of the Peloponnese</w:t>
      </w:r>
      <w:r>
        <w:rPr>
          <w:sz w:val="24"/>
          <w:szCs w:val="24"/>
        </w:rPr>
        <w:t>.</w:t>
      </w:r>
      <w:r>
        <w:rPr>
          <w:rStyle w:val="FootnoteReference"/>
          <w:sz w:val="24"/>
          <w:szCs w:val="24"/>
        </w:rPr>
        <w:footnoteReference w:id="21"/>
      </w:r>
      <w:r w:rsidRPr="00166746">
        <w:rPr>
          <w:sz w:val="24"/>
          <w:szCs w:val="24"/>
        </w:rPr>
        <w:t xml:space="preserve">  However, in terms of naval power, Athens clearly had the advantage. Kagan estimates that the Athenians al</w:t>
      </w:r>
      <w:r w:rsidRPr="00166746">
        <w:rPr>
          <w:sz w:val="24"/>
          <w:szCs w:val="24"/>
        </w:rPr>
        <w:t xml:space="preserve">one possessed 300 triremes, and </w:t>
      </w:r>
      <w:r w:rsidRPr="00166746">
        <w:rPr>
          <w:sz w:val="24"/>
          <w:szCs w:val="24"/>
        </w:rPr>
        <w:lastRenderedPageBreak/>
        <w:t>her allies, such as Lesbos,</w:t>
      </w:r>
      <w:r>
        <w:rPr>
          <w:sz w:val="24"/>
          <w:szCs w:val="24"/>
        </w:rPr>
        <w:t xml:space="preserve"> </w:t>
      </w:r>
      <w:r w:rsidRPr="00166746">
        <w:rPr>
          <w:sz w:val="24"/>
          <w:szCs w:val="24"/>
        </w:rPr>
        <w:t>Chios and Corcyra, would be able to field another 100</w:t>
      </w:r>
      <w:r>
        <w:rPr>
          <w:sz w:val="24"/>
          <w:szCs w:val="24"/>
        </w:rPr>
        <w:t>.</w:t>
      </w:r>
      <w:r>
        <w:rPr>
          <w:rStyle w:val="FootnoteReference"/>
          <w:sz w:val="24"/>
          <w:szCs w:val="24"/>
        </w:rPr>
        <w:footnoteReference w:id="22"/>
      </w:r>
      <w:r w:rsidRPr="00166746">
        <w:rPr>
          <w:sz w:val="24"/>
          <w:szCs w:val="24"/>
        </w:rPr>
        <w:t xml:space="preserve"> In contrast, the Peloponnesians only had 100 ships at their disposal</w:t>
      </w:r>
      <w:r>
        <w:rPr>
          <w:sz w:val="24"/>
          <w:szCs w:val="24"/>
        </w:rPr>
        <w:t>.</w:t>
      </w:r>
      <w:r>
        <w:rPr>
          <w:rStyle w:val="FootnoteReference"/>
          <w:sz w:val="24"/>
          <w:szCs w:val="24"/>
        </w:rPr>
        <w:footnoteReference w:id="23"/>
      </w:r>
      <w:r w:rsidRPr="00166746">
        <w:rPr>
          <w:sz w:val="24"/>
          <w:szCs w:val="24"/>
        </w:rPr>
        <w:t xml:space="preserve"> </w:t>
      </w:r>
      <w:r>
        <w:rPr>
          <w:sz w:val="24"/>
          <w:szCs w:val="24"/>
        </w:rPr>
        <w:t xml:space="preserve"> </w:t>
      </w:r>
      <w:r w:rsidRPr="00166746">
        <w:rPr>
          <w:sz w:val="24"/>
          <w:szCs w:val="24"/>
        </w:rPr>
        <w:t>Furthermore</w:t>
      </w:r>
      <w:r>
        <w:rPr>
          <w:sz w:val="24"/>
          <w:szCs w:val="24"/>
        </w:rPr>
        <w:t>,</w:t>
      </w:r>
      <w:r w:rsidRPr="00166746">
        <w:rPr>
          <w:sz w:val="24"/>
          <w:szCs w:val="24"/>
        </w:rPr>
        <w:t xml:space="preserve"> the perceived invincibility of the Spartan phalanx on</w:t>
      </w:r>
      <w:r w:rsidRPr="00166746">
        <w:rPr>
          <w:sz w:val="24"/>
          <w:szCs w:val="24"/>
        </w:rPr>
        <w:t xml:space="preserve"> land was mirrored by that of the Athenian navy.</w:t>
      </w:r>
      <w:r>
        <w:rPr>
          <w:sz w:val="24"/>
          <w:szCs w:val="24"/>
        </w:rPr>
        <w:t xml:space="preserve"> </w:t>
      </w:r>
      <w:r w:rsidRPr="00166746">
        <w:rPr>
          <w:sz w:val="24"/>
          <w:szCs w:val="24"/>
        </w:rPr>
        <w:t>Neither side was anxious to deploy their military's weaker wing against their opponent</w:t>
      </w:r>
      <w:r>
        <w:rPr>
          <w:sz w:val="24"/>
          <w:szCs w:val="24"/>
        </w:rPr>
        <w:t xml:space="preserve">'s stronger. </w:t>
      </w:r>
      <w:r w:rsidRPr="00166746">
        <w:rPr>
          <w:sz w:val="24"/>
          <w:szCs w:val="24"/>
        </w:rPr>
        <w:t>The two opposing militaries were ideally adapted to the established leadership roles that each held within t</w:t>
      </w:r>
      <w:r w:rsidRPr="00166746">
        <w:rPr>
          <w:sz w:val="24"/>
          <w:szCs w:val="24"/>
        </w:rPr>
        <w:t>heir respective power blocks</w:t>
      </w:r>
      <w:r>
        <w:rPr>
          <w:sz w:val="24"/>
          <w:szCs w:val="24"/>
        </w:rPr>
        <w:t>,</w:t>
      </w:r>
      <w:r w:rsidRPr="00166746">
        <w:rPr>
          <w:sz w:val="24"/>
          <w:szCs w:val="24"/>
        </w:rPr>
        <w:t xml:space="preserve"> and yet they were mutually exclusive. Forming two Venn diagrams, the military apparati of each had a limited intersection point, and one, which at the start of </w:t>
      </w:r>
      <w:r w:rsidRPr="00523504">
        <w:rPr>
          <w:sz w:val="24"/>
          <w:szCs w:val="24"/>
        </w:rPr>
        <w:t>the war was not sufficiently strong to constitute a war winner.</w:t>
      </w:r>
      <w:r w:rsidRPr="00166746">
        <w:rPr>
          <w:sz w:val="24"/>
          <w:szCs w:val="24"/>
        </w:rPr>
        <w:t xml:space="preserve"> </w:t>
      </w:r>
    </w:p>
    <w:p w:rsidR="00BD2546" w:rsidP="00BD2546" w:rsidRDefault="00BD2546" w14:paraId="6A0B8C1D" w14:textId="580B260D">
      <w:pPr>
        <w:spacing w:after="0"/>
        <w:rPr>
          <w:sz w:val="24"/>
          <w:szCs w:val="24"/>
        </w:rPr>
      </w:pPr>
    </w:p>
    <w:p w:rsidR="00BD2546" w:rsidP="00BD2546" w:rsidRDefault="00FB6CE0" w14:paraId="58AA6BB2" w14:textId="7816194F">
      <w:pPr>
        <w:spacing w:after="0"/>
        <w:rPr>
          <w:sz w:val="24"/>
          <w:szCs w:val="24"/>
        </w:rPr>
      </w:pPr>
      <w:r w:rsidRPr="00166746">
        <w:rPr>
          <w:i/>
          <w:sz w:val="24"/>
          <w:szCs w:val="24"/>
        </w:rPr>
        <w:t>A War Like No Other</w:t>
      </w:r>
      <w:r w:rsidRPr="00166746">
        <w:rPr>
          <w:sz w:val="24"/>
          <w:szCs w:val="24"/>
        </w:rPr>
        <w:t>, the title Hanson gave his book on the Peloponnesian War, highlights the unprecedented nature of this 27-year-long conflict. However, in characterising it in this way, he is guilty of a syllogism because he sees the defining nature only</w:t>
      </w:r>
      <w:r w:rsidRPr="00166746">
        <w:rPr>
          <w:sz w:val="24"/>
          <w:szCs w:val="24"/>
        </w:rPr>
        <w:t xml:space="preserve"> in terms of the enormous cost involved and its essential internecine struggle</w:t>
      </w:r>
      <w:r>
        <w:rPr>
          <w:sz w:val="24"/>
          <w:szCs w:val="24"/>
        </w:rPr>
        <w:t>.</w:t>
      </w:r>
      <w:r>
        <w:rPr>
          <w:rStyle w:val="FootnoteReference"/>
          <w:sz w:val="24"/>
          <w:szCs w:val="24"/>
        </w:rPr>
        <w:footnoteReference w:id="24"/>
      </w:r>
      <w:r w:rsidRPr="00166746">
        <w:rPr>
          <w:sz w:val="24"/>
          <w:szCs w:val="24"/>
        </w:rPr>
        <w:t xml:space="preserve">  It may have been better named “</w:t>
      </w:r>
      <w:r>
        <w:rPr>
          <w:sz w:val="24"/>
          <w:szCs w:val="24"/>
        </w:rPr>
        <w:t>T</w:t>
      </w:r>
      <w:r w:rsidRPr="00166746">
        <w:rPr>
          <w:sz w:val="24"/>
          <w:szCs w:val="24"/>
        </w:rPr>
        <w:t>he Great Ancient Greek War</w:t>
      </w:r>
      <w:r>
        <w:rPr>
          <w:sz w:val="24"/>
          <w:szCs w:val="24"/>
        </w:rPr>
        <w:t>,</w:t>
      </w:r>
      <w:r w:rsidRPr="00166746">
        <w:rPr>
          <w:sz w:val="24"/>
          <w:szCs w:val="24"/>
        </w:rPr>
        <w:t>”</w:t>
      </w:r>
      <w:r>
        <w:rPr>
          <w:rStyle w:val="FootnoteReference"/>
          <w:sz w:val="24"/>
          <w:szCs w:val="24"/>
        </w:rPr>
        <w:footnoteReference w:id="25"/>
      </w:r>
      <w:r>
        <w:rPr>
          <w:sz w:val="24"/>
          <w:szCs w:val="24"/>
        </w:rPr>
        <w:t xml:space="preserve"> </w:t>
      </w:r>
      <w:r w:rsidRPr="00166746">
        <w:rPr>
          <w:sz w:val="24"/>
          <w:szCs w:val="24"/>
        </w:rPr>
        <w:t>nevertheless, the unique and unprecedented element was that it became a World War, albeit confined to the Anci</w:t>
      </w:r>
      <w:r w:rsidRPr="00166746">
        <w:rPr>
          <w:sz w:val="24"/>
          <w:szCs w:val="24"/>
        </w:rPr>
        <w:t>ent Greek world. The traditional pattern of resolving conflicts by highly choreographed meetings of small hoplite forces disappeared. It was replaced by a multi-theatre, multi-dimensional conflict involving a true force mix more akin to the World Wars of t</w:t>
      </w:r>
      <w:r w:rsidRPr="00166746">
        <w:rPr>
          <w:sz w:val="24"/>
          <w:szCs w:val="24"/>
        </w:rPr>
        <w:t>he twentieth century.</w:t>
      </w:r>
      <w:r>
        <w:rPr>
          <w:sz w:val="24"/>
          <w:szCs w:val="24"/>
        </w:rPr>
        <w:t xml:space="preserve"> </w:t>
      </w:r>
      <w:r w:rsidRPr="00166746">
        <w:rPr>
          <w:sz w:val="24"/>
          <w:szCs w:val="24"/>
        </w:rPr>
        <w:t>At the start of the war</w:t>
      </w:r>
      <w:r>
        <w:rPr>
          <w:sz w:val="24"/>
          <w:szCs w:val="24"/>
        </w:rPr>
        <w:t>,</w:t>
      </w:r>
      <w:r w:rsidRPr="00166746">
        <w:rPr>
          <w:sz w:val="24"/>
          <w:szCs w:val="24"/>
        </w:rPr>
        <w:t xml:space="preserve"> neither side had a way of effectively combating the other; the inevitable result was to be one of attrition. To conduct such a war required resources, and Athens had a clear advantage</w:t>
      </w:r>
      <w:r>
        <w:rPr>
          <w:sz w:val="24"/>
          <w:szCs w:val="24"/>
        </w:rPr>
        <w:t xml:space="preserve"> in this respect. </w:t>
      </w:r>
      <w:r w:rsidRPr="00166746">
        <w:rPr>
          <w:sz w:val="24"/>
          <w:szCs w:val="24"/>
        </w:rPr>
        <w:t>Athens h</w:t>
      </w:r>
      <w:r w:rsidRPr="00166746">
        <w:rPr>
          <w:sz w:val="24"/>
          <w:szCs w:val="24"/>
        </w:rPr>
        <w:t xml:space="preserve">ad an annual income </w:t>
      </w:r>
      <w:r>
        <w:rPr>
          <w:sz w:val="24"/>
          <w:szCs w:val="24"/>
        </w:rPr>
        <w:t xml:space="preserve">of </w:t>
      </w:r>
      <w:r w:rsidRPr="00166746">
        <w:rPr>
          <w:sz w:val="24"/>
          <w:szCs w:val="24"/>
        </w:rPr>
        <w:t>1</w:t>
      </w:r>
      <w:r>
        <w:rPr>
          <w:sz w:val="24"/>
          <w:szCs w:val="24"/>
        </w:rPr>
        <w:t>,</w:t>
      </w:r>
      <w:r w:rsidRPr="00166746">
        <w:rPr>
          <w:sz w:val="24"/>
          <w:szCs w:val="24"/>
        </w:rPr>
        <w:t>000 talents, of which 600 talents was available for military expenditure.</w:t>
      </w:r>
      <w:r>
        <w:rPr>
          <w:rStyle w:val="FootnoteReference"/>
          <w:sz w:val="24"/>
          <w:szCs w:val="24"/>
        </w:rPr>
        <w:footnoteReference w:id="26"/>
      </w:r>
      <w:r w:rsidRPr="00166746">
        <w:rPr>
          <w:sz w:val="24"/>
          <w:szCs w:val="24"/>
        </w:rPr>
        <w:t xml:space="preserve">  This would not be sufficient and would necessitate tapping into reserves, of</w:t>
      </w:r>
      <w:r w:rsidRPr="00166746">
        <w:rPr>
          <w:sz w:val="24"/>
          <w:szCs w:val="24"/>
        </w:rPr>
        <w:t xml:space="preserve"> which Athens had a considerable quantity, amounting, Kagan says, to 6</w:t>
      </w:r>
      <w:r>
        <w:rPr>
          <w:sz w:val="24"/>
          <w:szCs w:val="24"/>
        </w:rPr>
        <w:t>,</w:t>
      </w:r>
      <w:r w:rsidRPr="00166746">
        <w:rPr>
          <w:sz w:val="24"/>
          <w:szCs w:val="24"/>
        </w:rPr>
        <w:t>000 talents of coined s</w:t>
      </w:r>
      <w:r w:rsidR="00992243">
        <w:rPr>
          <w:sz w:val="24"/>
          <w:szCs w:val="24"/>
        </w:rPr>
        <w:t>i</w:t>
      </w:r>
      <w:r w:rsidRPr="00166746">
        <w:rPr>
          <w:sz w:val="24"/>
          <w:szCs w:val="24"/>
        </w:rPr>
        <w:t>lver and 500 in uncoined gold and silver</w:t>
      </w:r>
      <w:r>
        <w:rPr>
          <w:sz w:val="24"/>
          <w:szCs w:val="24"/>
        </w:rPr>
        <w:t>.</w:t>
      </w:r>
      <w:r>
        <w:rPr>
          <w:rStyle w:val="FootnoteReference"/>
          <w:sz w:val="24"/>
          <w:szCs w:val="24"/>
        </w:rPr>
        <w:footnoteReference w:id="27"/>
      </w:r>
      <w:r w:rsidRPr="00166746">
        <w:rPr>
          <w:sz w:val="24"/>
          <w:szCs w:val="24"/>
        </w:rPr>
        <w:t xml:space="preserve">  We have no fiscal evidence for Sparta save that provided by Pericles in his evaluation of his adversary's strength.</w:t>
      </w:r>
      <w:r>
        <w:rPr>
          <w:sz w:val="24"/>
          <w:szCs w:val="24"/>
        </w:rPr>
        <w:t xml:space="preserve"> </w:t>
      </w:r>
      <w:r w:rsidRPr="00166746">
        <w:rPr>
          <w:sz w:val="24"/>
          <w:szCs w:val="24"/>
        </w:rPr>
        <w:t>He concluded, "The Peloponnesians are men that live by their labour and without money either in particular and in common stock</w:t>
      </w:r>
      <w:r>
        <w:rPr>
          <w:sz w:val="24"/>
          <w:szCs w:val="24"/>
        </w:rPr>
        <w:t>.</w:t>
      </w:r>
      <w:r w:rsidRPr="00166746">
        <w:rPr>
          <w:sz w:val="24"/>
          <w:szCs w:val="24"/>
        </w:rPr>
        <w:t>”</w:t>
      </w:r>
      <w:r>
        <w:rPr>
          <w:rStyle w:val="FootnoteReference"/>
          <w:sz w:val="24"/>
          <w:szCs w:val="24"/>
        </w:rPr>
        <w:footnoteReference w:id="28"/>
      </w:r>
      <w:r w:rsidRPr="00166746">
        <w:rPr>
          <w:sz w:val="24"/>
          <w:szCs w:val="24"/>
        </w:rPr>
        <w:t xml:space="preserve"> Pericles' strategy was to wage a war of attrition against what he almost describes as a primitive economy with a war-fighting</w:t>
      </w:r>
      <w:r w:rsidRPr="00166746">
        <w:rPr>
          <w:sz w:val="24"/>
          <w:szCs w:val="24"/>
        </w:rPr>
        <w:t xml:space="preserve"> capacity that was severely limited. "Besides in long wars and by sea they are without experience, for the wars that they have had one against another have been but short through poverty</w:t>
      </w:r>
      <w:r>
        <w:rPr>
          <w:sz w:val="24"/>
          <w:szCs w:val="24"/>
        </w:rPr>
        <w:t>.</w:t>
      </w:r>
      <w:r w:rsidRPr="00166746">
        <w:rPr>
          <w:sz w:val="24"/>
          <w:szCs w:val="24"/>
        </w:rPr>
        <w:t>”</w:t>
      </w:r>
      <w:r>
        <w:rPr>
          <w:rStyle w:val="FootnoteReference"/>
          <w:sz w:val="24"/>
          <w:szCs w:val="24"/>
        </w:rPr>
        <w:footnoteReference w:id="29"/>
      </w:r>
      <w:r w:rsidRPr="00166746">
        <w:rPr>
          <w:sz w:val="24"/>
          <w:szCs w:val="24"/>
        </w:rPr>
        <w:t xml:space="preserve"> </w:t>
      </w:r>
      <w:r>
        <w:rPr>
          <w:sz w:val="24"/>
          <w:szCs w:val="24"/>
        </w:rPr>
        <w:t xml:space="preserve"> </w:t>
      </w:r>
    </w:p>
    <w:p w:rsidR="00BD2546" w:rsidP="00BD2546" w:rsidRDefault="00BD2546" w14:paraId="3EBFA1AE" w14:textId="611564EC">
      <w:pPr>
        <w:spacing w:after="0"/>
        <w:rPr>
          <w:sz w:val="24"/>
          <w:szCs w:val="24"/>
        </w:rPr>
      </w:pPr>
    </w:p>
    <w:p w:rsidRPr="007A5108" w:rsidR="007B4A8B" w:rsidP="007B4A8B" w:rsidRDefault="00FB6CE0" w14:paraId="4710F9D0" w14:textId="02D5D49A">
      <w:pPr>
        <w:spacing w:after="0"/>
        <w:rPr>
          <w:sz w:val="24"/>
          <w:szCs w:val="24"/>
        </w:rPr>
      </w:pPr>
      <w:r w:rsidRPr="007A5108">
        <w:rPr>
          <w:sz w:val="24"/>
          <w:szCs w:val="24"/>
        </w:rPr>
        <w:t>According to Thucydides, King Archidamus of Sparta fully recog</w:t>
      </w:r>
      <w:r w:rsidRPr="007A5108">
        <w:rPr>
          <w:sz w:val="24"/>
          <w:szCs w:val="24"/>
        </w:rPr>
        <w:t>nised his dilemma. The Athenians were unlike the Peloponnesian states that were within their hegemony. Archidamus saw the Athenians in much the same light as Admiral Yamamoto viewed possible conflict with America in 1941.</w:t>
      </w:r>
    </w:p>
    <w:p w:rsidRPr="007A5108" w:rsidR="007B4A8B" w:rsidP="007B4A8B" w:rsidRDefault="007B4A8B" w14:paraId="4CF0270A" w14:textId="77777777">
      <w:pPr>
        <w:spacing w:after="0"/>
        <w:rPr>
          <w:sz w:val="24"/>
          <w:szCs w:val="24"/>
        </w:rPr>
      </w:pPr>
    </w:p>
    <w:p w:rsidRPr="007A5108" w:rsidR="007B4A8B" w:rsidP="007B4A8B" w:rsidRDefault="00FB6CE0" w14:paraId="714C74B4" w14:textId="34168C44">
      <w:pPr>
        <w:spacing w:after="0"/>
        <w:ind w:left="283" w:right="283"/>
        <w:rPr>
          <w:sz w:val="24"/>
          <w:szCs w:val="24"/>
        </w:rPr>
      </w:pPr>
      <w:r w:rsidRPr="007A5108">
        <w:rPr>
          <w:sz w:val="24"/>
          <w:szCs w:val="24"/>
        </w:rPr>
        <w:t>“For though in respect of the Pel</w:t>
      </w:r>
      <w:r w:rsidRPr="007A5108">
        <w:rPr>
          <w:sz w:val="24"/>
          <w:szCs w:val="24"/>
        </w:rPr>
        <w:t>oponnesians and our neighbour states we have equal strength and can quickly be upon them , yet against men whose territory is remote and are also expert seamen and with all otherthings excellently furnished, as money, both private and public, shipping , ho</w:t>
      </w:r>
      <w:r w:rsidRPr="007A5108">
        <w:rPr>
          <w:sz w:val="24"/>
          <w:szCs w:val="24"/>
        </w:rPr>
        <w:t>rses, arms and number, more than any one part of Greece.”</w:t>
      </w:r>
      <w:r>
        <w:rPr>
          <w:rStyle w:val="FootnoteReference"/>
          <w:sz w:val="24"/>
          <w:szCs w:val="24"/>
        </w:rPr>
        <w:footnoteReference w:id="30"/>
      </w:r>
      <w:r w:rsidRPr="007A5108">
        <w:rPr>
          <w:sz w:val="24"/>
          <w:szCs w:val="24"/>
        </w:rPr>
        <w:t xml:space="preserve"> </w:t>
      </w:r>
    </w:p>
    <w:p w:rsidRPr="00B97800" w:rsidR="007B4A8B" w:rsidP="007B4A8B" w:rsidRDefault="007B4A8B" w14:paraId="600FDA2D" w14:textId="77777777">
      <w:pPr>
        <w:spacing w:after="0"/>
        <w:ind w:left="283" w:right="283"/>
        <w:rPr>
          <w:sz w:val="24"/>
          <w:szCs w:val="24"/>
          <w:highlight w:val="yellow"/>
        </w:rPr>
      </w:pPr>
    </w:p>
    <w:p w:rsidR="007B4A8B" w:rsidP="007B4A8B" w:rsidRDefault="00FB6CE0" w14:paraId="1D261CEC" w14:textId="1D0B4057">
      <w:pPr>
        <w:spacing w:after="0"/>
        <w:rPr>
          <w:sz w:val="24"/>
          <w:szCs w:val="24"/>
        </w:rPr>
      </w:pPr>
      <w:r w:rsidRPr="007A5108">
        <w:rPr>
          <w:sz w:val="24"/>
          <w:szCs w:val="24"/>
        </w:rPr>
        <w:lastRenderedPageBreak/>
        <w:t xml:space="preserve">Therefore, the geopolitical situation was tightly balanced from the start, with both sides recognising their strengths and weaknesses and their inability to bring the war to a swift </w:t>
      </w:r>
      <w:r w:rsidRPr="007A5108">
        <w:rPr>
          <w:sz w:val="24"/>
          <w:szCs w:val="24"/>
        </w:rPr>
        <w:t>conclusion. Pericles' War plan was to fight a war of attrition, secure within the safety of the Long Walls - a policy of blockade and raid.</w:t>
      </w:r>
      <w:r>
        <w:rPr>
          <w:rStyle w:val="FootnoteReference"/>
          <w:sz w:val="24"/>
          <w:szCs w:val="24"/>
        </w:rPr>
        <w:footnoteReference w:id="31"/>
      </w:r>
      <w:r w:rsidRPr="007A5108">
        <w:rPr>
          <w:sz w:val="24"/>
          <w:szCs w:val="24"/>
        </w:rPr>
        <w:t xml:space="preserve">   According to Thucydides, Pericles summarised their predicament precisely “for I am afraid of our own errors more</w:t>
      </w:r>
      <w:r w:rsidRPr="007A5108">
        <w:rPr>
          <w:sz w:val="24"/>
          <w:szCs w:val="24"/>
        </w:rPr>
        <w:t xml:space="preserve"> than of their designs.”</w:t>
      </w:r>
      <w:r>
        <w:rPr>
          <w:rStyle w:val="FootnoteReference"/>
          <w:sz w:val="24"/>
          <w:szCs w:val="24"/>
        </w:rPr>
        <w:footnoteReference w:id="32"/>
      </w:r>
      <w:r w:rsidRPr="007A5108">
        <w:rPr>
          <w:sz w:val="24"/>
          <w:szCs w:val="24"/>
        </w:rPr>
        <w:t xml:space="preserve">  “But with the death of Pericles, Athenian sea power as he had conceived it began its decline.”</w:t>
      </w:r>
      <w:r>
        <w:rPr>
          <w:rStyle w:val="FootnoteReference"/>
          <w:sz w:val="24"/>
          <w:szCs w:val="24"/>
        </w:rPr>
        <w:footnoteReference w:id="33"/>
      </w:r>
      <w:r w:rsidRPr="007A5108">
        <w:rPr>
          <w:sz w:val="24"/>
          <w:szCs w:val="24"/>
        </w:rPr>
        <w:t xml:space="preserve">  The disastrous Syracusian Expedition was a graphic manifestation of that decline.</w:t>
      </w:r>
      <w:r w:rsidRPr="00B97800">
        <w:rPr>
          <w:sz w:val="24"/>
          <w:szCs w:val="24"/>
        </w:rPr>
        <w:t xml:space="preserve"> </w:t>
      </w:r>
    </w:p>
    <w:p w:rsidR="007B4A8B" w:rsidP="007B4A8B" w:rsidRDefault="007B4A8B" w14:paraId="53B0138F" w14:textId="24EB3981">
      <w:pPr>
        <w:spacing w:after="0"/>
        <w:rPr>
          <w:sz w:val="24"/>
          <w:szCs w:val="24"/>
        </w:rPr>
      </w:pPr>
    </w:p>
    <w:p w:rsidR="007B4A8B" w:rsidP="007B4A8B" w:rsidRDefault="00FB6CE0" w14:paraId="4009FED4" w14:textId="0D83580C">
      <w:pPr>
        <w:spacing w:after="0"/>
        <w:rPr>
          <w:sz w:val="24"/>
          <w:szCs w:val="24"/>
        </w:rPr>
      </w:pPr>
      <w:r w:rsidRPr="007A5108">
        <w:rPr>
          <w:bCs/>
          <w:sz w:val="24"/>
          <w:szCs w:val="24"/>
        </w:rPr>
        <w:t>Indeed, the fate of the Sicilian Expedition wa</w:t>
      </w:r>
      <w:r w:rsidRPr="007A5108">
        <w:rPr>
          <w:bCs/>
          <w:sz w:val="24"/>
          <w:szCs w:val="24"/>
        </w:rPr>
        <w:t xml:space="preserve">s a heavy blow but were the Athenians so grievously affected as Thucydides implied? </w:t>
      </w:r>
      <w:r w:rsidRPr="00166746">
        <w:rPr>
          <w:sz w:val="24"/>
          <w:szCs w:val="24"/>
        </w:rPr>
        <w:t>Whilst acknowledging that this was a turning point in the war, Charles, for example, argued that this did not make defeat inevitable. Sicily, although a significant setback</w:t>
      </w:r>
      <w:r w:rsidRPr="00166746">
        <w:rPr>
          <w:sz w:val="24"/>
          <w:szCs w:val="24"/>
        </w:rPr>
        <w:t>, did not appear to affect Athens's ability to source and deploy naval materi</w:t>
      </w:r>
      <w:r>
        <w:rPr>
          <w:sz w:val="24"/>
          <w:szCs w:val="24"/>
        </w:rPr>
        <w:t>al.</w:t>
      </w:r>
      <w:r>
        <w:rPr>
          <w:rStyle w:val="FootnoteReference"/>
          <w:sz w:val="24"/>
          <w:szCs w:val="24"/>
        </w:rPr>
        <w:footnoteReference w:id="34"/>
      </w:r>
      <w:r w:rsidRPr="00166746">
        <w:rPr>
          <w:sz w:val="24"/>
          <w:szCs w:val="24"/>
        </w:rPr>
        <w:t xml:space="preserve">   At Arginusae, seven years after the debacle at Syracuse, Athens employed 150 triremes. At  Aegospotami, the climactic battle two years later, 180 triremes were deployed</w:t>
      </w:r>
      <w:r>
        <w:rPr>
          <w:sz w:val="24"/>
          <w:szCs w:val="24"/>
        </w:rPr>
        <w:t>.</w:t>
      </w:r>
      <w:r>
        <w:rPr>
          <w:rStyle w:val="FootnoteReference"/>
          <w:sz w:val="24"/>
          <w:szCs w:val="24"/>
        </w:rPr>
        <w:footnoteReference w:id="35"/>
      </w:r>
      <w:r>
        <w:rPr>
          <w:sz w:val="24"/>
          <w:szCs w:val="24"/>
        </w:rPr>
        <w:t xml:space="preserve">  </w:t>
      </w:r>
      <w:r w:rsidRPr="00166746">
        <w:rPr>
          <w:sz w:val="24"/>
          <w:szCs w:val="24"/>
        </w:rPr>
        <w:t>Athens did not retreat into reclusive inactivity after Sicily.</w:t>
      </w:r>
      <w:r>
        <w:rPr>
          <w:sz w:val="24"/>
          <w:szCs w:val="24"/>
        </w:rPr>
        <w:t xml:space="preserve"> </w:t>
      </w:r>
      <w:r w:rsidRPr="00166746">
        <w:rPr>
          <w:sz w:val="24"/>
          <w:szCs w:val="24"/>
        </w:rPr>
        <w:t>From 413 BC until Aegospotami, she still dominated the war at sea, losing only 135 ships, whilst the Peloponnese, in contrast, suffered 245 hull losses</w:t>
      </w:r>
      <w:r>
        <w:rPr>
          <w:sz w:val="24"/>
          <w:szCs w:val="24"/>
        </w:rPr>
        <w:t>.</w:t>
      </w:r>
      <w:r>
        <w:rPr>
          <w:rStyle w:val="FootnoteReference"/>
          <w:sz w:val="24"/>
          <w:szCs w:val="24"/>
        </w:rPr>
        <w:footnoteReference w:id="36"/>
      </w:r>
      <w:r w:rsidRPr="00166746">
        <w:rPr>
          <w:sz w:val="24"/>
          <w:szCs w:val="24"/>
        </w:rPr>
        <w:t xml:space="preserve">  Initially, the Peloponnesians seemed slow to capitalise on the force deficit they had been gifted.</w:t>
      </w:r>
      <w:r>
        <w:rPr>
          <w:sz w:val="24"/>
          <w:szCs w:val="24"/>
        </w:rPr>
        <w:t xml:space="preserve"> </w:t>
      </w:r>
      <w:r w:rsidRPr="00166746">
        <w:rPr>
          <w:sz w:val="24"/>
          <w:szCs w:val="24"/>
        </w:rPr>
        <w:t>To start with, the combined forces of the Beotians, Corinthians, Phocians, Arcadians, Megarians and Spartans could only deploy 100 triremes</w:t>
      </w:r>
      <w:r>
        <w:rPr>
          <w:sz w:val="24"/>
          <w:szCs w:val="24"/>
        </w:rPr>
        <w:t>.</w:t>
      </w:r>
      <w:r>
        <w:rPr>
          <w:rStyle w:val="FootnoteReference"/>
          <w:sz w:val="24"/>
          <w:szCs w:val="24"/>
        </w:rPr>
        <w:footnoteReference w:id="37"/>
      </w:r>
      <w:r w:rsidRPr="00166746">
        <w:rPr>
          <w:sz w:val="24"/>
          <w:szCs w:val="24"/>
        </w:rPr>
        <w:t xml:space="preserve"> </w:t>
      </w:r>
    </w:p>
    <w:p w:rsidR="00183299" w:rsidP="007B4A8B" w:rsidRDefault="00183299" w14:paraId="02D57AD6" w14:textId="52D6193D">
      <w:pPr>
        <w:spacing w:after="0"/>
        <w:rPr>
          <w:sz w:val="24"/>
          <w:szCs w:val="24"/>
        </w:rPr>
      </w:pPr>
    </w:p>
    <w:p w:rsidR="00183299" w:rsidP="00183299" w:rsidRDefault="00FB6CE0" w14:paraId="7B4661E4" w14:textId="3DB4C27A">
      <w:pPr>
        <w:spacing w:after="0"/>
        <w:rPr>
          <w:sz w:val="24"/>
          <w:szCs w:val="24"/>
        </w:rPr>
      </w:pPr>
      <w:r w:rsidRPr="00166746">
        <w:rPr>
          <w:sz w:val="24"/>
          <w:szCs w:val="24"/>
        </w:rPr>
        <w:t>The effect</w:t>
      </w:r>
      <w:r w:rsidRPr="00166746">
        <w:rPr>
          <w:sz w:val="24"/>
          <w:szCs w:val="24"/>
        </w:rPr>
        <w:t xml:space="preserve"> of the Sicilian Expedition was not immediate, but from then on, the </w:t>
      </w:r>
      <w:r w:rsidRPr="00166746">
        <w:rPr>
          <w:bCs/>
          <w:sz w:val="24"/>
          <w:szCs w:val="24"/>
        </w:rPr>
        <w:t>Spartan strategy started to evolve</w:t>
      </w:r>
      <w:r w:rsidRPr="00166746">
        <w:rPr>
          <w:b/>
          <w:sz w:val="24"/>
          <w:szCs w:val="24"/>
        </w:rPr>
        <w:t xml:space="preserve">. </w:t>
      </w:r>
      <w:r w:rsidRPr="00166746">
        <w:rPr>
          <w:sz w:val="24"/>
          <w:szCs w:val="24"/>
        </w:rPr>
        <w:t>As well as her efforts on land</w:t>
      </w:r>
      <w:r>
        <w:rPr>
          <w:sz w:val="24"/>
          <w:szCs w:val="24"/>
        </w:rPr>
        <w:t>,</w:t>
      </w:r>
      <w:r w:rsidRPr="00166746">
        <w:rPr>
          <w:sz w:val="24"/>
          <w:szCs w:val="24"/>
        </w:rPr>
        <w:t xml:space="preserve"> Sparta embarked upon an increasingly more aggressive and adventurous naval policy. Despite their defeat at Cyzicus in 4</w:t>
      </w:r>
      <w:r w:rsidRPr="00166746">
        <w:rPr>
          <w:sz w:val="24"/>
          <w:szCs w:val="24"/>
        </w:rPr>
        <w:t>10 BC, the Persian satrap</w:t>
      </w:r>
      <w:r>
        <w:rPr>
          <w:sz w:val="24"/>
          <w:szCs w:val="24"/>
        </w:rPr>
        <w:t>,</w:t>
      </w:r>
      <w:r w:rsidRPr="00166746">
        <w:rPr>
          <w:sz w:val="24"/>
          <w:szCs w:val="24"/>
        </w:rPr>
        <w:t xml:space="preserve"> Pharnabazus</w:t>
      </w:r>
      <w:r>
        <w:rPr>
          <w:sz w:val="24"/>
          <w:szCs w:val="24"/>
        </w:rPr>
        <w:t>,</w:t>
      </w:r>
      <w:r w:rsidRPr="00166746">
        <w:rPr>
          <w:sz w:val="24"/>
          <w:szCs w:val="24"/>
        </w:rPr>
        <w:t xml:space="preserve"> embarked on a policy of tacit support for an increased effort at sea, pledging supplies of timber and stores to the cause</w:t>
      </w:r>
      <w:r>
        <w:rPr>
          <w:sz w:val="24"/>
          <w:szCs w:val="24"/>
        </w:rPr>
        <w:t>.</w:t>
      </w:r>
      <w:r>
        <w:rPr>
          <w:rStyle w:val="FootnoteReference"/>
          <w:sz w:val="24"/>
          <w:szCs w:val="24"/>
        </w:rPr>
        <w:footnoteReference w:id="38"/>
      </w:r>
      <w:r w:rsidRPr="00166746">
        <w:rPr>
          <w:sz w:val="24"/>
          <w:szCs w:val="24"/>
        </w:rPr>
        <w:t xml:space="preserve">  This accelerated after 407 BC when Lysander, a Nelson–like figure, began to work in concer</w:t>
      </w:r>
      <w:r w:rsidRPr="00166746">
        <w:rPr>
          <w:sz w:val="24"/>
          <w:szCs w:val="24"/>
        </w:rPr>
        <w:t>t with the Achaemid prince</w:t>
      </w:r>
      <w:r>
        <w:rPr>
          <w:sz w:val="24"/>
          <w:szCs w:val="24"/>
        </w:rPr>
        <w:t>,</w:t>
      </w:r>
      <w:r w:rsidRPr="00166746">
        <w:rPr>
          <w:sz w:val="24"/>
          <w:szCs w:val="24"/>
        </w:rPr>
        <w:t xml:space="preserve"> Cyrus.</w:t>
      </w:r>
      <w:r>
        <w:rPr>
          <w:rStyle w:val="FootnoteReference"/>
          <w:sz w:val="24"/>
          <w:szCs w:val="24"/>
        </w:rPr>
        <w:footnoteReference w:id="39"/>
      </w:r>
      <w:r w:rsidRPr="00166746">
        <w:rPr>
          <w:sz w:val="24"/>
          <w:szCs w:val="24"/>
        </w:rPr>
        <w:t xml:space="preserve">  The events in the Great Harbour in 413</w:t>
      </w:r>
      <w:r>
        <w:rPr>
          <w:sz w:val="24"/>
          <w:szCs w:val="24"/>
        </w:rPr>
        <w:t xml:space="preserve"> </w:t>
      </w:r>
      <w:r w:rsidRPr="00166746">
        <w:rPr>
          <w:sz w:val="24"/>
          <w:szCs w:val="24"/>
        </w:rPr>
        <w:t>BC had emboldened the Peloponnese, who thought Athens was at the point of collapse.</w:t>
      </w:r>
      <w:r>
        <w:rPr>
          <w:sz w:val="24"/>
          <w:szCs w:val="24"/>
        </w:rPr>
        <w:t xml:space="preserve"> </w:t>
      </w:r>
      <w:r w:rsidRPr="00166746">
        <w:rPr>
          <w:sz w:val="24"/>
          <w:szCs w:val="24"/>
        </w:rPr>
        <w:t>The destruction of 216 Delian triremes and 45</w:t>
      </w:r>
      <w:r>
        <w:rPr>
          <w:sz w:val="24"/>
          <w:szCs w:val="24"/>
        </w:rPr>
        <w:t>,</w:t>
      </w:r>
      <w:r w:rsidRPr="00166746">
        <w:rPr>
          <w:sz w:val="24"/>
          <w:szCs w:val="24"/>
        </w:rPr>
        <w:t>000 men was the impetus required, together with t</w:t>
      </w:r>
      <w:r w:rsidRPr="00166746">
        <w:rPr>
          <w:sz w:val="24"/>
          <w:szCs w:val="24"/>
        </w:rPr>
        <w:t>he injection of Persian money for Sparta to close the gap and challenge the Athenians at sea.</w:t>
      </w:r>
      <w:r>
        <w:rPr>
          <w:rStyle w:val="FootnoteReference"/>
          <w:sz w:val="24"/>
          <w:szCs w:val="24"/>
        </w:rPr>
        <w:footnoteReference w:id="40"/>
      </w:r>
      <w:r w:rsidRPr="00166746">
        <w:rPr>
          <w:sz w:val="24"/>
          <w:szCs w:val="24"/>
        </w:rPr>
        <w:t xml:space="preserve">  </w:t>
      </w:r>
      <w:r w:rsidRPr="00376703">
        <w:rPr>
          <w:sz w:val="24"/>
          <w:szCs w:val="24"/>
        </w:rPr>
        <w:t>War at sea had now become a more professional contest, and the loss of so many trained crews had reduced Athens' qualitative advantage to dangerous levels.</w:t>
      </w:r>
      <w:r w:rsidRPr="00166746">
        <w:rPr>
          <w:sz w:val="24"/>
          <w:szCs w:val="24"/>
        </w:rPr>
        <w:t xml:space="preserve"> Inc</w:t>
      </w:r>
      <w:r w:rsidRPr="00166746">
        <w:rPr>
          <w:sz w:val="24"/>
          <w:szCs w:val="24"/>
        </w:rPr>
        <w:t>reasing demand for extra crews led to the employment of mercenaries who would serve the highest bidder. Athens was at a severe disadvantage against Sparta, which now enjoyed the benefits of Persian 'lend-lease'</w:t>
      </w:r>
      <w:r>
        <w:rPr>
          <w:sz w:val="24"/>
          <w:szCs w:val="24"/>
        </w:rPr>
        <w:t>.</w:t>
      </w:r>
      <w:r>
        <w:rPr>
          <w:rStyle w:val="FootnoteReference"/>
          <w:sz w:val="24"/>
          <w:szCs w:val="24"/>
        </w:rPr>
        <w:footnoteReference w:id="41"/>
      </w:r>
      <w:r w:rsidRPr="00166746">
        <w:rPr>
          <w:sz w:val="24"/>
          <w:szCs w:val="24"/>
        </w:rPr>
        <w:t xml:space="preserve">  In many ways, the Sicilian Expedition, ir</w:t>
      </w:r>
      <w:r w:rsidRPr="00166746">
        <w:rPr>
          <w:sz w:val="24"/>
          <w:szCs w:val="24"/>
        </w:rPr>
        <w:t>respective of its outcome</w:t>
      </w:r>
      <w:r>
        <w:rPr>
          <w:sz w:val="24"/>
          <w:szCs w:val="24"/>
        </w:rPr>
        <w:t>,</w:t>
      </w:r>
      <w:r w:rsidRPr="00166746">
        <w:rPr>
          <w:sz w:val="24"/>
          <w:szCs w:val="24"/>
        </w:rPr>
        <w:t xml:space="preserve"> provided Sparta with an outstanding strategic opportunity.</w:t>
      </w:r>
      <w:r>
        <w:rPr>
          <w:rStyle w:val="FootnoteReference"/>
          <w:sz w:val="24"/>
          <w:szCs w:val="24"/>
        </w:rPr>
        <w:footnoteReference w:id="42"/>
      </w:r>
      <w:r w:rsidRPr="00166746">
        <w:rPr>
          <w:sz w:val="24"/>
          <w:szCs w:val="24"/>
        </w:rPr>
        <w:t xml:space="preserve">  </w:t>
      </w:r>
      <w:r w:rsidRPr="00376703">
        <w:rPr>
          <w:sz w:val="24"/>
          <w:szCs w:val="24"/>
        </w:rPr>
        <w:t>Athens would have to contend with a war on two fronts</w:t>
      </w:r>
      <w:r w:rsidRPr="00166746">
        <w:rPr>
          <w:sz w:val="24"/>
          <w:szCs w:val="24"/>
        </w:rPr>
        <w:t>, and this would further drain the Athenian treasury.</w:t>
      </w:r>
      <w:r>
        <w:rPr>
          <w:sz w:val="24"/>
          <w:szCs w:val="24"/>
        </w:rPr>
        <w:t xml:space="preserve"> </w:t>
      </w:r>
      <w:r w:rsidRPr="00166746">
        <w:rPr>
          <w:sz w:val="24"/>
          <w:szCs w:val="24"/>
        </w:rPr>
        <w:t>Already suffering from being cut off from the farms and mine</w:t>
      </w:r>
      <w:r w:rsidRPr="00166746">
        <w:rPr>
          <w:sz w:val="24"/>
          <w:szCs w:val="24"/>
        </w:rPr>
        <w:t>s in Attica</w:t>
      </w:r>
      <w:r>
        <w:rPr>
          <w:sz w:val="24"/>
          <w:szCs w:val="24"/>
        </w:rPr>
        <w:t>,</w:t>
      </w:r>
      <w:r w:rsidRPr="00166746">
        <w:rPr>
          <w:sz w:val="24"/>
          <w:szCs w:val="24"/>
        </w:rPr>
        <w:t xml:space="preserve"> it would be forced to demand higher tributes from its various client states, fostering </w:t>
      </w:r>
      <w:r w:rsidRPr="00166746">
        <w:rPr>
          <w:sz w:val="24"/>
          <w:szCs w:val="24"/>
        </w:rPr>
        <w:lastRenderedPageBreak/>
        <w:t>dissatisfaction within them and rendering a further leverage point to the Peloponnesians.</w:t>
      </w:r>
      <w:r>
        <w:rPr>
          <w:rStyle w:val="FootnoteReference"/>
          <w:sz w:val="24"/>
          <w:szCs w:val="24"/>
        </w:rPr>
        <w:footnoteReference w:id="43"/>
      </w:r>
      <w:r w:rsidRPr="00166746">
        <w:rPr>
          <w:sz w:val="24"/>
          <w:szCs w:val="24"/>
        </w:rPr>
        <w:t xml:space="preserve"> Now with virtually an inexha</w:t>
      </w:r>
      <w:r>
        <w:rPr>
          <w:sz w:val="24"/>
          <w:szCs w:val="24"/>
        </w:rPr>
        <w:t>u</w:t>
      </w:r>
      <w:r w:rsidRPr="00166746">
        <w:rPr>
          <w:sz w:val="24"/>
          <w:szCs w:val="24"/>
        </w:rPr>
        <w:t>st</w:t>
      </w:r>
      <w:r>
        <w:rPr>
          <w:sz w:val="24"/>
          <w:szCs w:val="24"/>
        </w:rPr>
        <w:t>i</w:t>
      </w:r>
      <w:r w:rsidRPr="00166746">
        <w:rPr>
          <w:sz w:val="24"/>
          <w:szCs w:val="24"/>
        </w:rPr>
        <w:t>ble supply of capital, Sparta co</w:t>
      </w:r>
      <w:r w:rsidRPr="00166746">
        <w:rPr>
          <w:sz w:val="24"/>
          <w:szCs w:val="24"/>
        </w:rPr>
        <w:t>uld achieve and maintain numerical superiority in triremes. Qualitative superiority was unimportant because they could afford to sustain losses in the knowledge that they could be swiftly replaced.</w:t>
      </w:r>
      <w:r>
        <w:rPr>
          <w:rStyle w:val="FootnoteReference"/>
          <w:sz w:val="24"/>
          <w:szCs w:val="24"/>
        </w:rPr>
        <w:footnoteReference w:id="44"/>
      </w:r>
      <w:r w:rsidRPr="00166746">
        <w:rPr>
          <w:sz w:val="24"/>
          <w:szCs w:val="24"/>
        </w:rPr>
        <w:t xml:space="preserve">  The Spartans had changed tactics and transformed the Pe</w:t>
      </w:r>
      <w:r w:rsidRPr="00166746">
        <w:rPr>
          <w:sz w:val="24"/>
          <w:szCs w:val="24"/>
        </w:rPr>
        <w:t>loponnesian war into one that was truly multi-theatre.</w:t>
      </w:r>
      <w:r>
        <w:rPr>
          <w:sz w:val="24"/>
          <w:szCs w:val="24"/>
        </w:rPr>
        <w:t xml:space="preserve"> </w:t>
      </w:r>
      <w:r w:rsidRPr="00166746">
        <w:rPr>
          <w:sz w:val="24"/>
          <w:szCs w:val="24"/>
        </w:rPr>
        <w:t>They had taken the principle that had worked so well in hoplite warfare, attrition, and applied it to naval warfare.</w:t>
      </w:r>
    </w:p>
    <w:p w:rsidR="0048594A" w:rsidP="00183299" w:rsidRDefault="0048594A" w14:paraId="3E1B8802" w14:textId="413D831A">
      <w:pPr>
        <w:spacing w:after="0"/>
        <w:rPr>
          <w:sz w:val="24"/>
          <w:szCs w:val="24"/>
        </w:rPr>
      </w:pPr>
    </w:p>
    <w:p w:rsidRPr="0048594A" w:rsidR="0048594A" w:rsidP="0048594A" w:rsidRDefault="00FB6CE0" w14:paraId="6FDB5622" w14:textId="592A7232">
      <w:pPr>
        <w:spacing w:after="0"/>
        <w:rPr>
          <w:rFonts w:cstheme="minorHAnsi"/>
          <w:sz w:val="24"/>
          <w:szCs w:val="24"/>
        </w:rPr>
      </w:pPr>
      <w:r>
        <w:rPr>
          <w:rStyle w:val="yiv2613245642s2"/>
          <w:rFonts w:cstheme="minorHAnsi"/>
          <w:color w:val="000000"/>
          <w:sz w:val="24"/>
          <w:szCs w:val="24"/>
          <w:shd w:val="clear" w:color="auto" w:fill="FFFFFF"/>
        </w:rPr>
        <w:t>“</w:t>
      </w:r>
      <w:r w:rsidRPr="0048594A">
        <w:rPr>
          <w:rStyle w:val="yiv2613245642s2"/>
          <w:rFonts w:cstheme="minorHAnsi"/>
          <w:color w:val="000000"/>
          <w:sz w:val="24"/>
          <w:szCs w:val="24"/>
          <w:shd w:val="clear" w:color="auto" w:fill="FFFFFF"/>
        </w:rPr>
        <w:t xml:space="preserve">With a length six or seven times its width and a massive ram, the sleek </w:t>
      </w:r>
      <w:r w:rsidRPr="0048594A">
        <w:rPr>
          <w:rStyle w:val="yiv2613245642s2"/>
          <w:rFonts w:cstheme="minorHAnsi"/>
          <w:color w:val="000000"/>
          <w:sz w:val="24"/>
          <w:szCs w:val="24"/>
          <w:shd w:val="clear" w:color="auto" w:fill="FFFFFF"/>
        </w:rPr>
        <w:t>trireme in one sense was a floating spear</w:t>
      </w:r>
      <w:r>
        <w:rPr>
          <w:rStyle w:val="yiv2613245642s2"/>
          <w:rFonts w:cstheme="minorHAnsi"/>
          <w:color w:val="000000"/>
          <w:sz w:val="24"/>
          <w:szCs w:val="24"/>
          <w:shd w:val="clear" w:color="auto" w:fill="FFFFFF"/>
        </w:rPr>
        <w:t>.</w:t>
      </w:r>
      <w:r w:rsidRPr="0048594A">
        <w:rPr>
          <w:rStyle w:val="yiv2613245642s2"/>
          <w:rFonts w:cstheme="minorHAnsi"/>
          <w:color w:val="000000"/>
          <w:sz w:val="24"/>
          <w:szCs w:val="24"/>
          <w:shd w:val="clear" w:color="auto" w:fill="FFFFFF"/>
        </w:rPr>
        <w:t>”</w:t>
      </w:r>
      <w:r>
        <w:rPr>
          <w:rStyle w:val="FootnoteReference"/>
          <w:rFonts w:cstheme="minorHAnsi"/>
          <w:color w:val="000000"/>
          <w:sz w:val="24"/>
          <w:szCs w:val="24"/>
          <w:shd w:val="clear" w:color="auto" w:fill="FFFFFF"/>
        </w:rPr>
        <w:footnoteReference w:id="45"/>
      </w:r>
      <w:r w:rsidRPr="0048594A">
        <w:rPr>
          <w:rStyle w:val="yiv2613245642s2"/>
          <w:rFonts w:cstheme="minorHAnsi"/>
          <w:color w:val="000000"/>
          <w:sz w:val="24"/>
          <w:szCs w:val="24"/>
          <w:shd w:val="clear" w:color="auto" w:fill="FFFFFF"/>
        </w:rPr>
        <w:t xml:space="preserve">  Hanson's somewhat disparaging remarks almost imply that the Spartans were reactionary and simply taking the principle of the phalanx to sea.</w:t>
      </w:r>
      <w:r>
        <w:rPr>
          <w:rStyle w:val="yiv2613245642s2"/>
          <w:rFonts w:cstheme="minorHAnsi"/>
          <w:color w:val="000000"/>
          <w:sz w:val="24"/>
          <w:szCs w:val="24"/>
          <w:shd w:val="clear" w:color="auto" w:fill="FFFFFF"/>
        </w:rPr>
        <w:t xml:space="preserve"> </w:t>
      </w:r>
      <w:r w:rsidRPr="0048594A">
        <w:rPr>
          <w:rStyle w:val="yiv2613245642s2"/>
          <w:rFonts w:cstheme="minorHAnsi"/>
          <w:color w:val="000000"/>
          <w:sz w:val="24"/>
          <w:szCs w:val="24"/>
          <w:shd w:val="clear" w:color="auto" w:fill="FFFFFF"/>
        </w:rPr>
        <w:t>However, in many ways, the Spartans sought to revolutionise naval wa</w:t>
      </w:r>
      <w:r w:rsidRPr="0048594A">
        <w:rPr>
          <w:rStyle w:val="yiv2613245642s2"/>
          <w:rFonts w:cstheme="minorHAnsi"/>
          <w:color w:val="000000"/>
          <w:sz w:val="24"/>
          <w:szCs w:val="24"/>
          <w:shd w:val="clear" w:color="auto" w:fill="FFFFFF"/>
        </w:rPr>
        <w:t>rfare. Far from being content simply to wage a war of naval attrition, they evolved new tactics explicitly designed to negate the Athenian advantage.</w:t>
      </w:r>
      <w:r>
        <w:rPr>
          <w:rStyle w:val="yiv2613245642s2"/>
          <w:rFonts w:cstheme="minorHAnsi"/>
          <w:color w:val="000000"/>
          <w:sz w:val="24"/>
          <w:szCs w:val="24"/>
          <w:shd w:val="clear" w:color="auto" w:fill="FFFFFF"/>
        </w:rPr>
        <w:t xml:space="preserve"> </w:t>
      </w:r>
      <w:r w:rsidRPr="0048594A">
        <w:rPr>
          <w:rStyle w:val="yiv2613245642s2"/>
          <w:rFonts w:cstheme="minorHAnsi"/>
          <w:color w:val="000000"/>
          <w:sz w:val="24"/>
          <w:szCs w:val="24"/>
          <w:shd w:val="clear" w:color="auto" w:fill="FFFFFF"/>
        </w:rPr>
        <w:t>The inherent instability and lack of space imposed by the large number of oarsmen required to give the tri</w:t>
      </w:r>
      <w:r w:rsidRPr="0048594A">
        <w:rPr>
          <w:rStyle w:val="yiv2613245642s2"/>
          <w:rFonts w:cstheme="minorHAnsi"/>
          <w:color w:val="000000"/>
          <w:sz w:val="24"/>
          <w:szCs w:val="24"/>
          <w:shd w:val="clear" w:color="auto" w:fill="FFFFFF"/>
        </w:rPr>
        <w:t>reme its hitting power prevented the Peloponnesians from using hoplites effectively as marines.</w:t>
      </w:r>
      <w:r>
        <w:rPr>
          <w:rStyle w:val="yiv2613245642s2"/>
          <w:rFonts w:cstheme="minorHAnsi"/>
          <w:color w:val="000000"/>
          <w:sz w:val="24"/>
          <w:szCs w:val="24"/>
          <w:shd w:val="clear" w:color="auto" w:fill="FFFFFF"/>
        </w:rPr>
        <w:t xml:space="preserve"> </w:t>
      </w:r>
      <w:r w:rsidRPr="0048594A">
        <w:rPr>
          <w:rStyle w:val="yiv2613245642s2"/>
          <w:rFonts w:cstheme="minorHAnsi"/>
          <w:color w:val="000000"/>
          <w:sz w:val="24"/>
          <w:szCs w:val="24"/>
          <w:shd w:val="clear" w:color="auto" w:fill="FFFFFF"/>
        </w:rPr>
        <w:t>The emotive power of the trireme remained the battering ram. The qualitative advantage possessed by the Athenians reste</w:t>
      </w:r>
      <w:r>
        <w:rPr>
          <w:rStyle w:val="yiv2613245642s2"/>
          <w:rFonts w:cstheme="minorHAnsi"/>
          <w:color w:val="000000"/>
          <w:sz w:val="24"/>
          <w:szCs w:val="24"/>
          <w:shd w:val="clear" w:color="auto" w:fill="FFFFFF"/>
        </w:rPr>
        <w:t>d</w:t>
      </w:r>
      <w:r w:rsidRPr="0048594A">
        <w:rPr>
          <w:rStyle w:val="yiv2613245642s2"/>
          <w:rFonts w:cstheme="minorHAnsi"/>
          <w:color w:val="000000"/>
          <w:sz w:val="24"/>
          <w:szCs w:val="24"/>
          <w:shd w:val="clear" w:color="auto" w:fill="FFFFFF"/>
        </w:rPr>
        <w:t xml:space="preserve"> primarily in their ability to manoeuvre</w:t>
      </w:r>
      <w:r w:rsidRPr="0048594A">
        <w:rPr>
          <w:rStyle w:val="yiv2613245642s2"/>
          <w:rFonts w:cstheme="minorHAnsi"/>
          <w:color w:val="000000"/>
          <w:sz w:val="24"/>
          <w:szCs w:val="24"/>
          <w:shd w:val="clear" w:color="auto" w:fill="FFFFFF"/>
        </w:rPr>
        <w:t xml:space="preserve"> their ships at speed and with agility to bring the ram to bear. Their two standard manoeuvres, the </w:t>
      </w:r>
      <w:r w:rsidRPr="0048594A">
        <w:rPr>
          <w:rStyle w:val="yiv2613245642s2"/>
          <w:rFonts w:cstheme="minorHAnsi"/>
          <w:i/>
          <w:iCs/>
          <w:color w:val="000000"/>
          <w:sz w:val="24"/>
          <w:szCs w:val="24"/>
          <w:shd w:val="clear" w:color="auto" w:fill="FFFFFF"/>
        </w:rPr>
        <w:t>diekplous</w:t>
      </w:r>
      <w:r>
        <w:rPr>
          <w:rStyle w:val="yiv2613245642s2"/>
          <w:rFonts w:cstheme="minorHAnsi"/>
          <w:i/>
          <w:iCs/>
          <w:color w:val="000000"/>
          <w:sz w:val="24"/>
          <w:szCs w:val="24"/>
          <w:shd w:val="clear" w:color="auto" w:fill="FFFFFF"/>
        </w:rPr>
        <w:t>,</w:t>
      </w:r>
      <w:r w:rsidRPr="0048594A">
        <w:rPr>
          <w:rStyle w:val="yiv2613245642s2"/>
          <w:rFonts w:cstheme="minorHAnsi"/>
          <w:color w:val="000000"/>
          <w:sz w:val="24"/>
          <w:szCs w:val="24"/>
          <w:shd w:val="clear" w:color="auto" w:fill="FFFFFF"/>
        </w:rPr>
        <w:t> which involved either encircling or breaking through the</w:t>
      </w:r>
      <w:r w:rsidRPr="0048594A">
        <w:rPr>
          <w:rStyle w:val="yiv2613245642s2"/>
          <w:rFonts w:cstheme="minorHAnsi"/>
          <w:i/>
          <w:iCs/>
          <w:color w:val="000000"/>
          <w:sz w:val="24"/>
          <w:szCs w:val="24"/>
          <w:shd w:val="clear" w:color="auto" w:fill="FFFFFF"/>
        </w:rPr>
        <w:t> </w:t>
      </w:r>
      <w:r w:rsidRPr="0048594A">
        <w:rPr>
          <w:rStyle w:val="yiv2613245642s2"/>
          <w:rFonts w:cstheme="minorHAnsi"/>
          <w:color w:val="000000"/>
          <w:sz w:val="24"/>
          <w:szCs w:val="24"/>
          <w:shd w:val="clear" w:color="auto" w:fill="FFFFFF"/>
        </w:rPr>
        <w:t>enemy, and the </w:t>
      </w:r>
      <w:r w:rsidRPr="0048594A">
        <w:rPr>
          <w:rStyle w:val="yiv2613245642s2"/>
          <w:rFonts w:cstheme="minorHAnsi"/>
          <w:i/>
          <w:iCs/>
          <w:color w:val="000000"/>
          <w:sz w:val="24"/>
          <w:szCs w:val="24"/>
          <w:shd w:val="clear" w:color="auto" w:fill="FFFFFF"/>
        </w:rPr>
        <w:t>periplous</w:t>
      </w:r>
      <w:r>
        <w:rPr>
          <w:rStyle w:val="yiv2613245642s2"/>
          <w:rFonts w:cstheme="minorHAnsi"/>
          <w:i/>
          <w:iCs/>
          <w:color w:val="000000"/>
          <w:sz w:val="24"/>
          <w:szCs w:val="24"/>
          <w:shd w:val="clear" w:color="auto" w:fill="FFFFFF"/>
        </w:rPr>
        <w:t>,</w:t>
      </w:r>
      <w:r w:rsidRPr="0048594A">
        <w:rPr>
          <w:rStyle w:val="yiv2613245642s2"/>
          <w:rFonts w:cstheme="minorHAnsi"/>
          <w:color w:val="000000"/>
          <w:sz w:val="24"/>
          <w:szCs w:val="24"/>
          <w:shd w:val="clear" w:color="auto" w:fill="FFFFFF"/>
        </w:rPr>
        <w:t> which was a rapid reversal of direction</w:t>
      </w:r>
      <w:r>
        <w:rPr>
          <w:rStyle w:val="yiv2613245642s2"/>
          <w:rFonts w:cstheme="minorHAnsi"/>
          <w:color w:val="000000"/>
          <w:sz w:val="24"/>
          <w:szCs w:val="24"/>
          <w:shd w:val="clear" w:color="auto" w:fill="FFFFFF"/>
        </w:rPr>
        <w:t>,</w:t>
      </w:r>
      <w:r w:rsidRPr="0048594A">
        <w:rPr>
          <w:rStyle w:val="yiv2613245642s2"/>
          <w:rFonts w:cstheme="minorHAnsi"/>
          <w:color w:val="000000"/>
          <w:sz w:val="24"/>
          <w:szCs w:val="24"/>
          <w:shd w:val="clear" w:color="auto" w:fill="FFFFFF"/>
        </w:rPr>
        <w:t xml:space="preserve"> were used to good eff</w:t>
      </w:r>
      <w:r w:rsidRPr="0048594A">
        <w:rPr>
          <w:rStyle w:val="yiv2613245642s2"/>
          <w:rFonts w:cstheme="minorHAnsi"/>
          <w:color w:val="000000"/>
          <w:sz w:val="24"/>
          <w:szCs w:val="24"/>
          <w:shd w:val="clear" w:color="auto" w:fill="FFFFFF"/>
        </w:rPr>
        <w:t>ect a</w:t>
      </w:r>
      <w:r>
        <w:rPr>
          <w:rStyle w:val="yiv2613245642s2"/>
          <w:rFonts w:cstheme="minorHAnsi"/>
          <w:color w:val="000000"/>
          <w:sz w:val="24"/>
          <w:szCs w:val="24"/>
          <w:shd w:val="clear" w:color="auto" w:fill="FFFFFF"/>
        </w:rPr>
        <w:t>t</w:t>
      </w:r>
      <w:r w:rsidRPr="0048594A">
        <w:rPr>
          <w:rStyle w:val="yiv2613245642s2"/>
          <w:rFonts w:cstheme="minorHAnsi"/>
          <w:color w:val="000000"/>
          <w:sz w:val="24"/>
          <w:szCs w:val="24"/>
          <w:shd w:val="clear" w:color="auto" w:fill="FFFFFF"/>
        </w:rPr>
        <w:t xml:space="preserve"> Arginusae in 406 BC</w:t>
      </w:r>
      <w:r>
        <w:rPr>
          <w:rStyle w:val="yiv2613245642s2"/>
          <w:rFonts w:cstheme="minorHAnsi"/>
          <w:color w:val="000000"/>
          <w:sz w:val="24"/>
          <w:szCs w:val="24"/>
          <w:shd w:val="clear" w:color="auto" w:fill="FFFFFF"/>
        </w:rPr>
        <w:t>.</w:t>
      </w:r>
      <w:r>
        <w:rPr>
          <w:rStyle w:val="FootnoteReference"/>
          <w:rFonts w:cstheme="minorHAnsi"/>
          <w:color w:val="000000"/>
          <w:sz w:val="24"/>
          <w:szCs w:val="24"/>
          <w:shd w:val="clear" w:color="auto" w:fill="FFFFFF"/>
        </w:rPr>
        <w:footnoteReference w:id="46"/>
      </w:r>
      <w:r w:rsidRPr="0048594A">
        <w:rPr>
          <w:rStyle w:val="yiv2613245642s2"/>
          <w:rFonts w:cstheme="minorHAnsi"/>
          <w:color w:val="000000"/>
          <w:sz w:val="24"/>
          <w:szCs w:val="24"/>
          <w:shd w:val="clear" w:color="auto" w:fill="FFFFFF"/>
        </w:rPr>
        <w:t xml:space="preserve">  The Spartans countered this tactical problem by the use of a strengthened </w:t>
      </w:r>
      <w:r w:rsidRPr="0048594A">
        <w:rPr>
          <w:rStyle w:val="yiv2613245642s2"/>
          <w:rFonts w:cstheme="minorHAnsi"/>
          <w:i/>
          <w:iCs/>
          <w:color w:val="000000"/>
          <w:sz w:val="24"/>
          <w:szCs w:val="24"/>
          <w:shd w:val="clear" w:color="auto" w:fill="FFFFFF"/>
        </w:rPr>
        <w:t>epotis</w:t>
      </w:r>
      <w:r>
        <w:rPr>
          <w:rStyle w:val="yiv2613245642s2"/>
          <w:rFonts w:cstheme="minorHAnsi"/>
          <w:i/>
          <w:iCs/>
          <w:color w:val="000000"/>
          <w:sz w:val="24"/>
          <w:szCs w:val="24"/>
          <w:shd w:val="clear" w:color="auto" w:fill="FFFFFF"/>
        </w:rPr>
        <w:t>.</w:t>
      </w:r>
      <w:r>
        <w:rPr>
          <w:rStyle w:val="FootnoteReference"/>
          <w:rFonts w:cstheme="minorHAnsi"/>
          <w:i/>
          <w:iCs/>
          <w:color w:val="000000"/>
          <w:sz w:val="24"/>
          <w:szCs w:val="24"/>
          <w:shd w:val="clear" w:color="auto" w:fill="FFFFFF"/>
        </w:rPr>
        <w:footnoteReference w:id="47"/>
      </w:r>
      <w:r w:rsidRPr="0048594A">
        <w:rPr>
          <w:rStyle w:val="yiv2613245642s2"/>
          <w:rFonts w:cstheme="minorHAnsi"/>
          <w:i/>
          <w:iCs/>
          <w:color w:val="000000"/>
          <w:sz w:val="24"/>
          <w:szCs w:val="24"/>
          <w:shd w:val="clear" w:color="auto" w:fill="FFFFFF"/>
        </w:rPr>
        <w:t xml:space="preserve">  </w:t>
      </w:r>
      <w:r w:rsidRPr="0048594A">
        <w:rPr>
          <w:rFonts w:cstheme="minorHAnsi"/>
          <w:color w:val="000000"/>
          <w:sz w:val="24"/>
          <w:szCs w:val="24"/>
          <w:shd w:val="clear" w:color="auto" w:fill="FFFFFF"/>
        </w:rPr>
        <w:t>They had an innovator, the Corinthian admiral Polyanthes</w:t>
      </w:r>
      <w:r w:rsidR="00FF49AE">
        <w:rPr>
          <w:rFonts w:cstheme="minorHAnsi"/>
          <w:color w:val="000000"/>
          <w:sz w:val="24"/>
          <w:szCs w:val="24"/>
          <w:shd w:val="clear" w:color="auto" w:fill="FFFFFF"/>
        </w:rPr>
        <w:t>,</w:t>
      </w:r>
      <w:r w:rsidRPr="0048594A">
        <w:rPr>
          <w:rFonts w:cstheme="minorHAnsi"/>
          <w:color w:val="000000"/>
          <w:sz w:val="24"/>
          <w:szCs w:val="24"/>
          <w:shd w:val="clear" w:color="auto" w:fill="FFFFFF"/>
        </w:rPr>
        <w:t xml:space="preserve"> who looked for an easier and less skilful way to disable the enemy’s ships because they had little skill themselves.</w:t>
      </w:r>
      <w:r>
        <w:rPr>
          <w:rStyle w:val="FootnoteReference"/>
          <w:rFonts w:cstheme="minorHAnsi"/>
          <w:color w:val="000000"/>
          <w:sz w:val="24"/>
          <w:szCs w:val="24"/>
          <w:shd w:val="clear" w:color="auto" w:fill="FFFFFF"/>
        </w:rPr>
        <w:footnoteReference w:id="48"/>
      </w:r>
      <w:r w:rsidRPr="0048594A">
        <w:rPr>
          <w:rFonts w:cstheme="minorHAnsi"/>
          <w:color w:val="000000"/>
          <w:sz w:val="24"/>
          <w:szCs w:val="24"/>
          <w:shd w:val="clear" w:color="auto" w:fill="FFFFFF"/>
        </w:rPr>
        <w:t xml:space="preserve">  The reinforced </w:t>
      </w:r>
      <w:r w:rsidRPr="0048594A">
        <w:rPr>
          <w:rFonts w:cstheme="minorHAnsi"/>
          <w:i/>
          <w:iCs/>
          <w:color w:val="000000"/>
          <w:sz w:val="24"/>
          <w:szCs w:val="24"/>
          <w:shd w:val="clear" w:color="auto" w:fill="FFFFFF"/>
        </w:rPr>
        <w:t>epotis</w:t>
      </w:r>
      <w:r w:rsidRPr="0048594A">
        <w:rPr>
          <w:rFonts w:cstheme="minorHAnsi"/>
          <w:color w:val="000000"/>
          <w:sz w:val="24"/>
          <w:szCs w:val="24"/>
          <w:shd w:val="clear" w:color="auto" w:fill="FFFFFF"/>
        </w:rPr>
        <w:t>, used to crush the bow or destroy the oars of the ramming ship, represented a significant departure from the esta</w:t>
      </w:r>
      <w:r w:rsidRPr="0048594A">
        <w:rPr>
          <w:rFonts w:cstheme="minorHAnsi"/>
          <w:color w:val="000000"/>
          <w:sz w:val="24"/>
          <w:szCs w:val="24"/>
          <w:shd w:val="clear" w:color="auto" w:fill="FFFFFF"/>
        </w:rPr>
        <w:t>blished pattern of broadside ramming</w:t>
      </w:r>
      <w:r w:rsidR="00FF49AE">
        <w:rPr>
          <w:rFonts w:cstheme="minorHAnsi"/>
          <w:color w:val="000000"/>
          <w:sz w:val="24"/>
          <w:szCs w:val="24"/>
          <w:shd w:val="clear" w:color="auto" w:fill="FFFFFF"/>
        </w:rPr>
        <w:t>.</w:t>
      </w:r>
      <w:r>
        <w:rPr>
          <w:rStyle w:val="FootnoteReference"/>
          <w:rFonts w:cstheme="minorHAnsi"/>
          <w:color w:val="000000"/>
          <w:sz w:val="24"/>
          <w:szCs w:val="24"/>
          <w:shd w:val="clear" w:color="auto" w:fill="FFFFFF"/>
        </w:rPr>
        <w:footnoteReference w:id="49"/>
      </w:r>
      <w:r w:rsidRPr="0048594A">
        <w:rPr>
          <w:rFonts w:cstheme="minorHAnsi"/>
          <w:color w:val="000000"/>
          <w:sz w:val="24"/>
          <w:szCs w:val="24"/>
          <w:shd w:val="clear" w:color="auto" w:fill="FFFFFF"/>
        </w:rPr>
        <w:t xml:space="preserve">  It is ironic that the innovative Athenians were defeated by the conservative Peloponnese</w:t>
      </w:r>
      <w:r w:rsidR="00FF49AE">
        <w:rPr>
          <w:rFonts w:cstheme="minorHAnsi"/>
          <w:color w:val="000000"/>
          <w:sz w:val="24"/>
          <w:szCs w:val="24"/>
          <w:shd w:val="clear" w:color="auto" w:fill="FFFFFF"/>
        </w:rPr>
        <w:t>.</w:t>
      </w:r>
      <w:r>
        <w:rPr>
          <w:rStyle w:val="FootnoteReference"/>
          <w:rFonts w:cstheme="minorHAnsi"/>
          <w:color w:val="000000"/>
          <w:sz w:val="24"/>
          <w:szCs w:val="24"/>
          <w:shd w:val="clear" w:color="auto" w:fill="FFFFFF"/>
        </w:rPr>
        <w:footnoteReference w:id="50"/>
      </w:r>
      <w:r w:rsidRPr="0048594A">
        <w:rPr>
          <w:rFonts w:cstheme="minorHAnsi"/>
          <w:color w:val="000000"/>
          <w:sz w:val="24"/>
          <w:szCs w:val="24"/>
          <w:shd w:val="clear" w:color="auto" w:fill="FFFFFF"/>
        </w:rPr>
        <w:t xml:space="preserve"> </w:t>
      </w:r>
    </w:p>
    <w:p w:rsidR="00D0577C" w:rsidP="0048594A" w:rsidRDefault="00D0577C" w14:paraId="4FEED947" w14:textId="2178BC0E">
      <w:pPr>
        <w:spacing w:after="0"/>
        <w:rPr>
          <w:rFonts w:cstheme="minorHAnsi"/>
          <w:sz w:val="24"/>
          <w:szCs w:val="24"/>
        </w:rPr>
      </w:pPr>
    </w:p>
    <w:p w:rsidRPr="005D3F1C" w:rsidR="004574EE" w:rsidP="005D3F1C" w:rsidRDefault="00FB6CE0" w14:paraId="2FD31677" w14:textId="4C6BBBB5">
      <w:pPr>
        <w:spacing w:after="0"/>
        <w:rPr>
          <w:sz w:val="24"/>
          <w:szCs w:val="24"/>
        </w:rPr>
      </w:pPr>
      <w:r w:rsidRPr="004574EE">
        <w:rPr>
          <w:sz w:val="24"/>
          <w:szCs w:val="24"/>
        </w:rPr>
        <w:t xml:space="preserve">The Royal Navy had been unpleasantly surprised in World War One by the German Empire's use of a new weapon, the </w:t>
      </w:r>
      <w:r w:rsidRPr="004574EE">
        <w:rPr>
          <w:sz w:val="24"/>
          <w:szCs w:val="24"/>
        </w:rPr>
        <w:t>U-Boat.</w:t>
      </w:r>
      <w:r>
        <w:rPr>
          <w:sz w:val="24"/>
          <w:szCs w:val="24"/>
        </w:rPr>
        <w:t xml:space="preserve"> </w:t>
      </w:r>
      <w:r w:rsidRPr="004574EE">
        <w:rPr>
          <w:sz w:val="24"/>
          <w:szCs w:val="24"/>
        </w:rPr>
        <w:t>It is not unreasonable to conclude that the Athenian Navy was equally surprised by the emergence of the reinforced </w:t>
      </w:r>
      <w:r w:rsidRPr="004574EE">
        <w:rPr>
          <w:i/>
          <w:iCs/>
          <w:sz w:val="24"/>
          <w:szCs w:val="24"/>
        </w:rPr>
        <w:t>epotis</w:t>
      </w:r>
      <w:r w:rsidRPr="004574EE">
        <w:rPr>
          <w:sz w:val="24"/>
          <w:szCs w:val="24"/>
        </w:rPr>
        <w:t xml:space="preserve"> and the new tactical approach that their enemy was able to adopt. Like the Royal navy in 1914, dominance had led to arrogance.</w:t>
      </w:r>
      <w:r>
        <w:rPr>
          <w:sz w:val="24"/>
          <w:szCs w:val="24"/>
        </w:rPr>
        <w:t xml:space="preserve"> </w:t>
      </w:r>
      <w:r w:rsidRPr="004574EE">
        <w:rPr>
          <w:sz w:val="24"/>
          <w:szCs w:val="24"/>
        </w:rPr>
        <w:t>At Rhium, for example, Phormio</w:t>
      </w:r>
      <w:r>
        <w:rPr>
          <w:sz w:val="24"/>
          <w:szCs w:val="24"/>
        </w:rPr>
        <w:t xml:space="preserve"> </w:t>
      </w:r>
      <w:r w:rsidRPr="004574EE">
        <w:rPr>
          <w:sz w:val="24"/>
          <w:szCs w:val="24"/>
        </w:rPr>
        <w:t>told his crews that the superior numbers of the enemy were inconsequential because of their poor seamanship</w:t>
      </w:r>
      <w:r>
        <w:rPr>
          <w:sz w:val="24"/>
          <w:szCs w:val="24"/>
        </w:rPr>
        <w:t>.</w:t>
      </w:r>
      <w:r>
        <w:rPr>
          <w:rStyle w:val="FootnoteReference"/>
          <w:sz w:val="24"/>
          <w:szCs w:val="24"/>
        </w:rPr>
        <w:footnoteReference w:id="51"/>
      </w:r>
      <w:r w:rsidRPr="004574EE">
        <w:rPr>
          <w:sz w:val="24"/>
          <w:szCs w:val="24"/>
        </w:rPr>
        <w:t xml:space="preserve"> This may be construed as an excellent motivational tactic, but there is evidence of poor leadership by the Atheni</w:t>
      </w:r>
      <w:r w:rsidRPr="004574EE">
        <w:rPr>
          <w:sz w:val="24"/>
          <w:szCs w:val="24"/>
        </w:rPr>
        <w:t>ans. Whilst this may not have been at a tactical level it was certainly true at the staff level. Through this poor leadership, the Athenians squandered their naval superiority.</w:t>
      </w:r>
      <w:r>
        <w:rPr>
          <w:sz w:val="24"/>
          <w:szCs w:val="24"/>
        </w:rPr>
        <w:t xml:space="preserve"> </w:t>
      </w:r>
      <w:r w:rsidRPr="004574EE">
        <w:rPr>
          <w:sz w:val="24"/>
          <w:szCs w:val="24"/>
        </w:rPr>
        <w:t>The Athenian commander, Antiochus, disobeyed  Alcibiades's deliberate order not</w:t>
      </w:r>
      <w:r w:rsidRPr="004574EE">
        <w:rPr>
          <w:sz w:val="24"/>
          <w:szCs w:val="24"/>
        </w:rPr>
        <w:t xml:space="preserve"> to engage the enemy and suffered a heavy defeat in 407 BC. However, it was Alcibiades, an exceptionally gifted commander, who was dismissed from his post</w:t>
      </w:r>
      <w:r>
        <w:rPr>
          <w:sz w:val="24"/>
          <w:szCs w:val="24"/>
        </w:rPr>
        <w:t>.</w:t>
      </w:r>
      <w:r>
        <w:rPr>
          <w:rStyle w:val="FootnoteReference"/>
          <w:sz w:val="24"/>
          <w:szCs w:val="24"/>
        </w:rPr>
        <w:footnoteReference w:id="52"/>
      </w:r>
      <w:r w:rsidRPr="004574EE">
        <w:rPr>
          <w:sz w:val="24"/>
          <w:szCs w:val="24"/>
        </w:rPr>
        <w:t xml:space="preserve">  The ten new generals sent to replace him, and that won so convincingly at Arginusae, were sentenc</w:t>
      </w:r>
      <w:r w:rsidRPr="004574EE">
        <w:rPr>
          <w:sz w:val="24"/>
          <w:szCs w:val="24"/>
        </w:rPr>
        <w:t xml:space="preserve">ed to death for leaving shipwrecked crew to their fate, even though they were prevented from </w:t>
      </w:r>
      <w:r w:rsidRPr="004574EE">
        <w:rPr>
          <w:sz w:val="24"/>
          <w:szCs w:val="24"/>
        </w:rPr>
        <w:lastRenderedPageBreak/>
        <w:t>safely doing so by a storm</w:t>
      </w:r>
      <w:r>
        <w:rPr>
          <w:sz w:val="24"/>
          <w:szCs w:val="24"/>
        </w:rPr>
        <w:t>.</w:t>
      </w:r>
      <w:r>
        <w:rPr>
          <w:rStyle w:val="FootnoteReference"/>
          <w:sz w:val="24"/>
          <w:szCs w:val="24"/>
        </w:rPr>
        <w:footnoteReference w:id="53"/>
      </w:r>
      <w:r w:rsidRPr="004574EE">
        <w:rPr>
          <w:sz w:val="24"/>
          <w:szCs w:val="24"/>
        </w:rPr>
        <w:t xml:space="preserve">  The relative modernity of the Athenian democracy was becoming a hindrance in times of war.</w:t>
      </w:r>
      <w:r>
        <w:rPr>
          <w:sz w:val="24"/>
          <w:szCs w:val="24"/>
        </w:rPr>
        <w:t xml:space="preserve"> </w:t>
      </w:r>
      <w:r w:rsidRPr="004574EE">
        <w:rPr>
          <w:sz w:val="24"/>
          <w:szCs w:val="24"/>
        </w:rPr>
        <w:t xml:space="preserve">It is unlikely that the </w:t>
      </w:r>
      <w:r w:rsidRPr="005D3F1C">
        <w:rPr>
          <w:sz w:val="24"/>
          <w:szCs w:val="24"/>
        </w:rPr>
        <w:t>oligarchic govern</w:t>
      </w:r>
      <w:r w:rsidRPr="005D3F1C">
        <w:rPr>
          <w:sz w:val="24"/>
          <w:szCs w:val="24"/>
        </w:rPr>
        <w:t>ment of Sparta would have contemplated such action.</w:t>
      </w:r>
    </w:p>
    <w:p w:rsidRPr="005D3F1C" w:rsidR="005D3F1C" w:rsidP="005D3F1C" w:rsidRDefault="005D3F1C" w14:paraId="3966D70A" w14:textId="3954669C">
      <w:pPr>
        <w:spacing w:after="0"/>
        <w:rPr>
          <w:sz w:val="24"/>
          <w:szCs w:val="24"/>
        </w:rPr>
      </w:pPr>
    </w:p>
    <w:p w:rsidR="005D3F1C" w:rsidP="005D3F1C" w:rsidRDefault="00FB6CE0" w14:paraId="75F14F8D" w14:textId="2BAA4E91">
      <w:pPr>
        <w:spacing w:after="0"/>
        <w:rPr>
          <w:sz w:val="24"/>
          <w:szCs w:val="24"/>
        </w:rPr>
      </w:pPr>
      <w:r w:rsidRPr="005D3F1C" w:rsidR="00FB6CE0">
        <w:rPr>
          <w:sz w:val="24"/>
          <w:szCs w:val="24"/>
        </w:rPr>
        <w:t xml:space="preserve">It has been argued that Athens was not a true thalassocracy because she was not an island and was, therefore, vulnerable to land attack. In fact, the Long Walls </w:t>
      </w:r>
      <w:r w:rsidRPr="005D3F1C" w:rsidR="00FB6CE0">
        <w:rPr>
          <w:sz w:val="24"/>
          <w:szCs w:val="24"/>
        </w:rPr>
        <w:t>rendered</w:t>
      </w:r>
      <w:r w:rsidRPr="005D3F1C" w:rsidR="00FB6CE0">
        <w:rPr>
          <w:sz w:val="24"/>
          <w:szCs w:val="24"/>
        </w:rPr>
        <w:t xml:space="preserve"> Athens no less a thalassocracy than the British Empire, which used twenty miles of the</w:t>
      </w:r>
      <w:r w:rsidRPr="005D3F1C" w:rsidR="00FB6CE0">
        <w:rPr>
          <w:sz w:val="24"/>
          <w:szCs w:val="24"/>
        </w:rPr>
        <w:t xml:space="preserve"> English Channel to protect its splendid isolation. This shaped the nature of the Athenian hegemony and conveyed upon it enormous advantages. It both constrained and enhanced Athenian military potential. The Peloponnesian War began as a conflict between se</w:t>
      </w:r>
      <w:r w:rsidRPr="005D3F1C" w:rsidR="00FB6CE0">
        <w:rPr>
          <w:sz w:val="24"/>
          <w:szCs w:val="24"/>
        </w:rPr>
        <w:t>a power and land power, and it did so, as most wars do, with the intent on both sides to utilise the tactics they had previously employed. Despite the protestations of Archidamus</w:t>
      </w:r>
      <w:r w:rsidR="00FB6CE0">
        <w:rPr>
          <w:sz w:val="24"/>
          <w:szCs w:val="24"/>
        </w:rPr>
        <w:t>,</w:t>
      </w:r>
      <w:r w:rsidRPr="005D3F1C" w:rsidR="00FB6CE0">
        <w:rPr>
          <w:sz w:val="24"/>
          <w:szCs w:val="24"/>
        </w:rPr>
        <w:t xml:space="preserve"> the Spartans deployed their phalanx to Attica </w:t>
      </w:r>
      <w:r w:rsidRPr="005D3F1C" w:rsidR="72FB6598">
        <w:rPr>
          <w:sz w:val="24"/>
          <w:szCs w:val="24"/>
        </w:rPr>
        <w:t xml:space="preserve">hoping to </w:t>
      </w:r>
      <w:r w:rsidRPr="005D3F1C" w:rsidR="00FB6CE0">
        <w:rPr>
          <w:sz w:val="24"/>
          <w:szCs w:val="24"/>
        </w:rPr>
        <w:t xml:space="preserve">draw out and</w:t>
      </w:r>
      <w:r w:rsidRPr="005D3F1C" w:rsidR="00FB6CE0">
        <w:rPr>
          <w:sz w:val="24"/>
          <w:szCs w:val="24"/>
        </w:rPr>
        <w:t xml:space="preserve"> crush the Athenian hoplites.</w:t>
      </w:r>
      <w:r w:rsidR="00FB6CE0">
        <w:rPr>
          <w:sz w:val="24"/>
          <w:szCs w:val="24"/>
        </w:rPr>
        <w:t xml:space="preserve"> </w:t>
      </w:r>
      <w:r w:rsidRPr="005D3F1C" w:rsidR="00FB6CE0">
        <w:rPr>
          <w:sz w:val="24"/>
          <w:szCs w:val="24"/>
        </w:rPr>
        <w:t>Pericles, like the state he represented, was determined to embark upon a more sophisticated strategy and one that made the Peloponnesian War an application of strategic geopolitics.</w:t>
      </w:r>
      <w:r w:rsidR="00FB6CE0">
        <w:rPr>
          <w:sz w:val="24"/>
          <w:szCs w:val="24"/>
        </w:rPr>
        <w:t xml:space="preserve"> </w:t>
      </w:r>
      <w:r w:rsidRPr="005D3F1C" w:rsidR="00FB6CE0">
        <w:rPr>
          <w:sz w:val="24"/>
          <w:szCs w:val="24"/>
        </w:rPr>
        <w:t>Thucydides himself was a believer in this</w:t>
      </w:r>
      <w:r w:rsidRPr="005D3F1C" w:rsidR="00FB6CE0">
        <w:rPr>
          <w:sz w:val="24"/>
          <w:szCs w:val="24"/>
        </w:rPr>
        <w:t xml:space="preserve"> policy.</w:t>
      </w:r>
      <w:r w:rsidR="00FB6CE0">
        <w:rPr>
          <w:sz w:val="24"/>
          <w:szCs w:val="24"/>
        </w:rPr>
        <w:t xml:space="preserve"> </w:t>
      </w:r>
      <w:r w:rsidRPr="005D3F1C" w:rsidR="00FB6CE0">
        <w:rPr>
          <w:sz w:val="24"/>
          <w:szCs w:val="24"/>
        </w:rPr>
        <w:t>He was resolute in “his belief that money, walls and ships represented a new horizon in warfare, one not envisioned until the rise of powerful modern states</w:t>
      </w:r>
      <w:r w:rsidR="00FB6CE0">
        <w:rPr>
          <w:sz w:val="24"/>
          <w:szCs w:val="24"/>
        </w:rPr>
        <w:t>.”</w:t>
      </w:r>
      <w:r>
        <w:rPr>
          <w:rStyle w:val="FootnoteReference"/>
          <w:sz w:val="24"/>
          <w:szCs w:val="24"/>
        </w:rPr>
        <w:footnoteReference w:id="54"/>
      </w:r>
      <w:r w:rsidRPr="005D3F1C" w:rsidR="00FB6CE0">
        <w:rPr>
          <w:sz w:val="24"/>
          <w:szCs w:val="24"/>
        </w:rPr>
        <w:t xml:space="preserve">  Properly handled Pericles’</w:t>
      </w:r>
      <w:r w:rsidR="00FB6CE0">
        <w:rPr>
          <w:sz w:val="24"/>
          <w:szCs w:val="24"/>
        </w:rPr>
        <w:t xml:space="preserve"> </w:t>
      </w:r>
      <w:r w:rsidRPr="005D3F1C" w:rsidR="00FB6CE0">
        <w:rPr>
          <w:sz w:val="24"/>
          <w:szCs w:val="24"/>
        </w:rPr>
        <w:t>strategy of power projection and encirclement of the Pelop</w:t>
      </w:r>
      <w:r w:rsidRPr="005D3F1C" w:rsidR="00FB6CE0">
        <w:rPr>
          <w:sz w:val="24"/>
          <w:szCs w:val="24"/>
        </w:rPr>
        <w:t xml:space="preserve">onnesian league was entirely </w:t>
      </w:r>
      <w:r w:rsidRPr="005D3F1C" w:rsidR="00FB6CE0">
        <w:rPr>
          <w:sz w:val="24"/>
          <w:szCs w:val="24"/>
        </w:rPr>
        <w:t>feasible</w:t>
      </w:r>
      <w:r w:rsidRPr="005D3F1C" w:rsidR="00FB6CE0">
        <w:rPr>
          <w:sz w:val="24"/>
          <w:szCs w:val="24"/>
        </w:rPr>
        <w:t>.</w:t>
      </w:r>
      <w:r w:rsidR="00FB6CE0">
        <w:rPr>
          <w:sz w:val="24"/>
          <w:szCs w:val="24"/>
        </w:rPr>
        <w:t xml:space="preserve"> </w:t>
      </w:r>
      <w:r w:rsidRPr="005D3F1C" w:rsidR="00FB6CE0">
        <w:rPr>
          <w:sz w:val="24"/>
          <w:szCs w:val="24"/>
        </w:rPr>
        <w:t>“The Piraeus and the Long walls that linked it to the city, became almost a secular religious entity in Athenian thinking</w:t>
      </w:r>
      <w:r w:rsidR="00FB6CE0">
        <w:rPr>
          <w:sz w:val="24"/>
          <w:szCs w:val="24"/>
        </w:rPr>
        <w:t>.”</w:t>
      </w:r>
      <w:r>
        <w:rPr>
          <w:rStyle w:val="FootnoteReference"/>
          <w:sz w:val="24"/>
          <w:szCs w:val="24"/>
        </w:rPr>
        <w:footnoteReference w:id="55"/>
      </w:r>
      <w:r w:rsidRPr="005D3F1C" w:rsidR="00FB6CE0">
        <w:rPr>
          <w:sz w:val="24"/>
          <w:szCs w:val="24"/>
        </w:rPr>
        <w:t xml:space="preserve"> In doing </w:t>
      </w:r>
      <w:r w:rsidR="00FB6CE0">
        <w:rPr>
          <w:sz w:val="24"/>
          <w:szCs w:val="24"/>
        </w:rPr>
        <w:t xml:space="preserve">so, </w:t>
      </w:r>
      <w:r w:rsidRPr="005D3F1C" w:rsidR="00FB6CE0">
        <w:rPr>
          <w:sz w:val="24"/>
          <w:szCs w:val="24"/>
        </w:rPr>
        <w:t>the Athenians could chip away at the Peloponnesian league and jeopardise Spart</w:t>
      </w:r>
      <w:r w:rsidRPr="005D3F1C" w:rsidR="00FB6CE0">
        <w:rPr>
          <w:sz w:val="24"/>
          <w:szCs w:val="24"/>
        </w:rPr>
        <w:t>a's land dominance</w:t>
      </w:r>
      <w:r w:rsidR="00FB6CE0">
        <w:rPr>
          <w:sz w:val="24"/>
          <w:szCs w:val="24"/>
        </w:rPr>
        <w:t xml:space="preserve">. </w:t>
      </w:r>
      <w:r w:rsidRPr="005D3F1C" w:rsidR="00FB6CE0">
        <w:rPr>
          <w:sz w:val="24"/>
          <w:szCs w:val="24"/>
        </w:rPr>
        <w:t>The key to this strateg</w:t>
      </w:r>
      <w:r w:rsidR="00FB6CE0">
        <w:rPr>
          <w:sz w:val="24"/>
          <w:szCs w:val="24"/>
        </w:rPr>
        <w:t>y</w:t>
      </w:r>
      <w:r w:rsidRPr="005D3F1C" w:rsidR="00FB6CE0">
        <w:rPr>
          <w:sz w:val="24"/>
          <w:szCs w:val="24"/>
        </w:rPr>
        <w:t xml:space="preserve"> was the strength and intelligent deployment of the Athenian Navy.</w:t>
      </w:r>
      <w:r w:rsidR="00FB6CE0">
        <w:rPr>
          <w:sz w:val="24"/>
          <w:szCs w:val="24"/>
        </w:rPr>
        <w:t xml:space="preserve"> </w:t>
      </w:r>
      <w:r w:rsidRPr="005D3F1C" w:rsidR="00FB6CE0">
        <w:rPr>
          <w:sz w:val="24"/>
          <w:szCs w:val="24"/>
        </w:rPr>
        <w:t>If the navy were to be emasculated, Athens would fall because she could no longer guarantee her vital imports of food and silver. This was not th</w:t>
      </w:r>
      <w:r w:rsidRPr="005D3F1C" w:rsidR="00FB6CE0">
        <w:rPr>
          <w:sz w:val="24"/>
          <w:szCs w:val="24"/>
        </w:rPr>
        <w:t>e case for her enemy.</w:t>
      </w:r>
      <w:r w:rsidR="00FB6CE0">
        <w:rPr>
          <w:sz w:val="24"/>
          <w:szCs w:val="24"/>
        </w:rPr>
        <w:t xml:space="preserve"> </w:t>
      </w:r>
      <w:r w:rsidRPr="005D3F1C" w:rsidR="00FB6CE0">
        <w:rPr>
          <w:sz w:val="24"/>
          <w:szCs w:val="24"/>
        </w:rPr>
        <w:t xml:space="preserve">At </w:t>
      </w:r>
      <w:r w:rsidRPr="005D3F1C" w:rsidR="00FB6CE0">
        <w:rPr>
          <w:sz w:val="24"/>
          <w:szCs w:val="24"/>
        </w:rPr>
        <w:t>Arginusae</w:t>
      </w:r>
      <w:r w:rsidR="00FB6CE0">
        <w:rPr>
          <w:sz w:val="24"/>
          <w:szCs w:val="24"/>
        </w:rPr>
        <w:t>,</w:t>
      </w:r>
      <w:r w:rsidRPr="005D3F1C" w:rsidR="00FB6CE0">
        <w:rPr>
          <w:sz w:val="24"/>
          <w:szCs w:val="24"/>
        </w:rPr>
        <w:t xml:space="preserve"> the Spartan fleet had been </w:t>
      </w:r>
      <w:r w:rsidRPr="005D3F1C" w:rsidR="00FB6CE0">
        <w:rPr>
          <w:sz w:val="24"/>
          <w:szCs w:val="24"/>
        </w:rPr>
        <w:t xml:space="preserve">virtually annihilated</w:t>
      </w:r>
      <w:r w:rsidRPr="005D3F1C" w:rsidR="00FB6CE0">
        <w:rPr>
          <w:sz w:val="24"/>
          <w:szCs w:val="24"/>
        </w:rPr>
        <w:t xml:space="preserve">; they </w:t>
      </w:r>
      <w:r w:rsidR="005D4598">
        <w:rPr>
          <w:sz w:val="24"/>
          <w:szCs w:val="24"/>
        </w:rPr>
        <w:t>were</w:t>
      </w:r>
      <w:r w:rsidRPr="005D3F1C" w:rsidR="00FB6CE0">
        <w:rPr>
          <w:sz w:val="24"/>
          <w:szCs w:val="24"/>
        </w:rPr>
        <w:t xml:space="preserve"> forced </w:t>
      </w:r>
      <w:r w:rsidRPr="005D4598" w:rsidR="00FB6CE0">
        <w:rPr>
          <w:sz w:val="24"/>
          <w:szCs w:val="24"/>
        </w:rPr>
        <w:t>to sue for p</w:t>
      </w:r>
      <w:r w:rsidRPr="005D4598" w:rsidR="005D4598">
        <w:rPr>
          <w:sz w:val="24"/>
          <w:szCs w:val="24"/>
        </w:rPr>
        <w:t>e</w:t>
      </w:r>
      <w:r w:rsidRPr="005D4598" w:rsidR="00FB6CE0">
        <w:rPr>
          <w:sz w:val="24"/>
          <w:szCs w:val="24"/>
        </w:rPr>
        <w:t>ace and yet</w:t>
      </w:r>
      <w:r w:rsidRPr="005D3F1C" w:rsidR="00FB6CE0">
        <w:rPr>
          <w:sz w:val="24"/>
          <w:szCs w:val="24"/>
        </w:rPr>
        <w:t xml:space="preserve"> remained intact as a power</w:t>
      </w:r>
      <w:r w:rsidR="00FB6CE0">
        <w:rPr>
          <w:sz w:val="24"/>
          <w:szCs w:val="24"/>
        </w:rPr>
        <w:t>.</w:t>
      </w:r>
      <w:r>
        <w:rPr>
          <w:rStyle w:val="FootnoteReference"/>
          <w:sz w:val="24"/>
          <w:szCs w:val="24"/>
        </w:rPr>
        <w:footnoteReference w:id="56"/>
      </w:r>
      <w:r w:rsidRPr="005D3F1C" w:rsidR="00FB6CE0">
        <w:rPr>
          <w:sz w:val="24"/>
          <w:szCs w:val="24"/>
        </w:rPr>
        <w:t xml:space="preserve">  But when the Athenians lost the remains of their navy at </w:t>
      </w:r>
      <w:r w:rsidRPr="005D3F1C" w:rsidR="00FB6CE0">
        <w:rPr>
          <w:sz w:val="24"/>
          <w:szCs w:val="24"/>
        </w:rPr>
        <w:t xml:space="preserve">Aegospotami</w:t>
      </w:r>
      <w:r w:rsidRPr="005D3F1C" w:rsidR="00FB6CE0">
        <w:rPr>
          <w:sz w:val="24"/>
          <w:szCs w:val="24"/>
        </w:rPr>
        <w:t xml:space="preserve"> they lost the war and </w:t>
      </w:r>
      <w:r w:rsidRPr="005D3F1C" w:rsidR="00FB6CE0">
        <w:rPr>
          <w:sz w:val="24"/>
          <w:szCs w:val="24"/>
        </w:rPr>
        <w:t xml:space="preserve">forfei</w:t>
      </w:r>
      <w:r w:rsidRPr="005D3F1C" w:rsidR="00FB6CE0">
        <w:rPr>
          <w:sz w:val="24"/>
          <w:szCs w:val="24"/>
        </w:rPr>
        <w:t>ted</w:t>
      </w:r>
      <w:r w:rsidRPr="005D3F1C" w:rsidR="00FB6CE0">
        <w:rPr>
          <w:sz w:val="24"/>
          <w:szCs w:val="24"/>
        </w:rPr>
        <w:t xml:space="preserve"> their hegemony</w:t>
      </w:r>
      <w:r w:rsidR="00FB6CE0">
        <w:rPr>
          <w:sz w:val="24"/>
          <w:szCs w:val="24"/>
        </w:rPr>
        <w:t>.</w:t>
      </w:r>
      <w:r>
        <w:rPr>
          <w:rStyle w:val="FootnoteReference"/>
          <w:sz w:val="24"/>
          <w:szCs w:val="24"/>
        </w:rPr>
        <w:footnoteReference w:id="57"/>
      </w:r>
      <w:r w:rsidRPr="005D3F1C" w:rsidR="00FB6CE0">
        <w:rPr>
          <w:sz w:val="24"/>
          <w:szCs w:val="24"/>
        </w:rPr>
        <w:t xml:space="preserve">  Athens, for a time at least, ceased to exist as a great power.</w:t>
      </w:r>
    </w:p>
    <w:p w:rsidRPr="00B41DAD" w:rsidR="00B41DAD" w:rsidP="00B41DAD" w:rsidRDefault="00B41DAD" w14:paraId="17521134" w14:textId="426AA513">
      <w:pPr>
        <w:spacing w:after="0"/>
        <w:rPr>
          <w:sz w:val="24"/>
          <w:szCs w:val="24"/>
        </w:rPr>
      </w:pPr>
    </w:p>
    <w:p w:rsidRPr="00B41DAD" w:rsidR="00B41DAD" w:rsidP="00B41DAD" w:rsidRDefault="00FB6CE0" w14:paraId="104B91B0" w14:textId="562C1577">
      <w:pPr>
        <w:spacing w:after="0"/>
        <w:rPr>
          <w:sz w:val="24"/>
          <w:szCs w:val="24"/>
        </w:rPr>
      </w:pPr>
      <w:r w:rsidRPr="00B41DAD">
        <w:rPr>
          <w:sz w:val="24"/>
          <w:szCs w:val="24"/>
        </w:rPr>
        <w:t>The very opportunity of victory through encirclement led to the disaster in Sicily. Gambling with the asset that guaranteed their freedom, the Athenians lost the initiat</w:t>
      </w:r>
      <w:r w:rsidRPr="00B41DAD">
        <w:rPr>
          <w:sz w:val="24"/>
          <w:szCs w:val="24"/>
        </w:rPr>
        <w:t>ive in the naval struggle. The mismanagement and misfortunes so common in war created a vacuum of opportunity, which the Spartans readily filled with a mixture of Lysander’s inspired leadership, evolving tactics and the financial might of the Achaedenid Em</w:t>
      </w:r>
      <w:r w:rsidRPr="00B41DAD">
        <w:rPr>
          <w:sz w:val="24"/>
          <w:szCs w:val="24"/>
        </w:rPr>
        <w:t>pire. The Athenians not only squandered their own advantage, but they also failed to realise their potential in land warfare.</w:t>
      </w:r>
      <w:r>
        <w:rPr>
          <w:sz w:val="24"/>
          <w:szCs w:val="24"/>
        </w:rPr>
        <w:t xml:space="preserve"> </w:t>
      </w:r>
      <w:r w:rsidRPr="00B41DAD">
        <w:rPr>
          <w:sz w:val="24"/>
          <w:szCs w:val="24"/>
        </w:rPr>
        <w:t>The Spartans had adapted to a new form of warfare, and the Athenians could have done the same. The Spartan phalanx, manned by an e</w:t>
      </w:r>
      <w:r w:rsidRPr="00B41DAD">
        <w:rPr>
          <w:sz w:val="24"/>
          <w:szCs w:val="24"/>
        </w:rPr>
        <w:t>lite, was an outdated mode of land warfare. Using their naval model of mass participation, the Athenians might have adapted their land army to include the force mix so successfully employed by Alexander the Great. Pericles' strategy had been to fight a lar</w:t>
      </w:r>
      <w:r w:rsidRPr="00B41DAD">
        <w:rPr>
          <w:sz w:val="24"/>
          <w:szCs w:val="24"/>
        </w:rPr>
        <w:t>gely proxy war.</w:t>
      </w:r>
      <w:r>
        <w:rPr>
          <w:sz w:val="24"/>
          <w:szCs w:val="24"/>
        </w:rPr>
        <w:t xml:space="preserve"> </w:t>
      </w:r>
      <w:r w:rsidRPr="00B41DAD">
        <w:rPr>
          <w:sz w:val="24"/>
          <w:szCs w:val="24"/>
        </w:rPr>
        <w:t>Ironically it was the Spartans that ultimately fought that proxy war with mercenary seamen and Persian money.</w:t>
      </w:r>
      <w:r>
        <w:rPr>
          <w:sz w:val="24"/>
          <w:szCs w:val="24"/>
        </w:rPr>
        <w:t xml:space="preserve"> </w:t>
      </w:r>
      <w:r w:rsidRPr="00B41DAD">
        <w:rPr>
          <w:sz w:val="24"/>
          <w:szCs w:val="24"/>
        </w:rPr>
        <w:t>It was this strategy that forced the irrevocable defeat at Aegospotomi and ended the war as a battle of sea powers.</w:t>
      </w:r>
    </w:p>
    <w:p w:rsidRPr="00B41DAD" w:rsidR="00D0577C" w:rsidP="00B41DAD" w:rsidRDefault="00D0577C" w14:paraId="2C4EC846" w14:textId="77777777">
      <w:pPr>
        <w:spacing w:after="0"/>
        <w:rPr>
          <w:sz w:val="24"/>
          <w:szCs w:val="24"/>
        </w:rPr>
      </w:pPr>
    </w:p>
    <w:p w:rsidRPr="006D6BB6" w:rsidR="00376703" w:rsidP="08BDFCCB" w:rsidRDefault="00FB6CE0" w14:paraId="2450C5EE" w14:textId="25D86CF4">
      <w:pPr>
        <w:spacing w:after="0"/>
        <w:rPr>
          <w:i w:val="1"/>
          <w:iCs w:val="1"/>
          <w:sz w:val="24"/>
          <w:szCs w:val="24"/>
        </w:rPr>
      </w:pPr>
      <w:r w:rsidRPr="08BDFCCB" w:rsidR="00FB6CE0">
        <w:rPr>
          <w:i w:val="1"/>
          <w:iCs w:val="1"/>
          <w:sz w:val="24"/>
          <w:szCs w:val="24"/>
        </w:rPr>
        <w:t xml:space="preserve">(Word count: </w:t>
      </w:r>
      <w:r w:rsidRPr="08BDFCCB" w:rsidR="005D3F1C">
        <w:rPr>
          <w:i w:val="1"/>
          <w:iCs w:val="1"/>
          <w:sz w:val="24"/>
          <w:szCs w:val="24"/>
        </w:rPr>
        <w:t>3</w:t>
      </w:r>
      <w:r w:rsidRPr="08BDFCCB" w:rsidR="00B41DAD">
        <w:rPr>
          <w:i w:val="1"/>
          <w:iCs w:val="1"/>
          <w:sz w:val="24"/>
          <w:szCs w:val="24"/>
        </w:rPr>
        <w:t>2</w:t>
      </w:r>
      <w:r w:rsidRPr="08BDFCCB" w:rsidR="00F13631">
        <w:rPr>
          <w:i w:val="1"/>
          <w:iCs w:val="1"/>
          <w:sz w:val="24"/>
          <w:szCs w:val="24"/>
        </w:rPr>
        <w:t>5</w:t>
      </w:r>
      <w:r w:rsidRPr="08BDFCCB" w:rsidR="31752072">
        <w:rPr>
          <w:i w:val="1"/>
          <w:iCs w:val="1"/>
          <w:sz w:val="24"/>
          <w:szCs w:val="24"/>
        </w:rPr>
        <w:t>6,</w:t>
      </w:r>
      <w:r w:rsidRPr="08BDFCCB" w:rsidR="00FB6CE0">
        <w:rPr>
          <w:i w:val="1"/>
          <w:iCs w:val="1"/>
          <w:sz w:val="24"/>
          <w:szCs w:val="24"/>
        </w:rPr>
        <w:t xml:space="preserve"> excluding titles and citations).</w:t>
      </w:r>
      <w:r w:rsidRPr="08BDFCCB">
        <w:rPr>
          <w:b w:val="1"/>
          <w:bCs w:val="1"/>
          <w:sz w:val="24"/>
          <w:szCs w:val="24"/>
          <w:u w:val="single"/>
        </w:rPr>
        <w:br w:type="page"/>
      </w:r>
    </w:p>
    <w:p w:rsidR="001B47AD" w:rsidP="001B47AD" w:rsidRDefault="00FB6CE0" w14:paraId="0B2F6700" w14:textId="77777777">
      <w:pPr>
        <w:spacing w:after="0" w:line="240" w:lineRule="auto"/>
        <w:rPr>
          <w:rFonts w:cstheme="minorHAnsi"/>
          <w:b/>
          <w:bCs/>
          <w:sz w:val="24"/>
          <w:szCs w:val="24"/>
        </w:rPr>
      </w:pPr>
      <w:bookmarkStart w:name="_Hlk128550206" w:id="0"/>
      <w:r w:rsidRPr="00FF6290">
        <w:rPr>
          <w:rFonts w:cstheme="minorHAnsi"/>
          <w:b/>
          <w:bCs/>
          <w:sz w:val="24"/>
          <w:szCs w:val="24"/>
        </w:rPr>
        <w:lastRenderedPageBreak/>
        <w:t>BIBLIOGRAPHY</w:t>
      </w:r>
    </w:p>
    <w:p w:rsidR="001B47AD" w:rsidP="001B47AD" w:rsidRDefault="001B47AD" w14:paraId="348F3255" w14:textId="77777777">
      <w:pPr>
        <w:spacing w:after="0" w:line="240" w:lineRule="auto"/>
        <w:rPr>
          <w:rFonts w:cstheme="minorHAnsi"/>
          <w:b/>
          <w:bCs/>
          <w:sz w:val="24"/>
          <w:szCs w:val="24"/>
        </w:rPr>
      </w:pPr>
    </w:p>
    <w:p w:rsidRPr="00B12DC2" w:rsidR="001B47AD" w:rsidP="001B47AD" w:rsidRDefault="00FB6CE0" w14:paraId="748ABDB8" w14:textId="7A560EF1">
      <w:pPr>
        <w:spacing w:after="0" w:line="240" w:lineRule="auto"/>
        <w:rPr>
          <w:rFonts w:cstheme="minorHAnsi"/>
          <w:sz w:val="24"/>
          <w:szCs w:val="24"/>
        </w:rPr>
      </w:pPr>
      <w:r w:rsidRPr="00B12DC2">
        <w:rPr>
          <w:rFonts w:cstheme="minorHAnsi"/>
          <w:sz w:val="24"/>
          <w:szCs w:val="24"/>
        </w:rPr>
        <w:t xml:space="preserve">Cawkwell, G. (1997) </w:t>
      </w:r>
      <w:r w:rsidRPr="00B12DC2">
        <w:rPr>
          <w:rFonts w:cstheme="minorHAnsi"/>
          <w:i/>
          <w:iCs/>
          <w:sz w:val="24"/>
          <w:szCs w:val="24"/>
        </w:rPr>
        <w:t>Thucydides and the Peloponnesian War</w:t>
      </w:r>
      <w:r w:rsidRPr="00B12DC2">
        <w:rPr>
          <w:rFonts w:cstheme="minorHAnsi"/>
          <w:sz w:val="24"/>
          <w:szCs w:val="24"/>
        </w:rPr>
        <w:t>. London, New York: Routledge.</w:t>
      </w:r>
    </w:p>
    <w:p w:rsidRPr="00B12DC2" w:rsidR="001B47AD" w:rsidP="001B47AD" w:rsidRDefault="001B47AD" w14:paraId="099D29B1" w14:textId="77777777">
      <w:pPr>
        <w:spacing w:after="0" w:line="240" w:lineRule="auto"/>
        <w:rPr>
          <w:rFonts w:cstheme="minorHAnsi"/>
          <w:sz w:val="24"/>
          <w:szCs w:val="24"/>
        </w:rPr>
      </w:pPr>
    </w:p>
    <w:p w:rsidR="001B47AD" w:rsidP="001B47AD" w:rsidRDefault="00FB6CE0" w14:paraId="6D5529DD" w14:textId="32FE94E5">
      <w:pPr>
        <w:spacing w:after="0" w:line="240" w:lineRule="auto"/>
        <w:rPr>
          <w:rFonts w:eastAsia="Times New Roman" w:cstheme="minorHAnsi"/>
          <w:sz w:val="24"/>
          <w:szCs w:val="24"/>
          <w:lang w:eastAsia="en-GB"/>
        </w:rPr>
      </w:pPr>
      <w:r w:rsidRPr="00B12DC2">
        <w:rPr>
          <w:rFonts w:eastAsia="Times New Roman" w:cstheme="minorHAnsi"/>
          <w:sz w:val="24"/>
          <w:szCs w:val="24"/>
          <w:lang w:eastAsia="en-GB"/>
        </w:rPr>
        <w:t>Charles</w:t>
      </w:r>
      <w:r w:rsidRPr="00FF6290">
        <w:rPr>
          <w:rFonts w:eastAsia="Times New Roman" w:cstheme="minorHAnsi"/>
          <w:sz w:val="24"/>
          <w:szCs w:val="24"/>
          <w:lang w:eastAsia="en-GB"/>
        </w:rPr>
        <w:t xml:space="preserve">, J. F. (1946) The Anatomy of Athenian Sea Power. </w:t>
      </w:r>
      <w:r w:rsidRPr="00FF6290">
        <w:rPr>
          <w:rFonts w:eastAsia="Times New Roman" w:cstheme="minorHAnsi"/>
          <w:i/>
          <w:iCs/>
          <w:sz w:val="24"/>
          <w:szCs w:val="24"/>
          <w:lang w:eastAsia="en-GB"/>
        </w:rPr>
        <w:t>The Classical Journal</w:t>
      </w:r>
      <w:r w:rsidRPr="00FF6290">
        <w:rPr>
          <w:rFonts w:eastAsia="Times New Roman" w:cstheme="minorHAnsi"/>
          <w:sz w:val="24"/>
          <w:szCs w:val="24"/>
          <w:lang w:eastAsia="en-GB"/>
        </w:rPr>
        <w:t xml:space="preserve">, </w:t>
      </w:r>
      <w:r w:rsidRPr="00FF6290">
        <w:rPr>
          <w:rFonts w:eastAsia="Times New Roman" w:cstheme="minorHAnsi"/>
          <w:i/>
          <w:iCs/>
          <w:sz w:val="24"/>
          <w:szCs w:val="24"/>
          <w:lang w:eastAsia="en-GB"/>
        </w:rPr>
        <w:t>42</w:t>
      </w:r>
      <w:r w:rsidRPr="00FF6290">
        <w:rPr>
          <w:rFonts w:eastAsia="Times New Roman" w:cstheme="minorHAnsi"/>
          <w:sz w:val="24"/>
          <w:szCs w:val="24"/>
          <w:lang w:eastAsia="en-GB"/>
        </w:rPr>
        <w:t xml:space="preserve">(2), 86–91. Available at: </w:t>
      </w:r>
      <w:hyperlink w:history="1" r:id="rId7">
        <w:r w:rsidRPr="00FF6290">
          <w:rPr>
            <w:rStyle w:val="Hyperlink"/>
            <w:rFonts w:eastAsia="Times New Roman" w:cstheme="minorHAnsi"/>
            <w:sz w:val="24"/>
            <w:szCs w:val="24"/>
            <w:lang w:eastAsia="en-GB"/>
          </w:rPr>
          <w:t>http://www.jstor.org/stable/3291973</w:t>
        </w:r>
      </w:hyperlink>
      <w:r w:rsidRPr="00FF6290">
        <w:rPr>
          <w:rFonts w:eastAsia="Times New Roman" w:cstheme="minorHAnsi"/>
          <w:sz w:val="24"/>
          <w:szCs w:val="24"/>
          <w:lang w:eastAsia="en-GB"/>
        </w:rPr>
        <w:t>. (Accessed 10 March 2023).</w:t>
      </w:r>
    </w:p>
    <w:p w:rsidR="008F1514" w:rsidP="001B47AD" w:rsidRDefault="008F1514" w14:paraId="6BA2D7BA" w14:textId="1CFF9792">
      <w:pPr>
        <w:spacing w:after="0" w:line="240" w:lineRule="auto"/>
        <w:rPr>
          <w:rFonts w:eastAsia="Times New Roman" w:cstheme="minorHAnsi"/>
          <w:sz w:val="24"/>
          <w:szCs w:val="24"/>
          <w:lang w:eastAsia="en-GB"/>
        </w:rPr>
      </w:pPr>
    </w:p>
    <w:p w:rsidRPr="00FF6290" w:rsidR="008F1514" w:rsidP="001B47AD" w:rsidRDefault="00FB6CE0" w14:paraId="1466725D" w14:textId="5470791C">
      <w:pPr>
        <w:spacing w:after="0" w:line="240" w:lineRule="auto"/>
        <w:rPr>
          <w:rFonts w:eastAsia="Times New Roman" w:cstheme="minorHAnsi"/>
          <w:sz w:val="24"/>
          <w:szCs w:val="24"/>
          <w:lang w:eastAsia="en-GB"/>
        </w:rPr>
      </w:pPr>
      <w:r w:rsidRPr="00131282">
        <w:rPr>
          <w:rFonts w:eastAsia="Times New Roman" w:cstheme="minorHAnsi"/>
          <w:sz w:val="24"/>
          <w:szCs w:val="24"/>
          <w:lang w:eastAsia="en-GB"/>
        </w:rPr>
        <w:t>Churchill, W.</w:t>
      </w:r>
      <w:r w:rsidRPr="00131282" w:rsidR="00131282">
        <w:rPr>
          <w:rFonts w:eastAsia="Times New Roman" w:cstheme="minorHAnsi"/>
          <w:sz w:val="24"/>
          <w:szCs w:val="24"/>
          <w:lang w:eastAsia="en-GB"/>
        </w:rPr>
        <w:t xml:space="preserve"> S.</w:t>
      </w:r>
      <w:r w:rsidRPr="00131282">
        <w:rPr>
          <w:rFonts w:eastAsia="Times New Roman" w:cstheme="minorHAnsi"/>
          <w:sz w:val="24"/>
          <w:szCs w:val="24"/>
          <w:lang w:eastAsia="en-GB"/>
        </w:rPr>
        <w:t xml:space="preserve"> (</w:t>
      </w:r>
      <w:r w:rsidRPr="00131282" w:rsidR="00131282">
        <w:rPr>
          <w:rFonts w:eastAsia="Times New Roman" w:cstheme="minorHAnsi"/>
          <w:sz w:val="24"/>
          <w:szCs w:val="24"/>
          <w:lang w:eastAsia="en-GB"/>
        </w:rPr>
        <w:t>1927</w:t>
      </w:r>
      <w:r w:rsidRPr="00131282">
        <w:rPr>
          <w:rFonts w:eastAsia="Times New Roman" w:cstheme="minorHAnsi"/>
          <w:sz w:val="24"/>
          <w:szCs w:val="24"/>
          <w:lang w:eastAsia="en-GB"/>
        </w:rPr>
        <w:t xml:space="preserve">) </w:t>
      </w:r>
      <w:r w:rsidRPr="00131282">
        <w:rPr>
          <w:rFonts w:eastAsia="Times New Roman" w:cstheme="minorHAnsi"/>
          <w:i/>
          <w:iCs/>
          <w:sz w:val="24"/>
          <w:szCs w:val="24"/>
          <w:lang w:eastAsia="en-GB"/>
        </w:rPr>
        <w:t>The World Crisis</w:t>
      </w:r>
      <w:r w:rsidR="00131282">
        <w:rPr>
          <w:rFonts w:eastAsia="Times New Roman" w:cstheme="minorHAnsi"/>
          <w:sz w:val="24"/>
          <w:szCs w:val="24"/>
          <w:lang w:eastAsia="en-GB"/>
        </w:rPr>
        <w:t>. New York: Charles Scribner's Sons.</w:t>
      </w:r>
    </w:p>
    <w:p w:rsidR="00E821B4" w:rsidP="00E821B4" w:rsidRDefault="00E821B4" w14:paraId="05AC8DC8" w14:textId="77777777">
      <w:pPr>
        <w:spacing w:after="0" w:line="240" w:lineRule="auto"/>
        <w:rPr>
          <w:sz w:val="24"/>
          <w:szCs w:val="24"/>
        </w:rPr>
      </w:pPr>
    </w:p>
    <w:p w:rsidR="00E821B4" w:rsidP="00E821B4" w:rsidRDefault="00FB6CE0" w14:paraId="5CF263F2" w14:textId="7651F126">
      <w:pPr>
        <w:spacing w:after="0" w:line="240" w:lineRule="auto"/>
        <w:rPr>
          <w:sz w:val="24"/>
          <w:szCs w:val="24"/>
        </w:rPr>
      </w:pPr>
      <w:r w:rsidRPr="008F1514">
        <w:rPr>
          <w:sz w:val="24"/>
          <w:szCs w:val="24"/>
        </w:rPr>
        <w:t xml:space="preserve">Fornara, C. (1977) </w:t>
      </w:r>
      <w:r w:rsidRPr="008F1514">
        <w:rPr>
          <w:i/>
          <w:iCs/>
          <w:sz w:val="24"/>
          <w:szCs w:val="24"/>
        </w:rPr>
        <w:t>Archaic Times to the End of the Peloponnesian War</w:t>
      </w:r>
      <w:r w:rsidRPr="008F1514">
        <w:rPr>
          <w:sz w:val="24"/>
          <w:szCs w:val="24"/>
        </w:rPr>
        <w:t xml:space="preserve">. London: John Hopkins University Press. </w:t>
      </w:r>
      <w:r>
        <w:rPr>
          <w:sz w:val="24"/>
          <w:szCs w:val="24"/>
        </w:rPr>
        <w:t xml:space="preserve">Available at: </w:t>
      </w:r>
      <w:hyperlink w:history="1" r:id="rId8">
        <w:r w:rsidRPr="009B5B7B">
          <w:rPr>
            <w:rStyle w:val="Hyperlink"/>
            <w:sz w:val="24"/>
            <w:szCs w:val="24"/>
          </w:rPr>
          <w:t>https://archive.org/details/archaictimestoen00rces</w:t>
        </w:r>
      </w:hyperlink>
      <w:r w:rsidRPr="00E821B4">
        <w:rPr>
          <w:sz w:val="24"/>
          <w:szCs w:val="24"/>
        </w:rPr>
        <w:t>. (Accessed 11 March 2023).</w:t>
      </w:r>
    </w:p>
    <w:p w:rsidRPr="00227D5F" w:rsidR="00227D5F" w:rsidP="00227D5F" w:rsidRDefault="00227D5F" w14:paraId="62942592" w14:textId="77777777">
      <w:pPr>
        <w:spacing w:after="0" w:line="240" w:lineRule="auto"/>
        <w:rPr>
          <w:color w:val="0000FF"/>
          <w:sz w:val="24"/>
          <w:szCs w:val="24"/>
          <w:u w:val="single"/>
        </w:rPr>
      </w:pPr>
    </w:p>
    <w:p w:rsidRPr="00227D5F" w:rsidR="001B47AD" w:rsidP="00227D5F" w:rsidRDefault="00FB6CE0" w14:paraId="7733F6D2" w14:textId="20F2521E">
      <w:pPr>
        <w:spacing w:after="0"/>
        <w:rPr>
          <w:sz w:val="24"/>
          <w:szCs w:val="24"/>
        </w:rPr>
      </w:pPr>
      <w:r w:rsidRPr="00227D5F">
        <w:rPr>
          <w:sz w:val="24"/>
          <w:szCs w:val="24"/>
        </w:rPr>
        <w:t xml:space="preserve">Green, P. (1971) </w:t>
      </w:r>
      <w:r w:rsidRPr="00227D5F">
        <w:rPr>
          <w:i/>
          <w:iCs/>
          <w:sz w:val="24"/>
          <w:szCs w:val="24"/>
        </w:rPr>
        <w:t>Armada from Athens</w:t>
      </w:r>
      <w:r w:rsidRPr="00227D5F">
        <w:rPr>
          <w:sz w:val="24"/>
          <w:szCs w:val="24"/>
        </w:rPr>
        <w:t>. London: Hodder and Stoughton.</w:t>
      </w:r>
    </w:p>
    <w:p w:rsidRPr="00227D5F" w:rsidR="00227D5F" w:rsidP="00227D5F" w:rsidRDefault="00227D5F" w14:paraId="0B451328" w14:textId="77777777">
      <w:pPr>
        <w:spacing w:after="0"/>
        <w:rPr>
          <w:sz w:val="24"/>
          <w:szCs w:val="24"/>
        </w:rPr>
      </w:pPr>
    </w:p>
    <w:p w:rsidR="001B47AD" w:rsidP="00227D5F" w:rsidRDefault="00FB6CE0" w14:paraId="1F90DA17" w14:textId="73FC993B">
      <w:pPr>
        <w:spacing w:after="0" w:line="240" w:lineRule="auto"/>
        <w:rPr>
          <w:sz w:val="24"/>
          <w:szCs w:val="24"/>
        </w:rPr>
      </w:pPr>
      <w:r w:rsidRPr="00FF6290">
        <w:rPr>
          <w:rFonts w:cstheme="minorHAnsi"/>
          <w:sz w:val="24"/>
          <w:szCs w:val="24"/>
        </w:rPr>
        <w:t>Hanson</w:t>
      </w:r>
      <w:r w:rsidRPr="00FF6290">
        <w:rPr>
          <w:sz w:val="24"/>
          <w:szCs w:val="24"/>
        </w:rPr>
        <w:t xml:space="preserve">, V. D. (2005) </w:t>
      </w:r>
      <w:r w:rsidRPr="00FF6290">
        <w:rPr>
          <w:i/>
          <w:iCs/>
          <w:sz w:val="24"/>
          <w:szCs w:val="24"/>
        </w:rPr>
        <w:t>A War Like No Other: How the Athenians and Spartans Fought the Peloponnesian War</w:t>
      </w:r>
      <w:r w:rsidRPr="00FF6290">
        <w:rPr>
          <w:sz w:val="24"/>
          <w:szCs w:val="24"/>
        </w:rPr>
        <w:t>. New York: Random House.</w:t>
      </w:r>
      <w:r>
        <w:rPr>
          <w:sz w:val="24"/>
          <w:szCs w:val="24"/>
        </w:rPr>
        <w:t xml:space="preserve"> </w:t>
      </w:r>
    </w:p>
    <w:p w:rsidRPr="00227D5F" w:rsidR="00227D5F" w:rsidP="00227D5F" w:rsidRDefault="00227D5F" w14:paraId="34DE203B" w14:textId="77777777">
      <w:pPr>
        <w:spacing w:after="0" w:line="240" w:lineRule="auto"/>
        <w:rPr>
          <w:sz w:val="24"/>
          <w:szCs w:val="24"/>
        </w:rPr>
      </w:pPr>
    </w:p>
    <w:p w:rsidRPr="00227D5F" w:rsidR="00227D5F" w:rsidP="00227D5F" w:rsidRDefault="00FB6CE0" w14:paraId="3033991F" w14:textId="75EAC4DC">
      <w:pPr>
        <w:spacing w:after="0" w:line="240" w:lineRule="auto"/>
        <w:rPr>
          <w:sz w:val="24"/>
          <w:szCs w:val="24"/>
        </w:rPr>
      </w:pPr>
      <w:r w:rsidRPr="00227D5F">
        <w:rPr>
          <w:sz w:val="24"/>
          <w:szCs w:val="24"/>
        </w:rPr>
        <w:t xml:space="preserve">Kagan, D. (1987) </w:t>
      </w:r>
      <w:r w:rsidRPr="00227D5F">
        <w:rPr>
          <w:i/>
          <w:iCs/>
          <w:sz w:val="24"/>
          <w:szCs w:val="24"/>
        </w:rPr>
        <w:t>The fall of the Athenian Empire.</w:t>
      </w:r>
      <w:r w:rsidRPr="00227D5F">
        <w:rPr>
          <w:sz w:val="24"/>
          <w:szCs w:val="24"/>
        </w:rPr>
        <w:t xml:space="preserve"> Cornell University Press.</w:t>
      </w:r>
      <w:r>
        <w:rPr>
          <w:sz w:val="24"/>
          <w:szCs w:val="24"/>
        </w:rPr>
        <w:t xml:space="preserve"> Available at: </w:t>
      </w:r>
      <w:hyperlink w:history="1" r:id="rId9">
        <w:r w:rsidRPr="00864F42">
          <w:rPr>
            <w:rStyle w:val="Hyperlink"/>
            <w:sz w:val="24"/>
            <w:szCs w:val="24"/>
          </w:rPr>
          <w:t>http://www.jstor.org/stable/10.7591/j.ctt1xx58s</w:t>
        </w:r>
      </w:hyperlink>
      <w:r>
        <w:rPr>
          <w:sz w:val="24"/>
          <w:szCs w:val="24"/>
        </w:rPr>
        <w:t xml:space="preserve">. (Accessed 12 March </w:t>
      </w:r>
      <w:r>
        <w:rPr>
          <w:sz w:val="24"/>
          <w:szCs w:val="24"/>
        </w:rPr>
        <w:t>2023).</w:t>
      </w:r>
    </w:p>
    <w:p w:rsidR="00C3024E" w:rsidP="00227D5F" w:rsidRDefault="00C3024E" w14:paraId="79CD91B4" w14:textId="5E5B9655">
      <w:pPr>
        <w:spacing w:after="0" w:line="240" w:lineRule="auto"/>
        <w:rPr>
          <w:sz w:val="24"/>
          <w:szCs w:val="24"/>
        </w:rPr>
      </w:pPr>
    </w:p>
    <w:p w:rsidR="00C3024E" w:rsidP="001B47AD" w:rsidRDefault="00FB6CE0" w14:paraId="7AA3231A" w14:textId="2091CC73">
      <w:pPr>
        <w:spacing w:after="0" w:line="240" w:lineRule="auto"/>
        <w:rPr>
          <w:sz w:val="24"/>
          <w:szCs w:val="24"/>
        </w:rPr>
      </w:pPr>
      <w:r>
        <w:rPr>
          <w:sz w:val="24"/>
          <w:szCs w:val="24"/>
        </w:rPr>
        <w:t xml:space="preserve">Kagan, D. (2003) </w:t>
      </w:r>
      <w:r w:rsidRPr="00C3024E">
        <w:rPr>
          <w:i/>
          <w:iCs/>
          <w:sz w:val="24"/>
          <w:szCs w:val="24"/>
        </w:rPr>
        <w:t>The Peloponnesian War</w:t>
      </w:r>
      <w:r>
        <w:rPr>
          <w:sz w:val="24"/>
          <w:szCs w:val="24"/>
        </w:rPr>
        <w:t>. Penguin Books.</w:t>
      </w:r>
    </w:p>
    <w:p w:rsidR="0090402C" w:rsidP="001B47AD" w:rsidRDefault="0090402C" w14:paraId="145D1D04" w14:textId="532ECFA2">
      <w:pPr>
        <w:spacing w:after="0" w:line="240" w:lineRule="auto"/>
        <w:rPr>
          <w:sz w:val="24"/>
          <w:szCs w:val="24"/>
        </w:rPr>
      </w:pPr>
    </w:p>
    <w:p w:rsidRPr="00C262A7" w:rsidR="001B47AD" w:rsidP="00C262A7" w:rsidRDefault="00FB6CE0" w14:paraId="130B6B51" w14:textId="02999F52">
      <w:pPr>
        <w:shd w:val="clear" w:color="auto" w:fill="FFFFFF"/>
        <w:spacing w:after="0" w:line="240" w:lineRule="auto"/>
        <w:rPr>
          <w:rFonts w:eastAsia="Times New Roman" w:cstheme="minorHAnsi"/>
          <w:color w:val="000000"/>
          <w:sz w:val="24"/>
          <w:szCs w:val="24"/>
          <w:lang w:eastAsia="en-GB"/>
        </w:rPr>
      </w:pPr>
      <w:r w:rsidRPr="00C262A7">
        <w:rPr>
          <w:rFonts w:eastAsia="Times New Roman" w:cstheme="minorHAnsi"/>
          <w:color w:val="000000"/>
          <w:sz w:val="24"/>
          <w:szCs w:val="24"/>
          <w:lang w:eastAsia="en-GB"/>
        </w:rPr>
        <w:t xml:space="preserve">Kallet-Marx, L. (1993) </w:t>
      </w:r>
      <w:r w:rsidRPr="00C262A7">
        <w:rPr>
          <w:rFonts w:eastAsia="Times New Roman" w:cstheme="minorHAnsi"/>
          <w:i/>
          <w:iCs/>
          <w:color w:val="000000"/>
          <w:sz w:val="24"/>
          <w:szCs w:val="24"/>
          <w:lang w:eastAsia="en-GB"/>
        </w:rPr>
        <w:t xml:space="preserve">Money, Expense, and Naval Power in Thucydides' History 1-5.24. </w:t>
      </w:r>
      <w:r w:rsidRPr="00C262A7">
        <w:rPr>
          <w:rFonts w:eastAsia="Times New Roman" w:cstheme="minorHAnsi"/>
          <w:color w:val="000000"/>
          <w:sz w:val="24"/>
          <w:szCs w:val="24"/>
          <w:lang w:eastAsia="en-GB"/>
        </w:rPr>
        <w:t>Berkeley: University of California Press.</w:t>
      </w:r>
      <w:r>
        <w:rPr>
          <w:rFonts w:eastAsia="Times New Roman" w:cstheme="minorHAnsi"/>
          <w:color w:val="000000"/>
          <w:sz w:val="24"/>
          <w:szCs w:val="24"/>
          <w:lang w:eastAsia="en-GB"/>
        </w:rPr>
        <w:t xml:space="preserve"> Available at: </w:t>
      </w:r>
      <w:hyperlink w:history="1" r:id="rId10">
        <w:r w:rsidRPr="00C262A7">
          <w:rPr>
            <w:rStyle w:val="Hyperlink"/>
            <w:rFonts w:eastAsia="Times New Roman" w:cstheme="minorHAnsi"/>
            <w:sz w:val="24"/>
            <w:szCs w:val="24"/>
            <w:lang w:eastAsia="en-GB"/>
          </w:rPr>
          <w:t>http://ark.cdlib.org/ark:/13030/ft3s2005h6/</w:t>
        </w:r>
      </w:hyperlink>
      <w:r>
        <w:rPr>
          <w:rFonts w:eastAsia="Times New Roman" w:cstheme="minorHAnsi"/>
          <w:color w:val="000000"/>
          <w:sz w:val="24"/>
          <w:szCs w:val="24"/>
          <w:lang w:eastAsia="en-GB"/>
        </w:rPr>
        <w:t>. (Accessed 14 March 2023).</w:t>
      </w:r>
    </w:p>
    <w:p w:rsidRPr="00C262A7" w:rsidR="00C262A7" w:rsidP="00C262A7" w:rsidRDefault="00C262A7" w14:paraId="48631C30" w14:textId="77777777">
      <w:pPr>
        <w:shd w:val="clear" w:color="auto" w:fill="FFFFFF"/>
        <w:spacing w:after="0" w:line="240" w:lineRule="auto"/>
        <w:rPr>
          <w:rFonts w:eastAsia="Times New Roman" w:cstheme="minorHAnsi"/>
          <w:color w:val="000000"/>
          <w:sz w:val="24"/>
          <w:szCs w:val="24"/>
          <w:lang w:eastAsia="en-GB"/>
        </w:rPr>
      </w:pPr>
    </w:p>
    <w:p w:rsidR="001B47AD" w:rsidP="001B47AD" w:rsidRDefault="00FB6CE0" w14:paraId="3820B66D" w14:textId="36415621">
      <w:pPr>
        <w:spacing w:after="0" w:line="240" w:lineRule="auto"/>
        <w:rPr>
          <w:sz w:val="24"/>
          <w:szCs w:val="24"/>
        </w:rPr>
      </w:pPr>
      <w:r w:rsidRPr="00C262A7">
        <w:rPr>
          <w:rFonts w:cstheme="minorHAnsi"/>
          <w:sz w:val="24"/>
          <w:szCs w:val="24"/>
        </w:rPr>
        <w:t>Krentz</w:t>
      </w:r>
      <w:r w:rsidRPr="00FF6290">
        <w:rPr>
          <w:sz w:val="24"/>
          <w:szCs w:val="24"/>
        </w:rPr>
        <w:t xml:space="preserve">, P. (2015) </w:t>
      </w:r>
      <w:r w:rsidRPr="00FF6290">
        <w:rPr>
          <w:i/>
          <w:iCs/>
          <w:sz w:val="24"/>
          <w:szCs w:val="24"/>
        </w:rPr>
        <w:t>The Battle of Arginusae: Victory at Sea and Its Tragic Aftermath in the Fi</w:t>
      </w:r>
      <w:r w:rsidRPr="00FF6290">
        <w:rPr>
          <w:i/>
          <w:iCs/>
          <w:sz w:val="24"/>
          <w:szCs w:val="24"/>
        </w:rPr>
        <w:t>nal Years of the Peloponnesian War</w:t>
      </w:r>
      <w:r w:rsidRPr="00FF6290">
        <w:rPr>
          <w:sz w:val="24"/>
          <w:szCs w:val="24"/>
        </w:rPr>
        <w:t>.</w:t>
      </w:r>
    </w:p>
    <w:p w:rsidR="00E349EB" w:rsidP="001B47AD" w:rsidRDefault="00E349EB" w14:paraId="0391F6A6" w14:textId="11AFFCCC">
      <w:pPr>
        <w:spacing w:after="0" w:line="240" w:lineRule="auto"/>
        <w:rPr>
          <w:sz w:val="24"/>
          <w:szCs w:val="24"/>
        </w:rPr>
      </w:pPr>
    </w:p>
    <w:p w:rsidRPr="00E349EB" w:rsidR="00E349EB" w:rsidP="00E349EB" w:rsidRDefault="00FB6CE0" w14:paraId="3D20D8D5" w14:textId="77777777">
      <w:pPr>
        <w:spacing w:after="0"/>
        <w:rPr>
          <w:sz w:val="24"/>
          <w:szCs w:val="24"/>
        </w:rPr>
      </w:pPr>
      <w:r w:rsidRPr="00E349EB">
        <w:rPr>
          <w:sz w:val="24"/>
          <w:szCs w:val="24"/>
        </w:rPr>
        <w:t xml:space="preserve">Laycock, K. (2020) Athen’s Domain: The Loss of Naval Supremacy and an Empire. </w:t>
      </w:r>
      <w:r w:rsidRPr="00E349EB">
        <w:rPr>
          <w:i/>
          <w:iCs/>
          <w:sz w:val="24"/>
          <w:szCs w:val="24"/>
        </w:rPr>
        <w:t>Canta, A Journal of Classical Studies. Issue. 1</w:t>
      </w:r>
      <w:r w:rsidRPr="00E349EB">
        <w:rPr>
          <w:sz w:val="24"/>
          <w:szCs w:val="24"/>
        </w:rPr>
        <w:t xml:space="preserve">  University of Guelph. Available at: </w:t>
      </w:r>
      <w:hyperlink w:history="1" r:id="rId11">
        <w:r w:rsidRPr="00E349EB">
          <w:rPr>
            <w:rStyle w:val="Hyperlink"/>
            <w:sz w:val="24"/>
            <w:szCs w:val="24"/>
          </w:rPr>
          <w:t>https://journal.lib.uoguelph.ca/index.php/classics/article/view/5917/5603</w:t>
        </w:r>
      </w:hyperlink>
      <w:r w:rsidRPr="00E349EB">
        <w:rPr>
          <w:sz w:val="24"/>
          <w:szCs w:val="24"/>
        </w:rPr>
        <w:t>. (Accessed 14 March 2023).</w:t>
      </w:r>
    </w:p>
    <w:p w:rsidRPr="00E821B4" w:rsidR="001B47AD" w:rsidP="001B47AD" w:rsidRDefault="001B47AD" w14:paraId="5A034FAF" w14:textId="77777777">
      <w:pPr>
        <w:spacing w:after="0" w:line="240" w:lineRule="auto"/>
        <w:rPr>
          <w:sz w:val="24"/>
          <w:szCs w:val="24"/>
        </w:rPr>
      </w:pPr>
    </w:p>
    <w:p w:rsidRPr="00FF6290" w:rsidR="001B47AD" w:rsidP="001B47AD" w:rsidRDefault="00FB6CE0" w14:paraId="4C14CF7B" w14:textId="36D8A6D3">
      <w:pPr>
        <w:spacing w:after="0" w:line="240" w:lineRule="auto"/>
        <w:jc w:val="both"/>
        <w:rPr>
          <w:rFonts w:cstheme="minorHAnsi"/>
          <w:i/>
          <w:iCs/>
          <w:sz w:val="24"/>
          <w:szCs w:val="24"/>
        </w:rPr>
      </w:pPr>
      <w:r w:rsidRPr="00FF6290">
        <w:rPr>
          <w:rFonts w:cstheme="minorHAnsi"/>
          <w:sz w:val="24"/>
          <w:szCs w:val="24"/>
        </w:rPr>
        <w:t xml:space="preserve">Lazenby, J. F. (2004) </w:t>
      </w:r>
      <w:r w:rsidRPr="00FF6290">
        <w:rPr>
          <w:rFonts w:cstheme="minorHAnsi"/>
          <w:i/>
          <w:iCs/>
          <w:sz w:val="24"/>
          <w:szCs w:val="24"/>
        </w:rPr>
        <w:t>The Pelopo</w:t>
      </w:r>
      <w:r w:rsidRPr="00FF6290">
        <w:rPr>
          <w:rFonts w:cstheme="minorHAnsi"/>
          <w:i/>
          <w:iCs/>
          <w:sz w:val="24"/>
          <w:szCs w:val="24"/>
        </w:rPr>
        <w:t>nnesian War, A Military Study</w:t>
      </w:r>
      <w:r w:rsidRPr="00FF6290">
        <w:rPr>
          <w:rFonts w:cstheme="minorHAnsi"/>
          <w:sz w:val="24"/>
          <w:szCs w:val="24"/>
        </w:rPr>
        <w:t>. London, New York: Routledge.</w:t>
      </w:r>
      <w:r>
        <w:rPr>
          <w:rFonts w:cstheme="minorHAnsi"/>
          <w:sz w:val="24"/>
          <w:szCs w:val="24"/>
        </w:rPr>
        <w:t xml:space="preserve"> </w:t>
      </w:r>
    </w:p>
    <w:p w:rsidRPr="00FF6290" w:rsidR="001B47AD" w:rsidP="001B47AD" w:rsidRDefault="001B47AD" w14:paraId="55687288" w14:textId="77777777">
      <w:pPr>
        <w:spacing w:after="0" w:line="240" w:lineRule="auto"/>
        <w:jc w:val="both"/>
        <w:rPr>
          <w:rFonts w:cstheme="minorHAnsi"/>
          <w:sz w:val="24"/>
          <w:szCs w:val="24"/>
        </w:rPr>
      </w:pPr>
    </w:p>
    <w:p w:rsidR="001B47AD" w:rsidP="001B47AD" w:rsidRDefault="00FB6CE0" w14:paraId="22FEA4DF" w14:textId="2B9959A0">
      <w:pPr>
        <w:spacing w:after="0" w:line="240" w:lineRule="auto"/>
        <w:rPr>
          <w:rFonts w:eastAsia="Times New Roman" w:cstheme="minorHAnsi"/>
          <w:sz w:val="24"/>
          <w:szCs w:val="24"/>
          <w:lang w:eastAsia="en-GB"/>
        </w:rPr>
      </w:pPr>
      <w:r w:rsidRPr="00FF6290">
        <w:rPr>
          <w:rFonts w:eastAsia="Times New Roman" w:cstheme="minorHAnsi"/>
          <w:sz w:val="24"/>
          <w:szCs w:val="24"/>
          <w:lang w:eastAsia="en-GB"/>
        </w:rPr>
        <w:t xml:space="preserve">Nash, J. (2018) Sea Power in the Peloponnesian War. </w:t>
      </w:r>
      <w:r w:rsidRPr="00FF6290">
        <w:rPr>
          <w:rFonts w:eastAsia="Times New Roman" w:cstheme="minorHAnsi"/>
          <w:i/>
          <w:iCs/>
          <w:sz w:val="24"/>
          <w:szCs w:val="24"/>
          <w:lang w:eastAsia="en-GB"/>
        </w:rPr>
        <w:t>Naval War College Review</w:t>
      </w:r>
      <w:r w:rsidRPr="00FF6290">
        <w:rPr>
          <w:rFonts w:eastAsia="Times New Roman" w:cstheme="minorHAnsi"/>
          <w:sz w:val="24"/>
          <w:szCs w:val="24"/>
          <w:lang w:eastAsia="en-GB"/>
        </w:rPr>
        <w:t xml:space="preserve">, </w:t>
      </w:r>
      <w:r w:rsidRPr="00FF6290">
        <w:rPr>
          <w:rFonts w:eastAsia="Times New Roman" w:cstheme="minorHAnsi"/>
          <w:i/>
          <w:iCs/>
          <w:sz w:val="24"/>
          <w:szCs w:val="24"/>
          <w:lang w:eastAsia="en-GB"/>
        </w:rPr>
        <w:t>71</w:t>
      </w:r>
      <w:r w:rsidRPr="00FF6290">
        <w:rPr>
          <w:rFonts w:eastAsia="Times New Roman" w:cstheme="minorHAnsi"/>
          <w:sz w:val="24"/>
          <w:szCs w:val="24"/>
          <w:lang w:eastAsia="en-GB"/>
        </w:rPr>
        <w:t xml:space="preserve">(1), 119–139. Available at: </w:t>
      </w:r>
      <w:hyperlink w:history="1" r:id="rId12">
        <w:r w:rsidRPr="00FF6290">
          <w:rPr>
            <w:rStyle w:val="Hyperlink"/>
            <w:rFonts w:eastAsia="Times New Roman" w:cstheme="minorHAnsi"/>
            <w:sz w:val="24"/>
            <w:szCs w:val="24"/>
            <w:lang w:eastAsia="en-GB"/>
          </w:rPr>
          <w:t>http://www.jstor.org/stable/2639809</w:t>
        </w:r>
        <w:r w:rsidRPr="00FF6290">
          <w:rPr>
            <w:rStyle w:val="Hyperlink"/>
            <w:rFonts w:eastAsia="Times New Roman" w:cstheme="minorHAnsi"/>
            <w:sz w:val="24"/>
            <w:szCs w:val="24"/>
            <w:lang w:eastAsia="en-GB"/>
          </w:rPr>
          <w:t>4</w:t>
        </w:r>
      </w:hyperlink>
      <w:r w:rsidRPr="00FF6290">
        <w:rPr>
          <w:rFonts w:eastAsia="Times New Roman" w:cstheme="minorHAnsi"/>
          <w:sz w:val="24"/>
          <w:szCs w:val="24"/>
          <w:lang w:eastAsia="en-GB"/>
        </w:rPr>
        <w:t xml:space="preserve">. (Accessed </w:t>
      </w:r>
      <w:r>
        <w:rPr>
          <w:rFonts w:eastAsia="Times New Roman" w:cstheme="minorHAnsi"/>
          <w:sz w:val="24"/>
          <w:szCs w:val="24"/>
          <w:lang w:eastAsia="en-GB"/>
        </w:rPr>
        <w:t>1</w:t>
      </w:r>
      <w:r w:rsidRPr="00FF6290">
        <w:rPr>
          <w:rFonts w:eastAsia="Times New Roman" w:cstheme="minorHAnsi"/>
          <w:sz w:val="24"/>
          <w:szCs w:val="24"/>
          <w:lang w:eastAsia="en-GB"/>
        </w:rPr>
        <w:t>0 March 2023).</w:t>
      </w:r>
    </w:p>
    <w:p w:rsidR="00295E6C" w:rsidP="001B47AD" w:rsidRDefault="00295E6C" w14:paraId="35102751" w14:textId="58AA91C3">
      <w:pPr>
        <w:spacing w:after="0" w:line="240" w:lineRule="auto"/>
        <w:rPr>
          <w:rFonts w:eastAsia="Times New Roman" w:cstheme="minorHAnsi"/>
          <w:sz w:val="24"/>
          <w:szCs w:val="24"/>
          <w:lang w:eastAsia="en-GB"/>
        </w:rPr>
      </w:pPr>
    </w:p>
    <w:p w:rsidR="008F1514" w:rsidP="008F1514" w:rsidRDefault="00FB6CE0" w14:paraId="22A6B80A" w14:textId="246EDCF2">
      <w:pPr>
        <w:spacing w:after="0"/>
        <w:rPr>
          <w:sz w:val="24"/>
          <w:szCs w:val="24"/>
        </w:rPr>
      </w:pPr>
      <w:r w:rsidRPr="008F1514">
        <w:rPr>
          <w:sz w:val="24"/>
          <w:szCs w:val="24"/>
        </w:rPr>
        <w:t>Platias, A. (2002). Grand Strategies Clashing: Athenian and Spartan Strategies in Thucydides' "History of the Peloponnesian War".</w:t>
      </w:r>
      <w:r w:rsidRPr="008F1514">
        <w:rPr>
          <w:i/>
          <w:iCs/>
          <w:sz w:val="24"/>
          <w:szCs w:val="24"/>
        </w:rPr>
        <w:t xml:space="preserve"> Comparative Strategy 21, no. 5. 377-399.</w:t>
      </w:r>
      <w:r w:rsidRPr="008F1514">
        <w:rPr>
          <w:sz w:val="24"/>
          <w:szCs w:val="24"/>
        </w:rPr>
        <w:t xml:space="preserve"> Available at: </w:t>
      </w:r>
      <w:hyperlink w:history="1" r:id="rId13">
        <w:r w:rsidRPr="008F1514">
          <w:rPr>
            <w:rStyle w:val="Hyperlink"/>
            <w:sz w:val="24"/>
            <w:szCs w:val="24"/>
          </w:rPr>
          <w:t>https://doi.org/10.1080/01495930290043137</w:t>
        </w:r>
      </w:hyperlink>
      <w:r w:rsidRPr="008F1514">
        <w:rPr>
          <w:sz w:val="24"/>
          <w:szCs w:val="24"/>
        </w:rPr>
        <w:t>. (Accessed 11 March 2023).</w:t>
      </w:r>
    </w:p>
    <w:p w:rsidRPr="008F1514" w:rsidR="008F1514" w:rsidP="008F1514" w:rsidRDefault="008F1514" w14:paraId="4C1EF2E6" w14:textId="77777777">
      <w:pPr>
        <w:spacing w:after="0"/>
        <w:rPr>
          <w:sz w:val="24"/>
          <w:szCs w:val="24"/>
        </w:rPr>
      </w:pPr>
    </w:p>
    <w:p w:rsidRPr="00295E6C" w:rsidR="00295E6C" w:rsidP="008F1514" w:rsidRDefault="00FB6CE0" w14:paraId="0E851BF8" w14:textId="30B8A4BF">
      <w:pPr>
        <w:spacing w:after="0"/>
        <w:rPr>
          <w:rFonts w:cstheme="minorHAnsi"/>
          <w:sz w:val="24"/>
          <w:szCs w:val="24"/>
        </w:rPr>
      </w:pPr>
      <w:r w:rsidRPr="00295E6C">
        <w:rPr>
          <w:rFonts w:cstheme="minorHAnsi"/>
          <w:color w:val="000000"/>
          <w:sz w:val="24"/>
          <w:szCs w:val="24"/>
        </w:rPr>
        <w:t xml:space="preserve">Plutarch. (1916) </w:t>
      </w:r>
      <w:r w:rsidRPr="00295E6C">
        <w:rPr>
          <w:rFonts w:cstheme="minorHAnsi"/>
          <w:i/>
          <w:iCs/>
          <w:color w:val="000000"/>
          <w:sz w:val="24"/>
          <w:szCs w:val="24"/>
        </w:rPr>
        <w:t>Pericles</w:t>
      </w:r>
      <w:r w:rsidRPr="00295E6C">
        <w:rPr>
          <w:rFonts w:cstheme="minorHAnsi"/>
          <w:color w:val="000000"/>
          <w:sz w:val="24"/>
          <w:szCs w:val="24"/>
        </w:rPr>
        <w:t xml:space="preserve">. Translated by Perrin, B.  Cambridge, MA: Harvard University Press. London: William Heinemann Ltd. </w:t>
      </w:r>
      <w:r w:rsidR="00647C07">
        <w:rPr>
          <w:rFonts w:cstheme="minorHAnsi"/>
          <w:color w:val="000000"/>
          <w:sz w:val="24"/>
          <w:szCs w:val="24"/>
        </w:rPr>
        <w:t xml:space="preserve">Available at: </w:t>
      </w:r>
    </w:p>
    <w:p w:rsidRPr="00647C07" w:rsidR="00295E6C" w:rsidP="008F1514" w:rsidRDefault="00FB6CE0" w14:paraId="56FEF836" w14:textId="59F7AAA2">
      <w:pPr>
        <w:spacing w:after="0" w:line="240" w:lineRule="auto"/>
        <w:rPr>
          <w:rFonts w:eastAsia="Times New Roman" w:cstheme="minorHAnsi"/>
          <w:sz w:val="24"/>
          <w:szCs w:val="24"/>
          <w:lang w:eastAsia="en-GB"/>
        </w:rPr>
      </w:pPr>
      <w:hyperlink w:history="1" r:id="rId14">
        <w:r w:rsidRPr="00647C07" w:rsidR="00183299">
          <w:rPr>
            <w:rStyle w:val="Hyperlink"/>
            <w:rFonts w:cstheme="minorHAnsi"/>
            <w:sz w:val="24"/>
            <w:szCs w:val="24"/>
          </w:rPr>
          <w:t>https://www.perseus.tufts.edu/hopper/text?doc=Perseus%3Atext%3A2008.01.0055%3Achapter%3D33%3Asection%3D4</w:t>
        </w:r>
      </w:hyperlink>
      <w:r w:rsidR="00647C07">
        <w:rPr>
          <w:rFonts w:cstheme="minorHAnsi"/>
          <w:sz w:val="24"/>
          <w:szCs w:val="24"/>
        </w:rPr>
        <w:t>. (Accessed 12 March 2023).</w:t>
      </w:r>
    </w:p>
    <w:p w:rsidRPr="00647C07" w:rsidR="00EE35AF" w:rsidP="001B47AD" w:rsidRDefault="00EE35AF" w14:paraId="6827407F" w14:textId="44E242DF">
      <w:pPr>
        <w:spacing w:after="0" w:line="240" w:lineRule="auto"/>
        <w:rPr>
          <w:rFonts w:eastAsia="Times New Roman" w:cstheme="minorHAnsi"/>
          <w:sz w:val="24"/>
          <w:szCs w:val="24"/>
          <w:lang w:eastAsia="en-GB"/>
        </w:rPr>
      </w:pPr>
    </w:p>
    <w:p w:rsidRPr="00295E6C" w:rsidR="00EE35AF" w:rsidP="00EE35AF" w:rsidRDefault="00FB6CE0" w14:paraId="372C2CB8" w14:textId="5719C13B">
      <w:pPr>
        <w:spacing w:after="0" w:line="240" w:lineRule="auto"/>
        <w:rPr>
          <w:rFonts w:eastAsia="Times New Roman" w:cstheme="minorHAnsi"/>
          <w:sz w:val="24"/>
          <w:szCs w:val="24"/>
          <w:lang w:eastAsia="en-GB"/>
        </w:rPr>
      </w:pPr>
      <w:r w:rsidRPr="00EE35AF">
        <w:rPr>
          <w:rFonts w:eastAsia="Times New Roman" w:cstheme="minorHAnsi"/>
          <w:sz w:val="24"/>
          <w:szCs w:val="24"/>
          <w:lang w:eastAsia="en-GB"/>
        </w:rPr>
        <w:t xml:space="preserve">Robertson, H. G. (1944) Commando Raids in the Peloponnesian War. </w:t>
      </w:r>
      <w:r w:rsidRPr="00EE35AF">
        <w:rPr>
          <w:rFonts w:eastAsia="Times New Roman" w:cstheme="minorHAnsi"/>
          <w:i/>
          <w:iCs/>
          <w:sz w:val="24"/>
          <w:szCs w:val="24"/>
          <w:lang w:eastAsia="en-GB"/>
        </w:rPr>
        <w:t>The Classical Weekly</w:t>
      </w:r>
      <w:r w:rsidRPr="00EE35AF">
        <w:rPr>
          <w:rFonts w:eastAsia="Times New Roman" w:cstheme="minorHAnsi"/>
          <w:sz w:val="24"/>
          <w:szCs w:val="24"/>
          <w:lang w:eastAsia="en-GB"/>
        </w:rPr>
        <w:t xml:space="preserve">, </w:t>
      </w:r>
      <w:r w:rsidRPr="00EE35AF">
        <w:rPr>
          <w:rFonts w:eastAsia="Times New Roman" w:cstheme="minorHAnsi"/>
          <w:i/>
          <w:iCs/>
          <w:sz w:val="24"/>
          <w:szCs w:val="24"/>
          <w:lang w:eastAsia="en-GB"/>
        </w:rPr>
        <w:t>37</w:t>
      </w:r>
      <w:r w:rsidRPr="00EE35AF">
        <w:rPr>
          <w:rFonts w:eastAsia="Times New Roman" w:cstheme="minorHAnsi"/>
          <w:sz w:val="24"/>
          <w:szCs w:val="24"/>
          <w:lang w:eastAsia="en-GB"/>
        </w:rPr>
        <w:t>(11), 130–130.</w:t>
      </w:r>
      <w:r w:rsidRPr="00295E6C">
        <w:rPr>
          <w:rFonts w:eastAsia="Times New Roman" w:cstheme="minorHAnsi"/>
          <w:sz w:val="24"/>
          <w:szCs w:val="24"/>
          <w:lang w:eastAsia="en-GB"/>
        </w:rPr>
        <w:t xml:space="preserve"> Available at: </w:t>
      </w:r>
      <w:hyperlink w:history="1" r:id="rId15">
        <w:r w:rsidRPr="00EE35AF">
          <w:rPr>
            <w:rStyle w:val="Hyperlink"/>
            <w:rFonts w:eastAsia="Times New Roman" w:cstheme="minorHAnsi"/>
            <w:sz w:val="24"/>
            <w:szCs w:val="24"/>
            <w:lang w:eastAsia="en-GB"/>
          </w:rPr>
          <w:t>https://doi.org/10.2307/4341856</w:t>
        </w:r>
      </w:hyperlink>
      <w:r w:rsidRPr="00295E6C">
        <w:rPr>
          <w:rFonts w:eastAsia="Times New Roman" w:cstheme="minorHAnsi"/>
          <w:sz w:val="24"/>
          <w:szCs w:val="24"/>
          <w:lang w:eastAsia="en-GB"/>
        </w:rPr>
        <w:t>. (Accessed 15 March 2023</w:t>
      </w:r>
      <w:r w:rsidRPr="00295E6C">
        <w:rPr>
          <w:rFonts w:eastAsia="Times New Roman" w:cstheme="minorHAnsi"/>
          <w:sz w:val="24"/>
          <w:szCs w:val="24"/>
          <w:lang w:eastAsia="en-GB"/>
        </w:rPr>
        <w:t>).</w:t>
      </w:r>
    </w:p>
    <w:p w:rsidRPr="00295E6C" w:rsidR="001B47AD" w:rsidP="001B47AD" w:rsidRDefault="001B47AD" w14:paraId="1E07D435" w14:textId="77777777">
      <w:pPr>
        <w:spacing w:after="0" w:line="240" w:lineRule="auto"/>
        <w:rPr>
          <w:rFonts w:cstheme="minorHAnsi"/>
          <w:b/>
          <w:bCs/>
          <w:sz w:val="24"/>
          <w:szCs w:val="24"/>
        </w:rPr>
      </w:pPr>
    </w:p>
    <w:p w:rsidRPr="00106FCF" w:rsidR="001B47AD" w:rsidP="001B47AD" w:rsidRDefault="00FB6CE0" w14:paraId="2D64BCE3" w14:textId="77777777">
      <w:pPr>
        <w:spacing w:after="0" w:line="240" w:lineRule="auto"/>
        <w:rPr>
          <w:rStyle w:val="Hyperlink"/>
          <w:sz w:val="24"/>
          <w:szCs w:val="24"/>
        </w:rPr>
      </w:pPr>
      <w:r w:rsidRPr="00FF6290">
        <w:rPr>
          <w:sz w:val="24"/>
          <w:szCs w:val="24"/>
        </w:rPr>
        <w:lastRenderedPageBreak/>
        <w:t xml:space="preserve">Santis, M. (2017) </w:t>
      </w:r>
      <w:r w:rsidRPr="00C262A7">
        <w:rPr>
          <w:i/>
          <w:iCs/>
          <w:sz w:val="24"/>
          <w:szCs w:val="24"/>
        </w:rPr>
        <w:t>A Naval History of the Peloponnesian War</w:t>
      </w:r>
      <w:r w:rsidRPr="00FF6290">
        <w:rPr>
          <w:sz w:val="24"/>
          <w:szCs w:val="24"/>
        </w:rPr>
        <w:t xml:space="preserve">. S. Yorkshire, UK: Pen and Sword. </w:t>
      </w:r>
      <w:hyperlink w:history="1" r:id="rId16">
        <w:r w:rsidRPr="00FF6290">
          <w:rPr>
            <w:rStyle w:val="Hyperlink"/>
            <w:sz w:val="24"/>
            <w:szCs w:val="24"/>
          </w:rPr>
          <w:t>https://www.per</w:t>
        </w:r>
        <w:r w:rsidRPr="00FF6290">
          <w:rPr>
            <w:rStyle w:val="Hyperlink"/>
            <w:sz w:val="24"/>
            <w:szCs w:val="24"/>
          </w:rPr>
          <w:t>lego.com/book/2447470/a-naval-history-of-the-peloponnesian-war-ships-men-and-money-in-the-war-at-sea-431404-bc-pdf</w:t>
        </w:r>
      </w:hyperlink>
      <w:r>
        <w:rPr>
          <w:rStyle w:val="Hyperlink"/>
          <w:sz w:val="24"/>
          <w:szCs w:val="24"/>
        </w:rPr>
        <w:t>. (Accessed 12 March 2023).</w:t>
      </w:r>
    </w:p>
    <w:p w:rsidRPr="00FF6290" w:rsidR="001B47AD" w:rsidP="001B47AD" w:rsidRDefault="001B47AD" w14:paraId="0CAF1CD2" w14:textId="77777777">
      <w:pPr>
        <w:spacing w:after="0" w:line="240" w:lineRule="auto"/>
        <w:rPr>
          <w:sz w:val="24"/>
          <w:szCs w:val="24"/>
        </w:rPr>
      </w:pPr>
    </w:p>
    <w:p w:rsidR="0090402C" w:rsidP="0090402C" w:rsidRDefault="00FB6CE0" w14:paraId="375398A1" w14:textId="41022134">
      <w:pPr>
        <w:spacing w:after="0" w:line="240" w:lineRule="auto"/>
        <w:rPr>
          <w:rFonts w:cstheme="minorHAnsi"/>
          <w:color w:val="282829"/>
          <w:sz w:val="24"/>
          <w:szCs w:val="24"/>
        </w:rPr>
      </w:pPr>
      <w:r w:rsidRPr="0090402C">
        <w:rPr>
          <w:rFonts w:cstheme="minorHAnsi"/>
          <w:color w:val="282829"/>
          <w:sz w:val="24"/>
          <w:szCs w:val="24"/>
        </w:rPr>
        <w:t xml:space="preserve">Taylor, M. C.  (2010) </w:t>
      </w:r>
      <w:r w:rsidRPr="00C262A7">
        <w:rPr>
          <w:rFonts w:cstheme="minorHAnsi"/>
          <w:i/>
          <w:iCs/>
          <w:color w:val="282829"/>
          <w:sz w:val="24"/>
          <w:szCs w:val="24"/>
        </w:rPr>
        <w:t xml:space="preserve">Thucydides, Pericles, and the idea of Athens in the </w:t>
      </w:r>
      <w:r w:rsidRPr="00C262A7">
        <w:rPr>
          <w:rFonts w:cstheme="minorHAnsi"/>
          <w:i/>
          <w:iCs/>
          <w:color w:val="282829"/>
          <w:sz w:val="24"/>
          <w:szCs w:val="24"/>
        </w:rPr>
        <w:t>Peloponnesian War.</w:t>
      </w:r>
      <w:r w:rsidRPr="0090402C">
        <w:rPr>
          <w:rFonts w:cstheme="minorHAnsi"/>
          <w:color w:val="282829"/>
          <w:sz w:val="24"/>
          <w:szCs w:val="24"/>
        </w:rPr>
        <w:t xml:space="preserve"> Cambridge: Cambridge University Press</w:t>
      </w:r>
      <w:r>
        <w:rPr>
          <w:rFonts w:cstheme="minorHAnsi"/>
          <w:color w:val="282829"/>
          <w:sz w:val="24"/>
          <w:szCs w:val="24"/>
        </w:rPr>
        <w:t>.</w:t>
      </w:r>
    </w:p>
    <w:p w:rsidRPr="0090402C" w:rsidR="0090402C" w:rsidP="0090402C" w:rsidRDefault="0090402C" w14:paraId="09C096CB" w14:textId="77777777">
      <w:pPr>
        <w:spacing w:after="0" w:line="240" w:lineRule="auto"/>
        <w:rPr>
          <w:rFonts w:cstheme="minorHAnsi"/>
          <w:color w:val="282829"/>
          <w:sz w:val="24"/>
          <w:szCs w:val="24"/>
        </w:rPr>
      </w:pPr>
    </w:p>
    <w:p w:rsidRPr="00D46738" w:rsidR="00E821B4" w:rsidP="00E821B4" w:rsidRDefault="00FB6CE0" w14:paraId="4EDB0819" w14:textId="77777777">
      <w:pPr>
        <w:spacing w:after="0" w:line="240" w:lineRule="auto"/>
        <w:rPr>
          <w:rFonts w:eastAsia="Times New Roman" w:cstheme="minorHAnsi"/>
          <w:sz w:val="24"/>
          <w:szCs w:val="24"/>
          <w:lang w:eastAsia="en-GB"/>
        </w:rPr>
      </w:pPr>
      <w:r w:rsidRPr="00D46738">
        <w:rPr>
          <w:rFonts w:eastAsia="Times New Roman" w:cstheme="minorHAnsi"/>
          <w:sz w:val="24"/>
          <w:szCs w:val="24"/>
          <w:lang w:eastAsia="en-GB"/>
        </w:rPr>
        <w:t>Thibault, E. A. (1973)</w:t>
      </w:r>
      <w:r>
        <w:rPr>
          <w:rFonts w:eastAsia="Times New Roman" w:cstheme="minorHAnsi"/>
          <w:sz w:val="24"/>
          <w:szCs w:val="24"/>
          <w:lang w:eastAsia="en-GB"/>
        </w:rPr>
        <w:t xml:space="preserve"> </w:t>
      </w:r>
      <w:r w:rsidRPr="00D46738">
        <w:rPr>
          <w:rFonts w:eastAsia="Times New Roman" w:cstheme="minorHAnsi"/>
          <w:sz w:val="24"/>
          <w:szCs w:val="24"/>
          <w:lang w:eastAsia="en-GB"/>
        </w:rPr>
        <w:t>T</w:t>
      </w:r>
      <w:r>
        <w:rPr>
          <w:rFonts w:eastAsia="Times New Roman" w:cstheme="minorHAnsi"/>
          <w:sz w:val="24"/>
          <w:szCs w:val="24"/>
          <w:lang w:eastAsia="en-GB"/>
        </w:rPr>
        <w:t>hucydides on the Influence of Sea Power.</w:t>
      </w:r>
      <w:r w:rsidRPr="00D46738">
        <w:rPr>
          <w:rFonts w:eastAsia="Times New Roman" w:cstheme="minorHAnsi"/>
          <w:sz w:val="24"/>
          <w:szCs w:val="24"/>
          <w:lang w:eastAsia="en-GB"/>
        </w:rPr>
        <w:t xml:space="preserve"> </w:t>
      </w:r>
      <w:r w:rsidRPr="00D46738">
        <w:rPr>
          <w:rFonts w:eastAsia="Times New Roman" w:cstheme="minorHAnsi"/>
          <w:i/>
          <w:iCs/>
          <w:sz w:val="24"/>
          <w:szCs w:val="24"/>
          <w:lang w:eastAsia="en-GB"/>
        </w:rPr>
        <w:t>Naval War College Review</w:t>
      </w:r>
      <w:r w:rsidRPr="00D46738">
        <w:rPr>
          <w:rFonts w:eastAsia="Times New Roman" w:cstheme="minorHAnsi"/>
          <w:sz w:val="24"/>
          <w:szCs w:val="24"/>
          <w:lang w:eastAsia="en-GB"/>
        </w:rPr>
        <w:t xml:space="preserve">, </w:t>
      </w:r>
      <w:r w:rsidRPr="00D46738">
        <w:rPr>
          <w:rFonts w:eastAsia="Times New Roman" w:cstheme="minorHAnsi"/>
          <w:i/>
          <w:iCs/>
          <w:sz w:val="24"/>
          <w:szCs w:val="24"/>
          <w:lang w:eastAsia="en-GB"/>
        </w:rPr>
        <w:t>25</w:t>
      </w:r>
      <w:r w:rsidRPr="00D46738">
        <w:rPr>
          <w:rFonts w:eastAsia="Times New Roman" w:cstheme="minorHAnsi"/>
          <w:sz w:val="24"/>
          <w:szCs w:val="24"/>
          <w:lang w:eastAsia="en-GB"/>
        </w:rPr>
        <w:t xml:space="preserve">(4), 31–35. </w:t>
      </w:r>
      <w:r>
        <w:rPr>
          <w:rFonts w:eastAsia="Times New Roman" w:cstheme="minorHAnsi"/>
          <w:sz w:val="24"/>
          <w:szCs w:val="24"/>
          <w:lang w:eastAsia="en-GB"/>
        </w:rPr>
        <w:t xml:space="preserve">Available at: </w:t>
      </w:r>
      <w:hyperlink w:history="1" r:id="rId17">
        <w:r w:rsidRPr="00D46738">
          <w:rPr>
            <w:rStyle w:val="Hyperlink"/>
            <w:rFonts w:eastAsia="Times New Roman" w:cstheme="minorHAnsi"/>
            <w:sz w:val="24"/>
            <w:szCs w:val="24"/>
            <w:lang w:eastAsia="en-GB"/>
          </w:rPr>
          <w:t>http://www.jstor.org/stable</w:t>
        </w:r>
        <w:r w:rsidRPr="00D46738">
          <w:rPr>
            <w:rStyle w:val="Hyperlink"/>
            <w:rFonts w:eastAsia="Times New Roman" w:cstheme="minorHAnsi"/>
            <w:sz w:val="24"/>
            <w:szCs w:val="24"/>
            <w:lang w:eastAsia="en-GB"/>
          </w:rPr>
          <w:t>/44639794</w:t>
        </w:r>
      </w:hyperlink>
      <w:r>
        <w:rPr>
          <w:rFonts w:eastAsia="Times New Roman" w:cstheme="minorHAnsi"/>
          <w:sz w:val="24"/>
          <w:szCs w:val="24"/>
          <w:lang w:eastAsia="en-GB"/>
        </w:rPr>
        <w:t>. (Accessed 14 March 2023).</w:t>
      </w:r>
    </w:p>
    <w:p w:rsidR="00E821B4" w:rsidP="00E821B4" w:rsidRDefault="00E821B4" w14:paraId="43D2833E" w14:textId="77777777">
      <w:pPr>
        <w:spacing w:after="0" w:line="240" w:lineRule="auto"/>
        <w:rPr>
          <w:sz w:val="24"/>
          <w:szCs w:val="24"/>
        </w:rPr>
      </w:pPr>
    </w:p>
    <w:p w:rsidRPr="0090402C" w:rsidR="001B47AD" w:rsidP="0090402C" w:rsidRDefault="00FB6CE0" w14:paraId="34F15B4A" w14:textId="4C479857">
      <w:pPr>
        <w:spacing w:after="0" w:line="240" w:lineRule="auto"/>
        <w:rPr>
          <w:rFonts w:cstheme="minorHAnsi"/>
          <w:color w:val="000000"/>
          <w:sz w:val="24"/>
          <w:szCs w:val="24"/>
        </w:rPr>
      </w:pPr>
      <w:r w:rsidRPr="00FF6290">
        <w:rPr>
          <w:rFonts w:cstheme="minorHAnsi"/>
          <w:color w:val="000000"/>
          <w:sz w:val="24"/>
          <w:szCs w:val="24"/>
        </w:rPr>
        <w:t>Thucydides. (1</w:t>
      </w:r>
      <w:r w:rsidR="0090402C">
        <w:rPr>
          <w:rFonts w:cstheme="minorHAnsi"/>
          <w:color w:val="000000"/>
          <w:sz w:val="24"/>
          <w:szCs w:val="24"/>
        </w:rPr>
        <w:t>972</w:t>
      </w:r>
      <w:r w:rsidRPr="00FF6290">
        <w:rPr>
          <w:rFonts w:cstheme="minorHAnsi"/>
          <w:color w:val="000000"/>
          <w:sz w:val="24"/>
          <w:szCs w:val="24"/>
        </w:rPr>
        <w:t xml:space="preserve">) </w:t>
      </w:r>
      <w:r w:rsidRPr="00FF6290">
        <w:rPr>
          <w:rFonts w:cstheme="minorHAnsi"/>
          <w:i/>
          <w:iCs/>
          <w:sz w:val="24"/>
          <w:szCs w:val="24"/>
        </w:rPr>
        <w:t>History of the Peloponnesian Wa</w:t>
      </w:r>
      <w:r w:rsidRPr="00FF6290">
        <w:rPr>
          <w:rFonts w:cstheme="minorHAnsi"/>
          <w:sz w:val="24"/>
          <w:szCs w:val="24"/>
        </w:rPr>
        <w:t xml:space="preserve">r. </w:t>
      </w:r>
      <w:r>
        <w:rPr>
          <w:rFonts w:cstheme="minorHAnsi"/>
          <w:sz w:val="24"/>
          <w:szCs w:val="24"/>
        </w:rPr>
        <w:t xml:space="preserve">Translated by </w:t>
      </w:r>
      <w:r w:rsidRPr="0090402C" w:rsidR="0090402C">
        <w:rPr>
          <w:rFonts w:cstheme="minorHAnsi"/>
          <w:color w:val="000000"/>
          <w:sz w:val="24"/>
          <w:szCs w:val="24"/>
        </w:rPr>
        <w:t xml:space="preserve">Warner, R. Harmondsworth: Penguin. </w:t>
      </w:r>
    </w:p>
    <w:p w:rsidR="001B47AD" w:rsidP="001B47AD" w:rsidRDefault="001B47AD" w14:paraId="2A47E5CC" w14:textId="42909679">
      <w:pPr>
        <w:spacing w:after="0" w:line="240" w:lineRule="auto"/>
        <w:rPr>
          <w:sz w:val="24"/>
          <w:szCs w:val="24"/>
        </w:rPr>
      </w:pPr>
    </w:p>
    <w:p w:rsidRPr="00106FCF" w:rsidR="00E821B4" w:rsidP="00E821B4" w:rsidRDefault="00FB6CE0" w14:paraId="7B6273BC" w14:textId="77777777">
      <w:pPr>
        <w:spacing w:after="0" w:line="240" w:lineRule="auto"/>
        <w:rPr>
          <w:sz w:val="24"/>
          <w:szCs w:val="24"/>
        </w:rPr>
      </w:pPr>
      <w:r w:rsidRPr="00FF6290">
        <w:rPr>
          <w:rFonts w:cstheme="minorHAnsi"/>
          <w:color w:val="000000"/>
          <w:sz w:val="24"/>
          <w:szCs w:val="24"/>
        </w:rPr>
        <w:t xml:space="preserve">Thucydides. (1818). </w:t>
      </w:r>
      <w:r w:rsidRPr="00FF6290">
        <w:rPr>
          <w:rFonts w:cstheme="minorHAnsi"/>
          <w:i/>
          <w:iCs/>
          <w:sz w:val="24"/>
          <w:szCs w:val="24"/>
        </w:rPr>
        <w:t>History of the Peloponnesian Wa</w:t>
      </w:r>
      <w:r w:rsidRPr="00FF6290">
        <w:rPr>
          <w:rFonts w:cstheme="minorHAnsi"/>
          <w:sz w:val="24"/>
          <w:szCs w:val="24"/>
        </w:rPr>
        <w:t xml:space="preserve">r. </w:t>
      </w:r>
      <w:r>
        <w:rPr>
          <w:rFonts w:cstheme="minorHAnsi"/>
          <w:sz w:val="24"/>
          <w:szCs w:val="24"/>
        </w:rPr>
        <w:t xml:space="preserve">Translated by </w:t>
      </w:r>
      <w:r w:rsidRPr="00FF6290">
        <w:rPr>
          <w:rFonts w:cstheme="minorHAnsi"/>
          <w:sz w:val="24"/>
          <w:szCs w:val="24"/>
        </w:rPr>
        <w:t xml:space="preserve">Jowett, B. </w:t>
      </w:r>
      <w:r>
        <w:rPr>
          <w:rFonts w:cstheme="minorHAnsi"/>
          <w:sz w:val="24"/>
          <w:szCs w:val="24"/>
        </w:rPr>
        <w:t xml:space="preserve">Oxford: </w:t>
      </w:r>
      <w:r w:rsidRPr="00FF6290">
        <w:rPr>
          <w:rFonts w:cstheme="minorHAnsi"/>
          <w:color w:val="000000"/>
          <w:sz w:val="24"/>
          <w:szCs w:val="24"/>
        </w:rPr>
        <w:t xml:space="preserve">Clarendon Press. </w:t>
      </w:r>
      <w:r w:rsidRPr="00106FCF">
        <w:rPr>
          <w:rFonts w:cstheme="minorHAnsi"/>
          <w:color w:val="000000"/>
          <w:sz w:val="24"/>
          <w:szCs w:val="24"/>
        </w:rPr>
        <w:t xml:space="preserve">Available at: </w:t>
      </w:r>
      <w:hyperlink w:history="1" r:id="rId18">
        <w:r w:rsidRPr="006104D2">
          <w:rPr>
            <w:rStyle w:val="Hyperlink"/>
            <w:sz w:val="24"/>
            <w:szCs w:val="24"/>
          </w:rPr>
          <w:t>https://www.perseus.tufts.edu/hopper/text?doc=Perseus%3Atext%3A1999.04.0105%</w:t>
        </w:r>
        <w:r w:rsidRPr="006104D2">
          <w:rPr>
            <w:rStyle w:val="Hyperlink"/>
            <w:sz w:val="24"/>
            <w:szCs w:val="24"/>
          </w:rPr>
          <w:t>3Abook%3D4%3Achapter%3D96</w:t>
        </w:r>
      </w:hyperlink>
      <w:r w:rsidRPr="00106FCF">
        <w:rPr>
          <w:color w:val="0000FF"/>
          <w:sz w:val="24"/>
          <w:szCs w:val="24"/>
          <w:u w:val="single"/>
        </w:rPr>
        <w:t xml:space="preserve">. </w:t>
      </w:r>
      <w:r>
        <w:rPr>
          <w:sz w:val="24"/>
          <w:szCs w:val="24"/>
        </w:rPr>
        <w:t>(Accessed 10 March 2023).</w:t>
      </w:r>
    </w:p>
    <w:p w:rsidR="00E821B4" w:rsidP="001B47AD" w:rsidRDefault="00E821B4" w14:paraId="3FE97CB8" w14:textId="77777777">
      <w:pPr>
        <w:spacing w:after="0" w:line="240" w:lineRule="auto"/>
        <w:rPr>
          <w:sz w:val="24"/>
          <w:szCs w:val="24"/>
        </w:rPr>
      </w:pPr>
    </w:p>
    <w:p w:rsidR="001B47AD" w:rsidP="001B47AD" w:rsidRDefault="00FB6CE0" w14:paraId="23479AA1" w14:textId="35278BC3">
      <w:pPr>
        <w:spacing w:after="0" w:line="240" w:lineRule="auto"/>
        <w:rPr>
          <w:sz w:val="24"/>
          <w:szCs w:val="24"/>
        </w:rPr>
      </w:pPr>
      <w:r>
        <w:rPr>
          <w:sz w:val="24"/>
          <w:szCs w:val="24"/>
        </w:rPr>
        <w:t xml:space="preserve">Trittle, L. (2010) </w:t>
      </w:r>
      <w:r w:rsidRPr="00D75465">
        <w:rPr>
          <w:i/>
          <w:iCs/>
          <w:sz w:val="24"/>
          <w:szCs w:val="24"/>
        </w:rPr>
        <w:t>A New History of the Peloponnesian War</w:t>
      </w:r>
      <w:r>
        <w:rPr>
          <w:sz w:val="24"/>
          <w:szCs w:val="24"/>
        </w:rPr>
        <w:t xml:space="preserve">. Chichester: Wiley-Blackwell. </w:t>
      </w:r>
    </w:p>
    <w:p w:rsidR="00D46738" w:rsidP="001B47AD" w:rsidRDefault="00D46738" w14:paraId="641B27BA" w14:textId="00CFFABE">
      <w:pPr>
        <w:spacing w:after="0" w:line="240" w:lineRule="auto"/>
        <w:rPr>
          <w:sz w:val="24"/>
          <w:szCs w:val="24"/>
        </w:rPr>
      </w:pPr>
    </w:p>
    <w:p w:rsidR="00D46738" w:rsidP="00D46738" w:rsidRDefault="00FB6CE0" w14:paraId="3A3364EC" w14:textId="2B5BFC95">
      <w:pPr>
        <w:spacing w:after="0" w:line="240" w:lineRule="auto"/>
        <w:rPr>
          <w:rFonts w:eastAsia="Times New Roman" w:cstheme="minorHAnsi"/>
          <w:sz w:val="24"/>
          <w:szCs w:val="24"/>
          <w:lang w:eastAsia="en-GB"/>
        </w:rPr>
      </w:pPr>
      <w:r w:rsidRPr="00D46738">
        <w:rPr>
          <w:rFonts w:eastAsia="Times New Roman" w:cstheme="minorHAnsi"/>
          <w:sz w:val="24"/>
          <w:szCs w:val="24"/>
          <w:lang w:eastAsia="en-GB"/>
        </w:rPr>
        <w:t>Walling, K. (2013)</w:t>
      </w:r>
      <w:r>
        <w:rPr>
          <w:rFonts w:eastAsia="Times New Roman" w:cstheme="minorHAnsi"/>
          <w:sz w:val="24"/>
          <w:szCs w:val="24"/>
          <w:lang w:eastAsia="en-GB"/>
        </w:rPr>
        <w:t xml:space="preserve"> </w:t>
      </w:r>
      <w:r w:rsidRPr="00D46738">
        <w:rPr>
          <w:rFonts w:eastAsia="Times New Roman" w:cstheme="minorHAnsi"/>
          <w:sz w:val="24"/>
          <w:szCs w:val="24"/>
          <w:lang w:eastAsia="en-GB"/>
        </w:rPr>
        <w:t>T</w:t>
      </w:r>
      <w:r>
        <w:rPr>
          <w:rFonts w:eastAsia="Times New Roman" w:cstheme="minorHAnsi"/>
          <w:sz w:val="24"/>
          <w:szCs w:val="24"/>
          <w:lang w:eastAsia="en-GB"/>
        </w:rPr>
        <w:t xml:space="preserve">hucydides on Policy, Strategy and War </w:t>
      </w:r>
      <w:r>
        <w:rPr>
          <w:rFonts w:eastAsia="Times New Roman" w:cstheme="minorHAnsi"/>
          <w:sz w:val="24"/>
          <w:szCs w:val="24"/>
          <w:lang w:eastAsia="en-GB"/>
        </w:rPr>
        <w:t>Termination.</w:t>
      </w:r>
      <w:r w:rsidRPr="00D46738">
        <w:rPr>
          <w:rFonts w:eastAsia="Times New Roman" w:cstheme="minorHAnsi"/>
          <w:sz w:val="24"/>
          <w:szCs w:val="24"/>
          <w:lang w:eastAsia="en-GB"/>
        </w:rPr>
        <w:t xml:space="preserve"> </w:t>
      </w:r>
      <w:r w:rsidRPr="00D46738">
        <w:rPr>
          <w:rFonts w:eastAsia="Times New Roman" w:cstheme="minorHAnsi"/>
          <w:i/>
          <w:iCs/>
          <w:sz w:val="24"/>
          <w:szCs w:val="24"/>
          <w:lang w:eastAsia="en-GB"/>
        </w:rPr>
        <w:t>Naval War College Review</w:t>
      </w:r>
      <w:r w:rsidRPr="00D46738">
        <w:rPr>
          <w:rFonts w:eastAsia="Times New Roman" w:cstheme="minorHAnsi"/>
          <w:sz w:val="24"/>
          <w:szCs w:val="24"/>
          <w:lang w:eastAsia="en-GB"/>
        </w:rPr>
        <w:t xml:space="preserve">, </w:t>
      </w:r>
      <w:r w:rsidRPr="00D46738">
        <w:rPr>
          <w:rFonts w:eastAsia="Times New Roman" w:cstheme="minorHAnsi"/>
          <w:i/>
          <w:iCs/>
          <w:sz w:val="24"/>
          <w:szCs w:val="24"/>
          <w:lang w:eastAsia="en-GB"/>
        </w:rPr>
        <w:t>66</w:t>
      </w:r>
      <w:r w:rsidRPr="00D46738">
        <w:rPr>
          <w:rFonts w:eastAsia="Times New Roman" w:cstheme="minorHAnsi"/>
          <w:sz w:val="24"/>
          <w:szCs w:val="24"/>
          <w:lang w:eastAsia="en-GB"/>
        </w:rPr>
        <w:t xml:space="preserve">(4), 47–86. </w:t>
      </w:r>
      <w:r>
        <w:rPr>
          <w:rFonts w:eastAsia="Times New Roman" w:cstheme="minorHAnsi"/>
          <w:sz w:val="24"/>
          <w:szCs w:val="24"/>
          <w:lang w:eastAsia="en-GB"/>
        </w:rPr>
        <w:t xml:space="preserve">Available at: </w:t>
      </w:r>
      <w:hyperlink w:history="1" r:id="rId19">
        <w:r w:rsidRPr="00D46738">
          <w:rPr>
            <w:rStyle w:val="Hyperlink"/>
            <w:rFonts w:eastAsia="Times New Roman" w:cstheme="minorHAnsi"/>
            <w:sz w:val="24"/>
            <w:szCs w:val="24"/>
            <w:lang w:eastAsia="en-GB"/>
          </w:rPr>
          <w:t>http://www.jstor.org/stable/26397417</w:t>
        </w:r>
      </w:hyperlink>
      <w:r>
        <w:rPr>
          <w:rFonts w:eastAsia="Times New Roman" w:cstheme="minorHAnsi"/>
          <w:sz w:val="24"/>
          <w:szCs w:val="24"/>
          <w:lang w:eastAsia="en-GB"/>
        </w:rPr>
        <w:t>. (Accessed on 12 March 2023).</w:t>
      </w:r>
    </w:p>
    <w:p w:rsidR="00EE35AF" w:rsidP="00D46738" w:rsidRDefault="00EE35AF" w14:paraId="02F5B2B4" w14:textId="26D55D50">
      <w:pPr>
        <w:spacing w:after="0" w:line="240" w:lineRule="auto"/>
        <w:rPr>
          <w:rFonts w:eastAsia="Times New Roman" w:cstheme="minorHAnsi"/>
          <w:sz w:val="24"/>
          <w:szCs w:val="24"/>
          <w:lang w:eastAsia="en-GB"/>
        </w:rPr>
      </w:pPr>
    </w:p>
    <w:p w:rsidRPr="00EE35AF" w:rsidR="00EE35AF" w:rsidP="00EE35AF" w:rsidRDefault="00FB6CE0" w14:paraId="29B602AD" w14:textId="45F0DCDF">
      <w:pPr>
        <w:spacing w:after="0" w:line="240" w:lineRule="auto"/>
        <w:rPr>
          <w:rFonts w:eastAsia="Times New Roman" w:cstheme="minorHAnsi"/>
          <w:sz w:val="24"/>
          <w:szCs w:val="24"/>
          <w:lang w:eastAsia="en-GB"/>
        </w:rPr>
      </w:pPr>
      <w:r w:rsidRPr="00EE35AF">
        <w:rPr>
          <w:rFonts w:eastAsia="Times New Roman" w:cstheme="minorHAnsi"/>
          <w:sz w:val="24"/>
          <w:szCs w:val="24"/>
          <w:lang w:eastAsia="en-GB"/>
        </w:rPr>
        <w:t xml:space="preserve">Wallinga, H. T. (1990) The Trireme </w:t>
      </w:r>
      <w:r w:rsidRPr="00EE35AF">
        <w:rPr>
          <w:rFonts w:eastAsia="Times New Roman" w:cstheme="minorHAnsi"/>
          <w:sz w:val="24"/>
          <w:szCs w:val="24"/>
          <w:lang w:eastAsia="en-GB"/>
        </w:rPr>
        <w:t xml:space="preserve">and History. </w:t>
      </w:r>
      <w:r w:rsidRPr="00EE35AF">
        <w:rPr>
          <w:rFonts w:eastAsia="Times New Roman" w:cstheme="minorHAnsi"/>
          <w:i/>
          <w:iCs/>
          <w:sz w:val="24"/>
          <w:szCs w:val="24"/>
          <w:lang w:val="nb-NO" w:eastAsia="en-GB"/>
        </w:rPr>
        <w:t>Mnemosyne</w:t>
      </w:r>
      <w:r w:rsidRPr="00EE35AF">
        <w:rPr>
          <w:rFonts w:eastAsia="Times New Roman" w:cstheme="minorHAnsi"/>
          <w:sz w:val="24"/>
          <w:szCs w:val="24"/>
          <w:lang w:val="nb-NO" w:eastAsia="en-GB"/>
        </w:rPr>
        <w:t xml:space="preserve">, </w:t>
      </w:r>
      <w:r w:rsidRPr="00EE35AF">
        <w:rPr>
          <w:rFonts w:eastAsia="Times New Roman" w:cstheme="minorHAnsi"/>
          <w:i/>
          <w:iCs/>
          <w:sz w:val="24"/>
          <w:szCs w:val="24"/>
          <w:lang w:val="nb-NO" w:eastAsia="en-GB"/>
        </w:rPr>
        <w:t>43</w:t>
      </w:r>
      <w:r w:rsidRPr="00EE35AF">
        <w:rPr>
          <w:rFonts w:eastAsia="Times New Roman" w:cstheme="minorHAnsi"/>
          <w:sz w:val="24"/>
          <w:szCs w:val="24"/>
          <w:lang w:val="nb-NO" w:eastAsia="en-GB"/>
        </w:rPr>
        <w:t xml:space="preserve">(1/2), 132–149. </w:t>
      </w:r>
      <w:proofErr w:type="spellStart"/>
      <w:r w:rsidRPr="00D0134E">
        <w:rPr>
          <w:rFonts w:eastAsia="Times New Roman" w:cstheme="minorHAnsi"/>
          <w:sz w:val="24"/>
          <w:szCs w:val="24"/>
          <w:lang w:val="nb-NO" w:eastAsia="en-GB"/>
        </w:rPr>
        <w:t>Available</w:t>
      </w:r>
      <w:proofErr w:type="spellEnd"/>
      <w:r w:rsidRPr="00D0134E">
        <w:rPr>
          <w:rFonts w:eastAsia="Times New Roman" w:cstheme="minorHAnsi"/>
          <w:sz w:val="24"/>
          <w:szCs w:val="24"/>
          <w:lang w:val="nb-NO" w:eastAsia="en-GB"/>
        </w:rPr>
        <w:t xml:space="preserve"> at: </w:t>
      </w:r>
      <w:hyperlink w:history="1" r:id="rId20">
        <w:r w:rsidRPr="00D0134E">
          <w:rPr>
            <w:rStyle w:val="Hyperlink"/>
            <w:rFonts w:eastAsia="Times New Roman" w:cstheme="minorHAnsi"/>
            <w:sz w:val="24"/>
            <w:szCs w:val="24"/>
            <w:lang w:val="nb-NO" w:eastAsia="en-GB"/>
          </w:rPr>
          <w:t>http://www.jstor.org/stable/4431893</w:t>
        </w:r>
      </w:hyperlink>
      <w:r w:rsidRPr="00D0134E">
        <w:rPr>
          <w:rFonts w:eastAsia="Times New Roman" w:cstheme="minorHAnsi"/>
          <w:sz w:val="24"/>
          <w:szCs w:val="24"/>
          <w:lang w:val="nb-NO" w:eastAsia="en-GB"/>
        </w:rPr>
        <w:t xml:space="preserve">. </w:t>
      </w:r>
      <w:r w:rsidRPr="00C3024E">
        <w:rPr>
          <w:rFonts w:eastAsia="Times New Roman" w:cstheme="minorHAnsi"/>
          <w:sz w:val="24"/>
          <w:szCs w:val="24"/>
          <w:lang w:eastAsia="en-GB"/>
        </w:rPr>
        <w:t>(Accessed 14 March 2023).</w:t>
      </w:r>
    </w:p>
    <w:p w:rsidRPr="00D46738" w:rsidR="00EE35AF" w:rsidP="00D46738" w:rsidRDefault="00EE35AF" w14:paraId="62698933" w14:textId="77777777">
      <w:pPr>
        <w:spacing w:after="0" w:line="240" w:lineRule="auto"/>
        <w:rPr>
          <w:rFonts w:eastAsia="Times New Roman" w:cstheme="minorHAnsi"/>
          <w:sz w:val="24"/>
          <w:szCs w:val="24"/>
          <w:lang w:eastAsia="en-GB"/>
        </w:rPr>
      </w:pPr>
    </w:p>
    <w:p w:rsidRPr="00D46738" w:rsidR="001B47AD" w:rsidP="001B47AD" w:rsidRDefault="00FB6CE0" w14:paraId="65B45C0E" w14:textId="77777777">
      <w:pPr>
        <w:spacing w:after="0" w:line="240" w:lineRule="auto"/>
        <w:rPr>
          <w:rFonts w:cstheme="minorHAnsi"/>
          <w:sz w:val="24"/>
          <w:szCs w:val="24"/>
        </w:rPr>
      </w:pPr>
      <w:r w:rsidRPr="00D46738">
        <w:rPr>
          <w:rFonts w:cstheme="minorHAnsi"/>
          <w:sz w:val="24"/>
          <w:szCs w:val="24"/>
        </w:rPr>
        <w:t xml:space="preserve">Wees, H. V. (2004) </w:t>
      </w:r>
      <w:r w:rsidRPr="00D46738">
        <w:rPr>
          <w:rFonts w:cstheme="minorHAnsi"/>
          <w:i/>
          <w:iCs/>
          <w:sz w:val="24"/>
          <w:szCs w:val="24"/>
        </w:rPr>
        <w:t>Greek Warfare: Myths and Realities</w:t>
      </w:r>
      <w:r w:rsidRPr="00D46738">
        <w:rPr>
          <w:rFonts w:cstheme="minorHAnsi"/>
          <w:sz w:val="24"/>
          <w:szCs w:val="24"/>
        </w:rPr>
        <w:t>. London, New York: Bloomsbury Academic.</w:t>
      </w:r>
    </w:p>
    <w:p w:rsidRPr="00D46738" w:rsidR="001B47AD" w:rsidP="001B47AD" w:rsidRDefault="001B47AD" w14:paraId="533C6E0F" w14:textId="77777777">
      <w:pPr>
        <w:spacing w:after="0" w:line="240" w:lineRule="auto"/>
        <w:rPr>
          <w:rFonts w:cstheme="minorHAnsi"/>
          <w:sz w:val="24"/>
          <w:szCs w:val="24"/>
        </w:rPr>
      </w:pPr>
    </w:p>
    <w:p w:rsidR="001B47AD" w:rsidP="001B47AD" w:rsidRDefault="00FB6CE0" w14:paraId="505721A5" w14:textId="77777777">
      <w:pPr>
        <w:spacing w:after="0" w:line="240" w:lineRule="auto"/>
        <w:rPr>
          <w:sz w:val="24"/>
          <w:szCs w:val="24"/>
        </w:rPr>
      </w:pPr>
      <w:r w:rsidRPr="00106FCF">
        <w:rPr>
          <w:sz w:val="24"/>
          <w:szCs w:val="24"/>
        </w:rPr>
        <w:t>Xenophon. (1918-21)</w:t>
      </w:r>
      <w:r>
        <w:rPr>
          <w:sz w:val="24"/>
          <w:szCs w:val="24"/>
        </w:rPr>
        <w:t xml:space="preserve"> </w:t>
      </w:r>
      <w:r w:rsidRPr="00106FCF">
        <w:rPr>
          <w:i/>
          <w:iCs/>
          <w:sz w:val="24"/>
          <w:szCs w:val="24"/>
        </w:rPr>
        <w:t xml:space="preserve">Hellenica. </w:t>
      </w:r>
      <w:r w:rsidRPr="00106FCF">
        <w:rPr>
          <w:sz w:val="24"/>
          <w:szCs w:val="24"/>
        </w:rPr>
        <w:t xml:space="preserve"> Edited by Brownson, C. L.</w:t>
      </w:r>
      <w:r>
        <w:rPr>
          <w:sz w:val="24"/>
          <w:szCs w:val="24"/>
        </w:rPr>
        <w:t xml:space="preserve"> Cambridge, MA: </w:t>
      </w:r>
      <w:r w:rsidRPr="00106FCF">
        <w:rPr>
          <w:sz w:val="24"/>
          <w:szCs w:val="24"/>
        </w:rPr>
        <w:t xml:space="preserve">Harvard University Press, </w:t>
      </w:r>
      <w:r>
        <w:rPr>
          <w:sz w:val="24"/>
          <w:szCs w:val="24"/>
        </w:rPr>
        <w:t>London:</w:t>
      </w:r>
      <w:r w:rsidRPr="00106FCF">
        <w:rPr>
          <w:sz w:val="24"/>
          <w:szCs w:val="24"/>
        </w:rPr>
        <w:t xml:space="preserve"> William Heinemann, Ltd.</w:t>
      </w:r>
      <w:r>
        <w:rPr>
          <w:sz w:val="24"/>
          <w:szCs w:val="24"/>
        </w:rPr>
        <w:t xml:space="preserve"> Available at: </w:t>
      </w:r>
      <w:hyperlink w:history="1" r:id="rId21">
        <w:r>
          <w:rPr>
            <w:color w:val="0000FF"/>
            <w:sz w:val="24"/>
            <w:szCs w:val="24"/>
            <w:u w:val="single"/>
          </w:rPr>
          <w:t>https://www.perseus.tufts.edu/hopper/text?doc=Perseus%3Atext%3A1999.01.0206%3Abook%3D7%3Achapter%3D1%3Asection%3D31</w:t>
        </w:r>
      </w:hyperlink>
      <w:r>
        <w:rPr>
          <w:color w:val="0000FF"/>
          <w:sz w:val="24"/>
          <w:szCs w:val="24"/>
          <w:u w:val="single"/>
        </w:rPr>
        <w:t>.</w:t>
      </w:r>
      <w:r>
        <w:rPr>
          <w:sz w:val="24"/>
          <w:szCs w:val="24"/>
        </w:rPr>
        <w:t xml:space="preserve"> (Accessed 11 March 2023).</w:t>
      </w:r>
    </w:p>
    <w:bookmarkEnd w:id="0"/>
    <w:p w:rsidRPr="0090402C" w:rsidR="0090402C" w:rsidP="0090402C" w:rsidRDefault="0090402C" w14:paraId="110C546F" w14:textId="77777777">
      <w:pPr>
        <w:spacing w:after="0" w:line="240" w:lineRule="auto"/>
        <w:rPr>
          <w:rFonts w:ascii="Segoe UI" w:hAnsi="Segoe UI" w:cs="Segoe UI"/>
          <w:color w:val="282829"/>
          <w:sz w:val="24"/>
          <w:szCs w:val="24"/>
        </w:rPr>
      </w:pPr>
    </w:p>
    <w:sectPr w:rsidRPr="0090402C" w:rsidR="0090402C" w:rsidSect="008A47D3">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FB6CE0" w14:paraId="499C9786" w14:textId="77777777">
      <w:pPr>
        <w:spacing w:after="0" w:line="240" w:lineRule="auto"/>
      </w:pPr>
      <w:r>
        <w:separator/>
      </w:r>
    </w:p>
  </w:endnote>
  <w:endnote w:type="continuationSeparator" w:id="0">
    <w:p w:rsidR="00000000" w:rsidRDefault="00FB6CE0" w14:paraId="3B4C712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B607A" w:rsidP="00166746" w:rsidRDefault="00FB6CE0" w14:paraId="78A97851" w14:textId="77777777">
      <w:pPr>
        <w:spacing w:after="0" w:line="240" w:lineRule="auto"/>
      </w:pPr>
      <w:r>
        <w:separator/>
      </w:r>
    </w:p>
  </w:footnote>
  <w:footnote w:type="continuationSeparator" w:id="0">
    <w:p w:rsidR="008B607A" w:rsidP="00166746" w:rsidRDefault="00FB6CE0" w14:paraId="0DE4067C" w14:textId="77777777">
      <w:pPr>
        <w:spacing w:after="0" w:line="240" w:lineRule="auto"/>
      </w:pPr>
      <w:r>
        <w:continuationSeparator/>
      </w:r>
    </w:p>
  </w:footnote>
  <w:footnote w:id="1">
    <w:p w:rsidR="00166746" w:rsidRDefault="00FB6CE0" w14:paraId="4D75A251" w14:textId="55082097">
      <w:pPr>
        <w:pStyle w:val="FootnoteText"/>
      </w:pPr>
      <w:r>
        <w:rPr>
          <w:rStyle w:val="FootnoteReference"/>
        </w:rPr>
        <w:footnoteRef/>
      </w:r>
      <w:r>
        <w:t xml:space="preserve"> Thuc. 8.1.2.</w:t>
      </w:r>
    </w:p>
  </w:footnote>
  <w:footnote w:id="2">
    <w:p w:rsidRPr="00D0577C" w:rsidR="00B512AA" w:rsidRDefault="00FB6CE0" w14:paraId="1BC6A5B1" w14:textId="1C83FE57">
      <w:pPr>
        <w:pStyle w:val="FootnoteText"/>
      </w:pPr>
      <w:r>
        <w:rPr>
          <w:rStyle w:val="FootnoteReference"/>
        </w:rPr>
        <w:footnoteRef/>
      </w:r>
      <w:r w:rsidRPr="00D0577C">
        <w:t xml:space="preserve"> Nash, </w:t>
      </w:r>
      <w:r w:rsidRPr="00D0577C" w:rsidR="00D0577C">
        <w:t>2</w:t>
      </w:r>
      <w:r w:rsidR="00D0577C">
        <w:t xml:space="preserve">018, </w:t>
      </w:r>
      <w:r w:rsidRPr="00D0577C">
        <w:t>p. 119.</w:t>
      </w:r>
    </w:p>
  </w:footnote>
  <w:footnote w:id="3">
    <w:p w:rsidRPr="00D0577C" w:rsidR="00B512AA" w:rsidRDefault="00FB6CE0" w14:paraId="2D71EDF2" w14:textId="6F12ADBA">
      <w:pPr>
        <w:pStyle w:val="FootnoteText"/>
      </w:pPr>
      <w:r>
        <w:rPr>
          <w:rStyle w:val="FootnoteReference"/>
        </w:rPr>
        <w:footnoteRef/>
      </w:r>
      <w:r w:rsidRPr="00D0577C">
        <w:t xml:space="preserve"> Ibid.</w:t>
      </w:r>
    </w:p>
  </w:footnote>
  <w:footnote w:id="4">
    <w:p w:rsidRPr="00D0577C" w:rsidR="00B512AA" w:rsidRDefault="00FB6CE0" w14:paraId="52B80C93" w14:textId="632F2AB9">
      <w:pPr>
        <w:pStyle w:val="FootnoteText"/>
      </w:pPr>
      <w:r>
        <w:rPr>
          <w:rStyle w:val="FootnoteReference"/>
        </w:rPr>
        <w:footnoteRef/>
      </w:r>
      <w:r w:rsidRPr="00D0577C">
        <w:t xml:space="preserve"> Ibid.</w:t>
      </w:r>
    </w:p>
  </w:footnote>
  <w:footnote w:id="5">
    <w:p w:rsidRPr="00B512AA" w:rsidR="00B512AA" w:rsidRDefault="00FB6CE0" w14:paraId="1F93478A" w14:textId="20C8B5A3">
      <w:pPr>
        <w:pStyle w:val="FootnoteText"/>
      </w:pPr>
      <w:r>
        <w:rPr>
          <w:rStyle w:val="FootnoteReference"/>
        </w:rPr>
        <w:footnoteRef/>
      </w:r>
      <w:r w:rsidRPr="00B512AA">
        <w:t xml:space="preserve"> N</w:t>
      </w:r>
      <w:r w:rsidRPr="00B512AA">
        <w:t xml:space="preserve">ash, </w:t>
      </w:r>
      <w:r w:rsidR="00D0577C">
        <w:t xml:space="preserve">2018, </w:t>
      </w:r>
      <w:r w:rsidRPr="00B512AA">
        <w:t>p. 120.</w:t>
      </w:r>
    </w:p>
  </w:footnote>
  <w:footnote w:id="6">
    <w:p w:rsidRPr="00D0577C" w:rsidR="00B512AA" w:rsidRDefault="00FB6CE0" w14:paraId="0F964467" w14:textId="1B91AB84">
      <w:pPr>
        <w:pStyle w:val="FootnoteText"/>
      </w:pPr>
      <w:r>
        <w:rPr>
          <w:rStyle w:val="FootnoteReference"/>
        </w:rPr>
        <w:footnoteRef/>
      </w:r>
      <w:r w:rsidRPr="00D0577C">
        <w:t xml:space="preserve"> Charles, </w:t>
      </w:r>
      <w:r w:rsidR="00D0577C">
        <w:t xml:space="preserve">1946, </w:t>
      </w:r>
      <w:r w:rsidRPr="00D0577C">
        <w:t>p. 86.</w:t>
      </w:r>
    </w:p>
  </w:footnote>
  <w:footnote w:id="7">
    <w:p w:rsidRPr="00D0577C" w:rsidR="00B512AA" w:rsidRDefault="00FB6CE0" w14:paraId="0D029607" w14:textId="7AF0119C">
      <w:pPr>
        <w:pStyle w:val="FootnoteText"/>
      </w:pPr>
      <w:r>
        <w:rPr>
          <w:rStyle w:val="FootnoteReference"/>
        </w:rPr>
        <w:footnoteRef/>
      </w:r>
      <w:r w:rsidRPr="00D0577C">
        <w:t xml:space="preserve"> Nash, </w:t>
      </w:r>
      <w:r w:rsidR="00D0577C">
        <w:t xml:space="preserve">2018, </w:t>
      </w:r>
      <w:r w:rsidRPr="00D0577C">
        <w:t>p. 120.</w:t>
      </w:r>
    </w:p>
  </w:footnote>
  <w:footnote w:id="8">
    <w:p w:rsidRPr="00B512AA" w:rsidR="00B512AA" w:rsidRDefault="00FB6CE0" w14:paraId="48E8BFA2" w14:textId="3EAE9D0E">
      <w:pPr>
        <w:pStyle w:val="FootnoteText"/>
      </w:pPr>
      <w:r>
        <w:rPr>
          <w:rStyle w:val="FootnoteReference"/>
        </w:rPr>
        <w:footnoteRef/>
      </w:r>
      <w:r w:rsidRPr="00B512AA">
        <w:t xml:space="preserve"> Ibid.</w:t>
      </w:r>
    </w:p>
  </w:footnote>
  <w:footnote w:id="9">
    <w:p w:rsidR="00B512AA" w:rsidRDefault="00FB6CE0" w14:paraId="7A902B90" w14:textId="01AB10DB">
      <w:pPr>
        <w:pStyle w:val="FootnoteText"/>
      </w:pPr>
      <w:r>
        <w:rPr>
          <w:rStyle w:val="FootnoteReference"/>
        </w:rPr>
        <w:footnoteRef/>
      </w:r>
      <w:r>
        <w:t xml:space="preserve"> Ibid.</w:t>
      </w:r>
    </w:p>
  </w:footnote>
  <w:footnote w:id="10">
    <w:p w:rsidRPr="00D0577C" w:rsidR="00B512AA" w:rsidRDefault="00FB6CE0" w14:paraId="5A19B545" w14:textId="44793D1D">
      <w:pPr>
        <w:pStyle w:val="FootnoteText"/>
      </w:pPr>
      <w:r>
        <w:rPr>
          <w:rStyle w:val="FootnoteReference"/>
        </w:rPr>
        <w:footnoteRef/>
      </w:r>
      <w:r w:rsidRPr="00D0577C">
        <w:t xml:space="preserve"> Charles, 1946, p. 86.</w:t>
      </w:r>
    </w:p>
  </w:footnote>
  <w:footnote w:id="11">
    <w:p w:rsidRPr="00D0577C" w:rsidR="002B7575" w:rsidRDefault="00FB6CE0" w14:paraId="1EF03E7B" w14:textId="5E545C5A">
      <w:pPr>
        <w:pStyle w:val="FootnoteText"/>
      </w:pPr>
      <w:r>
        <w:rPr>
          <w:rStyle w:val="FootnoteReference"/>
        </w:rPr>
        <w:footnoteRef/>
      </w:r>
      <w:r w:rsidRPr="00D0577C">
        <w:t xml:space="preserve"> Charles, 1946, p. 88.</w:t>
      </w:r>
    </w:p>
  </w:footnote>
  <w:footnote w:id="12">
    <w:p w:rsidRPr="00D0577C" w:rsidR="002B7575" w:rsidRDefault="00FB6CE0" w14:paraId="3B16BD5C" w14:textId="47242CEB">
      <w:pPr>
        <w:pStyle w:val="FootnoteText"/>
      </w:pPr>
      <w:r>
        <w:rPr>
          <w:rStyle w:val="FootnoteReference"/>
        </w:rPr>
        <w:footnoteRef/>
      </w:r>
      <w:r w:rsidRPr="00D0577C">
        <w:t xml:space="preserve"> Ibid.</w:t>
      </w:r>
    </w:p>
  </w:footnote>
  <w:footnote w:id="13">
    <w:p w:rsidR="002B7575" w:rsidRDefault="00FB6CE0" w14:paraId="73588B9F" w14:textId="10328002">
      <w:pPr>
        <w:pStyle w:val="FootnoteText"/>
      </w:pPr>
      <w:r>
        <w:rPr>
          <w:rStyle w:val="FootnoteReference"/>
        </w:rPr>
        <w:footnoteRef/>
      </w:r>
      <w:r>
        <w:t xml:space="preserve"> Ibid.</w:t>
      </w:r>
    </w:p>
  </w:footnote>
  <w:footnote w:id="14">
    <w:p w:rsidR="002B7575" w:rsidRDefault="00FB6CE0" w14:paraId="5F951A47" w14:textId="5522014B">
      <w:pPr>
        <w:pStyle w:val="FootnoteText"/>
      </w:pPr>
      <w:r>
        <w:rPr>
          <w:rStyle w:val="FootnoteReference"/>
        </w:rPr>
        <w:footnoteRef/>
      </w:r>
      <w:r>
        <w:t xml:space="preserve"> Ibid.</w:t>
      </w:r>
    </w:p>
  </w:footnote>
  <w:footnote w:id="15">
    <w:p w:rsidRPr="00D0577C" w:rsidR="002B7575" w:rsidRDefault="00FB6CE0" w14:paraId="3A153CB4" w14:textId="2C20C5AA">
      <w:pPr>
        <w:pStyle w:val="FootnoteText"/>
      </w:pPr>
      <w:r>
        <w:rPr>
          <w:rStyle w:val="FootnoteReference"/>
        </w:rPr>
        <w:footnoteRef/>
      </w:r>
      <w:r w:rsidRPr="00D0577C">
        <w:t xml:space="preserve"> Charles, 1946, p. 89.</w:t>
      </w:r>
    </w:p>
  </w:footnote>
  <w:footnote w:id="16">
    <w:p w:rsidRPr="00BD2546" w:rsidR="002B7575" w:rsidRDefault="00FB6CE0" w14:paraId="6E89403B" w14:textId="08D14709">
      <w:pPr>
        <w:pStyle w:val="FootnoteText"/>
        <w:rPr>
          <w:lang w:val="sv-SE"/>
        </w:rPr>
      </w:pPr>
      <w:r>
        <w:rPr>
          <w:rStyle w:val="FootnoteReference"/>
        </w:rPr>
        <w:footnoteRef/>
      </w:r>
      <w:r w:rsidRPr="00BD2546">
        <w:rPr>
          <w:lang w:val="sv-SE"/>
        </w:rPr>
        <w:t xml:space="preserve"> Ibid.</w:t>
      </w:r>
    </w:p>
  </w:footnote>
  <w:footnote w:id="17">
    <w:p w:rsidRPr="00BD2546" w:rsidR="002B7575" w:rsidRDefault="00FB6CE0" w14:paraId="3A4DC323" w14:textId="5C25A3B8">
      <w:pPr>
        <w:pStyle w:val="FootnoteText"/>
        <w:rPr>
          <w:lang w:val="sv-SE"/>
        </w:rPr>
      </w:pPr>
      <w:r>
        <w:rPr>
          <w:rStyle w:val="FootnoteReference"/>
        </w:rPr>
        <w:footnoteRef/>
      </w:r>
      <w:r w:rsidRPr="00BD2546">
        <w:rPr>
          <w:lang w:val="sv-SE"/>
        </w:rPr>
        <w:t xml:space="preserve"> Ibid.</w:t>
      </w:r>
    </w:p>
  </w:footnote>
  <w:footnote w:id="18">
    <w:p w:rsidRPr="00D0134E" w:rsidR="00BD2546" w:rsidP="00BD2546" w:rsidRDefault="00FB6CE0" w14:paraId="7EAA43CA" w14:textId="77777777">
      <w:pPr>
        <w:pStyle w:val="FootnoteText"/>
        <w:rPr>
          <w:lang w:val="sv-SE"/>
        </w:rPr>
      </w:pPr>
      <w:r>
        <w:rPr>
          <w:rStyle w:val="FootnoteReference"/>
        </w:rPr>
        <w:footnoteRef/>
      </w:r>
      <w:r w:rsidRPr="00D0134E">
        <w:rPr>
          <w:lang w:val="sv-SE"/>
        </w:rPr>
        <w:t xml:space="preserve"> Kagan, </w:t>
      </w:r>
      <w:r>
        <w:rPr>
          <w:lang w:val="sv-SE"/>
        </w:rPr>
        <w:t xml:space="preserve">2003, </w:t>
      </w:r>
      <w:r w:rsidRPr="00D0134E">
        <w:rPr>
          <w:lang w:val="sv-SE"/>
        </w:rPr>
        <w:t>p. 60.</w:t>
      </w:r>
    </w:p>
  </w:footnote>
  <w:footnote w:id="19">
    <w:p w:rsidRPr="00D0134E" w:rsidR="00BD2546" w:rsidP="00BD2546" w:rsidRDefault="00FB6CE0" w14:paraId="64F78F65" w14:textId="77777777">
      <w:pPr>
        <w:pStyle w:val="FootnoteText"/>
        <w:rPr>
          <w:lang w:val="sv-SE"/>
        </w:rPr>
      </w:pPr>
      <w:r>
        <w:rPr>
          <w:rStyle w:val="FootnoteReference"/>
        </w:rPr>
        <w:footnoteRef/>
      </w:r>
      <w:r w:rsidRPr="00D0134E">
        <w:rPr>
          <w:lang w:val="sv-SE"/>
        </w:rPr>
        <w:t xml:space="preserve"> Ibid.</w:t>
      </w:r>
    </w:p>
  </w:footnote>
  <w:footnote w:id="20">
    <w:p w:rsidRPr="00D0134E" w:rsidR="00BD2546" w:rsidP="00BD2546" w:rsidRDefault="00FB6CE0" w14:paraId="08450F01" w14:textId="228C6500">
      <w:pPr>
        <w:pStyle w:val="FootnoteText"/>
        <w:rPr>
          <w:lang w:val="sv-SE"/>
        </w:rPr>
      </w:pPr>
      <w:r>
        <w:rPr>
          <w:rStyle w:val="FootnoteReference"/>
        </w:rPr>
        <w:footnoteRef/>
      </w:r>
      <w:r w:rsidRPr="00D0134E">
        <w:rPr>
          <w:lang w:val="sv-SE"/>
        </w:rPr>
        <w:t xml:space="preserve"> Plut. Per. 33.4.</w:t>
      </w:r>
    </w:p>
  </w:footnote>
  <w:footnote w:id="21">
    <w:p w:rsidRPr="00D0134E" w:rsidR="00BD2546" w:rsidP="00BD2546" w:rsidRDefault="00FB6CE0" w14:paraId="5C5D4FC3" w14:textId="77777777">
      <w:pPr>
        <w:pStyle w:val="FootnoteText"/>
        <w:rPr>
          <w:lang w:val="sv-SE"/>
        </w:rPr>
      </w:pPr>
      <w:r>
        <w:rPr>
          <w:rStyle w:val="FootnoteReference"/>
        </w:rPr>
        <w:footnoteRef/>
      </w:r>
      <w:r w:rsidRPr="00D0134E">
        <w:rPr>
          <w:lang w:val="sv-SE"/>
        </w:rPr>
        <w:t xml:space="preserve"> Kagan, </w:t>
      </w:r>
      <w:r>
        <w:rPr>
          <w:lang w:val="sv-SE"/>
        </w:rPr>
        <w:t xml:space="preserve">2003, </w:t>
      </w:r>
      <w:r w:rsidRPr="00D0134E">
        <w:rPr>
          <w:lang w:val="sv-SE"/>
        </w:rPr>
        <w:t>p. 60.</w:t>
      </w:r>
    </w:p>
  </w:footnote>
  <w:footnote w:id="22">
    <w:p w:rsidRPr="00D0134E" w:rsidR="00BD2546" w:rsidP="00BD2546" w:rsidRDefault="00FB6CE0" w14:paraId="02C9C0BD" w14:textId="77777777">
      <w:pPr>
        <w:pStyle w:val="FootnoteText"/>
        <w:rPr>
          <w:lang w:val="sv-SE"/>
        </w:rPr>
      </w:pPr>
      <w:r>
        <w:rPr>
          <w:rStyle w:val="FootnoteReference"/>
        </w:rPr>
        <w:footnoteRef/>
      </w:r>
      <w:r w:rsidRPr="00D0134E">
        <w:rPr>
          <w:lang w:val="sv-SE"/>
        </w:rPr>
        <w:t xml:space="preserve"> Ibid.</w:t>
      </w:r>
    </w:p>
  </w:footnote>
  <w:footnote w:id="23">
    <w:p w:rsidRPr="00D0134E" w:rsidR="00BD2546" w:rsidP="00BD2546" w:rsidRDefault="00FB6CE0" w14:paraId="10F3BE6C" w14:textId="77777777">
      <w:pPr>
        <w:pStyle w:val="FootnoteText"/>
        <w:rPr>
          <w:lang w:val="sv-SE"/>
        </w:rPr>
      </w:pPr>
      <w:r>
        <w:rPr>
          <w:rStyle w:val="FootnoteReference"/>
        </w:rPr>
        <w:footnoteRef/>
      </w:r>
      <w:r w:rsidRPr="00D0134E">
        <w:rPr>
          <w:lang w:val="sv-SE"/>
        </w:rPr>
        <w:t xml:space="preserve"> Ibid.</w:t>
      </w:r>
    </w:p>
  </w:footnote>
  <w:footnote w:id="24">
    <w:p w:rsidRPr="00D0134E" w:rsidR="00BD2546" w:rsidP="00BD2546" w:rsidRDefault="00FB6CE0" w14:paraId="1CF2838D" w14:textId="77777777">
      <w:pPr>
        <w:pStyle w:val="FootnoteText"/>
        <w:rPr>
          <w:lang w:val="sv-SE"/>
        </w:rPr>
      </w:pPr>
      <w:r>
        <w:rPr>
          <w:rStyle w:val="FootnoteReference"/>
        </w:rPr>
        <w:footnoteRef/>
      </w:r>
      <w:r w:rsidRPr="00D0134E">
        <w:rPr>
          <w:lang w:val="sv-SE"/>
        </w:rPr>
        <w:t xml:space="preserve"> Hanson, 2005, p. xiv-xv.</w:t>
      </w:r>
    </w:p>
  </w:footnote>
  <w:footnote w:id="25">
    <w:p w:rsidRPr="00D0134E" w:rsidR="00BD2546" w:rsidP="00BD2546" w:rsidRDefault="00FB6CE0" w14:paraId="1EAD83AE" w14:textId="77777777">
      <w:pPr>
        <w:pStyle w:val="FootnoteText"/>
        <w:rPr>
          <w:lang w:val="sv-SE"/>
        </w:rPr>
      </w:pPr>
      <w:r>
        <w:rPr>
          <w:rStyle w:val="FootnoteReference"/>
        </w:rPr>
        <w:footnoteRef/>
      </w:r>
      <w:r w:rsidRPr="00D0134E">
        <w:rPr>
          <w:lang w:val="sv-SE"/>
        </w:rPr>
        <w:t xml:space="preserve"> Hanson, 2005, p. xv.</w:t>
      </w:r>
    </w:p>
  </w:footnote>
  <w:footnote w:id="26">
    <w:p w:rsidRPr="00D0134E" w:rsidR="00BD2546" w:rsidP="00BD2546" w:rsidRDefault="00FB6CE0" w14:paraId="01A15A52" w14:textId="77777777">
      <w:pPr>
        <w:pStyle w:val="FootnoteText"/>
        <w:rPr>
          <w:lang w:val="sv-SE"/>
        </w:rPr>
      </w:pPr>
      <w:r>
        <w:rPr>
          <w:rStyle w:val="FootnoteReference"/>
        </w:rPr>
        <w:footnoteRef/>
      </w:r>
      <w:r w:rsidRPr="00D0134E">
        <w:rPr>
          <w:lang w:val="sv-SE"/>
        </w:rPr>
        <w:t xml:space="preserve"> Kagan, </w:t>
      </w:r>
      <w:r>
        <w:rPr>
          <w:lang w:val="sv-SE"/>
        </w:rPr>
        <w:t xml:space="preserve">2003, </w:t>
      </w:r>
      <w:r w:rsidRPr="00D0134E">
        <w:rPr>
          <w:lang w:val="sv-SE"/>
        </w:rPr>
        <w:t>p. 61.</w:t>
      </w:r>
    </w:p>
  </w:footnote>
  <w:footnote w:id="27">
    <w:p w:rsidR="00BD2546" w:rsidP="00BD2546" w:rsidRDefault="00FB6CE0" w14:paraId="2612A06E" w14:textId="77777777">
      <w:pPr>
        <w:pStyle w:val="FootnoteText"/>
      </w:pPr>
      <w:r>
        <w:rPr>
          <w:rStyle w:val="FootnoteReference"/>
        </w:rPr>
        <w:footnoteRef/>
      </w:r>
      <w:r>
        <w:t xml:space="preserve"> Ibid.</w:t>
      </w:r>
    </w:p>
  </w:footnote>
  <w:footnote w:id="28">
    <w:p w:rsidR="00BD2546" w:rsidP="00BD2546" w:rsidRDefault="00FB6CE0" w14:paraId="33A16EFC" w14:textId="77777777">
      <w:pPr>
        <w:pStyle w:val="FootnoteText"/>
      </w:pPr>
      <w:r>
        <w:rPr>
          <w:rStyle w:val="FootnoteReference"/>
        </w:rPr>
        <w:footnoteRef/>
      </w:r>
      <w:r>
        <w:t xml:space="preserve"> Thuc. 1.141.3.</w:t>
      </w:r>
    </w:p>
  </w:footnote>
  <w:footnote w:id="29">
    <w:p w:rsidR="00BD2546" w:rsidP="00BD2546" w:rsidRDefault="00FB6CE0" w14:paraId="532B826A" w14:textId="77777777">
      <w:pPr>
        <w:pStyle w:val="FootnoteText"/>
      </w:pPr>
      <w:r>
        <w:rPr>
          <w:rStyle w:val="FootnoteReference"/>
        </w:rPr>
        <w:footnoteRef/>
      </w:r>
      <w:r>
        <w:t xml:space="preserve"> Ibid.</w:t>
      </w:r>
    </w:p>
  </w:footnote>
  <w:footnote w:id="30">
    <w:p w:rsidR="007B4A8B" w:rsidRDefault="00FB6CE0" w14:paraId="56A2787A" w14:textId="12605113">
      <w:pPr>
        <w:pStyle w:val="FootnoteText"/>
      </w:pPr>
      <w:r>
        <w:rPr>
          <w:rStyle w:val="FootnoteReference"/>
        </w:rPr>
        <w:footnoteRef/>
      </w:r>
      <w:r>
        <w:t xml:space="preserve"> Thuc. 1.80.4.</w:t>
      </w:r>
    </w:p>
  </w:footnote>
  <w:footnote w:id="31">
    <w:p w:rsidRPr="00D0577C" w:rsidR="007B4A8B" w:rsidRDefault="00FB6CE0" w14:paraId="39E2EBDD" w14:textId="26780D08">
      <w:pPr>
        <w:pStyle w:val="FootnoteText"/>
      </w:pPr>
      <w:r>
        <w:rPr>
          <w:rStyle w:val="FootnoteReference"/>
        </w:rPr>
        <w:footnoteRef/>
      </w:r>
      <w:r w:rsidRPr="00D0577C">
        <w:t xml:space="preserve"> Thibault, 1973, p.33.</w:t>
      </w:r>
    </w:p>
  </w:footnote>
  <w:footnote w:id="32">
    <w:p w:rsidRPr="007B4A8B" w:rsidR="007B4A8B" w:rsidRDefault="00FB6CE0" w14:paraId="2DEDE6E7" w14:textId="580D541A">
      <w:pPr>
        <w:pStyle w:val="FootnoteText"/>
      </w:pPr>
      <w:r>
        <w:rPr>
          <w:rStyle w:val="FootnoteReference"/>
        </w:rPr>
        <w:footnoteRef/>
      </w:r>
      <w:r w:rsidRPr="007B4A8B">
        <w:t xml:space="preserve"> Thuc. 1.144.</w:t>
      </w:r>
    </w:p>
  </w:footnote>
  <w:footnote w:id="33">
    <w:p w:rsidR="007B4A8B" w:rsidRDefault="00FB6CE0" w14:paraId="49212765" w14:textId="64394BC3">
      <w:pPr>
        <w:pStyle w:val="FootnoteText"/>
      </w:pPr>
      <w:r>
        <w:rPr>
          <w:rStyle w:val="FootnoteReference"/>
        </w:rPr>
        <w:footnoteRef/>
      </w:r>
      <w:r>
        <w:t xml:space="preserve"> Thibault, 1973, p.34.</w:t>
      </w:r>
    </w:p>
  </w:footnote>
  <w:footnote w:id="34">
    <w:p w:rsidRPr="007B4A8B" w:rsidR="007B4A8B" w:rsidP="007B4A8B" w:rsidRDefault="00FB6CE0" w14:paraId="42584CB3" w14:textId="77777777">
      <w:pPr>
        <w:pStyle w:val="FootnoteText"/>
      </w:pPr>
      <w:r>
        <w:rPr>
          <w:rStyle w:val="FootnoteReference"/>
        </w:rPr>
        <w:footnoteRef/>
      </w:r>
      <w:r w:rsidRPr="007B4A8B">
        <w:t xml:space="preserve"> Charles, 1946, p. 90.</w:t>
      </w:r>
    </w:p>
  </w:footnote>
  <w:footnote w:id="35">
    <w:p w:rsidR="007B4A8B" w:rsidP="007B4A8B" w:rsidRDefault="00FB6CE0" w14:paraId="508341F9" w14:textId="77777777">
      <w:pPr>
        <w:pStyle w:val="FootnoteText"/>
      </w:pPr>
      <w:r>
        <w:rPr>
          <w:rStyle w:val="FootnoteReference"/>
        </w:rPr>
        <w:footnoteRef/>
      </w:r>
      <w:r>
        <w:t xml:space="preserve"> Ibid.</w:t>
      </w:r>
    </w:p>
  </w:footnote>
  <w:footnote w:id="36">
    <w:p w:rsidR="007B4A8B" w:rsidP="007B4A8B" w:rsidRDefault="00FB6CE0" w14:paraId="5686CA38" w14:textId="77777777">
      <w:pPr>
        <w:pStyle w:val="FootnoteText"/>
      </w:pPr>
      <w:r>
        <w:rPr>
          <w:rStyle w:val="FootnoteReference"/>
        </w:rPr>
        <w:footnoteRef/>
      </w:r>
      <w:r>
        <w:t xml:space="preserve"> Ibid.</w:t>
      </w:r>
    </w:p>
  </w:footnote>
  <w:footnote w:id="37">
    <w:p w:rsidRPr="00183299" w:rsidR="007B4A8B" w:rsidP="007B4A8B" w:rsidRDefault="00FB6CE0" w14:paraId="0C089B3E" w14:textId="77777777">
      <w:pPr>
        <w:pStyle w:val="FootnoteText"/>
      </w:pPr>
      <w:r>
        <w:rPr>
          <w:rStyle w:val="FootnoteReference"/>
        </w:rPr>
        <w:footnoteRef/>
      </w:r>
      <w:r w:rsidRPr="00183299">
        <w:t xml:space="preserve"> Hanson, 2005, p. 273.</w:t>
      </w:r>
    </w:p>
  </w:footnote>
  <w:footnote w:id="38">
    <w:p w:rsidRPr="00D0577C" w:rsidR="00183299" w:rsidP="00183299" w:rsidRDefault="00FB6CE0" w14:paraId="56265D8A" w14:textId="77777777">
      <w:pPr>
        <w:pStyle w:val="FootnoteText"/>
      </w:pPr>
      <w:r>
        <w:rPr>
          <w:rStyle w:val="FootnoteReference"/>
        </w:rPr>
        <w:footnoteRef/>
      </w:r>
      <w:r w:rsidRPr="00D0577C">
        <w:t xml:space="preserve"> Ibid.</w:t>
      </w:r>
    </w:p>
  </w:footnote>
  <w:footnote w:id="39">
    <w:p w:rsidRPr="00D0134E" w:rsidR="00183299" w:rsidP="00183299" w:rsidRDefault="00FB6CE0" w14:paraId="18DF5EC3" w14:textId="77777777">
      <w:pPr>
        <w:pStyle w:val="FootnoteText"/>
        <w:rPr>
          <w:lang w:val="sv-SE"/>
        </w:rPr>
      </w:pPr>
      <w:r>
        <w:rPr>
          <w:rStyle w:val="FootnoteReference"/>
        </w:rPr>
        <w:footnoteRef/>
      </w:r>
      <w:r w:rsidRPr="00D0134E">
        <w:rPr>
          <w:lang w:val="sv-SE"/>
        </w:rPr>
        <w:t xml:space="preserve"> Ibid.</w:t>
      </w:r>
    </w:p>
  </w:footnote>
  <w:footnote w:id="40">
    <w:p w:rsidRPr="00D0134E" w:rsidR="00183299" w:rsidP="00183299" w:rsidRDefault="00FB6CE0" w14:paraId="4C431A55" w14:textId="77777777">
      <w:pPr>
        <w:pStyle w:val="FootnoteText"/>
        <w:rPr>
          <w:lang w:val="sv-SE"/>
        </w:rPr>
      </w:pPr>
      <w:r>
        <w:rPr>
          <w:rStyle w:val="FootnoteReference"/>
        </w:rPr>
        <w:footnoteRef/>
      </w:r>
      <w:r w:rsidRPr="00D0134E">
        <w:rPr>
          <w:lang w:val="sv-SE"/>
        </w:rPr>
        <w:t xml:space="preserve"> Hanson, 2005, p. 271.</w:t>
      </w:r>
    </w:p>
  </w:footnote>
  <w:footnote w:id="41">
    <w:p w:rsidRPr="00183299" w:rsidR="00183299" w:rsidP="00183299" w:rsidRDefault="00FB6CE0" w14:paraId="45561142" w14:textId="77777777">
      <w:pPr>
        <w:pStyle w:val="FootnoteText"/>
        <w:rPr>
          <w:lang w:val="sv-SE"/>
        </w:rPr>
      </w:pPr>
      <w:r>
        <w:rPr>
          <w:rStyle w:val="FootnoteReference"/>
        </w:rPr>
        <w:footnoteRef/>
      </w:r>
      <w:r w:rsidRPr="00183299">
        <w:rPr>
          <w:lang w:val="sv-SE"/>
        </w:rPr>
        <w:t xml:space="preserve"> Hanson, 2005, p. 272.</w:t>
      </w:r>
    </w:p>
  </w:footnote>
  <w:footnote w:id="42">
    <w:p w:rsidRPr="00F13631" w:rsidR="00183299" w:rsidP="00183299" w:rsidRDefault="00FB6CE0" w14:paraId="11E0FDC7" w14:textId="77777777">
      <w:pPr>
        <w:pStyle w:val="FootnoteText"/>
        <w:rPr>
          <w:lang w:val="sv-SE"/>
        </w:rPr>
      </w:pPr>
      <w:r>
        <w:rPr>
          <w:rStyle w:val="FootnoteReference"/>
        </w:rPr>
        <w:footnoteRef/>
      </w:r>
      <w:r w:rsidRPr="00F13631">
        <w:rPr>
          <w:lang w:val="sv-SE"/>
        </w:rPr>
        <w:t xml:space="preserve"> Walling, 2013, p. 79.</w:t>
      </w:r>
    </w:p>
  </w:footnote>
  <w:footnote w:id="43">
    <w:p w:rsidRPr="00F13631" w:rsidR="00183299" w:rsidP="00183299" w:rsidRDefault="00FB6CE0" w14:paraId="7F7464E0" w14:textId="77777777">
      <w:pPr>
        <w:pStyle w:val="FootnoteText"/>
        <w:rPr>
          <w:lang w:val="sv-SE"/>
        </w:rPr>
      </w:pPr>
      <w:r>
        <w:rPr>
          <w:rStyle w:val="FootnoteReference"/>
        </w:rPr>
        <w:footnoteRef/>
      </w:r>
      <w:r w:rsidRPr="00F13631">
        <w:rPr>
          <w:lang w:val="sv-SE"/>
        </w:rPr>
        <w:t xml:space="preserve"> Ibid.</w:t>
      </w:r>
    </w:p>
  </w:footnote>
  <w:footnote w:id="44">
    <w:p w:rsidRPr="00F13631" w:rsidR="00183299" w:rsidP="00183299" w:rsidRDefault="00FB6CE0" w14:paraId="2F4EDE50" w14:textId="77777777">
      <w:pPr>
        <w:pStyle w:val="FootnoteText"/>
        <w:rPr>
          <w:lang w:val="sv-SE"/>
        </w:rPr>
      </w:pPr>
      <w:r>
        <w:rPr>
          <w:rStyle w:val="FootnoteReference"/>
        </w:rPr>
        <w:footnoteRef/>
      </w:r>
      <w:r w:rsidRPr="00F13631">
        <w:rPr>
          <w:lang w:val="sv-SE"/>
        </w:rPr>
        <w:t xml:space="preserve"> Hanson, 2005, p. 273.</w:t>
      </w:r>
    </w:p>
  </w:footnote>
  <w:footnote w:id="45">
    <w:p w:rsidRPr="00F13631" w:rsidR="0048594A" w:rsidRDefault="00FB6CE0" w14:paraId="7C41134B" w14:textId="08A708CD">
      <w:pPr>
        <w:pStyle w:val="FootnoteText"/>
        <w:rPr>
          <w:lang w:val="sv-SE"/>
        </w:rPr>
      </w:pPr>
      <w:r>
        <w:rPr>
          <w:rStyle w:val="FootnoteReference"/>
        </w:rPr>
        <w:footnoteRef/>
      </w:r>
      <w:r w:rsidRPr="00F13631">
        <w:rPr>
          <w:lang w:val="sv-SE"/>
        </w:rPr>
        <w:t xml:space="preserve"> Hanson, 2005, p. 240.</w:t>
      </w:r>
    </w:p>
  </w:footnote>
  <w:footnote w:id="46">
    <w:p w:rsidRPr="00F13631" w:rsidR="0048594A" w:rsidRDefault="00FB6CE0" w14:paraId="780D5875" w14:textId="656D5414">
      <w:pPr>
        <w:pStyle w:val="FootnoteText"/>
        <w:rPr>
          <w:lang w:val="sv-SE"/>
        </w:rPr>
      </w:pPr>
      <w:r>
        <w:rPr>
          <w:rStyle w:val="FootnoteReference"/>
        </w:rPr>
        <w:footnoteRef/>
      </w:r>
      <w:r w:rsidRPr="00F13631">
        <w:rPr>
          <w:lang w:val="sv-SE"/>
        </w:rPr>
        <w:t xml:space="preserve"> Laycock, </w:t>
      </w:r>
      <w:r w:rsidRPr="00F13631" w:rsidR="00992243">
        <w:rPr>
          <w:lang w:val="sv-SE"/>
        </w:rPr>
        <w:t xml:space="preserve">2020, </w:t>
      </w:r>
      <w:r w:rsidRPr="00F13631">
        <w:rPr>
          <w:lang w:val="sv-SE"/>
        </w:rPr>
        <w:t>p. 145.</w:t>
      </w:r>
    </w:p>
  </w:footnote>
  <w:footnote w:id="47">
    <w:p w:rsidRPr="00F13631" w:rsidR="0048594A" w:rsidRDefault="00FB6CE0" w14:paraId="5E07F39D" w14:textId="10921AFE">
      <w:pPr>
        <w:pStyle w:val="FootnoteText"/>
        <w:rPr>
          <w:lang w:val="sv-SE"/>
        </w:rPr>
      </w:pPr>
      <w:r>
        <w:rPr>
          <w:rStyle w:val="FootnoteReference"/>
        </w:rPr>
        <w:footnoteRef/>
      </w:r>
      <w:r w:rsidRPr="00F13631">
        <w:rPr>
          <w:lang w:val="sv-SE"/>
        </w:rPr>
        <w:t xml:space="preserve"> Thibault, </w:t>
      </w:r>
      <w:r w:rsidRPr="00F13631" w:rsidR="00992243">
        <w:rPr>
          <w:lang w:val="sv-SE"/>
        </w:rPr>
        <w:t xml:space="preserve">1973, </w:t>
      </w:r>
      <w:r w:rsidRPr="00F13631">
        <w:rPr>
          <w:lang w:val="sv-SE"/>
        </w:rPr>
        <w:t xml:space="preserve">p. </w:t>
      </w:r>
      <w:r w:rsidRPr="00F13631">
        <w:rPr>
          <w:lang w:val="sv-SE"/>
        </w:rPr>
        <w:t>34.</w:t>
      </w:r>
    </w:p>
  </w:footnote>
  <w:footnote w:id="48">
    <w:p w:rsidRPr="00F13631" w:rsidR="00FF49AE" w:rsidRDefault="00FB6CE0" w14:paraId="5373BC63" w14:textId="7C2B1A8B">
      <w:pPr>
        <w:pStyle w:val="FootnoteText"/>
        <w:rPr>
          <w:lang w:val="sv-SE"/>
        </w:rPr>
      </w:pPr>
      <w:r>
        <w:rPr>
          <w:rStyle w:val="FootnoteReference"/>
        </w:rPr>
        <w:footnoteRef/>
      </w:r>
      <w:r w:rsidRPr="00F13631">
        <w:rPr>
          <w:lang w:val="sv-SE"/>
        </w:rPr>
        <w:t xml:space="preserve"> Ibid.</w:t>
      </w:r>
    </w:p>
  </w:footnote>
  <w:footnote w:id="49">
    <w:p w:rsidRPr="00F13631" w:rsidR="00FF49AE" w:rsidRDefault="00FB6CE0" w14:paraId="1FC0D7AB" w14:textId="5B545178">
      <w:pPr>
        <w:pStyle w:val="FootnoteText"/>
        <w:rPr>
          <w:lang w:val="sv-SE"/>
        </w:rPr>
      </w:pPr>
      <w:r>
        <w:rPr>
          <w:rStyle w:val="FootnoteReference"/>
        </w:rPr>
        <w:footnoteRef/>
      </w:r>
      <w:r w:rsidRPr="00F13631">
        <w:rPr>
          <w:lang w:val="sv-SE"/>
        </w:rPr>
        <w:t xml:space="preserve"> Ibid.</w:t>
      </w:r>
    </w:p>
  </w:footnote>
  <w:footnote w:id="50">
    <w:p w:rsidR="00FF49AE" w:rsidRDefault="00FB6CE0" w14:paraId="568A457D" w14:textId="013E2AF6">
      <w:pPr>
        <w:pStyle w:val="FootnoteText"/>
      </w:pPr>
      <w:r>
        <w:rPr>
          <w:rStyle w:val="FootnoteReference"/>
        </w:rPr>
        <w:footnoteRef/>
      </w:r>
      <w:r>
        <w:t xml:space="preserve"> Ibid.</w:t>
      </w:r>
    </w:p>
  </w:footnote>
  <w:footnote w:id="51">
    <w:p w:rsidRPr="00F13631" w:rsidR="004574EE" w:rsidRDefault="00FB6CE0" w14:paraId="404205E4" w14:textId="6B072851">
      <w:pPr>
        <w:pStyle w:val="FootnoteText"/>
      </w:pPr>
      <w:r>
        <w:rPr>
          <w:rStyle w:val="FootnoteReference"/>
        </w:rPr>
        <w:footnoteRef/>
      </w:r>
      <w:r w:rsidRPr="00F13631">
        <w:t xml:space="preserve"> Hanson, 2005, p. 250.</w:t>
      </w:r>
    </w:p>
  </w:footnote>
  <w:footnote w:id="52">
    <w:p w:rsidRPr="004574EE" w:rsidR="004574EE" w:rsidRDefault="00FB6CE0" w14:paraId="13F2B964" w14:textId="53C00406">
      <w:pPr>
        <w:pStyle w:val="FootnoteText"/>
      </w:pPr>
      <w:r>
        <w:rPr>
          <w:rStyle w:val="FootnoteReference"/>
        </w:rPr>
        <w:footnoteRef/>
      </w:r>
      <w:r w:rsidRPr="004574EE">
        <w:t xml:space="preserve"> Laycock, </w:t>
      </w:r>
      <w:r>
        <w:t xml:space="preserve">2020, </w:t>
      </w:r>
      <w:r w:rsidRPr="004574EE">
        <w:t>p. 7-8.</w:t>
      </w:r>
    </w:p>
  </w:footnote>
  <w:footnote w:id="53">
    <w:p w:rsidR="004574EE" w:rsidRDefault="00FB6CE0" w14:paraId="5C8799A1" w14:textId="6D767DB0">
      <w:pPr>
        <w:pStyle w:val="FootnoteText"/>
      </w:pPr>
      <w:r>
        <w:rPr>
          <w:rStyle w:val="FootnoteReference"/>
        </w:rPr>
        <w:footnoteRef/>
      </w:r>
      <w:r>
        <w:t xml:space="preserve"> Laycock, 2020, p. 8.</w:t>
      </w:r>
    </w:p>
  </w:footnote>
  <w:footnote w:id="54">
    <w:p w:rsidRPr="005D3F1C" w:rsidR="005D3F1C" w:rsidRDefault="00FB6CE0" w14:paraId="4721A5F2" w14:textId="1F25EE34">
      <w:pPr>
        <w:pStyle w:val="FootnoteText"/>
        <w:rPr>
          <w:lang w:val="sv-SE"/>
        </w:rPr>
      </w:pPr>
      <w:r>
        <w:rPr>
          <w:rStyle w:val="FootnoteReference"/>
        </w:rPr>
        <w:footnoteRef/>
      </w:r>
      <w:r w:rsidRPr="005D3F1C">
        <w:rPr>
          <w:lang w:val="sv-SE"/>
        </w:rPr>
        <w:t xml:space="preserve"> Hanson, 2005, p. 265.</w:t>
      </w:r>
    </w:p>
  </w:footnote>
  <w:footnote w:id="55">
    <w:p w:rsidRPr="005D3F1C" w:rsidR="005D3F1C" w:rsidRDefault="00FB6CE0" w14:paraId="2736B30F" w14:textId="14DA73D5">
      <w:pPr>
        <w:pStyle w:val="FootnoteText"/>
        <w:rPr>
          <w:lang w:val="sv-SE"/>
        </w:rPr>
      </w:pPr>
      <w:r>
        <w:rPr>
          <w:rStyle w:val="FootnoteReference"/>
        </w:rPr>
        <w:footnoteRef/>
      </w:r>
      <w:r w:rsidRPr="005D3F1C">
        <w:rPr>
          <w:lang w:val="sv-SE"/>
        </w:rPr>
        <w:t xml:space="preserve"> Hanson, 2005. P. 266.</w:t>
      </w:r>
    </w:p>
  </w:footnote>
  <w:footnote w:id="56">
    <w:p w:rsidRPr="005D3F1C" w:rsidR="005D3F1C" w:rsidRDefault="00FB6CE0" w14:paraId="27C597AC" w14:textId="61884CD1">
      <w:pPr>
        <w:pStyle w:val="FootnoteText"/>
        <w:rPr>
          <w:lang w:val="sv-SE"/>
        </w:rPr>
      </w:pPr>
      <w:r>
        <w:rPr>
          <w:rStyle w:val="FootnoteReference"/>
        </w:rPr>
        <w:footnoteRef/>
      </w:r>
      <w:r w:rsidRPr="005D3F1C">
        <w:rPr>
          <w:lang w:val="sv-SE"/>
        </w:rPr>
        <w:t xml:space="preserve"> Ibid.</w:t>
      </w:r>
    </w:p>
  </w:footnote>
  <w:footnote w:id="57">
    <w:p w:rsidRPr="005D3F1C" w:rsidR="005D3F1C" w:rsidRDefault="00FB6CE0" w14:paraId="23FACC06" w14:textId="2C2A49A3">
      <w:pPr>
        <w:pStyle w:val="FootnoteText"/>
        <w:rPr>
          <w:lang w:val="sv-SE"/>
        </w:rPr>
      </w:pPr>
      <w:r>
        <w:rPr>
          <w:rStyle w:val="FootnoteReference"/>
        </w:rPr>
        <w:footnoteRef/>
      </w:r>
      <w:r w:rsidRPr="005D3F1C">
        <w:rPr>
          <w:lang w:val="sv-SE"/>
        </w:rPr>
        <w:t xml:space="preserve"> Ib</w:t>
      </w:r>
      <w:r>
        <w:rPr>
          <w:lang w:val="sv-SE"/>
        </w:rPr>
        <w:t>id.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D60BBD"/>
    <w:multiLevelType w:val="hybridMultilevel"/>
    <w:tmpl w:val="DD2803BA"/>
    <w:lvl w:ilvl="0" w:tplc="04B86BE4">
      <w:start w:val="1"/>
      <w:numFmt w:val="bullet"/>
      <w:lvlText w:val=""/>
      <w:lvlJc w:val="left"/>
      <w:pPr>
        <w:ind w:left="720" w:hanging="360"/>
      </w:pPr>
      <w:rPr>
        <w:rFonts w:hint="default" w:ascii="Symbol" w:hAnsi="Symbol"/>
      </w:rPr>
    </w:lvl>
    <w:lvl w:ilvl="1" w:tplc="86CCE0AA">
      <w:start w:val="1"/>
      <w:numFmt w:val="decimal"/>
      <w:lvlText w:val="%2."/>
      <w:lvlJc w:val="left"/>
      <w:pPr>
        <w:tabs>
          <w:tab w:val="num" w:pos="1440"/>
        </w:tabs>
        <w:ind w:left="1440" w:hanging="360"/>
      </w:pPr>
    </w:lvl>
    <w:lvl w:ilvl="2" w:tplc="9A4858CE">
      <w:start w:val="1"/>
      <w:numFmt w:val="decimal"/>
      <w:lvlText w:val="%3."/>
      <w:lvlJc w:val="left"/>
      <w:pPr>
        <w:tabs>
          <w:tab w:val="num" w:pos="2160"/>
        </w:tabs>
        <w:ind w:left="2160" w:hanging="360"/>
      </w:pPr>
    </w:lvl>
    <w:lvl w:ilvl="3" w:tplc="5958DFDA">
      <w:start w:val="1"/>
      <w:numFmt w:val="decimal"/>
      <w:lvlText w:val="%4."/>
      <w:lvlJc w:val="left"/>
      <w:pPr>
        <w:tabs>
          <w:tab w:val="num" w:pos="2880"/>
        </w:tabs>
        <w:ind w:left="2880" w:hanging="360"/>
      </w:pPr>
    </w:lvl>
    <w:lvl w:ilvl="4" w:tplc="3E883820">
      <w:start w:val="1"/>
      <w:numFmt w:val="decimal"/>
      <w:lvlText w:val="%5."/>
      <w:lvlJc w:val="left"/>
      <w:pPr>
        <w:tabs>
          <w:tab w:val="num" w:pos="3600"/>
        </w:tabs>
        <w:ind w:left="3600" w:hanging="360"/>
      </w:pPr>
    </w:lvl>
    <w:lvl w:ilvl="5" w:tplc="B16AE60A">
      <w:start w:val="1"/>
      <w:numFmt w:val="decimal"/>
      <w:lvlText w:val="%6."/>
      <w:lvlJc w:val="left"/>
      <w:pPr>
        <w:tabs>
          <w:tab w:val="num" w:pos="4320"/>
        </w:tabs>
        <w:ind w:left="4320" w:hanging="360"/>
      </w:pPr>
    </w:lvl>
    <w:lvl w:ilvl="6" w:tplc="A5B80852">
      <w:start w:val="1"/>
      <w:numFmt w:val="decimal"/>
      <w:lvlText w:val="%7."/>
      <w:lvlJc w:val="left"/>
      <w:pPr>
        <w:tabs>
          <w:tab w:val="num" w:pos="5040"/>
        </w:tabs>
        <w:ind w:left="5040" w:hanging="360"/>
      </w:pPr>
    </w:lvl>
    <w:lvl w:ilvl="7" w:tplc="7E40DA4A">
      <w:start w:val="1"/>
      <w:numFmt w:val="decimal"/>
      <w:lvlText w:val="%8."/>
      <w:lvlJc w:val="left"/>
      <w:pPr>
        <w:tabs>
          <w:tab w:val="num" w:pos="5760"/>
        </w:tabs>
        <w:ind w:left="5760" w:hanging="360"/>
      </w:pPr>
    </w:lvl>
    <w:lvl w:ilvl="8" w:tplc="0C6832EE">
      <w:start w:val="1"/>
      <w:numFmt w:val="decimal"/>
      <w:lvlText w:val="%9."/>
      <w:lvlJc w:val="left"/>
      <w:pPr>
        <w:tabs>
          <w:tab w:val="num" w:pos="6480"/>
        </w:tabs>
        <w:ind w:left="6480" w:hanging="360"/>
      </w:pPr>
    </w:lvl>
  </w:abstractNum>
  <w:num w:numId="1" w16cid:durableId="759330478">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removePersonalInformation/>
  <w:removeDateAndTime/>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919"/>
    <w:rsid w:val="000340C0"/>
    <w:rsid w:val="000A0AD7"/>
    <w:rsid w:val="00106FCF"/>
    <w:rsid w:val="00131282"/>
    <w:rsid w:val="00166746"/>
    <w:rsid w:val="00183299"/>
    <w:rsid w:val="001B47AD"/>
    <w:rsid w:val="001B66F5"/>
    <w:rsid w:val="00227D5F"/>
    <w:rsid w:val="00266F2F"/>
    <w:rsid w:val="00295E6C"/>
    <w:rsid w:val="002B7575"/>
    <w:rsid w:val="00376703"/>
    <w:rsid w:val="003C4C03"/>
    <w:rsid w:val="004574EE"/>
    <w:rsid w:val="0048594A"/>
    <w:rsid w:val="00487508"/>
    <w:rsid w:val="00523504"/>
    <w:rsid w:val="00545325"/>
    <w:rsid w:val="005865CC"/>
    <w:rsid w:val="005D3F1C"/>
    <w:rsid w:val="005D4598"/>
    <w:rsid w:val="006104D2"/>
    <w:rsid w:val="00647C07"/>
    <w:rsid w:val="006D6BB6"/>
    <w:rsid w:val="006E4783"/>
    <w:rsid w:val="00762789"/>
    <w:rsid w:val="007A5108"/>
    <w:rsid w:val="007B4A8B"/>
    <w:rsid w:val="007E393B"/>
    <w:rsid w:val="007F131F"/>
    <w:rsid w:val="007F4919"/>
    <w:rsid w:val="00864F42"/>
    <w:rsid w:val="008A47D3"/>
    <w:rsid w:val="008B002E"/>
    <w:rsid w:val="008B607A"/>
    <w:rsid w:val="008F1514"/>
    <w:rsid w:val="0090402C"/>
    <w:rsid w:val="00992243"/>
    <w:rsid w:val="009B5B7B"/>
    <w:rsid w:val="00AD5552"/>
    <w:rsid w:val="00B12DC2"/>
    <w:rsid w:val="00B41DAD"/>
    <w:rsid w:val="00B512AA"/>
    <w:rsid w:val="00B83FB6"/>
    <w:rsid w:val="00B97800"/>
    <w:rsid w:val="00BD2546"/>
    <w:rsid w:val="00BF5E81"/>
    <w:rsid w:val="00C262A7"/>
    <w:rsid w:val="00C3024E"/>
    <w:rsid w:val="00C55E29"/>
    <w:rsid w:val="00C8556D"/>
    <w:rsid w:val="00CA123A"/>
    <w:rsid w:val="00CC2E76"/>
    <w:rsid w:val="00D0134E"/>
    <w:rsid w:val="00D0577C"/>
    <w:rsid w:val="00D46738"/>
    <w:rsid w:val="00D56CBF"/>
    <w:rsid w:val="00D75465"/>
    <w:rsid w:val="00E349EB"/>
    <w:rsid w:val="00E821B4"/>
    <w:rsid w:val="00EE35AF"/>
    <w:rsid w:val="00F13631"/>
    <w:rsid w:val="00F156EC"/>
    <w:rsid w:val="00F23E2F"/>
    <w:rsid w:val="00F833A9"/>
    <w:rsid w:val="00FB6CE0"/>
    <w:rsid w:val="00FF49AE"/>
    <w:rsid w:val="00FF6290"/>
    <w:rsid w:val="08BDFCCB"/>
    <w:rsid w:val="31752072"/>
    <w:rsid w:val="4E706D10"/>
    <w:rsid w:val="72FB659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882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F4919"/>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7F4919"/>
    <w:pPr>
      <w:ind w:left="720"/>
      <w:contextualSpacing/>
    </w:pPr>
  </w:style>
  <w:style w:type="paragraph" w:styleId="FootnoteText">
    <w:name w:val="footnote text"/>
    <w:basedOn w:val="Normal"/>
    <w:link w:val="FootnoteTextChar"/>
    <w:uiPriority w:val="99"/>
    <w:semiHidden/>
    <w:unhideWhenUsed/>
    <w:rsid w:val="00166746"/>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166746"/>
    <w:rPr>
      <w:sz w:val="20"/>
      <w:szCs w:val="20"/>
    </w:rPr>
  </w:style>
  <w:style w:type="character" w:styleId="FootnoteReference">
    <w:name w:val="footnote reference"/>
    <w:basedOn w:val="DefaultParagraphFont"/>
    <w:uiPriority w:val="99"/>
    <w:semiHidden/>
    <w:unhideWhenUsed/>
    <w:rsid w:val="00166746"/>
    <w:rPr>
      <w:vertAlign w:val="superscript"/>
    </w:rPr>
  </w:style>
  <w:style w:type="paragraph" w:styleId="Header">
    <w:name w:val="header"/>
    <w:basedOn w:val="Normal"/>
    <w:link w:val="HeaderChar"/>
    <w:uiPriority w:val="99"/>
    <w:unhideWhenUsed/>
    <w:rsid w:val="00CA123A"/>
    <w:pPr>
      <w:tabs>
        <w:tab w:val="center" w:pos="4513"/>
        <w:tab w:val="right" w:pos="9026"/>
      </w:tabs>
      <w:spacing w:after="0" w:line="240" w:lineRule="auto"/>
    </w:pPr>
  </w:style>
  <w:style w:type="character" w:styleId="HeaderChar" w:customStyle="1">
    <w:name w:val="Header Char"/>
    <w:basedOn w:val="DefaultParagraphFont"/>
    <w:link w:val="Header"/>
    <w:uiPriority w:val="99"/>
    <w:rsid w:val="00CA123A"/>
  </w:style>
  <w:style w:type="paragraph" w:styleId="Footer">
    <w:name w:val="footer"/>
    <w:basedOn w:val="Normal"/>
    <w:link w:val="FooterChar"/>
    <w:uiPriority w:val="99"/>
    <w:unhideWhenUsed/>
    <w:rsid w:val="00CA123A"/>
    <w:pPr>
      <w:tabs>
        <w:tab w:val="center" w:pos="4513"/>
        <w:tab w:val="right" w:pos="9026"/>
      </w:tabs>
      <w:spacing w:after="0" w:line="240" w:lineRule="auto"/>
    </w:pPr>
  </w:style>
  <w:style w:type="character" w:styleId="FooterChar" w:customStyle="1">
    <w:name w:val="Footer Char"/>
    <w:basedOn w:val="DefaultParagraphFont"/>
    <w:link w:val="Footer"/>
    <w:uiPriority w:val="99"/>
    <w:rsid w:val="00CA123A"/>
  </w:style>
  <w:style w:type="character" w:styleId="Hyperlink">
    <w:name w:val="Hyperlink"/>
    <w:basedOn w:val="DefaultParagraphFont"/>
    <w:uiPriority w:val="99"/>
    <w:unhideWhenUsed/>
    <w:rsid w:val="001B47AD"/>
    <w:rPr>
      <w:color w:val="0000FF"/>
      <w:u w:val="single"/>
    </w:rPr>
  </w:style>
  <w:style w:type="paragraph" w:styleId="q-text" w:customStyle="1">
    <w:name w:val="q-text"/>
    <w:basedOn w:val="Normal"/>
    <w:rsid w:val="001B47AD"/>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UnresolvedMention">
    <w:name w:val="Unresolved Mention"/>
    <w:basedOn w:val="DefaultParagraphFont"/>
    <w:uiPriority w:val="99"/>
    <w:semiHidden/>
    <w:unhideWhenUsed/>
    <w:rsid w:val="00D46738"/>
    <w:rPr>
      <w:color w:val="605E5C"/>
      <w:shd w:val="clear" w:color="auto" w:fill="E1DFDD"/>
    </w:rPr>
  </w:style>
  <w:style w:type="paragraph" w:styleId="NormalWeb">
    <w:name w:val="Normal (Web)"/>
    <w:basedOn w:val="Normal"/>
    <w:uiPriority w:val="99"/>
    <w:semiHidden/>
    <w:unhideWhenUsed/>
    <w:rsid w:val="00C262A7"/>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TMLCite">
    <w:name w:val="HTML Cite"/>
    <w:basedOn w:val="DefaultParagraphFont"/>
    <w:uiPriority w:val="99"/>
    <w:semiHidden/>
    <w:unhideWhenUsed/>
    <w:rsid w:val="00C262A7"/>
    <w:rPr>
      <w:i/>
      <w:iCs/>
    </w:rPr>
  </w:style>
  <w:style w:type="character" w:styleId="yiv2613245642s2" w:customStyle="1">
    <w:name w:val="yiv2613245642s2"/>
    <w:basedOn w:val="DefaultParagraphFont"/>
    <w:rsid w:val="0048594A"/>
  </w:style>
  <w:style w:type="character" w:styleId="yiv8736832496s2" w:customStyle="1">
    <w:name w:val="yiv8736832496s2"/>
    <w:basedOn w:val="DefaultParagraphFont"/>
    <w:rsid w:val="004574EE"/>
  </w:style>
  <w:style w:type="character" w:styleId="yiv8510383393s2" w:customStyle="1">
    <w:name w:val="yiv8510383393s2"/>
    <w:basedOn w:val="DefaultParagraphFont"/>
    <w:rsid w:val="00B41D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archive.org/details/archaictimestoen00rces" TargetMode="External" Id="rId8" /><Relationship Type="http://schemas.openxmlformats.org/officeDocument/2006/relationships/hyperlink" Target="https://doi.org/10.1080/01495930290043137" TargetMode="External" Id="rId13" /><Relationship Type="http://schemas.openxmlformats.org/officeDocument/2006/relationships/hyperlink" Target="https://www.perseus.tufts.edu/hopper/text?doc=Perseus%3Atext%3A1999.04.0105%3Abook%3D4%3Achapter%3D96" TargetMode="External" Id="rId18" /><Relationship Type="http://schemas.openxmlformats.org/officeDocument/2006/relationships/settings" Target="settings.xml" Id="rId3" /><Relationship Type="http://schemas.openxmlformats.org/officeDocument/2006/relationships/hyperlink" Target="https://www.perseus.tufts.edu/hopper/text?doc=Perseus%3Atext%3A1999.01.0206%3Abook%3D7%3Achapter%3D1%3Asection%3D31" TargetMode="External" Id="rId21" /><Relationship Type="http://schemas.openxmlformats.org/officeDocument/2006/relationships/hyperlink" Target="http://www.jstor.org/stable/3291973" TargetMode="External" Id="rId7" /><Relationship Type="http://schemas.openxmlformats.org/officeDocument/2006/relationships/hyperlink" Target="http://www.jstor.org/stable/26398094" TargetMode="External" Id="rId12" /><Relationship Type="http://schemas.openxmlformats.org/officeDocument/2006/relationships/hyperlink" Target="http://www.jstor.org/stable/44639794" TargetMode="External" Id="rId17" /><Relationship Type="http://schemas.openxmlformats.org/officeDocument/2006/relationships/styles" Target="styles.xml" Id="rId2" /><Relationship Type="http://schemas.openxmlformats.org/officeDocument/2006/relationships/hyperlink" Target="https://www.perlego.com/book/2447470/a-naval-history-of-the-peloponnesian-war-ships-men-and-money-in-the-war-at-sea-431404-bc-pdf" TargetMode="External" Id="rId16" /><Relationship Type="http://schemas.openxmlformats.org/officeDocument/2006/relationships/hyperlink" Target="http://www.jstor.org/stable/4431893"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journal.lib.uoguelph.ca/index.php/classics/article/view/5917/5603" TargetMode="External" Id="rId11" /><Relationship Type="http://schemas.openxmlformats.org/officeDocument/2006/relationships/footnotes" Target="footnotes.xml" Id="rId5" /><Relationship Type="http://schemas.openxmlformats.org/officeDocument/2006/relationships/hyperlink" Target="https://doi.org/10.2307/4341856" TargetMode="External" Id="rId15" /><Relationship Type="http://schemas.openxmlformats.org/officeDocument/2006/relationships/theme" Target="theme/theme1.xml" Id="rId23" /><Relationship Type="http://schemas.openxmlformats.org/officeDocument/2006/relationships/hyperlink" Target="http://ark.cdlib.org/ark:/13030/ft3s2005h6/" TargetMode="External" Id="rId10" /><Relationship Type="http://schemas.openxmlformats.org/officeDocument/2006/relationships/hyperlink" Target="http://www.jstor.org/stable/26397417" TargetMode="External" Id="rId19" /><Relationship Type="http://schemas.openxmlformats.org/officeDocument/2006/relationships/webSettings" Target="webSettings.xml" Id="rId4" /><Relationship Type="http://schemas.openxmlformats.org/officeDocument/2006/relationships/hyperlink" Target="http://www.jstor.org/stable/10.7591/j.ctt1xx58s" TargetMode="External" Id="rId9" /><Relationship Type="http://schemas.openxmlformats.org/officeDocument/2006/relationships/hyperlink" Target="https://www.perseus.tufts.edu/hopper/text?doc=Perseus%3Atext%3A2008.01.0055%3Achapter%3D33%3Asection%3D4" TargetMode="External" Id="rId14" /><Relationship Type="http://schemas.openxmlformats.org/officeDocument/2006/relationships/fontTable" Target="fontTable.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David Williams-Gravener (1900355)</lastModifiedBy>
  <revision>3</revision>
  <dcterms:created xsi:type="dcterms:W3CDTF">2023-03-17T20:40:00.0000000Z</dcterms:created>
  <dcterms:modified xsi:type="dcterms:W3CDTF">2023-03-17T20:57:18.3460113Z</dcterms:modified>
</coreProperties>
</file>