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916" w:type="dxa"/>
        <w:tblInd w:w="-856" w:type="dxa"/>
        <w:tblLook w:val="04A0" w:firstRow="1" w:lastRow="0" w:firstColumn="1" w:lastColumn="0" w:noHBand="0" w:noVBand="1"/>
      </w:tblPr>
      <w:tblGrid>
        <w:gridCol w:w="3119"/>
        <w:gridCol w:w="3747"/>
        <w:gridCol w:w="4050"/>
      </w:tblGrid>
      <w:tr w:rsidR="0030493F" w14:paraId="0AF42452" w14:textId="77777777" w:rsidTr="0030493F">
        <w:tc>
          <w:tcPr>
            <w:tcW w:w="3119" w:type="dxa"/>
            <w:shd w:val="clear" w:color="auto" w:fill="A5C9EB" w:themeFill="text2" w:themeFillTint="40"/>
          </w:tcPr>
          <w:p w14:paraId="49F5276B" w14:textId="5EC7DD7F" w:rsidR="0030493F" w:rsidRDefault="0030493F" w:rsidP="0030493F">
            <w:pPr>
              <w:jc w:val="center"/>
              <w:rPr>
                <w:rFonts w:ascii="Calibri" w:hAnsi="Calibri" w:cs="Calibri"/>
                <w:b/>
                <w:bCs/>
              </w:rPr>
            </w:pPr>
            <w:r>
              <w:rPr>
                <w:rFonts w:ascii="Calibri" w:hAnsi="Calibri" w:cs="Calibri"/>
                <w:b/>
                <w:bCs/>
              </w:rPr>
              <w:t>Targets</w:t>
            </w:r>
          </w:p>
        </w:tc>
        <w:tc>
          <w:tcPr>
            <w:tcW w:w="3747" w:type="dxa"/>
            <w:shd w:val="clear" w:color="auto" w:fill="A5C9EB" w:themeFill="text2" w:themeFillTint="40"/>
          </w:tcPr>
          <w:p w14:paraId="5CF6088A" w14:textId="63E70349" w:rsidR="0030493F" w:rsidRDefault="0030493F" w:rsidP="0030493F">
            <w:pPr>
              <w:jc w:val="center"/>
              <w:rPr>
                <w:rFonts w:ascii="Calibri" w:hAnsi="Calibri" w:cs="Calibri"/>
                <w:b/>
                <w:bCs/>
              </w:rPr>
            </w:pPr>
            <w:r>
              <w:rPr>
                <w:rFonts w:ascii="Calibri" w:hAnsi="Calibri" w:cs="Calibri"/>
                <w:b/>
                <w:bCs/>
              </w:rPr>
              <w:t>How have you worked on this</w:t>
            </w:r>
          </w:p>
        </w:tc>
        <w:tc>
          <w:tcPr>
            <w:tcW w:w="4050" w:type="dxa"/>
            <w:shd w:val="clear" w:color="auto" w:fill="A5C9EB" w:themeFill="text2" w:themeFillTint="40"/>
          </w:tcPr>
          <w:p w14:paraId="65B279B6" w14:textId="7FD717B0" w:rsidR="0030493F" w:rsidRDefault="0030493F" w:rsidP="0030493F">
            <w:pPr>
              <w:jc w:val="center"/>
              <w:rPr>
                <w:rFonts w:ascii="Calibri" w:hAnsi="Calibri" w:cs="Calibri"/>
                <w:b/>
                <w:bCs/>
              </w:rPr>
            </w:pPr>
            <w:r>
              <w:rPr>
                <w:rFonts w:ascii="Calibri" w:hAnsi="Calibri" w:cs="Calibri"/>
                <w:b/>
                <w:bCs/>
              </w:rPr>
              <w:t>An example can be found</w:t>
            </w:r>
          </w:p>
        </w:tc>
      </w:tr>
      <w:tr w:rsidR="0030493F" w14:paraId="25F4745D" w14:textId="77777777" w:rsidTr="0030493F">
        <w:tc>
          <w:tcPr>
            <w:tcW w:w="3119" w:type="dxa"/>
          </w:tcPr>
          <w:p w14:paraId="5322122A" w14:textId="57C3AF42" w:rsidR="0030493F" w:rsidRPr="00F61A0A" w:rsidRDefault="00F61A0A" w:rsidP="00796CED">
            <w:pPr>
              <w:pStyle w:val="NormalWeb"/>
              <w:shd w:val="clear" w:color="auto" w:fill="FFFFFF"/>
              <w:rPr>
                <w:rFonts w:ascii="Calibri" w:hAnsi="Calibri" w:cs="Calibri"/>
              </w:rPr>
            </w:pPr>
            <w:r w:rsidRPr="00F61A0A">
              <w:rPr>
                <w:rFonts w:ascii="Calibri" w:hAnsi="Calibri" w:cs="Calibri"/>
              </w:rPr>
              <w:t>Continue to ensure that when you are writing, all your statements are supported by academic literature.</w:t>
            </w:r>
          </w:p>
        </w:tc>
        <w:tc>
          <w:tcPr>
            <w:tcW w:w="3747" w:type="dxa"/>
          </w:tcPr>
          <w:p w14:paraId="72AF5CC9" w14:textId="77777777" w:rsidR="00796CED" w:rsidRDefault="00796CED" w:rsidP="00796CED">
            <w:pPr>
              <w:jc w:val="center"/>
              <w:rPr>
                <w:rFonts w:ascii="Calibri" w:hAnsi="Calibri" w:cs="Calibri"/>
              </w:rPr>
            </w:pPr>
          </w:p>
          <w:p w14:paraId="5D1FADD2" w14:textId="20BFA1D0" w:rsidR="0030493F" w:rsidRPr="00796CED" w:rsidRDefault="00796CED" w:rsidP="00796CED">
            <w:pPr>
              <w:jc w:val="center"/>
              <w:rPr>
                <w:rFonts w:ascii="Calibri" w:hAnsi="Calibri" w:cs="Calibri"/>
              </w:rPr>
            </w:pPr>
            <w:r>
              <w:rPr>
                <w:rFonts w:ascii="Calibri" w:hAnsi="Calibri" w:cs="Calibri"/>
              </w:rPr>
              <w:t>I have used academic literature throughout my assignment to support all statements I have made.</w:t>
            </w:r>
          </w:p>
        </w:tc>
        <w:tc>
          <w:tcPr>
            <w:tcW w:w="4050" w:type="dxa"/>
          </w:tcPr>
          <w:p w14:paraId="4D5EEEDF" w14:textId="77777777" w:rsidR="005C1631" w:rsidRDefault="005C1631" w:rsidP="00796CED">
            <w:pPr>
              <w:jc w:val="center"/>
              <w:rPr>
                <w:rFonts w:ascii="Calibri" w:hAnsi="Calibri" w:cs="Calibri"/>
              </w:rPr>
            </w:pPr>
          </w:p>
          <w:p w14:paraId="235C45F4" w14:textId="4DFBBBC2" w:rsidR="0030493F" w:rsidRPr="005C1631" w:rsidRDefault="005C1631" w:rsidP="00796CED">
            <w:pPr>
              <w:jc w:val="center"/>
              <w:rPr>
                <w:rFonts w:ascii="Calibri" w:hAnsi="Calibri" w:cs="Calibri"/>
              </w:rPr>
            </w:pPr>
            <w:r w:rsidRPr="005C1631">
              <w:rPr>
                <w:rFonts w:ascii="Calibri" w:hAnsi="Calibri" w:cs="Calibri"/>
              </w:rPr>
              <w:t>I have worked on this target throughout my assignment.</w:t>
            </w:r>
          </w:p>
        </w:tc>
      </w:tr>
      <w:tr w:rsidR="00F61A0A" w14:paraId="1C2486B7" w14:textId="77777777" w:rsidTr="0030493F">
        <w:tc>
          <w:tcPr>
            <w:tcW w:w="3119" w:type="dxa"/>
          </w:tcPr>
          <w:p w14:paraId="11A64AAF" w14:textId="469319BB" w:rsidR="00F61A0A" w:rsidRPr="00F61A0A" w:rsidRDefault="00F61A0A" w:rsidP="00796CED">
            <w:pPr>
              <w:pStyle w:val="NormalWeb"/>
              <w:shd w:val="clear" w:color="auto" w:fill="FFFFFF"/>
              <w:rPr>
                <w:rFonts w:ascii="Calibri" w:hAnsi="Calibri" w:cs="Calibri"/>
              </w:rPr>
            </w:pPr>
            <w:r w:rsidRPr="00F61A0A">
              <w:rPr>
                <w:rFonts w:ascii="Calibri" w:hAnsi="Calibri" w:cs="Calibri"/>
              </w:rPr>
              <w:t>Try to be more critical in both your selection and engagement with literature to develop a balanced argument.</w:t>
            </w:r>
          </w:p>
        </w:tc>
        <w:tc>
          <w:tcPr>
            <w:tcW w:w="3747" w:type="dxa"/>
          </w:tcPr>
          <w:p w14:paraId="338BE74A" w14:textId="5BBAC347" w:rsidR="00F61A0A" w:rsidRPr="00796CED" w:rsidRDefault="00796CED" w:rsidP="00796CED">
            <w:pPr>
              <w:jc w:val="center"/>
              <w:rPr>
                <w:rFonts w:ascii="Calibri" w:hAnsi="Calibri" w:cs="Calibri"/>
              </w:rPr>
            </w:pPr>
            <w:r w:rsidRPr="00796CED">
              <w:rPr>
                <w:rFonts w:ascii="Calibri" w:hAnsi="Calibri" w:cs="Calibri"/>
              </w:rPr>
              <w:t>I have been more critical with my selection of literature to ensure I have developed a balanced argument.</w:t>
            </w:r>
          </w:p>
        </w:tc>
        <w:tc>
          <w:tcPr>
            <w:tcW w:w="4050" w:type="dxa"/>
          </w:tcPr>
          <w:p w14:paraId="392AE0AA" w14:textId="77777777" w:rsidR="005C1631" w:rsidRDefault="005C1631" w:rsidP="00796CED">
            <w:pPr>
              <w:rPr>
                <w:rFonts w:ascii="Calibri" w:hAnsi="Calibri" w:cs="Calibri"/>
              </w:rPr>
            </w:pPr>
          </w:p>
          <w:p w14:paraId="1934DD8F" w14:textId="48F9FB4F" w:rsidR="005C1631" w:rsidRDefault="005C1631" w:rsidP="00796CED">
            <w:pPr>
              <w:jc w:val="center"/>
              <w:rPr>
                <w:rFonts w:ascii="Calibri" w:hAnsi="Calibri" w:cs="Calibri"/>
                <w:b/>
                <w:bCs/>
              </w:rPr>
            </w:pPr>
            <w:r w:rsidRPr="005C1631">
              <w:rPr>
                <w:rFonts w:ascii="Calibri" w:hAnsi="Calibri" w:cs="Calibri"/>
              </w:rPr>
              <w:t>I have worked on this target throughout my assignment.</w:t>
            </w:r>
          </w:p>
        </w:tc>
      </w:tr>
    </w:tbl>
    <w:p w14:paraId="4EF2E9D6" w14:textId="77777777" w:rsidR="0030493F" w:rsidRDefault="0030493F">
      <w:pPr>
        <w:rPr>
          <w:rFonts w:ascii="Calibri" w:hAnsi="Calibri" w:cs="Calibri"/>
          <w:b/>
          <w:bCs/>
        </w:rPr>
      </w:pPr>
    </w:p>
    <w:p w14:paraId="595F427B" w14:textId="77777777" w:rsidR="00F61A0A" w:rsidRDefault="00F61A0A" w:rsidP="00F61A0A">
      <w:pPr>
        <w:jc w:val="center"/>
        <w:rPr>
          <w:rFonts w:ascii="Calibri" w:hAnsi="Calibri" w:cs="Calibri"/>
          <w:b/>
          <w:bCs/>
          <w:sz w:val="40"/>
          <w:szCs w:val="40"/>
          <w:u w:val="single"/>
        </w:rPr>
      </w:pPr>
    </w:p>
    <w:p w14:paraId="48BE739D" w14:textId="5DCB3FE6" w:rsidR="0030493F" w:rsidRPr="00F61A0A" w:rsidRDefault="0030493F" w:rsidP="00F61A0A">
      <w:pPr>
        <w:jc w:val="center"/>
        <w:rPr>
          <w:rFonts w:ascii="Calibri" w:hAnsi="Calibri" w:cs="Calibri"/>
          <w:b/>
          <w:bCs/>
          <w:sz w:val="40"/>
          <w:szCs w:val="40"/>
          <w:u w:val="single"/>
        </w:rPr>
      </w:pPr>
      <w:r w:rsidRPr="00F61A0A">
        <w:rPr>
          <w:rFonts w:ascii="Calibri" w:hAnsi="Calibri" w:cs="Calibri"/>
          <w:b/>
          <w:bCs/>
          <w:sz w:val="40"/>
          <w:szCs w:val="40"/>
          <w:u w:val="single"/>
        </w:rPr>
        <w:t xml:space="preserve">ECAD6008: </w:t>
      </w:r>
      <w:r w:rsidR="00F61A0A" w:rsidRPr="00F61A0A">
        <w:rPr>
          <w:rFonts w:ascii="Calibri" w:hAnsi="Calibri" w:cs="Calibri"/>
          <w:b/>
          <w:bCs/>
          <w:sz w:val="40"/>
          <w:szCs w:val="40"/>
          <w:u w:val="single"/>
        </w:rPr>
        <w:t>Leading the Learning: What, How and Why Am I Teaching?</w:t>
      </w:r>
    </w:p>
    <w:p w14:paraId="093015F5" w14:textId="77777777" w:rsidR="0030493F" w:rsidRPr="00F61A0A" w:rsidRDefault="0030493F" w:rsidP="00F61A0A">
      <w:pPr>
        <w:jc w:val="center"/>
        <w:rPr>
          <w:rFonts w:ascii="Calibri" w:hAnsi="Calibri" w:cs="Calibri"/>
          <w:b/>
          <w:bCs/>
          <w:sz w:val="40"/>
          <w:szCs w:val="40"/>
          <w:u w:val="single"/>
        </w:rPr>
      </w:pPr>
    </w:p>
    <w:p w14:paraId="77130E0B" w14:textId="450D87C8" w:rsidR="0030493F" w:rsidRPr="00F61A0A" w:rsidRDefault="00F61A0A" w:rsidP="00796CED">
      <w:pPr>
        <w:pStyle w:val="NormalWeb"/>
        <w:jc w:val="center"/>
        <w:rPr>
          <w:rFonts w:ascii="Calibri" w:hAnsi="Calibri" w:cs="Calibri"/>
          <w:b/>
          <w:bCs/>
          <w:sz w:val="40"/>
          <w:szCs w:val="40"/>
          <w:u w:val="single"/>
        </w:rPr>
      </w:pPr>
      <w:r w:rsidRPr="00F61A0A">
        <w:rPr>
          <w:rFonts w:ascii="Calibri" w:hAnsi="Calibri" w:cs="Calibri"/>
          <w:b/>
          <w:bCs/>
          <w:sz w:val="40"/>
          <w:szCs w:val="40"/>
          <w:u w:val="single"/>
        </w:rPr>
        <w:t>Critically reflect on your progress in planning, preparing and teaching lessons that incorporate specific pedagogical principles. Identify up to three of these pedagogical principles as an area for development and justify the next steps in your development.</w:t>
      </w:r>
    </w:p>
    <w:p w14:paraId="1BEF725E" w14:textId="77777777" w:rsidR="0030493F" w:rsidRDefault="0030493F" w:rsidP="00F61A0A">
      <w:pPr>
        <w:jc w:val="center"/>
        <w:rPr>
          <w:rFonts w:ascii="Calibri" w:hAnsi="Calibri" w:cs="Calibri"/>
          <w:b/>
          <w:bCs/>
          <w:sz w:val="40"/>
          <w:szCs w:val="40"/>
          <w:u w:val="single"/>
        </w:rPr>
      </w:pPr>
    </w:p>
    <w:p w14:paraId="71BCA6C4" w14:textId="77777777" w:rsidR="00796CED" w:rsidRPr="00F61A0A" w:rsidRDefault="00796CED" w:rsidP="00F61A0A">
      <w:pPr>
        <w:jc w:val="center"/>
        <w:rPr>
          <w:rFonts w:ascii="Calibri" w:hAnsi="Calibri" w:cs="Calibri"/>
          <w:b/>
          <w:bCs/>
          <w:sz w:val="40"/>
          <w:szCs w:val="40"/>
          <w:u w:val="single"/>
        </w:rPr>
      </w:pPr>
    </w:p>
    <w:p w14:paraId="34449740" w14:textId="307EB528" w:rsidR="0030493F" w:rsidRPr="00F61A0A" w:rsidRDefault="0030493F" w:rsidP="00F61A0A">
      <w:pPr>
        <w:jc w:val="center"/>
        <w:rPr>
          <w:rFonts w:ascii="Calibri" w:hAnsi="Calibri" w:cs="Calibri"/>
          <w:b/>
          <w:bCs/>
          <w:sz w:val="40"/>
          <w:szCs w:val="40"/>
        </w:rPr>
      </w:pPr>
      <w:r w:rsidRPr="00F61A0A">
        <w:rPr>
          <w:rFonts w:ascii="Calibri" w:hAnsi="Calibri" w:cs="Calibri"/>
          <w:b/>
          <w:bCs/>
          <w:sz w:val="40"/>
          <w:szCs w:val="40"/>
        </w:rPr>
        <w:t>Emily Seyerle</w:t>
      </w:r>
    </w:p>
    <w:p w14:paraId="628BD7F2" w14:textId="6B68BF16" w:rsidR="0030493F" w:rsidRPr="00F61A0A" w:rsidRDefault="0030493F" w:rsidP="00F61A0A">
      <w:pPr>
        <w:jc w:val="center"/>
        <w:rPr>
          <w:rFonts w:ascii="Calibri" w:hAnsi="Calibri" w:cs="Calibri"/>
          <w:b/>
          <w:bCs/>
          <w:sz w:val="40"/>
          <w:szCs w:val="40"/>
        </w:rPr>
      </w:pPr>
      <w:r w:rsidRPr="00F61A0A">
        <w:rPr>
          <w:rFonts w:ascii="Calibri" w:hAnsi="Calibri" w:cs="Calibri"/>
          <w:b/>
          <w:bCs/>
          <w:sz w:val="40"/>
          <w:szCs w:val="40"/>
        </w:rPr>
        <w:t>Student Number: 2103599</w:t>
      </w:r>
    </w:p>
    <w:p w14:paraId="055270E2" w14:textId="77777777" w:rsidR="0030493F" w:rsidRPr="00F61A0A" w:rsidRDefault="0030493F" w:rsidP="00F61A0A">
      <w:pPr>
        <w:jc w:val="center"/>
        <w:rPr>
          <w:rFonts w:ascii="Calibri" w:hAnsi="Calibri" w:cs="Calibri"/>
          <w:b/>
          <w:bCs/>
          <w:sz w:val="40"/>
          <w:szCs w:val="40"/>
        </w:rPr>
      </w:pPr>
    </w:p>
    <w:p w14:paraId="69016E07" w14:textId="77777777" w:rsidR="00F61A0A" w:rsidRPr="00F61A0A" w:rsidRDefault="00F61A0A" w:rsidP="00F61A0A">
      <w:pPr>
        <w:jc w:val="center"/>
        <w:rPr>
          <w:rFonts w:ascii="Calibri" w:hAnsi="Calibri" w:cs="Calibri"/>
          <w:b/>
          <w:bCs/>
          <w:sz w:val="40"/>
          <w:szCs w:val="40"/>
        </w:rPr>
      </w:pPr>
    </w:p>
    <w:p w14:paraId="7DAD4B91" w14:textId="3808F2C1" w:rsidR="0030493F" w:rsidRPr="00F61A0A" w:rsidRDefault="0030493F" w:rsidP="00F61A0A">
      <w:pPr>
        <w:jc w:val="center"/>
        <w:rPr>
          <w:rFonts w:ascii="Calibri" w:hAnsi="Calibri" w:cs="Calibri"/>
          <w:b/>
          <w:bCs/>
          <w:sz w:val="40"/>
          <w:szCs w:val="40"/>
        </w:rPr>
      </w:pPr>
      <w:r w:rsidRPr="00F61A0A">
        <w:rPr>
          <w:rFonts w:ascii="Calibri" w:hAnsi="Calibri" w:cs="Calibri"/>
          <w:b/>
          <w:bCs/>
          <w:sz w:val="40"/>
          <w:szCs w:val="40"/>
        </w:rPr>
        <w:t>Word Count:</w:t>
      </w:r>
      <w:r w:rsidR="005C1631">
        <w:rPr>
          <w:rFonts w:ascii="Calibri" w:hAnsi="Calibri" w:cs="Calibri"/>
          <w:b/>
          <w:bCs/>
          <w:sz w:val="40"/>
          <w:szCs w:val="40"/>
        </w:rPr>
        <w:t xml:space="preserve"> 2931 </w:t>
      </w:r>
    </w:p>
    <w:p w14:paraId="4B9D0E95" w14:textId="77777777" w:rsidR="0030493F" w:rsidRDefault="0030493F">
      <w:pPr>
        <w:rPr>
          <w:rFonts w:ascii="Calibri" w:hAnsi="Calibri" w:cs="Calibri"/>
          <w:b/>
          <w:bCs/>
        </w:rPr>
      </w:pPr>
    </w:p>
    <w:p w14:paraId="1CD119E9" w14:textId="4C31776E" w:rsidR="0030493F" w:rsidRDefault="0030493F">
      <w:pPr>
        <w:rPr>
          <w:rFonts w:ascii="Calibri" w:hAnsi="Calibri" w:cs="Calibri"/>
          <w:b/>
          <w:bCs/>
        </w:rPr>
      </w:pPr>
    </w:p>
    <w:sdt>
      <w:sdtPr>
        <w:rPr>
          <w:rFonts w:asciiTheme="minorHAnsi" w:eastAsiaTheme="minorHAnsi" w:hAnsiTheme="minorHAnsi" w:cstheme="minorBidi"/>
          <w:b w:val="0"/>
          <w:bCs w:val="0"/>
          <w:color w:val="auto"/>
          <w:sz w:val="24"/>
          <w:szCs w:val="24"/>
          <w:lang w:val="en-GB"/>
        </w:rPr>
        <w:id w:val="9497461"/>
        <w:docPartObj>
          <w:docPartGallery w:val="Table of Contents"/>
          <w:docPartUnique/>
        </w:docPartObj>
      </w:sdtPr>
      <w:sdtEndPr>
        <w:rPr>
          <w:noProof/>
        </w:rPr>
      </w:sdtEndPr>
      <w:sdtContent>
        <w:p w14:paraId="4D0B059B" w14:textId="325E08F3" w:rsidR="0030493F" w:rsidRPr="0030493F" w:rsidRDefault="0030493F">
          <w:pPr>
            <w:pStyle w:val="TOCHeading"/>
            <w:rPr>
              <w:rFonts w:ascii="Calibri" w:hAnsi="Calibri" w:cs="Calibri"/>
              <w:color w:val="000000" w:themeColor="text1"/>
            </w:rPr>
          </w:pPr>
          <w:r w:rsidRPr="0030493F">
            <w:rPr>
              <w:rFonts w:ascii="Calibri" w:hAnsi="Calibri" w:cs="Calibri"/>
              <w:color w:val="000000" w:themeColor="text1"/>
            </w:rPr>
            <w:t>Table of Contents</w:t>
          </w:r>
        </w:p>
        <w:p w14:paraId="018D8E14" w14:textId="50C1677A" w:rsidR="00A15269" w:rsidRDefault="0030493F">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4019903" w:history="1">
            <w:r w:rsidR="00A15269" w:rsidRPr="002D4540">
              <w:rPr>
                <w:rStyle w:val="Hyperlink"/>
                <w:rFonts w:ascii="Calibri" w:hAnsi="Calibri" w:cs="Calibri"/>
                <w:noProof/>
              </w:rPr>
              <w:t>Assignment Title</w:t>
            </w:r>
            <w:r w:rsidR="00A15269">
              <w:rPr>
                <w:noProof/>
                <w:webHidden/>
              </w:rPr>
              <w:tab/>
            </w:r>
            <w:r w:rsidR="00A15269">
              <w:rPr>
                <w:noProof/>
                <w:webHidden/>
              </w:rPr>
              <w:fldChar w:fldCharType="begin"/>
            </w:r>
            <w:r w:rsidR="00A15269">
              <w:rPr>
                <w:noProof/>
                <w:webHidden/>
              </w:rPr>
              <w:instrText xml:space="preserve"> PAGEREF _Toc164019903 \h </w:instrText>
            </w:r>
            <w:r w:rsidR="00A15269">
              <w:rPr>
                <w:noProof/>
                <w:webHidden/>
              </w:rPr>
            </w:r>
            <w:r w:rsidR="00A15269">
              <w:rPr>
                <w:noProof/>
                <w:webHidden/>
              </w:rPr>
              <w:fldChar w:fldCharType="separate"/>
            </w:r>
            <w:r w:rsidR="00A15269">
              <w:rPr>
                <w:noProof/>
                <w:webHidden/>
              </w:rPr>
              <w:t>3</w:t>
            </w:r>
            <w:r w:rsidR="00A15269">
              <w:rPr>
                <w:noProof/>
                <w:webHidden/>
              </w:rPr>
              <w:fldChar w:fldCharType="end"/>
            </w:r>
          </w:hyperlink>
        </w:p>
        <w:p w14:paraId="2E905688" w14:textId="56E77C04" w:rsidR="00A15269" w:rsidRDefault="00A15269">
          <w:pPr>
            <w:pStyle w:val="TOC1"/>
            <w:tabs>
              <w:tab w:val="right" w:leader="dot" w:pos="9016"/>
            </w:tabs>
            <w:rPr>
              <w:rFonts w:eastAsiaTheme="minorEastAsia"/>
              <w:b w:val="0"/>
              <w:bCs w:val="0"/>
              <w:i w:val="0"/>
              <w:iCs w:val="0"/>
              <w:noProof/>
              <w:kern w:val="2"/>
              <w:lang w:eastAsia="en-GB"/>
              <w14:ligatures w14:val="standardContextual"/>
            </w:rPr>
          </w:pPr>
          <w:hyperlink w:anchor="_Toc164019904" w:history="1">
            <w:r w:rsidRPr="002D4540">
              <w:rPr>
                <w:rStyle w:val="Hyperlink"/>
                <w:rFonts w:ascii="Calibri" w:hAnsi="Calibri" w:cs="Calibri"/>
                <w:noProof/>
              </w:rPr>
              <w:t>Part 1</w:t>
            </w:r>
            <w:r>
              <w:rPr>
                <w:noProof/>
                <w:webHidden/>
              </w:rPr>
              <w:tab/>
            </w:r>
            <w:r>
              <w:rPr>
                <w:noProof/>
                <w:webHidden/>
              </w:rPr>
              <w:fldChar w:fldCharType="begin"/>
            </w:r>
            <w:r>
              <w:rPr>
                <w:noProof/>
                <w:webHidden/>
              </w:rPr>
              <w:instrText xml:space="preserve"> PAGEREF _Toc164019904 \h </w:instrText>
            </w:r>
            <w:r>
              <w:rPr>
                <w:noProof/>
                <w:webHidden/>
              </w:rPr>
            </w:r>
            <w:r>
              <w:rPr>
                <w:noProof/>
                <w:webHidden/>
              </w:rPr>
              <w:fldChar w:fldCharType="separate"/>
            </w:r>
            <w:r>
              <w:rPr>
                <w:noProof/>
                <w:webHidden/>
              </w:rPr>
              <w:t>4</w:t>
            </w:r>
            <w:r>
              <w:rPr>
                <w:noProof/>
                <w:webHidden/>
              </w:rPr>
              <w:fldChar w:fldCharType="end"/>
            </w:r>
          </w:hyperlink>
        </w:p>
        <w:p w14:paraId="72545AE6" w14:textId="5DECB17C" w:rsidR="00A15269" w:rsidRDefault="00A15269">
          <w:pPr>
            <w:pStyle w:val="TOC2"/>
            <w:tabs>
              <w:tab w:val="right" w:leader="dot" w:pos="9016"/>
            </w:tabs>
            <w:rPr>
              <w:rFonts w:eastAsiaTheme="minorEastAsia"/>
              <w:b w:val="0"/>
              <w:bCs w:val="0"/>
              <w:noProof/>
              <w:kern w:val="2"/>
              <w:sz w:val="24"/>
              <w:szCs w:val="24"/>
              <w:lang w:eastAsia="en-GB"/>
              <w14:ligatures w14:val="standardContextual"/>
            </w:rPr>
          </w:pPr>
          <w:hyperlink w:anchor="_Toc164019905" w:history="1">
            <w:r w:rsidRPr="002D4540">
              <w:rPr>
                <w:rStyle w:val="Hyperlink"/>
                <w:rFonts w:ascii="Calibri" w:hAnsi="Calibri" w:cs="Calibri"/>
                <w:noProof/>
              </w:rPr>
              <w:t>Using Assessment for Learning to accelerate progress</w:t>
            </w:r>
            <w:r>
              <w:rPr>
                <w:noProof/>
                <w:webHidden/>
              </w:rPr>
              <w:tab/>
            </w:r>
            <w:r>
              <w:rPr>
                <w:noProof/>
                <w:webHidden/>
              </w:rPr>
              <w:fldChar w:fldCharType="begin"/>
            </w:r>
            <w:r>
              <w:rPr>
                <w:noProof/>
                <w:webHidden/>
              </w:rPr>
              <w:instrText xml:space="preserve"> PAGEREF _Toc164019905 \h </w:instrText>
            </w:r>
            <w:r>
              <w:rPr>
                <w:noProof/>
                <w:webHidden/>
              </w:rPr>
            </w:r>
            <w:r>
              <w:rPr>
                <w:noProof/>
                <w:webHidden/>
              </w:rPr>
              <w:fldChar w:fldCharType="separate"/>
            </w:r>
            <w:r>
              <w:rPr>
                <w:noProof/>
                <w:webHidden/>
              </w:rPr>
              <w:t>4</w:t>
            </w:r>
            <w:r>
              <w:rPr>
                <w:noProof/>
                <w:webHidden/>
              </w:rPr>
              <w:fldChar w:fldCharType="end"/>
            </w:r>
          </w:hyperlink>
        </w:p>
        <w:p w14:paraId="29301770" w14:textId="777DE6AA" w:rsidR="00A15269" w:rsidRDefault="00A15269">
          <w:pPr>
            <w:pStyle w:val="TOC2"/>
            <w:tabs>
              <w:tab w:val="right" w:leader="dot" w:pos="9016"/>
            </w:tabs>
            <w:rPr>
              <w:rFonts w:eastAsiaTheme="minorEastAsia"/>
              <w:b w:val="0"/>
              <w:bCs w:val="0"/>
              <w:noProof/>
              <w:kern w:val="2"/>
              <w:sz w:val="24"/>
              <w:szCs w:val="24"/>
              <w:lang w:eastAsia="en-GB"/>
              <w14:ligatures w14:val="standardContextual"/>
            </w:rPr>
          </w:pPr>
          <w:hyperlink w:anchor="_Toc164019906" w:history="1">
            <w:r w:rsidRPr="002D4540">
              <w:rPr>
                <w:rStyle w:val="Hyperlink"/>
                <w:rFonts w:ascii="Calibri" w:hAnsi="Calibri" w:cs="Calibri"/>
                <w:noProof/>
              </w:rPr>
              <w:t>Employing a broad repertoire of teaching approaches</w:t>
            </w:r>
            <w:r>
              <w:rPr>
                <w:noProof/>
                <w:webHidden/>
              </w:rPr>
              <w:tab/>
            </w:r>
            <w:r>
              <w:rPr>
                <w:noProof/>
                <w:webHidden/>
              </w:rPr>
              <w:fldChar w:fldCharType="begin"/>
            </w:r>
            <w:r>
              <w:rPr>
                <w:noProof/>
                <w:webHidden/>
              </w:rPr>
              <w:instrText xml:space="preserve"> PAGEREF _Toc164019906 \h </w:instrText>
            </w:r>
            <w:r>
              <w:rPr>
                <w:noProof/>
                <w:webHidden/>
              </w:rPr>
            </w:r>
            <w:r>
              <w:rPr>
                <w:noProof/>
                <w:webHidden/>
              </w:rPr>
              <w:fldChar w:fldCharType="separate"/>
            </w:r>
            <w:r>
              <w:rPr>
                <w:noProof/>
                <w:webHidden/>
              </w:rPr>
              <w:t>6</w:t>
            </w:r>
            <w:r>
              <w:rPr>
                <w:noProof/>
                <w:webHidden/>
              </w:rPr>
              <w:fldChar w:fldCharType="end"/>
            </w:r>
          </w:hyperlink>
        </w:p>
        <w:p w14:paraId="34FFF8BB" w14:textId="4A144195" w:rsidR="00A15269" w:rsidRDefault="00A15269">
          <w:pPr>
            <w:pStyle w:val="TOC2"/>
            <w:tabs>
              <w:tab w:val="right" w:leader="dot" w:pos="9016"/>
            </w:tabs>
            <w:rPr>
              <w:rFonts w:eastAsiaTheme="minorEastAsia"/>
              <w:b w:val="0"/>
              <w:bCs w:val="0"/>
              <w:noProof/>
              <w:kern w:val="2"/>
              <w:sz w:val="24"/>
              <w:szCs w:val="24"/>
              <w:lang w:eastAsia="en-GB"/>
              <w14:ligatures w14:val="standardContextual"/>
            </w:rPr>
          </w:pPr>
          <w:hyperlink w:anchor="_Toc164019907" w:history="1">
            <w:r w:rsidRPr="002D4540">
              <w:rPr>
                <w:rStyle w:val="Hyperlink"/>
                <w:rFonts w:ascii="Calibri" w:hAnsi="Calibri" w:cs="Calibri"/>
                <w:noProof/>
              </w:rPr>
              <w:t>Creating authentic contexts for learning</w:t>
            </w:r>
            <w:r>
              <w:rPr>
                <w:noProof/>
                <w:webHidden/>
              </w:rPr>
              <w:tab/>
            </w:r>
            <w:r>
              <w:rPr>
                <w:noProof/>
                <w:webHidden/>
              </w:rPr>
              <w:fldChar w:fldCharType="begin"/>
            </w:r>
            <w:r>
              <w:rPr>
                <w:noProof/>
                <w:webHidden/>
              </w:rPr>
              <w:instrText xml:space="preserve"> PAGEREF _Toc164019907 \h </w:instrText>
            </w:r>
            <w:r>
              <w:rPr>
                <w:noProof/>
                <w:webHidden/>
              </w:rPr>
            </w:r>
            <w:r>
              <w:rPr>
                <w:noProof/>
                <w:webHidden/>
              </w:rPr>
              <w:fldChar w:fldCharType="separate"/>
            </w:r>
            <w:r>
              <w:rPr>
                <w:noProof/>
                <w:webHidden/>
              </w:rPr>
              <w:t>9</w:t>
            </w:r>
            <w:r>
              <w:rPr>
                <w:noProof/>
                <w:webHidden/>
              </w:rPr>
              <w:fldChar w:fldCharType="end"/>
            </w:r>
          </w:hyperlink>
        </w:p>
        <w:p w14:paraId="5AF5FDFE" w14:textId="7C56F5FD" w:rsidR="00A15269" w:rsidRDefault="00A15269">
          <w:pPr>
            <w:pStyle w:val="TOC2"/>
            <w:tabs>
              <w:tab w:val="right" w:leader="dot" w:pos="9016"/>
            </w:tabs>
            <w:rPr>
              <w:rFonts w:eastAsiaTheme="minorEastAsia"/>
              <w:b w:val="0"/>
              <w:bCs w:val="0"/>
              <w:noProof/>
              <w:kern w:val="2"/>
              <w:sz w:val="24"/>
              <w:szCs w:val="24"/>
              <w:lang w:eastAsia="en-GB"/>
              <w14:ligatures w14:val="standardContextual"/>
            </w:rPr>
          </w:pPr>
          <w:hyperlink w:anchor="_Toc164019908" w:history="1">
            <w:r w:rsidRPr="002D4540">
              <w:rPr>
                <w:rStyle w:val="Hyperlink"/>
                <w:rFonts w:ascii="Calibri" w:hAnsi="Calibri" w:cs="Calibri"/>
                <w:noProof/>
              </w:rPr>
              <w:t>Reinforce cross-curricular responsibilities</w:t>
            </w:r>
            <w:r>
              <w:rPr>
                <w:noProof/>
                <w:webHidden/>
              </w:rPr>
              <w:tab/>
            </w:r>
            <w:r>
              <w:rPr>
                <w:noProof/>
                <w:webHidden/>
              </w:rPr>
              <w:fldChar w:fldCharType="begin"/>
            </w:r>
            <w:r>
              <w:rPr>
                <w:noProof/>
                <w:webHidden/>
              </w:rPr>
              <w:instrText xml:space="preserve"> PAGEREF _Toc164019908 \h </w:instrText>
            </w:r>
            <w:r>
              <w:rPr>
                <w:noProof/>
                <w:webHidden/>
              </w:rPr>
            </w:r>
            <w:r>
              <w:rPr>
                <w:noProof/>
                <w:webHidden/>
              </w:rPr>
              <w:fldChar w:fldCharType="separate"/>
            </w:r>
            <w:r>
              <w:rPr>
                <w:noProof/>
                <w:webHidden/>
              </w:rPr>
              <w:t>12</w:t>
            </w:r>
            <w:r>
              <w:rPr>
                <w:noProof/>
                <w:webHidden/>
              </w:rPr>
              <w:fldChar w:fldCharType="end"/>
            </w:r>
          </w:hyperlink>
        </w:p>
        <w:p w14:paraId="2A1DCDDF" w14:textId="131EC8A3" w:rsidR="00A15269" w:rsidRDefault="00A15269">
          <w:pPr>
            <w:pStyle w:val="TOC1"/>
            <w:tabs>
              <w:tab w:val="right" w:leader="dot" w:pos="9016"/>
            </w:tabs>
            <w:rPr>
              <w:rFonts w:eastAsiaTheme="minorEastAsia"/>
              <w:b w:val="0"/>
              <w:bCs w:val="0"/>
              <w:i w:val="0"/>
              <w:iCs w:val="0"/>
              <w:noProof/>
              <w:kern w:val="2"/>
              <w:lang w:eastAsia="en-GB"/>
              <w14:ligatures w14:val="standardContextual"/>
            </w:rPr>
          </w:pPr>
          <w:hyperlink w:anchor="_Toc164019909" w:history="1">
            <w:r w:rsidRPr="002D4540">
              <w:rPr>
                <w:rStyle w:val="Hyperlink"/>
                <w:rFonts w:ascii="Calibri" w:hAnsi="Calibri" w:cs="Calibri"/>
                <w:noProof/>
              </w:rPr>
              <w:t>Part 2</w:t>
            </w:r>
            <w:r>
              <w:rPr>
                <w:noProof/>
                <w:webHidden/>
              </w:rPr>
              <w:tab/>
            </w:r>
            <w:r>
              <w:rPr>
                <w:noProof/>
                <w:webHidden/>
              </w:rPr>
              <w:fldChar w:fldCharType="begin"/>
            </w:r>
            <w:r>
              <w:rPr>
                <w:noProof/>
                <w:webHidden/>
              </w:rPr>
              <w:instrText xml:space="preserve"> PAGEREF _Toc164019909 \h </w:instrText>
            </w:r>
            <w:r>
              <w:rPr>
                <w:noProof/>
                <w:webHidden/>
              </w:rPr>
            </w:r>
            <w:r>
              <w:rPr>
                <w:noProof/>
                <w:webHidden/>
              </w:rPr>
              <w:fldChar w:fldCharType="separate"/>
            </w:r>
            <w:r>
              <w:rPr>
                <w:noProof/>
                <w:webHidden/>
              </w:rPr>
              <w:t>14</w:t>
            </w:r>
            <w:r>
              <w:rPr>
                <w:noProof/>
                <w:webHidden/>
              </w:rPr>
              <w:fldChar w:fldCharType="end"/>
            </w:r>
          </w:hyperlink>
        </w:p>
        <w:p w14:paraId="546F9A42" w14:textId="283904B8" w:rsidR="00A15269" w:rsidRDefault="00A15269">
          <w:pPr>
            <w:pStyle w:val="TOC1"/>
            <w:tabs>
              <w:tab w:val="right" w:leader="dot" w:pos="9016"/>
            </w:tabs>
            <w:rPr>
              <w:rFonts w:eastAsiaTheme="minorEastAsia"/>
              <w:b w:val="0"/>
              <w:bCs w:val="0"/>
              <w:i w:val="0"/>
              <w:iCs w:val="0"/>
              <w:noProof/>
              <w:kern w:val="2"/>
              <w:lang w:eastAsia="en-GB"/>
              <w14:ligatures w14:val="standardContextual"/>
            </w:rPr>
          </w:pPr>
          <w:hyperlink w:anchor="_Toc164019910" w:history="1">
            <w:r w:rsidRPr="002D4540">
              <w:rPr>
                <w:rStyle w:val="Hyperlink"/>
                <w:rFonts w:ascii="Calibri" w:hAnsi="Calibri" w:cs="Calibri"/>
                <w:noProof/>
              </w:rPr>
              <w:t>Reference List</w:t>
            </w:r>
            <w:r>
              <w:rPr>
                <w:noProof/>
                <w:webHidden/>
              </w:rPr>
              <w:tab/>
            </w:r>
            <w:r>
              <w:rPr>
                <w:noProof/>
                <w:webHidden/>
              </w:rPr>
              <w:fldChar w:fldCharType="begin"/>
            </w:r>
            <w:r>
              <w:rPr>
                <w:noProof/>
                <w:webHidden/>
              </w:rPr>
              <w:instrText xml:space="preserve"> PAGEREF _Toc164019910 \h </w:instrText>
            </w:r>
            <w:r>
              <w:rPr>
                <w:noProof/>
                <w:webHidden/>
              </w:rPr>
            </w:r>
            <w:r>
              <w:rPr>
                <w:noProof/>
                <w:webHidden/>
              </w:rPr>
              <w:fldChar w:fldCharType="separate"/>
            </w:r>
            <w:r>
              <w:rPr>
                <w:noProof/>
                <w:webHidden/>
              </w:rPr>
              <w:t>23</w:t>
            </w:r>
            <w:r>
              <w:rPr>
                <w:noProof/>
                <w:webHidden/>
              </w:rPr>
              <w:fldChar w:fldCharType="end"/>
            </w:r>
          </w:hyperlink>
        </w:p>
        <w:p w14:paraId="3AE2F6FB" w14:textId="587DC34C" w:rsidR="0030493F" w:rsidRDefault="0030493F">
          <w:r>
            <w:rPr>
              <w:b/>
              <w:bCs/>
              <w:noProof/>
            </w:rPr>
            <w:fldChar w:fldCharType="end"/>
          </w:r>
        </w:p>
      </w:sdtContent>
    </w:sdt>
    <w:p w14:paraId="32FAC35E" w14:textId="77777777" w:rsidR="0030493F" w:rsidRDefault="0030493F">
      <w:pPr>
        <w:rPr>
          <w:rFonts w:ascii="Calibri" w:hAnsi="Calibri" w:cs="Calibri"/>
          <w:b/>
          <w:bCs/>
        </w:rPr>
      </w:pPr>
    </w:p>
    <w:p w14:paraId="739DCF24" w14:textId="75999036" w:rsidR="0030493F" w:rsidRDefault="0030493F">
      <w:pPr>
        <w:rPr>
          <w:rFonts w:ascii="Calibri" w:hAnsi="Calibri" w:cs="Calibri"/>
          <w:b/>
          <w:bCs/>
        </w:rPr>
      </w:pPr>
      <w:r>
        <w:rPr>
          <w:rFonts w:ascii="Calibri" w:hAnsi="Calibri" w:cs="Calibri"/>
          <w:b/>
          <w:bCs/>
        </w:rPr>
        <w:br w:type="page"/>
      </w:r>
    </w:p>
    <w:p w14:paraId="1F3E56BD" w14:textId="1D49F7FB" w:rsidR="0030493F" w:rsidRPr="0030493F" w:rsidRDefault="0030493F" w:rsidP="0030493F">
      <w:pPr>
        <w:pStyle w:val="Heading1"/>
        <w:rPr>
          <w:rFonts w:ascii="Calibri" w:hAnsi="Calibri" w:cs="Calibri"/>
          <w:b/>
          <w:bCs/>
          <w:color w:val="000000" w:themeColor="text1"/>
        </w:rPr>
      </w:pPr>
      <w:bookmarkStart w:id="0" w:name="_Toc164019903"/>
      <w:r w:rsidRPr="0030493F">
        <w:rPr>
          <w:rFonts w:ascii="Calibri" w:hAnsi="Calibri" w:cs="Calibri"/>
          <w:b/>
          <w:bCs/>
          <w:color w:val="000000" w:themeColor="text1"/>
        </w:rPr>
        <w:lastRenderedPageBreak/>
        <w:t>Assignment Title</w:t>
      </w:r>
      <w:bookmarkEnd w:id="0"/>
    </w:p>
    <w:p w14:paraId="65621532" w14:textId="77777777" w:rsidR="0030493F" w:rsidRDefault="0030493F">
      <w:pPr>
        <w:rPr>
          <w:rFonts w:ascii="Calibri" w:hAnsi="Calibri" w:cs="Calibri"/>
          <w:b/>
          <w:bCs/>
        </w:rPr>
      </w:pPr>
    </w:p>
    <w:p w14:paraId="4F5F3270" w14:textId="77777777" w:rsidR="0030493F" w:rsidRDefault="0030493F" w:rsidP="008D32B1">
      <w:pPr>
        <w:jc w:val="center"/>
        <w:rPr>
          <w:rFonts w:ascii="Calibri" w:hAnsi="Calibri" w:cs="Calibri"/>
          <w:b/>
          <w:bCs/>
        </w:rPr>
      </w:pPr>
    </w:p>
    <w:p w14:paraId="4A45099D" w14:textId="43C0E474" w:rsidR="00F61A0A" w:rsidRPr="001700D8" w:rsidRDefault="00F61A0A" w:rsidP="001700D8">
      <w:pPr>
        <w:pStyle w:val="NormalWeb"/>
        <w:jc w:val="center"/>
        <w:rPr>
          <w:b/>
          <w:bCs/>
          <w:sz w:val="32"/>
          <w:szCs w:val="32"/>
        </w:rPr>
      </w:pPr>
      <w:r w:rsidRPr="001700D8">
        <w:rPr>
          <w:rFonts w:ascii="Calibri" w:hAnsi="Calibri" w:cs="Calibri"/>
          <w:b/>
          <w:bCs/>
          <w:sz w:val="32"/>
          <w:szCs w:val="32"/>
        </w:rPr>
        <w:t>Critically reflect on your progress in planning, preparing and teaching lessons that incorporate specific pedagogical principles. (This evidence should be taken from you</w:t>
      </w:r>
      <w:r w:rsidR="009C7816">
        <w:rPr>
          <w:rFonts w:ascii="Calibri" w:hAnsi="Calibri" w:cs="Calibri"/>
          <w:b/>
          <w:bCs/>
          <w:sz w:val="32"/>
          <w:szCs w:val="32"/>
        </w:rPr>
        <w:t>r</w:t>
      </w:r>
      <w:r w:rsidRPr="001700D8">
        <w:rPr>
          <w:rFonts w:ascii="Calibri" w:hAnsi="Calibri" w:cs="Calibri"/>
          <w:b/>
          <w:bCs/>
          <w:sz w:val="32"/>
          <w:szCs w:val="32"/>
        </w:rPr>
        <w:t xml:space="preserve"> Professional Learning Passport – PLP.) Identify up to three of these pedagogical principles as an area for development and justify the next steps in your development.</w:t>
      </w:r>
    </w:p>
    <w:p w14:paraId="43B89BC8" w14:textId="77777777" w:rsidR="0030493F" w:rsidRDefault="0030493F">
      <w:pPr>
        <w:rPr>
          <w:rFonts w:ascii="Calibri" w:hAnsi="Calibri" w:cs="Calibri"/>
          <w:b/>
          <w:bCs/>
        </w:rPr>
      </w:pPr>
      <w:r>
        <w:rPr>
          <w:rFonts w:ascii="Calibri" w:hAnsi="Calibri" w:cs="Calibri"/>
          <w:b/>
          <w:bCs/>
        </w:rPr>
        <w:br w:type="page"/>
      </w:r>
    </w:p>
    <w:p w14:paraId="5CD09D7D" w14:textId="4DC6E975" w:rsidR="000F43B6" w:rsidRPr="001700D8" w:rsidRDefault="0030493F" w:rsidP="0030493F">
      <w:pPr>
        <w:pStyle w:val="Heading1"/>
        <w:rPr>
          <w:rFonts w:ascii="Calibri" w:hAnsi="Calibri" w:cs="Calibri"/>
          <w:b/>
          <w:bCs/>
          <w:color w:val="000000" w:themeColor="text1"/>
          <w:u w:val="single"/>
        </w:rPr>
      </w:pPr>
      <w:bookmarkStart w:id="1" w:name="_Toc164019904"/>
      <w:r w:rsidRPr="001700D8">
        <w:rPr>
          <w:rFonts w:ascii="Calibri" w:hAnsi="Calibri" w:cs="Calibri"/>
          <w:b/>
          <w:bCs/>
          <w:color w:val="000000" w:themeColor="text1"/>
          <w:u w:val="single"/>
        </w:rPr>
        <w:lastRenderedPageBreak/>
        <w:t>Part 1</w:t>
      </w:r>
      <w:bookmarkEnd w:id="1"/>
    </w:p>
    <w:p w14:paraId="0A71D86F" w14:textId="77777777" w:rsidR="008D32B1" w:rsidRPr="008D32B1" w:rsidRDefault="008D32B1">
      <w:pPr>
        <w:rPr>
          <w:rFonts w:ascii="Calibri" w:hAnsi="Calibri" w:cs="Calibri"/>
          <w:b/>
          <w:bCs/>
        </w:rPr>
      </w:pPr>
    </w:p>
    <w:tbl>
      <w:tblPr>
        <w:tblStyle w:val="TableGrid"/>
        <w:tblW w:w="11057" w:type="dxa"/>
        <w:tblInd w:w="-1139" w:type="dxa"/>
        <w:tblLook w:val="04A0" w:firstRow="1" w:lastRow="0" w:firstColumn="1" w:lastColumn="0" w:noHBand="0" w:noVBand="1"/>
      </w:tblPr>
      <w:tblGrid>
        <w:gridCol w:w="1985"/>
        <w:gridCol w:w="9072"/>
      </w:tblGrid>
      <w:tr w:rsidR="008D32B1" w:rsidRPr="008D32B1" w14:paraId="7B857A24" w14:textId="77777777" w:rsidTr="00A96279">
        <w:tc>
          <w:tcPr>
            <w:tcW w:w="1985" w:type="dxa"/>
          </w:tcPr>
          <w:p w14:paraId="78C1C217" w14:textId="418F879D" w:rsidR="008D32B1" w:rsidRPr="008D32B1" w:rsidRDefault="008D32B1" w:rsidP="008D32B1">
            <w:pPr>
              <w:jc w:val="center"/>
              <w:rPr>
                <w:rFonts w:ascii="Calibri" w:hAnsi="Calibri" w:cs="Calibri"/>
                <w:b/>
                <w:bCs/>
                <w:color w:val="0070C0"/>
              </w:rPr>
            </w:pPr>
            <w:r w:rsidRPr="008D32B1">
              <w:rPr>
                <w:rFonts w:ascii="Calibri" w:hAnsi="Calibri" w:cs="Calibri"/>
                <w:b/>
                <w:bCs/>
                <w:color w:val="0070C0"/>
              </w:rPr>
              <w:t>Professional Experience Template 1</w:t>
            </w:r>
          </w:p>
        </w:tc>
        <w:tc>
          <w:tcPr>
            <w:tcW w:w="9072" w:type="dxa"/>
          </w:tcPr>
          <w:p w14:paraId="6AB6BC9C" w14:textId="77777777" w:rsidR="00841EB9" w:rsidRDefault="00841EB9" w:rsidP="00841EB9">
            <w:pPr>
              <w:jc w:val="center"/>
              <w:rPr>
                <w:rFonts w:ascii="Calibri" w:hAnsi="Calibri" w:cs="Calibri"/>
                <w:b/>
                <w:bCs/>
              </w:rPr>
            </w:pPr>
          </w:p>
          <w:p w14:paraId="3C3FED75" w14:textId="647EACC4" w:rsidR="008D32B1" w:rsidRPr="008D32B1" w:rsidRDefault="008D32B1" w:rsidP="00841EB9">
            <w:pPr>
              <w:jc w:val="center"/>
              <w:rPr>
                <w:rFonts w:ascii="Calibri" w:hAnsi="Calibri" w:cs="Calibri"/>
                <w:b/>
                <w:bCs/>
              </w:rPr>
            </w:pPr>
            <w:r>
              <w:rPr>
                <w:rFonts w:ascii="Calibri" w:hAnsi="Calibri" w:cs="Calibri"/>
                <w:b/>
                <w:bCs/>
              </w:rPr>
              <w:t>Maths (Subtraction)</w:t>
            </w:r>
          </w:p>
        </w:tc>
      </w:tr>
      <w:tr w:rsidR="008D32B1" w:rsidRPr="008D32B1" w14:paraId="1CE86114" w14:textId="77777777" w:rsidTr="00A96279">
        <w:tc>
          <w:tcPr>
            <w:tcW w:w="1985" w:type="dxa"/>
          </w:tcPr>
          <w:p w14:paraId="4AABB2B6" w14:textId="1460A0BD" w:rsidR="008D32B1" w:rsidRPr="008D32B1" w:rsidRDefault="008D32B1" w:rsidP="008D32B1">
            <w:pPr>
              <w:jc w:val="center"/>
              <w:rPr>
                <w:rFonts w:ascii="Calibri" w:hAnsi="Calibri" w:cs="Calibri"/>
                <w:b/>
                <w:bCs/>
                <w:color w:val="0070C0"/>
              </w:rPr>
            </w:pPr>
            <w:r w:rsidRPr="008D32B1">
              <w:rPr>
                <w:rFonts w:ascii="Calibri" w:hAnsi="Calibri" w:cs="Calibri"/>
                <w:b/>
                <w:bCs/>
                <w:color w:val="0070C0"/>
              </w:rPr>
              <w:t>Pedagogy Standard</w:t>
            </w:r>
          </w:p>
        </w:tc>
        <w:tc>
          <w:tcPr>
            <w:tcW w:w="9072" w:type="dxa"/>
          </w:tcPr>
          <w:p w14:paraId="37F3BEB8" w14:textId="2C2BD5B3" w:rsidR="008D32B1" w:rsidRPr="0030493F" w:rsidRDefault="00B76336" w:rsidP="0030493F">
            <w:pPr>
              <w:pStyle w:val="Heading2"/>
              <w:jc w:val="center"/>
              <w:rPr>
                <w:rFonts w:ascii="Calibri" w:hAnsi="Calibri" w:cs="Calibri"/>
                <w:b/>
                <w:bCs/>
                <w:sz w:val="24"/>
                <w:szCs w:val="24"/>
              </w:rPr>
            </w:pPr>
            <w:bookmarkStart w:id="2" w:name="_Toc164019905"/>
            <w:r w:rsidRPr="0030493F">
              <w:rPr>
                <w:rFonts w:ascii="Calibri" w:hAnsi="Calibri" w:cs="Calibri"/>
                <w:b/>
                <w:bCs/>
                <w:color w:val="000000" w:themeColor="text1"/>
                <w:sz w:val="24"/>
                <w:szCs w:val="24"/>
              </w:rPr>
              <w:t xml:space="preserve">Using </w:t>
            </w:r>
            <w:r w:rsidR="008D32B1" w:rsidRPr="0030493F">
              <w:rPr>
                <w:rFonts w:ascii="Calibri" w:hAnsi="Calibri" w:cs="Calibri"/>
                <w:b/>
                <w:bCs/>
                <w:color w:val="000000" w:themeColor="text1"/>
                <w:sz w:val="24"/>
                <w:szCs w:val="24"/>
              </w:rPr>
              <w:t>Assessment for Learning</w:t>
            </w:r>
            <w:r w:rsidRPr="0030493F">
              <w:rPr>
                <w:rFonts w:ascii="Calibri" w:hAnsi="Calibri" w:cs="Calibri"/>
                <w:b/>
                <w:bCs/>
                <w:color w:val="000000" w:themeColor="text1"/>
                <w:sz w:val="24"/>
                <w:szCs w:val="24"/>
              </w:rPr>
              <w:t xml:space="preserve"> to accelerate progress</w:t>
            </w:r>
            <w:bookmarkEnd w:id="2"/>
          </w:p>
        </w:tc>
      </w:tr>
      <w:tr w:rsidR="008D32B1" w:rsidRPr="008D32B1" w14:paraId="337F915E" w14:textId="77777777" w:rsidTr="00A96279">
        <w:tc>
          <w:tcPr>
            <w:tcW w:w="1985" w:type="dxa"/>
          </w:tcPr>
          <w:p w14:paraId="19E0F3A4" w14:textId="0F6FC160" w:rsidR="008D32B1" w:rsidRPr="008D32B1" w:rsidRDefault="008D32B1" w:rsidP="008D32B1">
            <w:pPr>
              <w:jc w:val="center"/>
              <w:rPr>
                <w:rFonts w:ascii="Calibri" w:hAnsi="Calibri" w:cs="Calibri"/>
                <w:b/>
                <w:bCs/>
                <w:color w:val="0070C0"/>
              </w:rPr>
            </w:pPr>
            <w:r w:rsidRPr="008D32B1">
              <w:rPr>
                <w:rFonts w:ascii="Calibri" w:hAnsi="Calibri" w:cs="Calibri"/>
                <w:b/>
                <w:bCs/>
                <w:color w:val="0070C0"/>
              </w:rPr>
              <w:t>What did you do and why?</w:t>
            </w:r>
          </w:p>
        </w:tc>
        <w:tc>
          <w:tcPr>
            <w:tcW w:w="9072" w:type="dxa"/>
          </w:tcPr>
          <w:p w14:paraId="6E0D0CD5" w14:textId="77777777" w:rsidR="008D32B1" w:rsidRDefault="008D32B1" w:rsidP="008D32B1">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14"/>
                <w:szCs w:val="14"/>
              </w:rPr>
              <w:t> </w:t>
            </w:r>
          </w:p>
          <w:p w14:paraId="65EF96F8" w14:textId="7659689E" w:rsidR="008D32B1" w:rsidRPr="008D32B1" w:rsidRDefault="008D32B1" w:rsidP="008D32B1">
            <w:pPr>
              <w:pStyle w:val="paragraph"/>
              <w:spacing w:before="0" w:beforeAutospacing="0" w:after="0" w:afterAutospacing="0"/>
              <w:textAlignment w:val="baseline"/>
              <w:rPr>
                <w:rFonts w:ascii="Calibri" w:hAnsi="Calibri" w:cs="Calibri"/>
                <w:b/>
                <w:bCs/>
              </w:rPr>
            </w:pPr>
            <w:r w:rsidRPr="00757A5B">
              <w:rPr>
                <w:rStyle w:val="normaltextrun"/>
                <w:rFonts w:ascii="Calibri" w:eastAsiaTheme="majorEastAsia" w:hAnsi="Calibri" w:cs="Calibri"/>
                <w:sz w:val="22"/>
                <w:szCs w:val="22"/>
              </w:rPr>
              <w:t>Following the White Rose Maths scheme of work, the pupil's topic for the first 6 weeks of the Spring term was subtraction. The pupils focused on subtracting single digits numbers, 2 digit numbers and three-digit numbers from a range of numbers over the term. The pupils built upon the knowledge they had already used when subtracting numbers and learnt new methods using apparatus to support their learning.</w:t>
            </w:r>
            <w:r w:rsidRPr="00757A5B">
              <w:rPr>
                <w:rStyle w:val="eop"/>
                <w:rFonts w:ascii="Calibri" w:eastAsiaTheme="majorEastAsia" w:hAnsi="Calibri" w:cs="Calibri"/>
                <w:sz w:val="22"/>
                <w:szCs w:val="22"/>
              </w:rPr>
              <w:t> </w:t>
            </w:r>
          </w:p>
        </w:tc>
      </w:tr>
      <w:tr w:rsidR="008D32B1" w:rsidRPr="008D32B1" w14:paraId="68930709" w14:textId="77777777" w:rsidTr="00A96279">
        <w:tc>
          <w:tcPr>
            <w:tcW w:w="1985" w:type="dxa"/>
          </w:tcPr>
          <w:p w14:paraId="3FF8A4DB" w14:textId="17739F16" w:rsidR="008D32B1" w:rsidRPr="008D32B1" w:rsidRDefault="008D32B1" w:rsidP="008D32B1">
            <w:pPr>
              <w:jc w:val="center"/>
              <w:rPr>
                <w:rFonts w:ascii="Calibri" w:hAnsi="Calibri" w:cs="Calibri"/>
                <w:b/>
                <w:bCs/>
                <w:color w:val="0070C0"/>
              </w:rPr>
            </w:pPr>
            <w:r w:rsidRPr="008D32B1">
              <w:rPr>
                <w:rFonts w:ascii="Calibri" w:hAnsi="Calibri" w:cs="Calibri"/>
                <w:b/>
                <w:bCs/>
                <w:color w:val="0070C0"/>
              </w:rPr>
              <w:t>What have you learnt?</w:t>
            </w:r>
          </w:p>
        </w:tc>
        <w:tc>
          <w:tcPr>
            <w:tcW w:w="9072" w:type="dxa"/>
          </w:tcPr>
          <w:p w14:paraId="098D91EC"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1723CC99" w14:textId="77777777" w:rsidR="008D32B1" w:rsidRPr="008D32B1" w:rsidRDefault="008D32B1" w:rsidP="008D32B1">
            <w:pPr>
              <w:pStyle w:val="paragraph"/>
              <w:spacing w:before="0" w:beforeAutospacing="0" w:after="0" w:afterAutospacing="0"/>
              <w:ind w:left="-30" w:right="-30"/>
              <w:textAlignment w:val="baseline"/>
              <w:rPr>
                <w:rFonts w:ascii="Calibri" w:hAnsi="Calibri" w:cs="Calibri"/>
                <w:sz w:val="22"/>
                <w:szCs w:val="22"/>
              </w:rPr>
            </w:pPr>
            <w:r w:rsidRPr="008D32B1">
              <w:rPr>
                <w:rStyle w:val="normaltextrun"/>
                <w:rFonts w:ascii="Calibri" w:eastAsiaTheme="majorEastAsia" w:hAnsi="Calibri" w:cs="Calibri"/>
                <w:color w:val="000000"/>
                <w:sz w:val="22"/>
                <w:szCs w:val="22"/>
              </w:rPr>
              <w:t xml:space="preserve">This teaching and learning experience was relevant to my progressive practice. It relates to the following professional standards: </w:t>
            </w:r>
            <w:r w:rsidRPr="008D32B1">
              <w:rPr>
                <w:rStyle w:val="normaltextrun"/>
                <w:rFonts w:ascii="Calibri" w:eastAsiaTheme="majorEastAsia" w:hAnsi="Calibri" w:cs="Calibri"/>
                <w:b/>
                <w:bCs/>
                <w:i/>
                <w:iCs/>
                <w:color w:val="000000"/>
                <w:sz w:val="22"/>
                <w:szCs w:val="22"/>
              </w:rPr>
              <w:t>assessment</w:t>
            </w:r>
            <w:r w:rsidRPr="008D32B1">
              <w:rPr>
                <w:rStyle w:val="normaltextrun"/>
                <w:rFonts w:ascii="Calibri" w:eastAsiaTheme="majorEastAsia" w:hAnsi="Calibri" w:cs="Calibri"/>
                <w:color w:val="000000"/>
                <w:sz w:val="22"/>
                <w:szCs w:val="22"/>
              </w:rPr>
              <w:t xml:space="preserve">, </w:t>
            </w:r>
            <w:r w:rsidRPr="008D32B1">
              <w:rPr>
                <w:rStyle w:val="normaltextrun"/>
                <w:rFonts w:ascii="Calibri" w:eastAsiaTheme="majorEastAsia" w:hAnsi="Calibri" w:cs="Calibri"/>
                <w:b/>
                <w:bCs/>
                <w:i/>
                <w:iCs/>
                <w:color w:val="000000"/>
                <w:sz w:val="22"/>
                <w:szCs w:val="22"/>
              </w:rPr>
              <w:t>working with in-school colleagues</w:t>
            </w:r>
            <w:r w:rsidRPr="008D32B1">
              <w:rPr>
                <w:rStyle w:val="normaltextrun"/>
                <w:rFonts w:ascii="Calibri" w:eastAsiaTheme="majorEastAsia" w:hAnsi="Calibri" w:cs="Calibri"/>
                <w:color w:val="000000"/>
                <w:sz w:val="22"/>
                <w:szCs w:val="22"/>
              </w:rPr>
              <w:t xml:space="preserve"> and </w:t>
            </w:r>
            <w:r w:rsidRPr="008D32B1">
              <w:rPr>
                <w:rStyle w:val="normaltextrun"/>
                <w:rFonts w:ascii="Calibri" w:eastAsiaTheme="majorEastAsia" w:hAnsi="Calibri" w:cs="Calibri"/>
                <w:b/>
                <w:bCs/>
                <w:i/>
                <w:iCs/>
                <w:color w:val="000000"/>
                <w:sz w:val="22"/>
                <w:szCs w:val="22"/>
              </w:rPr>
              <w:t>evaluating the impact of changes in practice</w:t>
            </w:r>
            <w:r w:rsidRPr="008D32B1">
              <w:rPr>
                <w:rStyle w:val="normaltextrun"/>
                <w:rFonts w:ascii="Calibri" w:eastAsiaTheme="majorEastAsia" w:hAnsi="Calibri" w:cs="Calibri"/>
                <w:color w:val="000000"/>
                <w:sz w:val="22"/>
                <w:szCs w:val="22"/>
              </w:rPr>
              <w:t>.</w:t>
            </w:r>
            <w:r w:rsidRPr="008D32B1">
              <w:rPr>
                <w:rStyle w:val="eop"/>
                <w:rFonts w:ascii="Calibri" w:eastAsiaTheme="majorEastAsia" w:hAnsi="Calibri" w:cs="Calibri"/>
                <w:color w:val="000000"/>
                <w:sz w:val="22"/>
                <w:szCs w:val="22"/>
              </w:rPr>
              <w:t> </w:t>
            </w:r>
          </w:p>
          <w:p w14:paraId="536CD675"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116C2E48"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b/>
                <w:bCs/>
                <w:sz w:val="22"/>
                <w:szCs w:val="22"/>
                <w:u w:val="single"/>
              </w:rPr>
              <w:t>Assessment</w:t>
            </w:r>
            <w:r w:rsidRPr="008D32B1">
              <w:rPr>
                <w:rStyle w:val="eop"/>
                <w:rFonts w:ascii="Calibri" w:eastAsiaTheme="majorEastAsia" w:hAnsi="Calibri" w:cs="Calibri"/>
                <w:sz w:val="22"/>
                <w:szCs w:val="22"/>
              </w:rPr>
              <w:t> </w:t>
            </w:r>
          </w:p>
          <w:p w14:paraId="7E384995"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At the start of the term, all pupils within the Year 3 cohort were asked to complete a ‘subtraction pre-assessment'. Each pupil was given an A6 piece of paper in their maths books on a single page with 5 subtraction questions. These questions included subtracting one-digit numbers from a two-digit number (e.g. 39 - 4) and subtracting a two-digit number from a three-digit number which involved crossing over into the next 100. The pupil’s books were collected at the end of the lesson and marked, and their scores were recorded.</w:t>
            </w:r>
            <w:r w:rsidRPr="008D32B1">
              <w:rPr>
                <w:rStyle w:val="eop"/>
                <w:rFonts w:ascii="Calibri" w:eastAsiaTheme="majorEastAsia" w:hAnsi="Calibri" w:cs="Calibri"/>
                <w:sz w:val="22"/>
                <w:szCs w:val="22"/>
              </w:rPr>
              <w:t> </w:t>
            </w:r>
          </w:p>
          <w:p w14:paraId="506BD9A1"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5488E31C" w14:textId="7FB6E3A6"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 xml:space="preserve">The two year 3 teachers joined together at lunchtime to discuss the scores that the pupils had </w:t>
            </w:r>
            <w:r w:rsidRPr="00D909C2">
              <w:rPr>
                <w:rStyle w:val="normaltextrun"/>
                <w:rFonts w:ascii="Calibri" w:eastAsiaTheme="majorEastAsia" w:hAnsi="Calibri" w:cs="Calibri"/>
                <w:sz w:val="22"/>
                <w:szCs w:val="22"/>
              </w:rPr>
              <w:t xml:space="preserve">achieved. </w:t>
            </w:r>
            <w:r w:rsidR="003D59DE" w:rsidRPr="00D909C2">
              <w:rPr>
                <w:rStyle w:val="normaltextrun"/>
                <w:rFonts w:ascii="Calibri" w:eastAsiaTheme="majorEastAsia" w:hAnsi="Calibri" w:cs="Calibri"/>
                <w:sz w:val="22"/>
                <w:szCs w:val="22"/>
              </w:rPr>
              <w:t>T</w:t>
            </w:r>
            <w:r w:rsidRPr="00D909C2">
              <w:rPr>
                <w:rStyle w:val="normaltextrun"/>
                <w:rFonts w:ascii="Calibri" w:eastAsiaTheme="majorEastAsia" w:hAnsi="Calibri" w:cs="Calibri"/>
                <w:sz w:val="22"/>
                <w:szCs w:val="22"/>
              </w:rPr>
              <w:t>he pupil’s scores determined which class they would go into.</w:t>
            </w:r>
            <w:r w:rsidRPr="008D32B1">
              <w:rPr>
                <w:rStyle w:val="normaltextrun"/>
                <w:rFonts w:ascii="Calibri" w:eastAsiaTheme="majorEastAsia" w:hAnsi="Calibri" w:cs="Calibri"/>
                <w:sz w:val="22"/>
                <w:szCs w:val="22"/>
              </w:rPr>
              <w:t xml:space="preserve"> One class was for the pupils who were more confident with subtraction compared to the other which was for pupils who weren't as confident. My class mentor explained that it may be the case that pupils from the other group move up to our class or the other way around based on continually monitoring the pupil’s work and confidence of subtraction.</w:t>
            </w:r>
            <w:r w:rsidRPr="008D32B1">
              <w:rPr>
                <w:rStyle w:val="eop"/>
                <w:rFonts w:ascii="Calibri" w:eastAsiaTheme="majorEastAsia" w:hAnsi="Calibri" w:cs="Calibri"/>
                <w:sz w:val="22"/>
                <w:szCs w:val="22"/>
              </w:rPr>
              <w:t> </w:t>
            </w:r>
          </w:p>
          <w:p w14:paraId="227D790C"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42998CF6"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Just before the school broke up for February half term, the pupils were asked to complete a ‘subtraction post-assessment'. Again, the pupils were given an A6 piece of paper however this time on a double page with 5 questions they needed to answer. The answers had increased in difficulty asking the pupils to take single, double and triple number digits all away from three-digit numbers (e.g. 139 – 4 or 536 – 125). The pupils were asked to show their workings out using all the methods they had been taught over the term selecting the most appropriate one to help them.</w:t>
            </w:r>
            <w:r w:rsidRPr="008D32B1">
              <w:rPr>
                <w:rStyle w:val="eop"/>
                <w:rFonts w:ascii="Calibri" w:eastAsiaTheme="majorEastAsia" w:hAnsi="Calibri" w:cs="Calibri"/>
                <w:sz w:val="22"/>
                <w:szCs w:val="22"/>
              </w:rPr>
              <w:t> </w:t>
            </w:r>
          </w:p>
          <w:p w14:paraId="17C19DC6"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79CE77B0"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By using pre-assessment and post-assessment data together, educators can gain a comprehensive understanding of pupil’s progression in learning. The pre-assessment establishes a starting point and informs instructional decisions, while post-assessment measures growth and provides valuable feedback for ongoing improvement.</w:t>
            </w:r>
            <w:r w:rsidRPr="008D32B1">
              <w:rPr>
                <w:rStyle w:val="eop"/>
                <w:rFonts w:ascii="Calibri" w:eastAsiaTheme="majorEastAsia" w:hAnsi="Calibri" w:cs="Calibri"/>
                <w:sz w:val="22"/>
                <w:szCs w:val="22"/>
              </w:rPr>
              <w:t> </w:t>
            </w:r>
          </w:p>
          <w:p w14:paraId="00D29513"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29ADB03A"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b/>
                <w:bCs/>
                <w:sz w:val="22"/>
                <w:szCs w:val="22"/>
                <w:u w:val="single"/>
              </w:rPr>
              <w:t>Working with in-school colleagues</w:t>
            </w:r>
            <w:r w:rsidRPr="008D32B1">
              <w:rPr>
                <w:rStyle w:val="eop"/>
                <w:rFonts w:ascii="Calibri" w:eastAsiaTheme="majorEastAsia" w:hAnsi="Calibri" w:cs="Calibri"/>
                <w:sz w:val="22"/>
                <w:szCs w:val="22"/>
              </w:rPr>
              <w:t> </w:t>
            </w:r>
          </w:p>
          <w:p w14:paraId="074E6F00"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67050E61" w14:textId="5C011CB0"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 xml:space="preserve">I </w:t>
            </w:r>
            <w:r w:rsidRPr="00D909C2">
              <w:rPr>
                <w:rStyle w:val="normaltextrun"/>
                <w:rFonts w:ascii="Calibri" w:eastAsiaTheme="majorEastAsia" w:hAnsi="Calibri" w:cs="Calibri"/>
                <w:sz w:val="22"/>
                <w:szCs w:val="22"/>
              </w:rPr>
              <w:t xml:space="preserve">spent </w:t>
            </w:r>
            <w:r w:rsidR="00D83DAB" w:rsidRPr="00D909C2">
              <w:rPr>
                <w:rStyle w:val="normaltextrun"/>
                <w:rFonts w:ascii="Calibri" w:eastAsiaTheme="majorEastAsia" w:hAnsi="Calibri" w:cs="Calibri"/>
                <w:sz w:val="22"/>
                <w:szCs w:val="22"/>
              </w:rPr>
              <w:t>the first two weeks of term</w:t>
            </w:r>
            <w:r w:rsidR="00D83DAB" w:rsidRPr="008D32B1">
              <w:rPr>
                <w:rStyle w:val="normaltextrun"/>
                <w:rFonts w:ascii="Calibri" w:eastAsiaTheme="majorEastAsia" w:hAnsi="Calibri" w:cs="Calibri"/>
                <w:sz w:val="22"/>
                <w:szCs w:val="22"/>
              </w:rPr>
              <w:t xml:space="preserve"> </w:t>
            </w:r>
            <w:r w:rsidRPr="008D32B1">
              <w:rPr>
                <w:rStyle w:val="normaltextrun"/>
                <w:rFonts w:ascii="Calibri" w:eastAsiaTheme="majorEastAsia" w:hAnsi="Calibri" w:cs="Calibri"/>
                <w:sz w:val="22"/>
                <w:szCs w:val="22"/>
              </w:rPr>
              <w:t>observing how maths lessons were taught. I would ‘helicopter’ around the classroom and ‘refuel’ (help) with pupils when necessary. </w:t>
            </w:r>
            <w:r w:rsidRPr="008D32B1">
              <w:rPr>
                <w:rStyle w:val="eop"/>
                <w:rFonts w:ascii="Calibri" w:eastAsiaTheme="majorEastAsia" w:hAnsi="Calibri" w:cs="Calibri"/>
                <w:sz w:val="22"/>
                <w:szCs w:val="22"/>
              </w:rPr>
              <w:t> </w:t>
            </w:r>
          </w:p>
          <w:p w14:paraId="48058A59" w14:textId="31B680E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lastRenderedPageBreak/>
              <w:t xml:space="preserve">Based on observations and conversations between me and my class </w:t>
            </w:r>
            <w:r w:rsidRPr="00D909C2">
              <w:rPr>
                <w:rStyle w:val="normaltextrun"/>
                <w:rFonts w:ascii="Calibri" w:eastAsiaTheme="majorEastAsia" w:hAnsi="Calibri" w:cs="Calibri"/>
                <w:sz w:val="22"/>
                <w:szCs w:val="22"/>
              </w:rPr>
              <w:t>mentor I noticed that</w:t>
            </w:r>
            <w:r w:rsidRPr="008D32B1">
              <w:rPr>
                <w:rStyle w:val="normaltextrun"/>
                <w:rFonts w:ascii="Calibri" w:eastAsiaTheme="majorEastAsia" w:hAnsi="Calibri" w:cs="Calibri"/>
                <w:sz w:val="22"/>
                <w:szCs w:val="22"/>
              </w:rPr>
              <w:t xml:space="preserve"> the same group of pupils were getting stuck on the questions given to them in lessons. My class mentor agreed and said that she had also seen this whilst marking their work.</w:t>
            </w:r>
            <w:r w:rsidRPr="008D32B1">
              <w:rPr>
                <w:rStyle w:val="eop"/>
                <w:rFonts w:ascii="Calibri" w:eastAsiaTheme="majorEastAsia" w:hAnsi="Calibri" w:cs="Calibri"/>
                <w:sz w:val="22"/>
                <w:szCs w:val="22"/>
              </w:rPr>
              <w:t> </w:t>
            </w:r>
          </w:p>
          <w:p w14:paraId="1799582B"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From this, my class mentor suggested I have a small focus group in which I support to complete their classwork.</w:t>
            </w:r>
            <w:r w:rsidRPr="008D32B1">
              <w:rPr>
                <w:rStyle w:val="eop"/>
                <w:rFonts w:ascii="Calibri" w:eastAsiaTheme="majorEastAsia" w:hAnsi="Calibri" w:cs="Calibri"/>
                <w:sz w:val="22"/>
                <w:szCs w:val="22"/>
              </w:rPr>
              <w:t> </w:t>
            </w:r>
          </w:p>
          <w:p w14:paraId="70D8294F"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2FB5A4AD"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At the end of each lesson, I would mark my focus group’s class work to gain an understanding of how they understood today’s lesson. I would then go on to communicate this with my class mentor, so she too understood where the pupils were at and if there needed to be a change to support them in the next lesson.</w:t>
            </w:r>
            <w:r w:rsidRPr="008D32B1">
              <w:rPr>
                <w:rStyle w:val="eop"/>
                <w:rFonts w:ascii="Calibri" w:eastAsiaTheme="majorEastAsia" w:hAnsi="Calibri" w:cs="Calibri"/>
                <w:sz w:val="22"/>
                <w:szCs w:val="22"/>
              </w:rPr>
              <w:t> </w:t>
            </w:r>
          </w:p>
          <w:p w14:paraId="667B46C1"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22564603"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The other year 3 teacher had observed me working with my focus group and asked if I could explain to the year group’s LSO (shared between both classes) what it was that I did. I sat down with the LSO one lunchtime explaining how I used the apparatus and how to use the app ‘Good Notes 5’ to work through the questions as a group. The LSO went to the classroom next door and worked with her own focus group supporting them to complete the questions each lesson.</w:t>
            </w:r>
            <w:r w:rsidRPr="008D32B1">
              <w:rPr>
                <w:rStyle w:val="eop"/>
                <w:rFonts w:ascii="Calibri" w:eastAsiaTheme="majorEastAsia" w:hAnsi="Calibri" w:cs="Calibri"/>
                <w:sz w:val="22"/>
                <w:szCs w:val="22"/>
              </w:rPr>
              <w:t> </w:t>
            </w:r>
          </w:p>
          <w:p w14:paraId="62C8AA25"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47342B1A"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b/>
                <w:bCs/>
                <w:sz w:val="22"/>
                <w:szCs w:val="22"/>
                <w:u w:val="single"/>
              </w:rPr>
              <w:t>Evaluating the impact of changes in practice</w:t>
            </w:r>
            <w:r w:rsidRPr="008D32B1">
              <w:rPr>
                <w:rStyle w:val="eop"/>
                <w:rFonts w:ascii="Calibri" w:eastAsiaTheme="majorEastAsia" w:hAnsi="Calibri" w:cs="Calibri"/>
                <w:sz w:val="22"/>
                <w:szCs w:val="22"/>
              </w:rPr>
              <w:t> </w:t>
            </w:r>
          </w:p>
          <w:p w14:paraId="3766603C"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The goal of evaluating the impact of changes in practice is to inform decision-making, refine strategies, and ensure that the implemented changes align with the overall objectives and goals of the organisation or system. It helps in identifying successful practices to be continued, modifying ineffective strategies, and guiding future improvements.</w:t>
            </w:r>
            <w:r w:rsidRPr="008D32B1">
              <w:rPr>
                <w:rStyle w:val="eop"/>
                <w:rFonts w:ascii="Calibri" w:eastAsiaTheme="majorEastAsia" w:hAnsi="Calibri" w:cs="Calibri"/>
                <w:sz w:val="22"/>
                <w:szCs w:val="22"/>
              </w:rPr>
              <w:t> </w:t>
            </w:r>
          </w:p>
          <w:p w14:paraId="6D86A4D4"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616E3A59" w14:textId="6AD2EE5D"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 xml:space="preserve">As previously mentioned, the pupils all took part in a pre-and post-assessment for subtraction. The scores from the post-assessment </w:t>
            </w:r>
            <w:r w:rsidR="00D83DAB" w:rsidRPr="00D909C2">
              <w:rPr>
                <w:rStyle w:val="normaltextrun"/>
                <w:rFonts w:ascii="Calibri" w:eastAsiaTheme="majorEastAsia" w:hAnsi="Calibri" w:cs="Calibri"/>
                <w:sz w:val="22"/>
                <w:szCs w:val="22"/>
              </w:rPr>
              <w:t>were</w:t>
            </w:r>
            <w:r w:rsidRPr="00D909C2">
              <w:rPr>
                <w:rStyle w:val="normaltextrun"/>
                <w:rFonts w:ascii="Calibri" w:eastAsiaTheme="majorEastAsia" w:hAnsi="Calibri" w:cs="Calibri"/>
                <w:sz w:val="22"/>
                <w:szCs w:val="22"/>
              </w:rPr>
              <w:t xml:space="preserve"> compared</w:t>
            </w:r>
            <w:r w:rsidRPr="008D32B1">
              <w:rPr>
                <w:rStyle w:val="normaltextrun"/>
                <w:rFonts w:ascii="Calibri" w:eastAsiaTheme="majorEastAsia" w:hAnsi="Calibri" w:cs="Calibri"/>
                <w:sz w:val="22"/>
                <w:szCs w:val="22"/>
              </w:rPr>
              <w:t xml:space="preserve"> to the pre-assessment to see the improvement the pupils had made. The pupils were also asked 1-1 to complete a questionnaire on the online platform Seesaw to rate their confidence with subtraction at the start of the topic and again at the end of the topic. Collecting this data can show how effective the teaching is and if there are any pupils that need to be supported more in future lessons.</w:t>
            </w:r>
            <w:r w:rsidRPr="008D32B1">
              <w:rPr>
                <w:rStyle w:val="eop"/>
                <w:rFonts w:ascii="Calibri" w:eastAsiaTheme="majorEastAsia" w:hAnsi="Calibri" w:cs="Calibri"/>
                <w:sz w:val="22"/>
                <w:szCs w:val="22"/>
              </w:rPr>
              <w:t> </w:t>
            </w:r>
          </w:p>
          <w:p w14:paraId="5CC1405F" w14:textId="77777777"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eop"/>
                <w:rFonts w:ascii="Calibri" w:eastAsiaTheme="majorEastAsia" w:hAnsi="Calibri" w:cs="Calibri"/>
                <w:sz w:val="22"/>
                <w:szCs w:val="22"/>
              </w:rPr>
              <w:t> </w:t>
            </w:r>
          </w:p>
          <w:p w14:paraId="40D93A01" w14:textId="7430FECA" w:rsidR="008D32B1" w:rsidRPr="008D32B1" w:rsidRDefault="008D32B1" w:rsidP="008D32B1">
            <w:pPr>
              <w:pStyle w:val="paragraph"/>
              <w:spacing w:before="0" w:beforeAutospacing="0" w:after="0" w:afterAutospacing="0"/>
              <w:textAlignment w:val="baseline"/>
              <w:rPr>
                <w:rFonts w:ascii="Calibri" w:hAnsi="Calibri" w:cs="Calibri"/>
                <w:sz w:val="22"/>
                <w:szCs w:val="22"/>
              </w:rPr>
            </w:pPr>
            <w:r w:rsidRPr="008D32B1">
              <w:rPr>
                <w:rStyle w:val="normaltextrun"/>
                <w:rFonts w:ascii="Calibri" w:eastAsiaTheme="majorEastAsia" w:hAnsi="Calibri" w:cs="Calibri"/>
                <w:sz w:val="22"/>
                <w:szCs w:val="22"/>
              </w:rPr>
              <w:t>It was also important to evaluate having my little focus group for this term to see how effective my teaching was and if there were any specific areas I needed to work on in the future. It was evident from marking the post-assessments that the pupils had all benefitted from being in a focus group and had all improved massively compared to their pre assessments.</w:t>
            </w:r>
            <w:r w:rsidRPr="008D32B1">
              <w:rPr>
                <w:rStyle w:val="eop"/>
                <w:rFonts w:ascii="Calibri" w:eastAsiaTheme="majorEastAsia" w:hAnsi="Calibri" w:cs="Calibri"/>
                <w:sz w:val="22"/>
                <w:szCs w:val="22"/>
              </w:rPr>
              <w:t> </w:t>
            </w:r>
          </w:p>
        </w:tc>
      </w:tr>
      <w:tr w:rsidR="008D32B1" w:rsidRPr="008D32B1" w14:paraId="4CB68867" w14:textId="77777777" w:rsidTr="00A96279">
        <w:tc>
          <w:tcPr>
            <w:tcW w:w="1985" w:type="dxa"/>
          </w:tcPr>
          <w:p w14:paraId="6B81D9D4" w14:textId="0DDDFB46" w:rsidR="008D32B1" w:rsidRPr="008D32B1" w:rsidRDefault="008D32B1" w:rsidP="008D32B1">
            <w:pPr>
              <w:jc w:val="center"/>
              <w:rPr>
                <w:rFonts w:ascii="Calibri" w:hAnsi="Calibri" w:cs="Calibri"/>
                <w:b/>
                <w:bCs/>
                <w:color w:val="0070C0"/>
              </w:rPr>
            </w:pPr>
            <w:r w:rsidRPr="008D32B1">
              <w:rPr>
                <w:rFonts w:ascii="Calibri" w:hAnsi="Calibri" w:cs="Calibri"/>
                <w:b/>
                <w:bCs/>
                <w:color w:val="0070C0"/>
              </w:rPr>
              <w:t>What next?</w:t>
            </w:r>
          </w:p>
        </w:tc>
        <w:tc>
          <w:tcPr>
            <w:tcW w:w="9072" w:type="dxa"/>
          </w:tcPr>
          <w:p w14:paraId="6F8E99FE" w14:textId="146CCA58" w:rsidR="008D32B1" w:rsidRPr="008D32B1" w:rsidRDefault="008D32B1">
            <w:pPr>
              <w:rPr>
                <w:rFonts w:ascii="Calibri" w:hAnsi="Calibri" w:cs="Calibri"/>
                <w:b/>
                <w:bCs/>
                <w:sz w:val="22"/>
                <w:szCs w:val="22"/>
              </w:rPr>
            </w:pPr>
            <w:r w:rsidRPr="008D32B1">
              <w:rPr>
                <w:rStyle w:val="normaltextrun"/>
                <w:rFonts w:ascii="Calibri" w:hAnsi="Calibri" w:cs="Calibri"/>
                <w:sz w:val="22"/>
                <w:szCs w:val="22"/>
              </w:rPr>
              <w:t>I have seen first-hand how clearly progression in learning is shown through pre and post-assessments. In my future practice, I plan on using these to compare the progress the learners have made from the start to the end of the term. I believe letting the pupils have a say in their learning by using the questionnaire on Seesaw also makes them feel valued and have a say in their learning as well as indicate any problems they may have. Finally, I have experienced how beneficial it is to work with small focus groups with pupils who may need this support and have seen the improvement in their work.</w:t>
            </w:r>
            <w:r w:rsidRPr="008D32B1">
              <w:rPr>
                <w:rStyle w:val="eop"/>
                <w:rFonts w:ascii="Calibri" w:hAnsi="Calibri" w:cs="Calibri"/>
                <w:sz w:val="22"/>
                <w:szCs w:val="22"/>
              </w:rPr>
              <w:t> </w:t>
            </w:r>
          </w:p>
        </w:tc>
      </w:tr>
    </w:tbl>
    <w:p w14:paraId="37EFDBC6" w14:textId="77777777" w:rsidR="008D32B1" w:rsidRDefault="008D32B1">
      <w:pPr>
        <w:rPr>
          <w:b/>
          <w:bCs/>
        </w:rPr>
      </w:pPr>
    </w:p>
    <w:p w14:paraId="6D46CEEE" w14:textId="77777777" w:rsidR="00A96279" w:rsidRDefault="00A96279">
      <w:pPr>
        <w:rPr>
          <w:b/>
          <w:bCs/>
        </w:rPr>
      </w:pPr>
    </w:p>
    <w:p w14:paraId="149291D8" w14:textId="77777777" w:rsidR="00A96279" w:rsidRDefault="00A96279">
      <w:pPr>
        <w:rPr>
          <w:b/>
          <w:bCs/>
        </w:rPr>
      </w:pPr>
    </w:p>
    <w:p w14:paraId="352EA77C" w14:textId="77777777" w:rsidR="00A96279" w:rsidRDefault="00A96279">
      <w:pPr>
        <w:rPr>
          <w:b/>
          <w:bCs/>
        </w:rPr>
      </w:pPr>
    </w:p>
    <w:p w14:paraId="6B1C33AB" w14:textId="77777777" w:rsidR="00A96279" w:rsidRDefault="00A96279">
      <w:pPr>
        <w:rPr>
          <w:b/>
          <w:bCs/>
        </w:rPr>
      </w:pPr>
    </w:p>
    <w:p w14:paraId="2C1F67BA" w14:textId="77777777" w:rsidR="00A96279" w:rsidRDefault="00A96279">
      <w:pPr>
        <w:rPr>
          <w:b/>
          <w:bCs/>
        </w:rPr>
      </w:pPr>
    </w:p>
    <w:p w14:paraId="7A5EC442" w14:textId="77777777" w:rsidR="00A96279" w:rsidRDefault="00A96279">
      <w:pPr>
        <w:rPr>
          <w:b/>
          <w:bCs/>
        </w:rPr>
      </w:pPr>
    </w:p>
    <w:tbl>
      <w:tblPr>
        <w:tblStyle w:val="TableGrid"/>
        <w:tblW w:w="11057" w:type="dxa"/>
        <w:tblInd w:w="-1139" w:type="dxa"/>
        <w:tblLook w:val="04A0" w:firstRow="1" w:lastRow="0" w:firstColumn="1" w:lastColumn="0" w:noHBand="0" w:noVBand="1"/>
      </w:tblPr>
      <w:tblGrid>
        <w:gridCol w:w="1985"/>
        <w:gridCol w:w="9072"/>
      </w:tblGrid>
      <w:tr w:rsidR="00A96279" w:rsidRPr="008D32B1" w14:paraId="054E0B67" w14:textId="77777777" w:rsidTr="000478E2">
        <w:tc>
          <w:tcPr>
            <w:tcW w:w="1985" w:type="dxa"/>
          </w:tcPr>
          <w:p w14:paraId="2D085AC4" w14:textId="12C17C04"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lastRenderedPageBreak/>
              <w:t xml:space="preserve">Professional Experience Template </w:t>
            </w:r>
            <w:r>
              <w:rPr>
                <w:rFonts w:ascii="Calibri" w:hAnsi="Calibri" w:cs="Calibri"/>
                <w:b/>
                <w:bCs/>
                <w:color w:val="0070C0"/>
              </w:rPr>
              <w:t>2</w:t>
            </w:r>
          </w:p>
        </w:tc>
        <w:tc>
          <w:tcPr>
            <w:tcW w:w="9072" w:type="dxa"/>
          </w:tcPr>
          <w:p w14:paraId="348ECA39" w14:textId="77777777" w:rsidR="00A96279" w:rsidRDefault="00A96279" w:rsidP="000478E2">
            <w:pPr>
              <w:jc w:val="center"/>
              <w:rPr>
                <w:rFonts w:ascii="Calibri" w:hAnsi="Calibri" w:cs="Calibri"/>
                <w:b/>
                <w:bCs/>
              </w:rPr>
            </w:pPr>
          </w:p>
          <w:p w14:paraId="64F0CF50" w14:textId="7B281A3C" w:rsidR="00A96279" w:rsidRPr="008D32B1" w:rsidRDefault="005A4E34" w:rsidP="000478E2">
            <w:pPr>
              <w:jc w:val="center"/>
              <w:rPr>
                <w:rFonts w:ascii="Calibri" w:hAnsi="Calibri" w:cs="Calibri"/>
                <w:b/>
                <w:bCs/>
              </w:rPr>
            </w:pPr>
            <w:r>
              <w:rPr>
                <w:rFonts w:ascii="Calibri" w:hAnsi="Calibri" w:cs="Calibri"/>
                <w:b/>
                <w:bCs/>
              </w:rPr>
              <w:t>Eisteddfod</w:t>
            </w:r>
          </w:p>
        </w:tc>
      </w:tr>
      <w:tr w:rsidR="00A96279" w:rsidRPr="008D32B1" w14:paraId="27CB292B" w14:textId="77777777" w:rsidTr="000478E2">
        <w:tc>
          <w:tcPr>
            <w:tcW w:w="1985" w:type="dxa"/>
          </w:tcPr>
          <w:p w14:paraId="1E183201"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Pedagogy Standard</w:t>
            </w:r>
          </w:p>
        </w:tc>
        <w:tc>
          <w:tcPr>
            <w:tcW w:w="9072" w:type="dxa"/>
          </w:tcPr>
          <w:p w14:paraId="2143240F" w14:textId="112A69E6" w:rsidR="00A96279" w:rsidRPr="0030493F" w:rsidRDefault="00A5750F" w:rsidP="0030493F">
            <w:pPr>
              <w:pStyle w:val="Heading2"/>
              <w:jc w:val="center"/>
              <w:rPr>
                <w:rFonts w:ascii="Calibri" w:hAnsi="Calibri" w:cs="Calibri"/>
                <w:b/>
                <w:bCs/>
                <w:sz w:val="24"/>
                <w:szCs w:val="24"/>
              </w:rPr>
            </w:pPr>
            <w:bookmarkStart w:id="3" w:name="_Toc164019906"/>
            <w:r w:rsidRPr="0030493F">
              <w:rPr>
                <w:rFonts w:ascii="Calibri" w:hAnsi="Calibri" w:cs="Calibri"/>
                <w:b/>
                <w:bCs/>
                <w:color w:val="000000" w:themeColor="text1"/>
                <w:sz w:val="24"/>
                <w:szCs w:val="24"/>
              </w:rPr>
              <w:t>Employing a broad repertoire of teaching approaches</w:t>
            </w:r>
            <w:bookmarkEnd w:id="3"/>
          </w:p>
        </w:tc>
      </w:tr>
      <w:tr w:rsidR="00A96279" w:rsidRPr="008D32B1" w14:paraId="2E1EC8D2" w14:textId="77777777" w:rsidTr="000478E2">
        <w:tc>
          <w:tcPr>
            <w:tcW w:w="1985" w:type="dxa"/>
          </w:tcPr>
          <w:p w14:paraId="37F728AB"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What did you do and why?</w:t>
            </w:r>
          </w:p>
        </w:tc>
        <w:tc>
          <w:tcPr>
            <w:tcW w:w="9072" w:type="dxa"/>
          </w:tcPr>
          <w:p w14:paraId="1FDFFDFE" w14:textId="77777777" w:rsidR="00A96279" w:rsidRDefault="00A96279" w:rsidP="000478E2">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14"/>
                <w:szCs w:val="14"/>
              </w:rPr>
              <w:t> </w:t>
            </w:r>
          </w:p>
          <w:p w14:paraId="6F1FB2E4" w14:textId="60E9876A" w:rsidR="00A96279" w:rsidRPr="005A4E34" w:rsidRDefault="005A4E34" w:rsidP="000478E2">
            <w:pPr>
              <w:pStyle w:val="paragraph"/>
              <w:spacing w:before="0" w:beforeAutospacing="0" w:after="0" w:afterAutospacing="0"/>
              <w:textAlignment w:val="baseline"/>
              <w:rPr>
                <w:rFonts w:ascii="Calibri" w:hAnsi="Calibri" w:cs="Calibri"/>
                <w:b/>
                <w:bCs/>
                <w:sz w:val="22"/>
                <w:szCs w:val="22"/>
              </w:rPr>
            </w:pPr>
            <w:r w:rsidRPr="005A4E34">
              <w:rPr>
                <w:rFonts w:ascii="Calibri" w:hAnsi="Calibri" w:cs="Calibri"/>
                <w:color w:val="000000"/>
                <w:sz w:val="22"/>
                <w:szCs w:val="22"/>
              </w:rPr>
              <w:t>Ahead of the annual Eisteddfod celebration, my class mentor asked me to introduce the pupils to their writing, performance and creative entries. Following their term’s theme of weather detectives the pupils' entries were all linked to the weather. For the pupils' writing and performance entries, the pupils were asked to write and perform a script in Welsh.  For their creative entry, the pupils were asked to recreate Jenny Lambert’s Porthcawl pier artwork.</w:t>
            </w:r>
            <w:r w:rsidRPr="005A4E34">
              <w:rPr>
                <w:rFonts w:ascii="Calibri" w:hAnsi="Calibri" w:cs="Calibri"/>
                <w:color w:val="000000"/>
                <w:sz w:val="22"/>
                <w:szCs w:val="22"/>
                <w:shd w:val="clear" w:color="auto" w:fill="FFFFFF"/>
              </w:rPr>
              <w:t> </w:t>
            </w:r>
          </w:p>
        </w:tc>
      </w:tr>
      <w:tr w:rsidR="00A96279" w:rsidRPr="008D32B1" w14:paraId="5A856A1A" w14:textId="77777777" w:rsidTr="000478E2">
        <w:tc>
          <w:tcPr>
            <w:tcW w:w="1985" w:type="dxa"/>
          </w:tcPr>
          <w:p w14:paraId="6E0ADAA8"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What have you learnt?</w:t>
            </w:r>
          </w:p>
        </w:tc>
        <w:tc>
          <w:tcPr>
            <w:tcW w:w="9072" w:type="dxa"/>
          </w:tcPr>
          <w:p w14:paraId="4B84FD21" w14:textId="3E6EB67A" w:rsidR="005A4E34" w:rsidRPr="005A4E34" w:rsidRDefault="00A96279" w:rsidP="005A4E34">
            <w:pPr>
              <w:pStyle w:val="NormalWeb"/>
              <w:spacing w:before="0" w:beforeAutospacing="0" w:after="0"/>
              <w:rPr>
                <w:rFonts w:ascii="Calibri" w:hAnsi="Calibri" w:cs="Calibri"/>
                <w:color w:val="161616"/>
                <w:sz w:val="22"/>
                <w:szCs w:val="22"/>
              </w:rPr>
            </w:pPr>
            <w:r w:rsidRPr="005A4E34">
              <w:rPr>
                <w:rStyle w:val="eop"/>
                <w:rFonts w:ascii="Calibri" w:eastAsiaTheme="majorEastAsia" w:hAnsi="Calibri" w:cs="Calibri"/>
                <w:sz w:val="22"/>
                <w:szCs w:val="22"/>
              </w:rPr>
              <w:t> </w:t>
            </w:r>
            <w:r w:rsidR="005A4E34" w:rsidRPr="005A4E34">
              <w:rPr>
                <w:rFonts w:ascii="Calibri" w:hAnsi="Calibri" w:cs="Calibri"/>
                <w:color w:val="000000"/>
                <w:sz w:val="22"/>
                <w:szCs w:val="22"/>
              </w:rPr>
              <w:t>This teaching and learning experience was relevant to my progressive practice. It relates to the following professional standards:</w:t>
            </w:r>
            <w:r w:rsidR="005A4E34" w:rsidRPr="005A4E34">
              <w:rPr>
                <w:rStyle w:val="apple-converted-space"/>
                <w:rFonts w:ascii="Calibri" w:eastAsiaTheme="majorEastAsia" w:hAnsi="Calibri" w:cs="Calibri"/>
                <w:color w:val="000000"/>
                <w:sz w:val="22"/>
                <w:szCs w:val="22"/>
              </w:rPr>
              <w:t> </w:t>
            </w:r>
            <w:r w:rsidR="005A4E34" w:rsidRPr="005A4E34">
              <w:rPr>
                <w:rFonts w:ascii="Calibri" w:hAnsi="Calibri" w:cs="Calibri"/>
                <w:b/>
                <w:bCs/>
                <w:i/>
                <w:iCs/>
                <w:color w:val="000000"/>
                <w:sz w:val="22"/>
                <w:szCs w:val="22"/>
              </w:rPr>
              <w:t xml:space="preserve">Blended learning </w:t>
            </w:r>
            <w:proofErr w:type="gramStart"/>
            <w:r w:rsidR="005A4E34" w:rsidRPr="005A4E34">
              <w:rPr>
                <w:rFonts w:ascii="Calibri" w:hAnsi="Calibri" w:cs="Calibri"/>
                <w:b/>
                <w:bCs/>
                <w:i/>
                <w:iCs/>
                <w:color w:val="000000"/>
                <w:sz w:val="22"/>
                <w:szCs w:val="22"/>
              </w:rPr>
              <w:t>experiences, and</w:t>
            </w:r>
            <w:proofErr w:type="gramEnd"/>
            <w:r w:rsidR="005A4E34" w:rsidRPr="005A4E34">
              <w:rPr>
                <w:rFonts w:ascii="Calibri" w:hAnsi="Calibri" w:cs="Calibri"/>
                <w:b/>
                <w:bCs/>
                <w:i/>
                <w:iCs/>
                <w:color w:val="000000"/>
                <w:sz w:val="22"/>
                <w:szCs w:val="22"/>
              </w:rPr>
              <w:t xml:space="preserve"> exploiting subject disciplines in areas of learning.</w:t>
            </w:r>
            <w:r w:rsidR="005A4E34" w:rsidRPr="005A4E34">
              <w:rPr>
                <w:rFonts w:ascii="Calibri" w:hAnsi="Calibri" w:cs="Calibri"/>
                <w:color w:val="000000"/>
                <w:sz w:val="22"/>
                <w:szCs w:val="22"/>
              </w:rPr>
              <w:t> </w:t>
            </w:r>
          </w:p>
          <w:p w14:paraId="47EFA877" w14:textId="77777777" w:rsidR="005A4E34" w:rsidRPr="005A4E34" w:rsidRDefault="005A4E34" w:rsidP="005A4E34">
            <w:pPr>
              <w:pStyle w:val="NormalWeb"/>
              <w:spacing w:before="0" w:beforeAutospacing="0" w:after="0"/>
              <w:rPr>
                <w:rFonts w:ascii="Calibri" w:hAnsi="Calibri" w:cs="Calibri"/>
                <w:color w:val="161616"/>
                <w:sz w:val="22"/>
                <w:szCs w:val="22"/>
              </w:rPr>
            </w:pPr>
            <w:r w:rsidRPr="005A4E34">
              <w:rPr>
                <w:rFonts w:ascii="Calibri" w:hAnsi="Calibri" w:cs="Calibri"/>
                <w:b/>
                <w:bCs/>
                <w:color w:val="161616"/>
                <w:sz w:val="22"/>
                <w:szCs w:val="22"/>
                <w:u w:val="single"/>
              </w:rPr>
              <w:t>Blended learning experiences</w:t>
            </w:r>
          </w:p>
          <w:p w14:paraId="501EB007" w14:textId="77777777" w:rsidR="005A4E34" w:rsidRPr="005A4E34" w:rsidRDefault="005A4E34" w:rsidP="005A4E34">
            <w:pPr>
              <w:pStyle w:val="NormalWeb"/>
              <w:spacing w:before="0" w:beforeAutospacing="0" w:after="0"/>
              <w:rPr>
                <w:rFonts w:ascii="Calibri" w:hAnsi="Calibri" w:cs="Calibri"/>
                <w:color w:val="161616"/>
                <w:sz w:val="22"/>
                <w:szCs w:val="22"/>
              </w:rPr>
            </w:pPr>
            <w:r w:rsidRPr="005A4E34">
              <w:rPr>
                <w:rFonts w:ascii="Calibri" w:hAnsi="Calibri" w:cs="Calibri"/>
                <w:color w:val="161616"/>
                <w:sz w:val="22"/>
                <w:szCs w:val="22"/>
              </w:rPr>
              <w:t>Blended learning experiences refer to an instructional approach that combines traditional face-to-face teaching methods with digital or online learning activities. This approach aims to leverage the benefits of both in-person and technology-mediated learning to enhance pupils' educational experiences. </w:t>
            </w:r>
          </w:p>
          <w:p w14:paraId="4453CB5E" w14:textId="77777777" w:rsidR="005A4E34" w:rsidRPr="005A4E34" w:rsidRDefault="005A4E34" w:rsidP="005A4E34">
            <w:pPr>
              <w:pStyle w:val="NormalWeb"/>
              <w:spacing w:before="0" w:beforeAutospacing="0" w:after="0"/>
              <w:rPr>
                <w:rFonts w:ascii="Calibri" w:hAnsi="Calibri" w:cs="Calibri"/>
                <w:color w:val="161616"/>
                <w:sz w:val="22"/>
                <w:szCs w:val="22"/>
              </w:rPr>
            </w:pPr>
            <w:r w:rsidRPr="005A4E34">
              <w:rPr>
                <w:rFonts w:ascii="Calibri" w:hAnsi="Calibri" w:cs="Calibri"/>
                <w:color w:val="161616"/>
                <w:sz w:val="22"/>
                <w:szCs w:val="22"/>
              </w:rPr>
              <w:t>The pupil’s written and performance entries link to this strand.</w:t>
            </w:r>
          </w:p>
          <w:p w14:paraId="5DADB248" w14:textId="77777777" w:rsidR="005A4E34" w:rsidRPr="005A4E34" w:rsidRDefault="005A4E34" w:rsidP="005A4E34">
            <w:pPr>
              <w:pStyle w:val="NormalWeb"/>
              <w:spacing w:before="0" w:beforeAutospacing="0" w:after="0"/>
              <w:rPr>
                <w:rFonts w:ascii="Calibri" w:hAnsi="Calibri" w:cs="Calibri"/>
                <w:color w:val="161616"/>
                <w:sz w:val="22"/>
                <w:szCs w:val="22"/>
              </w:rPr>
            </w:pPr>
            <w:r w:rsidRPr="005A4E34">
              <w:rPr>
                <w:rFonts w:ascii="Calibri" w:hAnsi="Calibri" w:cs="Calibri"/>
                <w:color w:val="161616"/>
                <w:sz w:val="22"/>
                <w:szCs w:val="22"/>
              </w:rPr>
              <w:t>As previously mentioned, the pupils were asked to write and perform a script in Welsh. I had written and produced (with the help of both year 3 teachers who were fluent in Welsh) a Welsh script which was appropriate for the pupil’s Welsh ability. The pupils were learning Welsh as a second language however it was clear they weren’t as confident with reading Welsh as they were with speaking.</w:t>
            </w:r>
          </w:p>
          <w:p w14:paraId="1140EDB6" w14:textId="61E9D8F4" w:rsidR="005A4E34" w:rsidRPr="005A4E34" w:rsidRDefault="005A4E34" w:rsidP="005A4E34">
            <w:pPr>
              <w:pStyle w:val="NormalWeb"/>
              <w:spacing w:before="0" w:beforeAutospacing="0" w:after="0"/>
              <w:rPr>
                <w:rFonts w:ascii="Calibri" w:hAnsi="Calibri" w:cs="Calibri"/>
                <w:color w:val="161616"/>
                <w:sz w:val="22"/>
                <w:szCs w:val="22"/>
              </w:rPr>
            </w:pPr>
            <w:r w:rsidRPr="005A4E34">
              <w:rPr>
                <w:rFonts w:ascii="Calibri" w:hAnsi="Calibri" w:cs="Calibri"/>
                <w:color w:val="161616"/>
                <w:sz w:val="22"/>
                <w:szCs w:val="22"/>
              </w:rPr>
              <w:t>The script followed two characters (Mam and Sam) where Mam was asking Sam what they would like to do through the week. Mam offered a variety of activities however Sam didn’t want to do any of the suggestions due to the weather on that day. </w:t>
            </w:r>
          </w:p>
          <w:p w14:paraId="02EC178B"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C0171B"/>
                <w:sz w:val="22"/>
                <w:szCs w:val="22"/>
                <w:u w:val="single"/>
              </w:rPr>
              <w:t>Lesson 1</w:t>
            </w:r>
          </w:p>
          <w:p w14:paraId="364FDA5B"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During this lesson, I explained to the pupils that the script they could see on the board was their performance script for the Eisteddfod. Beforehand, I had split them into 3 different groups based on their ability in which each group had a differentiated script depending on their ability. I read through the script aloud to the class and asked them to identify any words that they already knew or if they could understand what the conversation was about. The pupils were able to identify some basic words such as ‘bore da’ when spoken aloud however weren’t as confident reading the words off the board so I knew straight away that they would all need some support with the pronunciation.</w:t>
            </w:r>
          </w:p>
          <w:p w14:paraId="3078AB01"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I read through the script one line at a time and asked the pupils to ‘parrot’ the lines back to me doing ‘my turn, your turn’ before sending them off to practice in their pairs.</w:t>
            </w:r>
          </w:p>
          <w:p w14:paraId="20451CF5"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 xml:space="preserve">As I ‘helicopter’-ed around the classroom I identified a pair (in the top group) who were confident with reading their script. The school like to collect video evidence as often as possible to use on </w:t>
            </w:r>
            <w:r w:rsidRPr="005A4E34">
              <w:rPr>
                <w:rFonts w:ascii="Calibri" w:hAnsi="Calibri" w:cs="Calibri"/>
                <w:color w:val="161616"/>
                <w:sz w:val="22"/>
                <w:szCs w:val="22"/>
              </w:rPr>
              <w:lastRenderedPageBreak/>
              <w:t>their school Twitter page or on the online platform See Saw which showcases the pupil’s work. I took the pupils outside of the classroom and recorded them reading their scripts before uploading the video to their See Saw accounts.</w:t>
            </w:r>
          </w:p>
          <w:p w14:paraId="13AF07FC" w14:textId="7EDB9A9C"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The pupils had access to a paper copy of this script during their morning work or a digital copy that was uploaded to the year 3 Google Classroom which they could use to practice and record themselves at home. </w:t>
            </w:r>
          </w:p>
          <w:p w14:paraId="3CD21189"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C0171B"/>
                <w:sz w:val="22"/>
                <w:szCs w:val="22"/>
                <w:u w:val="single"/>
              </w:rPr>
              <w:t>Lesson 2</w:t>
            </w:r>
          </w:p>
          <w:p w14:paraId="61F77714"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Before starting this lesson, the pupils already knew/had some knowledge of what the script was about and had the opportunity to practice reading it before starting this lesson.</w:t>
            </w:r>
          </w:p>
          <w:p w14:paraId="6DA030F3"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I explained to the pupils that instead of performing the script I had shown them in the lesson prior they were going to be writing it themselves. I showed the script on the board however this time it had 4 different colours highlighting different words and asked the pupils to problem solve and see if they could work out what each colour meant. The four titles that the pupils identified were: greetings, days of the week, activities and the weather. </w:t>
            </w:r>
          </w:p>
          <w:p w14:paraId="3582CFB1"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 xml:space="preserve">From this, I introduced the pupils to the website Padlet which they would be using for this activity. On the Padlet were the 4 headings that they had identified from the script. The pupil’s task was to use a variety of resources including Welsh dictionaries, Duolingo, Welsh displays (in the classroom) and the Welsh vocabulary app ‘Ap </w:t>
            </w:r>
            <w:proofErr w:type="spellStart"/>
            <w:r w:rsidRPr="005A4E34">
              <w:rPr>
                <w:rFonts w:ascii="Calibri" w:hAnsi="Calibri" w:cs="Calibri"/>
                <w:color w:val="161616"/>
                <w:sz w:val="22"/>
                <w:szCs w:val="22"/>
              </w:rPr>
              <w:t>Geiriaduron</w:t>
            </w:r>
            <w:proofErr w:type="spellEnd"/>
            <w:r w:rsidRPr="005A4E34">
              <w:rPr>
                <w:rFonts w:ascii="Calibri" w:hAnsi="Calibri" w:cs="Calibri"/>
                <w:color w:val="161616"/>
                <w:sz w:val="22"/>
                <w:szCs w:val="22"/>
              </w:rPr>
              <w:t>’. </w:t>
            </w:r>
          </w:p>
          <w:p w14:paraId="560B3610" w14:textId="7FEE1FAB"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From here, the two year 3 classes were split into 4 groups. Two groups (one in each class) were the ‘greetings’ group, two were the ‘activities’, two were the ‘activities’ and two were the ‘weather’. The pupils were then set off on task and told they could use any resources whether it be physical or online to help them fill the Padlet in with as many vocabulary words as possible. Each class had their own Padlet displayed on the board so they could see all the responses that were added. </w:t>
            </w:r>
          </w:p>
          <w:p w14:paraId="0725E4B3"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C0171B"/>
                <w:sz w:val="22"/>
                <w:szCs w:val="22"/>
                <w:u w:val="single"/>
              </w:rPr>
              <w:t>Lesson 3 &amp; 4</w:t>
            </w:r>
          </w:p>
          <w:p w14:paraId="53C3552F"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 xml:space="preserve">I had planned the next two lessons however due to </w:t>
            </w:r>
            <w:proofErr w:type="gramStart"/>
            <w:r w:rsidRPr="005A4E34">
              <w:rPr>
                <w:rFonts w:ascii="Calibri" w:hAnsi="Calibri" w:cs="Calibri"/>
                <w:color w:val="161616"/>
                <w:sz w:val="22"/>
                <w:szCs w:val="22"/>
              </w:rPr>
              <w:t>Bridging,</w:t>
            </w:r>
            <w:proofErr w:type="gramEnd"/>
            <w:r w:rsidRPr="005A4E34">
              <w:rPr>
                <w:rFonts w:ascii="Calibri" w:hAnsi="Calibri" w:cs="Calibri"/>
                <w:color w:val="161616"/>
                <w:sz w:val="22"/>
                <w:szCs w:val="22"/>
              </w:rPr>
              <w:t xml:space="preserve"> my class mentor led the next two lesson.</w:t>
            </w:r>
          </w:p>
          <w:p w14:paraId="07A7C1B9"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 xml:space="preserve">The third lesson asked the pupils to write their first draft of their script. The Padlet had been printed out onto an A3 sheet which was placed on each of the tables for the pupils to use. In my example script, I highlighted the 4 headings which showed clearly where each word went. When the pupils wrote their first </w:t>
            </w:r>
            <w:proofErr w:type="gramStart"/>
            <w:r w:rsidRPr="005A4E34">
              <w:rPr>
                <w:rFonts w:ascii="Calibri" w:hAnsi="Calibri" w:cs="Calibri"/>
                <w:color w:val="161616"/>
                <w:sz w:val="22"/>
                <w:szCs w:val="22"/>
              </w:rPr>
              <w:t>draft</w:t>
            </w:r>
            <w:proofErr w:type="gramEnd"/>
            <w:r w:rsidRPr="005A4E34">
              <w:rPr>
                <w:rFonts w:ascii="Calibri" w:hAnsi="Calibri" w:cs="Calibri"/>
                <w:color w:val="161616"/>
                <w:sz w:val="22"/>
                <w:szCs w:val="22"/>
              </w:rPr>
              <w:t xml:space="preserve"> they used my example and changed the words that were highlighted on mine and changed it using the Padlet to support this. </w:t>
            </w:r>
          </w:p>
          <w:p w14:paraId="49BF7AEC"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The next part of the lesson asked the pupils to self and peer-assess their script against the Steps 2 Success (S2S) in which they created as a class. They reviewed their work before ‘publishing’ their scripts onto a new piece of paper which were their writing entries for the Eisteddfod. </w:t>
            </w:r>
          </w:p>
          <w:p w14:paraId="51DB89B9"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 xml:space="preserve"> The following week, the pupils were split into their 4 ‘houses’ for the Eisteddfod. From here, they were split into groups of 4 across the year 3 cohort. In their groups, the pupils then decided on whose script they wanted to perform. A problem arose as the pupils had </w:t>
            </w:r>
            <w:proofErr w:type="gramStart"/>
            <w:r w:rsidRPr="005A4E34">
              <w:rPr>
                <w:rFonts w:ascii="Calibri" w:hAnsi="Calibri" w:cs="Calibri"/>
                <w:color w:val="161616"/>
                <w:sz w:val="22"/>
                <w:szCs w:val="22"/>
              </w:rPr>
              <w:t>wrote</w:t>
            </w:r>
            <w:proofErr w:type="gramEnd"/>
            <w:r w:rsidRPr="005A4E34">
              <w:rPr>
                <w:rFonts w:ascii="Calibri" w:hAnsi="Calibri" w:cs="Calibri"/>
                <w:color w:val="161616"/>
                <w:sz w:val="22"/>
                <w:szCs w:val="22"/>
              </w:rPr>
              <w:t xml:space="preserve"> their script for 2 characters not 4 so the pupils had to problem solve and change their script so it had 4 characters.</w:t>
            </w:r>
          </w:p>
          <w:p w14:paraId="41B363F4" w14:textId="302F13E4" w:rsid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lastRenderedPageBreak/>
              <w:t>The pupils then (with the help of myself or the other 2 teachers) typed their script onto a word document to ensure that all pupils could read their lines but also have an electronic copy that they could practice with over the weekend via Google Classroom. </w:t>
            </w:r>
          </w:p>
          <w:p w14:paraId="369C6A24" w14:textId="77777777" w:rsidR="005A4E34" w:rsidRPr="005A4E34" w:rsidRDefault="005A4E34" w:rsidP="005A4E34">
            <w:pPr>
              <w:pStyle w:val="NormalWeb"/>
              <w:spacing w:before="0" w:after="0"/>
              <w:rPr>
                <w:rFonts w:ascii="Calibri" w:hAnsi="Calibri" w:cs="Calibri"/>
                <w:color w:val="161616"/>
                <w:sz w:val="22"/>
                <w:szCs w:val="22"/>
              </w:rPr>
            </w:pPr>
          </w:p>
          <w:p w14:paraId="1A0E5352"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0D0D0D"/>
                <w:sz w:val="22"/>
                <w:szCs w:val="22"/>
                <w:u w:val="single"/>
              </w:rPr>
              <w:t>Exploiting subject disciplines in areas of learning</w:t>
            </w:r>
            <w:r w:rsidRPr="005A4E34">
              <w:rPr>
                <w:rFonts w:ascii="Calibri" w:hAnsi="Calibri" w:cs="Calibri"/>
                <w:color w:val="0D0D0D"/>
                <w:sz w:val="22"/>
                <w:szCs w:val="22"/>
              </w:rPr>
              <w:t> </w:t>
            </w:r>
          </w:p>
          <w:p w14:paraId="329F35CD"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000000"/>
                <w:sz w:val="22"/>
                <w:szCs w:val="22"/>
              </w:rPr>
              <w:t>Learning about broader topics or themes requires the use of different areas of learning together. Teaching students how each subject is interconnected and how it relates to real-life situations means combining them rather than focusing on them separately. </w:t>
            </w:r>
          </w:p>
          <w:p w14:paraId="20DFB81D"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Due to the pupil’s theme of the term being ‘Weather Detectives’ all of the pupil’s work and entries to the weather in some way. </w:t>
            </w:r>
          </w:p>
          <w:p w14:paraId="3F6B6060" w14:textId="17550633"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color w:val="161616"/>
                <w:sz w:val="22"/>
                <w:szCs w:val="22"/>
              </w:rPr>
              <w:t>All of the AoLEs were used in some way to support the pupil’s during their Eisteddfod entries. The pupils didn’t see it as an individual lesson e.g. a maths or science lesson but saw this as ‘Eisteddfod time’ and took advantage to make the best use of their time. </w:t>
            </w:r>
          </w:p>
          <w:p w14:paraId="155D2290"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000000"/>
                <w:sz w:val="22"/>
                <w:szCs w:val="22"/>
              </w:rPr>
              <w:t>Languages, Literacy and Communication</w:t>
            </w:r>
            <w:r w:rsidRPr="005A4E34">
              <w:rPr>
                <w:rStyle w:val="apple-converted-space"/>
                <w:rFonts w:ascii="Calibri" w:eastAsiaTheme="majorEastAsia" w:hAnsi="Calibri" w:cs="Calibri"/>
                <w:color w:val="161616"/>
                <w:sz w:val="22"/>
                <w:szCs w:val="22"/>
              </w:rPr>
              <w:t> </w:t>
            </w:r>
            <w:r w:rsidRPr="005A4E34">
              <w:rPr>
                <w:rFonts w:ascii="Calibri" w:hAnsi="Calibri" w:cs="Calibri"/>
                <w:color w:val="161616"/>
                <w:sz w:val="22"/>
                <w:szCs w:val="22"/>
              </w:rPr>
              <w:t>was used when the pupils were writing their Welsh scripts along with self and peer-assessing said scripts and the pupil’s first draft of their Artwork. </w:t>
            </w:r>
          </w:p>
          <w:p w14:paraId="3103A011"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161616"/>
                <w:sz w:val="22"/>
                <w:szCs w:val="22"/>
              </w:rPr>
              <w:t>Mathematics and Numeracy</w:t>
            </w:r>
            <w:r w:rsidRPr="005A4E34">
              <w:rPr>
                <w:rStyle w:val="apple-converted-space"/>
                <w:rFonts w:ascii="Calibri" w:eastAsiaTheme="majorEastAsia" w:hAnsi="Calibri" w:cs="Calibri"/>
                <w:b/>
                <w:bCs/>
                <w:color w:val="161616"/>
                <w:sz w:val="22"/>
                <w:szCs w:val="22"/>
              </w:rPr>
              <w:t> </w:t>
            </w:r>
            <w:r w:rsidRPr="005A4E34">
              <w:rPr>
                <w:rFonts w:ascii="Calibri" w:hAnsi="Calibri" w:cs="Calibri"/>
                <w:color w:val="161616"/>
                <w:sz w:val="22"/>
                <w:szCs w:val="22"/>
              </w:rPr>
              <w:t>was used when the pupils were asked to draw grids into their artworks which were then used as a guide when copying Jenny Lambert’s artwork. </w:t>
            </w:r>
          </w:p>
          <w:p w14:paraId="73207707"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161616"/>
                <w:sz w:val="22"/>
                <w:szCs w:val="22"/>
              </w:rPr>
              <w:t>Humanities</w:t>
            </w:r>
            <w:r w:rsidRPr="005A4E34">
              <w:rPr>
                <w:rStyle w:val="apple-converted-space"/>
                <w:rFonts w:ascii="Calibri" w:eastAsiaTheme="majorEastAsia" w:hAnsi="Calibri" w:cs="Calibri"/>
                <w:b/>
                <w:bCs/>
                <w:color w:val="161616"/>
                <w:sz w:val="22"/>
                <w:szCs w:val="22"/>
              </w:rPr>
              <w:t> </w:t>
            </w:r>
            <w:r w:rsidRPr="005A4E34">
              <w:rPr>
                <w:rFonts w:ascii="Calibri" w:hAnsi="Calibri" w:cs="Calibri"/>
                <w:color w:val="161616"/>
                <w:sz w:val="22"/>
                <w:szCs w:val="22"/>
              </w:rPr>
              <w:t>linked to ‘</w:t>
            </w:r>
            <w:proofErr w:type="spellStart"/>
            <w:r w:rsidRPr="005A4E34">
              <w:rPr>
                <w:rFonts w:ascii="Calibri" w:hAnsi="Calibri" w:cs="Calibri"/>
                <w:color w:val="161616"/>
                <w:sz w:val="22"/>
                <w:szCs w:val="22"/>
              </w:rPr>
              <w:t>Cynefin</w:t>
            </w:r>
            <w:proofErr w:type="spellEnd"/>
            <w:r w:rsidRPr="005A4E34">
              <w:rPr>
                <w:rFonts w:ascii="Calibri" w:hAnsi="Calibri" w:cs="Calibri"/>
                <w:color w:val="161616"/>
                <w:sz w:val="22"/>
                <w:szCs w:val="22"/>
              </w:rPr>
              <w:t>’ and the pupil’s learning about their local community and the history behind the pier when creating their artwork. </w:t>
            </w:r>
          </w:p>
          <w:p w14:paraId="3F8332FE" w14:textId="77777777" w:rsidR="005A4E34"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161616"/>
                <w:sz w:val="22"/>
                <w:szCs w:val="22"/>
              </w:rPr>
              <w:t>Expressive Arts</w:t>
            </w:r>
            <w:r w:rsidRPr="005A4E34">
              <w:rPr>
                <w:rStyle w:val="apple-converted-space"/>
                <w:rFonts w:ascii="Calibri" w:eastAsiaTheme="majorEastAsia" w:hAnsi="Calibri" w:cs="Calibri"/>
                <w:b/>
                <w:bCs/>
                <w:color w:val="161616"/>
                <w:sz w:val="22"/>
                <w:szCs w:val="22"/>
              </w:rPr>
              <w:t> </w:t>
            </w:r>
            <w:r w:rsidRPr="005A4E34">
              <w:rPr>
                <w:rFonts w:ascii="Calibri" w:hAnsi="Calibri" w:cs="Calibri"/>
                <w:color w:val="161616"/>
                <w:sz w:val="22"/>
                <w:szCs w:val="22"/>
              </w:rPr>
              <w:t>relates to the pupil’s artwork pieces. They used a variety of materials and resources when practising their first few drafts of their work before deciding which media they preferred before creating their entry pieces. </w:t>
            </w:r>
          </w:p>
          <w:p w14:paraId="34A28998" w14:textId="31BAF11E" w:rsidR="00A96279" w:rsidRPr="005A4E34" w:rsidRDefault="005A4E34" w:rsidP="005A4E34">
            <w:pPr>
              <w:pStyle w:val="NormalWeb"/>
              <w:spacing w:before="0" w:after="0"/>
              <w:rPr>
                <w:rFonts w:ascii="Calibri" w:hAnsi="Calibri" w:cs="Calibri"/>
                <w:color w:val="161616"/>
                <w:sz w:val="22"/>
                <w:szCs w:val="22"/>
              </w:rPr>
            </w:pPr>
            <w:r w:rsidRPr="005A4E34">
              <w:rPr>
                <w:rFonts w:ascii="Calibri" w:hAnsi="Calibri" w:cs="Calibri"/>
                <w:b/>
                <w:bCs/>
                <w:color w:val="161616"/>
                <w:sz w:val="22"/>
                <w:szCs w:val="22"/>
              </w:rPr>
              <w:t>Health and well-being</w:t>
            </w:r>
            <w:r w:rsidRPr="005A4E34">
              <w:rPr>
                <w:rStyle w:val="apple-converted-space"/>
                <w:rFonts w:ascii="Calibri" w:eastAsiaTheme="majorEastAsia" w:hAnsi="Calibri" w:cs="Calibri"/>
                <w:b/>
                <w:bCs/>
                <w:color w:val="161616"/>
                <w:sz w:val="22"/>
                <w:szCs w:val="22"/>
              </w:rPr>
              <w:t> </w:t>
            </w:r>
            <w:r w:rsidRPr="005A4E34">
              <w:rPr>
                <w:rFonts w:ascii="Calibri" w:hAnsi="Calibri" w:cs="Calibri"/>
                <w:color w:val="161616"/>
                <w:sz w:val="22"/>
                <w:szCs w:val="22"/>
              </w:rPr>
              <w:t>relates to the trip the pupils took walking down to the pier along with</w:t>
            </w:r>
            <w:r w:rsidRPr="005A4E34">
              <w:rPr>
                <w:rStyle w:val="apple-converted-space"/>
                <w:rFonts w:ascii="Calibri" w:eastAsiaTheme="majorEastAsia" w:hAnsi="Calibri" w:cs="Calibri"/>
                <w:color w:val="161616"/>
                <w:sz w:val="22"/>
                <w:szCs w:val="22"/>
              </w:rPr>
              <w:t> </w:t>
            </w:r>
            <w:r w:rsidRPr="005A4E34">
              <w:rPr>
                <w:rFonts w:ascii="Calibri" w:hAnsi="Calibri" w:cs="Calibri"/>
                <w:b/>
                <w:bCs/>
                <w:color w:val="161616"/>
                <w:sz w:val="22"/>
                <w:szCs w:val="22"/>
              </w:rPr>
              <w:t>Science and technology</w:t>
            </w:r>
            <w:r w:rsidRPr="005A4E34">
              <w:rPr>
                <w:rStyle w:val="apple-converted-space"/>
                <w:rFonts w:ascii="Calibri" w:eastAsiaTheme="majorEastAsia" w:hAnsi="Calibri" w:cs="Calibri"/>
                <w:b/>
                <w:bCs/>
                <w:color w:val="161616"/>
                <w:sz w:val="22"/>
                <w:szCs w:val="22"/>
              </w:rPr>
              <w:t> </w:t>
            </w:r>
            <w:r w:rsidRPr="005A4E34">
              <w:rPr>
                <w:rFonts w:ascii="Calibri" w:hAnsi="Calibri" w:cs="Calibri"/>
                <w:color w:val="161616"/>
                <w:sz w:val="22"/>
                <w:szCs w:val="22"/>
              </w:rPr>
              <w:t>where the pupils took photographs on the iPad of the pier which they used to support them when creating their artwork. </w:t>
            </w:r>
          </w:p>
        </w:tc>
      </w:tr>
      <w:tr w:rsidR="00A96279" w:rsidRPr="008D32B1" w14:paraId="56F9DCD7" w14:textId="77777777" w:rsidTr="000478E2">
        <w:tc>
          <w:tcPr>
            <w:tcW w:w="1985" w:type="dxa"/>
          </w:tcPr>
          <w:p w14:paraId="4B445823"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lastRenderedPageBreak/>
              <w:t>What next?</w:t>
            </w:r>
          </w:p>
        </w:tc>
        <w:tc>
          <w:tcPr>
            <w:tcW w:w="9072" w:type="dxa"/>
          </w:tcPr>
          <w:p w14:paraId="5D9BFFB7" w14:textId="77777777" w:rsidR="005A4E34" w:rsidRPr="005A4E34" w:rsidRDefault="005A4E34" w:rsidP="005A4E34">
            <w:pPr>
              <w:pStyle w:val="NormalWeb"/>
              <w:spacing w:before="0" w:beforeAutospacing="0" w:after="0"/>
              <w:rPr>
                <w:rFonts w:ascii="Calibri" w:hAnsi="Calibri" w:cs="Calibri"/>
                <w:color w:val="161616"/>
                <w:sz w:val="22"/>
                <w:szCs w:val="22"/>
              </w:rPr>
            </w:pPr>
            <w:r w:rsidRPr="005A4E34">
              <w:rPr>
                <w:rFonts w:ascii="Calibri" w:hAnsi="Calibri" w:cs="Calibri"/>
                <w:color w:val="161616"/>
                <w:sz w:val="22"/>
                <w:szCs w:val="22"/>
              </w:rPr>
              <w:t>After seeing first-hand how well the pupils respond to Google Classroom and their ability to complete activities online, I will use this within my future practice whilst also ensuring I stay up to date with different online platforms that I can use to enhance my practice and the pupil’s learning experience. </w:t>
            </w:r>
          </w:p>
          <w:p w14:paraId="17F617C0" w14:textId="542A53AC" w:rsidR="00A96279" w:rsidRPr="005A4E34" w:rsidRDefault="005A4E34" w:rsidP="005A4E34">
            <w:pPr>
              <w:pStyle w:val="NormalWeb"/>
              <w:spacing w:before="0" w:after="0" w:afterAutospacing="0"/>
              <w:rPr>
                <w:rFonts w:ascii="Open Sans" w:hAnsi="Open Sans" w:cs="Open Sans"/>
                <w:color w:val="161616"/>
                <w:sz w:val="21"/>
                <w:szCs w:val="21"/>
              </w:rPr>
            </w:pPr>
            <w:r w:rsidRPr="005A4E34">
              <w:rPr>
                <w:rFonts w:ascii="Calibri" w:hAnsi="Calibri" w:cs="Calibri"/>
                <w:color w:val="161616"/>
                <w:sz w:val="22"/>
                <w:szCs w:val="22"/>
              </w:rPr>
              <w:t xml:space="preserve">I will also continue to exploit subject disciplines within all activities I plan and ensure that there are some activities that don’t seem like a specific lesson but incorporate aspects from all </w:t>
            </w:r>
            <w:proofErr w:type="spellStart"/>
            <w:r w:rsidRPr="005A4E34">
              <w:rPr>
                <w:rFonts w:ascii="Calibri" w:hAnsi="Calibri" w:cs="Calibri"/>
                <w:color w:val="161616"/>
                <w:sz w:val="22"/>
                <w:szCs w:val="22"/>
              </w:rPr>
              <w:t>AoLES</w:t>
            </w:r>
            <w:proofErr w:type="spellEnd"/>
            <w:r w:rsidRPr="005A4E34">
              <w:rPr>
                <w:rFonts w:ascii="Calibri" w:hAnsi="Calibri" w:cs="Calibri"/>
                <w:color w:val="161616"/>
                <w:sz w:val="22"/>
                <w:szCs w:val="22"/>
              </w:rPr>
              <w:t>.</w:t>
            </w:r>
            <w:r>
              <w:rPr>
                <w:rFonts w:ascii="Arial" w:hAnsi="Arial" w:cs="Arial"/>
                <w:color w:val="161616"/>
                <w:sz w:val="21"/>
                <w:szCs w:val="21"/>
              </w:rPr>
              <w:t> </w:t>
            </w:r>
          </w:p>
        </w:tc>
      </w:tr>
    </w:tbl>
    <w:p w14:paraId="203B842B" w14:textId="77777777" w:rsidR="00A96279" w:rsidRDefault="00A96279">
      <w:pPr>
        <w:rPr>
          <w:b/>
          <w:bCs/>
        </w:rPr>
      </w:pPr>
    </w:p>
    <w:p w14:paraId="16D24592" w14:textId="6CF6D911" w:rsidR="001700D8" w:rsidRDefault="001700D8">
      <w:pPr>
        <w:rPr>
          <w:b/>
          <w:bCs/>
        </w:rPr>
      </w:pPr>
      <w:r>
        <w:rPr>
          <w:b/>
          <w:bCs/>
        </w:rPr>
        <w:br w:type="page"/>
      </w:r>
    </w:p>
    <w:p w14:paraId="54F24EDF" w14:textId="77777777" w:rsidR="00A96279" w:rsidRDefault="00A96279">
      <w:pPr>
        <w:rPr>
          <w:b/>
          <w:bCs/>
        </w:rPr>
      </w:pPr>
    </w:p>
    <w:tbl>
      <w:tblPr>
        <w:tblStyle w:val="TableGrid"/>
        <w:tblW w:w="11057" w:type="dxa"/>
        <w:tblInd w:w="-1139" w:type="dxa"/>
        <w:tblLook w:val="04A0" w:firstRow="1" w:lastRow="0" w:firstColumn="1" w:lastColumn="0" w:noHBand="0" w:noVBand="1"/>
      </w:tblPr>
      <w:tblGrid>
        <w:gridCol w:w="1985"/>
        <w:gridCol w:w="9072"/>
      </w:tblGrid>
      <w:tr w:rsidR="00A96279" w:rsidRPr="008D32B1" w14:paraId="4BEBDA48" w14:textId="77777777" w:rsidTr="000478E2">
        <w:tc>
          <w:tcPr>
            <w:tcW w:w="1985" w:type="dxa"/>
          </w:tcPr>
          <w:p w14:paraId="33FBC632" w14:textId="69BF62F9"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 xml:space="preserve">Professional Experience Template </w:t>
            </w:r>
            <w:r>
              <w:rPr>
                <w:rFonts w:ascii="Calibri" w:hAnsi="Calibri" w:cs="Calibri"/>
                <w:b/>
                <w:bCs/>
                <w:color w:val="0070C0"/>
              </w:rPr>
              <w:t>3</w:t>
            </w:r>
          </w:p>
        </w:tc>
        <w:tc>
          <w:tcPr>
            <w:tcW w:w="9072" w:type="dxa"/>
          </w:tcPr>
          <w:p w14:paraId="5CEF3F68" w14:textId="77777777" w:rsidR="00A96279" w:rsidRDefault="00A96279" w:rsidP="000478E2">
            <w:pPr>
              <w:jc w:val="center"/>
              <w:rPr>
                <w:rFonts w:ascii="Calibri" w:hAnsi="Calibri" w:cs="Calibri"/>
                <w:b/>
                <w:bCs/>
              </w:rPr>
            </w:pPr>
          </w:p>
          <w:p w14:paraId="6160716A" w14:textId="02F0BA43" w:rsidR="00A96279" w:rsidRPr="008D32B1" w:rsidRDefault="007B7D2D" w:rsidP="000478E2">
            <w:pPr>
              <w:jc w:val="center"/>
              <w:rPr>
                <w:rFonts w:ascii="Calibri" w:hAnsi="Calibri" w:cs="Calibri"/>
                <w:b/>
                <w:bCs/>
              </w:rPr>
            </w:pPr>
            <w:r>
              <w:rPr>
                <w:rFonts w:ascii="Calibri" w:hAnsi="Calibri" w:cs="Calibri"/>
                <w:b/>
                <w:bCs/>
              </w:rPr>
              <w:t>Maths (Observation Lesson)</w:t>
            </w:r>
          </w:p>
        </w:tc>
      </w:tr>
      <w:tr w:rsidR="00A96279" w:rsidRPr="008D32B1" w14:paraId="10CF802B" w14:textId="77777777" w:rsidTr="000478E2">
        <w:tc>
          <w:tcPr>
            <w:tcW w:w="1985" w:type="dxa"/>
          </w:tcPr>
          <w:p w14:paraId="3221CFC7"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Pedagogy Standard</w:t>
            </w:r>
          </w:p>
        </w:tc>
        <w:tc>
          <w:tcPr>
            <w:tcW w:w="9072" w:type="dxa"/>
          </w:tcPr>
          <w:p w14:paraId="562CD40B" w14:textId="2CB423E7" w:rsidR="00A96279" w:rsidRPr="0030493F" w:rsidRDefault="00B76336" w:rsidP="0030493F">
            <w:pPr>
              <w:pStyle w:val="Heading2"/>
              <w:jc w:val="center"/>
              <w:rPr>
                <w:rFonts w:ascii="Calibri" w:hAnsi="Calibri" w:cs="Calibri"/>
                <w:b/>
                <w:bCs/>
                <w:sz w:val="24"/>
                <w:szCs w:val="24"/>
              </w:rPr>
            </w:pPr>
            <w:bookmarkStart w:id="4" w:name="_Toc164019907"/>
            <w:r w:rsidRPr="0030493F">
              <w:rPr>
                <w:rFonts w:ascii="Calibri" w:hAnsi="Calibri" w:cs="Calibri"/>
                <w:b/>
                <w:bCs/>
                <w:color w:val="000000" w:themeColor="text1"/>
                <w:sz w:val="24"/>
                <w:szCs w:val="24"/>
              </w:rPr>
              <w:t>Creating</w:t>
            </w:r>
            <w:r w:rsidR="00A5750F" w:rsidRPr="0030493F">
              <w:rPr>
                <w:rFonts w:ascii="Calibri" w:hAnsi="Calibri" w:cs="Calibri"/>
                <w:b/>
                <w:bCs/>
                <w:color w:val="000000" w:themeColor="text1"/>
                <w:sz w:val="24"/>
                <w:szCs w:val="24"/>
              </w:rPr>
              <w:t xml:space="preserve"> authentic contexts</w:t>
            </w:r>
            <w:r w:rsidRPr="0030493F">
              <w:rPr>
                <w:rFonts w:ascii="Calibri" w:hAnsi="Calibri" w:cs="Calibri"/>
                <w:b/>
                <w:bCs/>
                <w:color w:val="000000" w:themeColor="text1"/>
                <w:sz w:val="24"/>
                <w:szCs w:val="24"/>
              </w:rPr>
              <w:t xml:space="preserve"> for learning</w:t>
            </w:r>
            <w:bookmarkEnd w:id="4"/>
          </w:p>
        </w:tc>
      </w:tr>
      <w:tr w:rsidR="00A96279" w:rsidRPr="008D32B1" w14:paraId="08C0D155" w14:textId="77777777" w:rsidTr="000478E2">
        <w:tc>
          <w:tcPr>
            <w:tcW w:w="1985" w:type="dxa"/>
          </w:tcPr>
          <w:p w14:paraId="0374A0C1"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What did you do and why?</w:t>
            </w:r>
          </w:p>
        </w:tc>
        <w:tc>
          <w:tcPr>
            <w:tcW w:w="9072" w:type="dxa"/>
          </w:tcPr>
          <w:p w14:paraId="4CE13B15" w14:textId="77777777" w:rsidR="007B7D2D" w:rsidRPr="007B7D2D" w:rsidRDefault="00A96279" w:rsidP="007B7D2D">
            <w:pPr>
              <w:pStyle w:val="NormalWeb"/>
              <w:rPr>
                <w:rFonts w:ascii="Calibri" w:hAnsi="Calibri" w:cs="Calibri"/>
                <w:color w:val="000000"/>
                <w:sz w:val="22"/>
                <w:szCs w:val="22"/>
              </w:rPr>
            </w:pPr>
            <w:r>
              <w:rPr>
                <w:rStyle w:val="eop"/>
                <w:rFonts w:ascii="Calibri" w:eastAsiaTheme="majorEastAsia" w:hAnsi="Calibri" w:cs="Calibri"/>
                <w:sz w:val="14"/>
                <w:szCs w:val="14"/>
              </w:rPr>
              <w:t> </w:t>
            </w:r>
            <w:r w:rsidR="007B7D2D" w:rsidRPr="007B7D2D">
              <w:rPr>
                <w:rFonts w:ascii="Calibri" w:hAnsi="Calibri" w:cs="Calibri"/>
                <w:color w:val="000000"/>
                <w:sz w:val="22"/>
                <w:szCs w:val="22"/>
              </w:rPr>
              <w:t>For my final observation lesson, I chose to plan and teach a Maths lesson to my class of year 3 pupils. The pupils were following the White Rose Maths scheme and were currently learning the term ‘x groups of x’. The focus of this lesson was introducing the pupils to multiplying numbers by three. </w:t>
            </w:r>
          </w:p>
          <w:p w14:paraId="79B29006" w14:textId="77777777" w:rsidR="00A96279" w:rsidRDefault="007B7D2D" w:rsidP="007B7D2D">
            <w:pPr>
              <w:pStyle w:val="NormalWeb"/>
              <w:rPr>
                <w:rFonts w:ascii="Arial" w:hAnsi="Arial" w:cs="Arial"/>
                <w:color w:val="000000"/>
              </w:rPr>
            </w:pPr>
            <w:r w:rsidRPr="007B7D2D">
              <w:rPr>
                <w:rFonts w:ascii="Calibri" w:hAnsi="Calibri" w:cs="Calibri"/>
                <w:color w:val="000000"/>
                <w:sz w:val="22"/>
                <w:szCs w:val="22"/>
              </w:rPr>
              <w:t>The pupils worked in a rotation of activities, completing two on the Monday lesson and the other two on Tuesday. The first activity asked the pupils to go on the 1-minute maths app and practice multiplying by 3. After each round, they were asked to record their scores on their scorecard. The second activity was using dice to create an array of the two numbers that they rolled and writing a number sentence about it. The third activity asked the pupils to help plan a party within a small focus group with me using ‘party items. The final activity, the pupils could choose a picture of different groups of 3 in which they could choose (based on their own confidence) that they wished to complete and solve in their books.</w:t>
            </w:r>
            <w:r>
              <w:rPr>
                <w:rFonts w:ascii="Arial" w:hAnsi="Arial" w:cs="Arial"/>
                <w:color w:val="000000"/>
              </w:rPr>
              <w:t> </w:t>
            </w:r>
          </w:p>
          <w:p w14:paraId="5900A4D8" w14:textId="653AAD9F" w:rsidR="007B7D2D" w:rsidRPr="007B7D2D" w:rsidRDefault="007B7D2D" w:rsidP="007B7D2D">
            <w:pPr>
              <w:pStyle w:val="NormalWeb"/>
              <w:rPr>
                <w:color w:val="000000"/>
              </w:rPr>
            </w:pPr>
          </w:p>
        </w:tc>
      </w:tr>
      <w:tr w:rsidR="00A96279" w:rsidRPr="008D32B1" w14:paraId="2D6741EB" w14:textId="77777777" w:rsidTr="000478E2">
        <w:tc>
          <w:tcPr>
            <w:tcW w:w="1985" w:type="dxa"/>
          </w:tcPr>
          <w:p w14:paraId="682B5BB4"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What have you learnt?</w:t>
            </w:r>
          </w:p>
        </w:tc>
        <w:tc>
          <w:tcPr>
            <w:tcW w:w="9072" w:type="dxa"/>
          </w:tcPr>
          <w:p w14:paraId="2B2EB87E" w14:textId="4EEF14DF" w:rsidR="007B7D2D" w:rsidRPr="007B7D2D" w:rsidRDefault="00A96279" w:rsidP="007B7D2D">
            <w:pPr>
              <w:pStyle w:val="NormalWeb"/>
              <w:rPr>
                <w:rFonts w:ascii="Calibri" w:hAnsi="Calibri" w:cs="Calibri"/>
                <w:color w:val="000000"/>
                <w:sz w:val="22"/>
                <w:szCs w:val="22"/>
              </w:rPr>
            </w:pPr>
            <w:r w:rsidRPr="007B7D2D">
              <w:rPr>
                <w:rStyle w:val="eop"/>
                <w:rFonts w:ascii="Calibri" w:eastAsiaTheme="majorEastAsia" w:hAnsi="Calibri" w:cs="Calibri"/>
                <w:sz w:val="22"/>
                <w:szCs w:val="22"/>
              </w:rPr>
              <w:t> </w:t>
            </w:r>
            <w:r w:rsidR="007B7D2D" w:rsidRPr="007B7D2D">
              <w:rPr>
                <w:rFonts w:ascii="Calibri" w:hAnsi="Calibri" w:cs="Calibri"/>
                <w:color w:val="000000"/>
                <w:sz w:val="22"/>
                <w:szCs w:val="22"/>
              </w:rPr>
              <w:t>This teaching and learning experience was relevant to my progressive practice. It relates to the following professional standards:</w:t>
            </w:r>
            <w:r w:rsidR="007B7D2D" w:rsidRPr="007B7D2D">
              <w:rPr>
                <w:rStyle w:val="apple-converted-space"/>
                <w:rFonts w:ascii="Calibri" w:eastAsiaTheme="majorEastAsia" w:hAnsi="Calibri" w:cs="Calibri"/>
                <w:color w:val="000000"/>
                <w:sz w:val="22"/>
                <w:szCs w:val="22"/>
              </w:rPr>
              <w:t> </w:t>
            </w:r>
            <w:r w:rsidR="007B7D2D" w:rsidRPr="007B7D2D">
              <w:rPr>
                <w:rStyle w:val="Strong"/>
                <w:rFonts w:ascii="Calibri" w:eastAsiaTheme="majorEastAsia" w:hAnsi="Calibri" w:cs="Calibri"/>
                <w:i/>
                <w:iCs/>
                <w:color w:val="000000"/>
                <w:sz w:val="22"/>
                <w:szCs w:val="22"/>
              </w:rPr>
              <w:t>real-life authentic contexts</w:t>
            </w:r>
            <w:r w:rsidR="007B7D2D" w:rsidRPr="007B7D2D">
              <w:rPr>
                <w:rFonts w:ascii="Calibri" w:hAnsi="Calibri" w:cs="Calibri"/>
                <w:color w:val="000000"/>
                <w:sz w:val="22"/>
                <w:szCs w:val="22"/>
              </w:rPr>
              <w:t>,</w:t>
            </w:r>
            <w:r w:rsidR="007B7D2D" w:rsidRPr="007B7D2D">
              <w:rPr>
                <w:rStyle w:val="apple-converted-space"/>
                <w:rFonts w:ascii="Calibri" w:eastAsiaTheme="majorEastAsia" w:hAnsi="Calibri" w:cs="Calibri"/>
                <w:color w:val="000000"/>
                <w:sz w:val="22"/>
                <w:szCs w:val="22"/>
              </w:rPr>
              <w:t> </w:t>
            </w:r>
            <w:r w:rsidR="007B7D2D" w:rsidRPr="007B7D2D">
              <w:rPr>
                <w:rStyle w:val="Strong"/>
                <w:rFonts w:ascii="Calibri" w:eastAsiaTheme="majorEastAsia" w:hAnsi="Calibri" w:cs="Calibri"/>
                <w:i/>
                <w:iCs/>
                <w:color w:val="000000"/>
                <w:sz w:val="22"/>
                <w:szCs w:val="22"/>
              </w:rPr>
              <w:t>sustained effort and resilience in learners</w:t>
            </w:r>
            <w:r w:rsidR="007B7D2D" w:rsidRPr="007B7D2D">
              <w:rPr>
                <w:rStyle w:val="apple-converted-space"/>
                <w:rFonts w:ascii="Calibri" w:eastAsiaTheme="majorEastAsia" w:hAnsi="Calibri" w:cs="Calibri"/>
                <w:color w:val="000000"/>
                <w:sz w:val="22"/>
                <w:szCs w:val="22"/>
              </w:rPr>
              <w:t> </w:t>
            </w:r>
            <w:r w:rsidR="007B7D2D" w:rsidRPr="007B7D2D">
              <w:rPr>
                <w:rFonts w:ascii="Calibri" w:hAnsi="Calibri" w:cs="Calibri"/>
                <w:color w:val="000000"/>
                <w:sz w:val="22"/>
                <w:szCs w:val="22"/>
              </w:rPr>
              <w:t>and</w:t>
            </w:r>
            <w:r w:rsidR="007B7D2D" w:rsidRPr="007B7D2D">
              <w:rPr>
                <w:rStyle w:val="apple-converted-space"/>
                <w:rFonts w:ascii="Calibri" w:eastAsiaTheme="majorEastAsia" w:hAnsi="Calibri" w:cs="Calibri"/>
                <w:color w:val="000000"/>
                <w:sz w:val="22"/>
                <w:szCs w:val="22"/>
              </w:rPr>
              <w:t> </w:t>
            </w:r>
            <w:r w:rsidR="007B7D2D" w:rsidRPr="007B7D2D">
              <w:rPr>
                <w:rStyle w:val="Strong"/>
                <w:rFonts w:ascii="Calibri" w:eastAsiaTheme="majorEastAsia" w:hAnsi="Calibri" w:cs="Calibri"/>
                <w:i/>
                <w:iCs/>
                <w:color w:val="000000"/>
                <w:sz w:val="22"/>
                <w:szCs w:val="22"/>
              </w:rPr>
              <w:t>differentiation</w:t>
            </w:r>
            <w:r w:rsidR="007B7D2D" w:rsidRPr="007B7D2D">
              <w:rPr>
                <w:rFonts w:ascii="Calibri" w:hAnsi="Calibri" w:cs="Calibri"/>
                <w:color w:val="000000"/>
                <w:sz w:val="22"/>
                <w:szCs w:val="22"/>
              </w:rPr>
              <w:t>. </w:t>
            </w:r>
          </w:p>
          <w:p w14:paraId="3A688334" w14:textId="77777777" w:rsidR="007B7D2D" w:rsidRPr="007B7D2D" w:rsidRDefault="007B7D2D" w:rsidP="007B7D2D">
            <w:pPr>
              <w:pStyle w:val="NormalWeb"/>
              <w:rPr>
                <w:rFonts w:ascii="Calibri" w:hAnsi="Calibri" w:cs="Calibri"/>
                <w:color w:val="000000"/>
                <w:sz w:val="22"/>
                <w:szCs w:val="22"/>
              </w:rPr>
            </w:pPr>
            <w:r w:rsidRPr="007B7D2D">
              <w:rPr>
                <w:rStyle w:val="Strong"/>
                <w:rFonts w:ascii="Calibri" w:eastAsiaTheme="majorEastAsia" w:hAnsi="Calibri" w:cs="Calibri"/>
                <w:color w:val="000000"/>
                <w:sz w:val="22"/>
                <w:szCs w:val="22"/>
                <w:u w:val="single"/>
              </w:rPr>
              <w:t>Real-life authentic contexts</w:t>
            </w:r>
            <w:r w:rsidRPr="007B7D2D">
              <w:rPr>
                <w:rFonts w:ascii="Calibri" w:hAnsi="Calibri" w:cs="Calibri"/>
                <w:color w:val="000000"/>
                <w:sz w:val="22"/>
                <w:szCs w:val="22"/>
              </w:rPr>
              <w:t> </w:t>
            </w:r>
          </w:p>
          <w:p w14:paraId="567E3C07"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Following my mid-placement report one of my targets was to create real-life authentic contexts within my lessons. As previously mentioned, the pupils had been practising making x groups of x in their maths lessons. However, I had noticed that some pupils were struggling with visualising this without any apparatus. I thought I could hit this target within this lesson by asking the pupils to make groups of 3 using items they would use in everyday life. </w:t>
            </w:r>
          </w:p>
          <w:p w14:paraId="43D1C617"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I collected ‘party items’ such as party plates and cups, party bags, pretend food and ice cubes and cutlery and created a fake scenario in which the pupils worked in a focus group with me to solve the dilemma. </w:t>
            </w:r>
          </w:p>
          <w:p w14:paraId="61A92942"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The pupils were put into groups with their peers who were at a similar ability level to them. Based on these groups I knew which groups I could challenge with 7/8/9, or 12 groups compared to those who would find 5 or 10 groups a challenge. From this, I created a scenario that I needed their help to plan my birthday party and needed to know how many I could invite with the resources I currently had. </w:t>
            </w:r>
          </w:p>
          <w:p w14:paraId="31A0BF11"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In one activity, I asked the pupils to put a knife, fork and spoon on each plate and to count how many people could be invited.</w:t>
            </w:r>
          </w:p>
          <w:p w14:paraId="7ECEACD7"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In another activity, I asked the pupils to put an apple, biscuit and sandwich on each plate.</w:t>
            </w:r>
          </w:p>
          <w:p w14:paraId="59C9A0C0"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lastRenderedPageBreak/>
              <w:t>The third activity asked the pupils to put three ice cubes in each cup and the final activity asked the pupils to put 3 balloons within each party bag. </w:t>
            </w:r>
          </w:p>
          <w:p w14:paraId="2728CE20"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Each group was also given an A4 sheet of paper which was divided into 4 parts. Each box asked the pupils to complete a different task which the pupils had been practicing in their lessons. In the first box, the pupils had to write a number sentence e.g. ‘There are X groups, there are X in each group’ and ‘There are X groups of X’. The second box asked the pupils to write a repeated addition sum as well as the multiplication. The third box asked the pupils to draw what they could see e.g. 5 plates with three pieces of food or 10 cups with 3 ice cubes in each. In their final box, the pupils had to draw an array of what they could see in front of them. </w:t>
            </w:r>
          </w:p>
          <w:p w14:paraId="204AB439" w14:textId="7636DCA1"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By incorporating real-life materials into my maths lesson made the learning much more meaningful, engaging, and effective for the pupils, helping them to develop both mathematical proficiency and problem-solving abilities that are essential for success in school and beyond. </w:t>
            </w:r>
          </w:p>
          <w:p w14:paraId="6CF0B8E2" w14:textId="77777777" w:rsidR="007B7D2D" w:rsidRPr="007B7D2D" w:rsidRDefault="007B7D2D" w:rsidP="007B7D2D">
            <w:pPr>
              <w:pStyle w:val="NormalWeb"/>
              <w:rPr>
                <w:rFonts w:ascii="Calibri" w:hAnsi="Calibri" w:cs="Calibri"/>
                <w:color w:val="000000"/>
                <w:sz w:val="22"/>
                <w:szCs w:val="22"/>
              </w:rPr>
            </w:pPr>
            <w:r w:rsidRPr="007B7D2D">
              <w:rPr>
                <w:rStyle w:val="Strong"/>
                <w:rFonts w:ascii="Calibri" w:eastAsiaTheme="majorEastAsia" w:hAnsi="Calibri" w:cs="Calibri"/>
                <w:color w:val="000000"/>
                <w:sz w:val="22"/>
                <w:szCs w:val="22"/>
                <w:u w:val="single"/>
              </w:rPr>
              <w:t>Sustained effort and resilience in learners</w:t>
            </w:r>
            <w:r w:rsidRPr="007B7D2D">
              <w:rPr>
                <w:rFonts w:ascii="Calibri" w:hAnsi="Calibri" w:cs="Calibri"/>
                <w:color w:val="000000"/>
                <w:sz w:val="22"/>
                <w:szCs w:val="22"/>
              </w:rPr>
              <w:t> </w:t>
            </w:r>
          </w:p>
          <w:p w14:paraId="69F1AF8F"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Teachers play a crucial role in fostering sustained effort and resilience in pupils by creating a supportive and nurturing learning environment, providing opportunities for growth and development and modelling resilience themselves. By helping pupils cultivate these qualities, teachers empower them to face challenges with confidence, resilience, and determination, setting them up for success in school and beyond. </w:t>
            </w:r>
          </w:p>
          <w:p w14:paraId="77E8EBB8"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For one of the activities on rotation activities, the pupils were able to choose what question they wanted to solve. By having this choice, the pupils can choose the most appropriate level of difficulty they want to solve which can be as challenging as they want or the least with no judgement on which they chose to do. </w:t>
            </w:r>
          </w:p>
          <w:p w14:paraId="3DA7EBD4"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By, letting the pupils choose their own questions empowers them as learners, promotes motivation and engagement, supports differentiated instruction, fosters problem-solving skills, and encourages sustained effort and resilience in tackling mathematical challenges. </w:t>
            </w:r>
          </w:p>
          <w:p w14:paraId="4E841F5F" w14:textId="684EE7F4"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 </w:t>
            </w:r>
            <w:r w:rsidRPr="007B7D2D">
              <w:rPr>
                <w:rStyle w:val="Strong"/>
                <w:rFonts w:ascii="Calibri" w:eastAsiaTheme="majorEastAsia" w:hAnsi="Calibri" w:cs="Calibri"/>
                <w:color w:val="000000"/>
                <w:sz w:val="22"/>
                <w:szCs w:val="22"/>
                <w:u w:val="single"/>
              </w:rPr>
              <w:t>Differentiation</w:t>
            </w:r>
            <w:r w:rsidRPr="007B7D2D">
              <w:rPr>
                <w:rFonts w:ascii="Calibri" w:hAnsi="Calibri" w:cs="Calibri"/>
                <w:color w:val="000000"/>
                <w:sz w:val="22"/>
                <w:szCs w:val="22"/>
              </w:rPr>
              <w:t> </w:t>
            </w:r>
          </w:p>
          <w:p w14:paraId="3DB45501"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A second target that came from my mid-placement report was that I hadn’t used any differentiation within my lessons. I thought that due to the maths class being a mix of across the year 3 cohort I had a range of abilities in which I could differentiate for. </w:t>
            </w:r>
          </w:p>
          <w:p w14:paraId="4A2DEADE"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Differentiation refers to the practice of tailoring instruction, class work, and assessments to meet the diverse learning needs of pupils. It involves adjusting the content, process, and product of learning activities to accommodate students' varied readiness levels, interests, and learning styles. Differentiation aims to ensure that all students have access to meaningful and challenging learning experiences that support their growth and success </w:t>
            </w:r>
          </w:p>
          <w:p w14:paraId="5E9828E1"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As previously mentioned, there was a range of abilities within the class where some pupils were much more confident with multiplying by 3 compared to others. Due to this, I adjusted the practical and the questions activity so that they were at an appropriate level for the pupils to feel successful. </w:t>
            </w:r>
          </w:p>
          <w:p w14:paraId="626A0093" w14:textId="28CD120D" w:rsidR="00A96279"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lastRenderedPageBreak/>
              <w:t> Differentiating instruction in maths is essential for meeting the diverse needs of pupils, maximising learning potential, preventing gaps in understanding, promoting equity and inclusion, fostering positive learning experiences, and preparing students for success in the real world. </w:t>
            </w:r>
          </w:p>
          <w:p w14:paraId="17A4EEBB" w14:textId="77777777" w:rsidR="00A96279" w:rsidRPr="007B7D2D" w:rsidRDefault="00A96279" w:rsidP="000478E2">
            <w:pPr>
              <w:pStyle w:val="paragraph"/>
              <w:spacing w:before="0" w:beforeAutospacing="0" w:after="0" w:afterAutospacing="0"/>
              <w:textAlignment w:val="baseline"/>
              <w:rPr>
                <w:rFonts w:ascii="Calibri" w:hAnsi="Calibri" w:cs="Calibri"/>
                <w:sz w:val="22"/>
                <w:szCs w:val="22"/>
              </w:rPr>
            </w:pPr>
          </w:p>
        </w:tc>
      </w:tr>
      <w:tr w:rsidR="00A96279" w:rsidRPr="008D32B1" w14:paraId="046792BD" w14:textId="77777777" w:rsidTr="000478E2">
        <w:tc>
          <w:tcPr>
            <w:tcW w:w="1985" w:type="dxa"/>
          </w:tcPr>
          <w:p w14:paraId="6D58A0DF"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lastRenderedPageBreak/>
              <w:t>What next?</w:t>
            </w:r>
          </w:p>
        </w:tc>
        <w:tc>
          <w:tcPr>
            <w:tcW w:w="9072" w:type="dxa"/>
          </w:tcPr>
          <w:p w14:paraId="18C67D07" w14:textId="77777777" w:rsidR="007B7D2D"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I was able to see first-hand the improvement in pupils who struggled to visualise making ‘X groups of X’ and how the real-life material supported them with their understanding of the topic. I will be using real-life contexts much more often in my future practice after seeing the improvement in the pupil’s work that followed this activity.</w:t>
            </w:r>
          </w:p>
          <w:p w14:paraId="7C20764E" w14:textId="07A78625" w:rsidR="00A96279" w:rsidRPr="007B7D2D" w:rsidRDefault="007B7D2D" w:rsidP="007B7D2D">
            <w:pPr>
              <w:pStyle w:val="NormalWeb"/>
              <w:rPr>
                <w:rFonts w:ascii="Calibri" w:hAnsi="Calibri" w:cs="Calibri"/>
                <w:color w:val="000000"/>
                <w:sz w:val="22"/>
                <w:szCs w:val="22"/>
              </w:rPr>
            </w:pPr>
            <w:r w:rsidRPr="007B7D2D">
              <w:rPr>
                <w:rFonts w:ascii="Calibri" w:hAnsi="Calibri" w:cs="Calibri"/>
                <w:color w:val="000000"/>
                <w:sz w:val="22"/>
                <w:szCs w:val="22"/>
              </w:rPr>
              <w:t>Differentiating the work for the pupil's abilities also proved successful and I was able to see the pupils choosing their work based on their abilities letting them take control and a lead in their maths work. In my future practice I will again use differentiation as much as possible as I recognise that no two pupils are the same and not all of my class will work at the same level as each other.  </w:t>
            </w:r>
          </w:p>
        </w:tc>
      </w:tr>
    </w:tbl>
    <w:p w14:paraId="3E1E85B2" w14:textId="77777777" w:rsidR="00A96279" w:rsidRDefault="00A96279">
      <w:pPr>
        <w:rPr>
          <w:b/>
          <w:bCs/>
        </w:rPr>
      </w:pPr>
    </w:p>
    <w:p w14:paraId="5FF4A03A" w14:textId="3C15BD56" w:rsidR="001700D8" w:rsidRDefault="001700D8">
      <w:pPr>
        <w:rPr>
          <w:b/>
          <w:bCs/>
        </w:rPr>
      </w:pPr>
      <w:r>
        <w:rPr>
          <w:b/>
          <w:bCs/>
        </w:rPr>
        <w:br w:type="page"/>
      </w:r>
    </w:p>
    <w:p w14:paraId="290D50BA" w14:textId="77777777" w:rsidR="00A96279" w:rsidRDefault="00A96279">
      <w:pPr>
        <w:rPr>
          <w:b/>
          <w:bCs/>
        </w:rPr>
      </w:pPr>
    </w:p>
    <w:tbl>
      <w:tblPr>
        <w:tblStyle w:val="TableGrid"/>
        <w:tblW w:w="11057" w:type="dxa"/>
        <w:tblInd w:w="-1139" w:type="dxa"/>
        <w:tblLook w:val="04A0" w:firstRow="1" w:lastRow="0" w:firstColumn="1" w:lastColumn="0" w:noHBand="0" w:noVBand="1"/>
      </w:tblPr>
      <w:tblGrid>
        <w:gridCol w:w="1985"/>
        <w:gridCol w:w="9072"/>
      </w:tblGrid>
      <w:tr w:rsidR="00A96279" w:rsidRPr="008D32B1" w14:paraId="64BA4E17" w14:textId="77777777" w:rsidTr="000478E2">
        <w:tc>
          <w:tcPr>
            <w:tcW w:w="1985" w:type="dxa"/>
          </w:tcPr>
          <w:p w14:paraId="70EE0892" w14:textId="261CC8EF"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 xml:space="preserve">Professional Experience Template </w:t>
            </w:r>
            <w:r>
              <w:rPr>
                <w:rFonts w:ascii="Calibri" w:hAnsi="Calibri" w:cs="Calibri"/>
                <w:b/>
                <w:bCs/>
                <w:color w:val="0070C0"/>
              </w:rPr>
              <w:t>4</w:t>
            </w:r>
          </w:p>
        </w:tc>
        <w:tc>
          <w:tcPr>
            <w:tcW w:w="9072" w:type="dxa"/>
          </w:tcPr>
          <w:p w14:paraId="76CBCAE3" w14:textId="77777777" w:rsidR="00A96279" w:rsidRDefault="00A96279" w:rsidP="000478E2">
            <w:pPr>
              <w:jc w:val="center"/>
              <w:rPr>
                <w:rFonts w:ascii="Calibri" w:hAnsi="Calibri" w:cs="Calibri"/>
                <w:b/>
                <w:bCs/>
              </w:rPr>
            </w:pPr>
          </w:p>
          <w:p w14:paraId="03335E6E" w14:textId="36AC8A0B" w:rsidR="00A96279" w:rsidRPr="008D32B1" w:rsidRDefault="00892365" w:rsidP="000478E2">
            <w:pPr>
              <w:jc w:val="center"/>
              <w:rPr>
                <w:rFonts w:ascii="Calibri" w:hAnsi="Calibri" w:cs="Calibri"/>
                <w:b/>
                <w:bCs/>
              </w:rPr>
            </w:pPr>
            <w:r>
              <w:rPr>
                <w:rFonts w:ascii="Calibri" w:hAnsi="Calibri" w:cs="Calibri"/>
                <w:b/>
                <w:bCs/>
              </w:rPr>
              <w:t>Queen Elizabet II Platinum Jubilee</w:t>
            </w:r>
          </w:p>
        </w:tc>
      </w:tr>
      <w:tr w:rsidR="00A96279" w:rsidRPr="008D32B1" w14:paraId="4C1C2B37" w14:textId="77777777" w:rsidTr="000478E2">
        <w:tc>
          <w:tcPr>
            <w:tcW w:w="1985" w:type="dxa"/>
          </w:tcPr>
          <w:p w14:paraId="5A52C809"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Pedagogy Standard</w:t>
            </w:r>
          </w:p>
        </w:tc>
        <w:tc>
          <w:tcPr>
            <w:tcW w:w="9072" w:type="dxa"/>
          </w:tcPr>
          <w:p w14:paraId="34D0DF88" w14:textId="47FC7FAC" w:rsidR="00A96279" w:rsidRPr="0030493F" w:rsidRDefault="00B76336" w:rsidP="0030493F">
            <w:pPr>
              <w:pStyle w:val="Heading2"/>
              <w:jc w:val="center"/>
              <w:rPr>
                <w:rFonts w:ascii="Calibri" w:hAnsi="Calibri" w:cs="Calibri"/>
                <w:b/>
                <w:bCs/>
                <w:sz w:val="24"/>
                <w:szCs w:val="24"/>
              </w:rPr>
            </w:pPr>
            <w:bookmarkStart w:id="5" w:name="_Toc164019908"/>
            <w:r w:rsidRPr="0030493F">
              <w:rPr>
                <w:rFonts w:ascii="Calibri" w:hAnsi="Calibri" w:cs="Calibri"/>
                <w:b/>
                <w:bCs/>
                <w:color w:val="000000" w:themeColor="text1"/>
                <w:sz w:val="24"/>
                <w:szCs w:val="24"/>
              </w:rPr>
              <w:t>Reinforce c</w:t>
            </w:r>
            <w:r w:rsidR="00A5750F" w:rsidRPr="0030493F">
              <w:rPr>
                <w:rFonts w:ascii="Calibri" w:hAnsi="Calibri" w:cs="Calibri"/>
                <w:b/>
                <w:bCs/>
                <w:color w:val="000000" w:themeColor="text1"/>
                <w:sz w:val="24"/>
                <w:szCs w:val="24"/>
              </w:rPr>
              <w:t xml:space="preserve">ross-curricular </w:t>
            </w:r>
            <w:r w:rsidRPr="0030493F">
              <w:rPr>
                <w:rFonts w:ascii="Calibri" w:hAnsi="Calibri" w:cs="Calibri"/>
                <w:b/>
                <w:bCs/>
                <w:color w:val="000000" w:themeColor="text1"/>
                <w:sz w:val="24"/>
                <w:szCs w:val="24"/>
              </w:rPr>
              <w:t>responsibilities</w:t>
            </w:r>
            <w:bookmarkEnd w:id="5"/>
          </w:p>
        </w:tc>
      </w:tr>
      <w:tr w:rsidR="00A96279" w:rsidRPr="008D32B1" w14:paraId="5C3BA947" w14:textId="77777777" w:rsidTr="000478E2">
        <w:tc>
          <w:tcPr>
            <w:tcW w:w="1985" w:type="dxa"/>
          </w:tcPr>
          <w:p w14:paraId="6FB2A968"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What did you do and why?</w:t>
            </w:r>
          </w:p>
        </w:tc>
        <w:tc>
          <w:tcPr>
            <w:tcW w:w="9072" w:type="dxa"/>
          </w:tcPr>
          <w:p w14:paraId="7C3AA390" w14:textId="77777777" w:rsidR="00A96279" w:rsidRDefault="00A96279" w:rsidP="000478E2">
            <w:pPr>
              <w:pStyle w:val="paragraph"/>
              <w:spacing w:before="0" w:beforeAutospacing="0" w:after="0" w:afterAutospacing="0"/>
              <w:textAlignment w:val="baseline"/>
              <w:rPr>
                <w:rFonts w:ascii="Calibri" w:hAnsi="Calibri" w:cs="Calibri"/>
                <w:color w:val="000000"/>
                <w:sz w:val="22"/>
                <w:szCs w:val="22"/>
                <w:shd w:val="clear" w:color="auto" w:fill="FFFFFF"/>
              </w:rPr>
            </w:pPr>
            <w:r>
              <w:rPr>
                <w:rStyle w:val="eop"/>
                <w:rFonts w:ascii="Calibri" w:eastAsiaTheme="majorEastAsia" w:hAnsi="Calibri" w:cs="Calibri"/>
                <w:sz w:val="14"/>
                <w:szCs w:val="14"/>
              </w:rPr>
              <w:t> </w:t>
            </w:r>
            <w:r w:rsidR="00892365" w:rsidRPr="00892365">
              <w:rPr>
                <w:rFonts w:ascii="Calibri" w:hAnsi="Calibri" w:cs="Calibri"/>
                <w:color w:val="000000"/>
                <w:sz w:val="22"/>
                <w:szCs w:val="22"/>
                <w:shd w:val="clear" w:color="auto" w:fill="FFFFFF"/>
              </w:rPr>
              <w:t>During PTE 1, like most schools around the country, my school spent the Summer term learning about Queen Elizabeth II and her Platinum Jubilee.</w:t>
            </w:r>
          </w:p>
          <w:p w14:paraId="5F911767" w14:textId="657419E5" w:rsidR="00892365" w:rsidRPr="00892365" w:rsidRDefault="00892365" w:rsidP="000478E2">
            <w:pPr>
              <w:pStyle w:val="paragraph"/>
              <w:spacing w:before="0" w:beforeAutospacing="0" w:after="0" w:afterAutospacing="0"/>
              <w:textAlignment w:val="baseline"/>
              <w:rPr>
                <w:rFonts w:ascii="Calibri" w:hAnsi="Calibri" w:cs="Calibri"/>
                <w:sz w:val="22"/>
                <w:szCs w:val="22"/>
              </w:rPr>
            </w:pPr>
          </w:p>
        </w:tc>
      </w:tr>
      <w:tr w:rsidR="00A96279" w:rsidRPr="008D32B1" w14:paraId="01745462" w14:textId="77777777" w:rsidTr="000478E2">
        <w:tc>
          <w:tcPr>
            <w:tcW w:w="1985" w:type="dxa"/>
          </w:tcPr>
          <w:p w14:paraId="77D9E0FB"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What have you learnt?</w:t>
            </w:r>
          </w:p>
        </w:tc>
        <w:tc>
          <w:tcPr>
            <w:tcW w:w="9072" w:type="dxa"/>
          </w:tcPr>
          <w:p w14:paraId="1EA62D5A" w14:textId="5AB3E0E0" w:rsidR="00892365" w:rsidRPr="00892365" w:rsidRDefault="00A96279" w:rsidP="00892365">
            <w:pPr>
              <w:pStyle w:val="NormalWeb"/>
              <w:spacing w:before="0" w:beforeAutospacing="0" w:after="0"/>
              <w:rPr>
                <w:rFonts w:ascii="Calibri" w:eastAsiaTheme="majorEastAsia" w:hAnsi="Calibri" w:cs="Calibri"/>
                <w:sz w:val="22"/>
                <w:szCs w:val="22"/>
              </w:rPr>
            </w:pPr>
            <w:r w:rsidRPr="00892365">
              <w:rPr>
                <w:rStyle w:val="eop"/>
                <w:rFonts w:ascii="Calibri" w:eastAsiaTheme="majorEastAsia" w:hAnsi="Calibri" w:cs="Calibri"/>
                <w:sz w:val="22"/>
                <w:szCs w:val="22"/>
              </w:rPr>
              <w:t> </w:t>
            </w:r>
            <w:r w:rsidR="00892365" w:rsidRPr="00892365">
              <w:rPr>
                <w:rFonts w:ascii="Calibri" w:hAnsi="Calibri" w:cs="Calibri"/>
                <w:color w:val="000000"/>
                <w:sz w:val="22"/>
                <w:szCs w:val="22"/>
              </w:rPr>
              <w:t>This teaching and learning experience was relevant to my progressive practice. It relates to the following professional standards: Real, life authentic contexts, cross-curricular themes and offering expertise.</w:t>
            </w:r>
          </w:p>
          <w:p w14:paraId="68269C5A"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b/>
                <w:bCs/>
                <w:color w:val="000000"/>
                <w:sz w:val="22"/>
                <w:szCs w:val="22"/>
                <w:u w:val="single"/>
              </w:rPr>
              <w:t>Pedagogy: Advancing learning - Real, life authentic contexts</w:t>
            </w:r>
          </w:p>
          <w:p w14:paraId="2C490D8D"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color w:val="000000"/>
                <w:sz w:val="22"/>
                <w:szCs w:val="22"/>
              </w:rPr>
              <w:t>The basic idea of authentic learning is that students are more likely to be interested in what they are learning and more motivated to learn new concepts and skills if what they are learning mirrors real-life (</w:t>
            </w:r>
            <w:proofErr w:type="spellStart"/>
            <w:r w:rsidRPr="00892365">
              <w:rPr>
                <w:rFonts w:ascii="Calibri" w:hAnsi="Calibri" w:cs="Calibri"/>
                <w:color w:val="000000"/>
                <w:sz w:val="22"/>
                <w:szCs w:val="22"/>
              </w:rPr>
              <w:t>Winklelman</w:t>
            </w:r>
            <w:proofErr w:type="spellEnd"/>
            <w:r w:rsidRPr="00892365">
              <w:rPr>
                <w:rFonts w:ascii="Calibri" w:hAnsi="Calibri" w:cs="Calibri"/>
                <w:color w:val="000000"/>
                <w:sz w:val="22"/>
                <w:szCs w:val="22"/>
              </w:rPr>
              <w:t>, 2020).</w:t>
            </w:r>
          </w:p>
          <w:p w14:paraId="0999A06F"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color w:val="000000"/>
                <w:sz w:val="22"/>
                <w:szCs w:val="22"/>
              </w:rPr>
              <w:t>The Jubilee was spoken about constantly both in and out of school. Whether it was from seeing the decorations in the supermarkets or outside people’s houses to people discussing the bank holiday and having a day off from work/school. The pupils were very much aware of this upcoming celebration.</w:t>
            </w:r>
          </w:p>
          <w:p w14:paraId="65AC7D5E"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color w:val="000000"/>
                <w:sz w:val="22"/>
                <w:szCs w:val="22"/>
              </w:rPr>
              <w:t>Using this as the topic of the summer term made the content taught more relatable and helped the pupils to connect more deeply with this topic as it was a real-life event that they were soon to experience.</w:t>
            </w:r>
          </w:p>
          <w:p w14:paraId="63F02AC9" w14:textId="097C7EF7" w:rsidR="00892365" w:rsidRDefault="00892365" w:rsidP="00892365">
            <w:pPr>
              <w:pStyle w:val="NormalWeb"/>
              <w:spacing w:before="0" w:after="0"/>
              <w:rPr>
                <w:rFonts w:ascii="Calibri" w:hAnsi="Calibri" w:cs="Calibri"/>
                <w:color w:val="000000"/>
                <w:sz w:val="22"/>
                <w:szCs w:val="22"/>
              </w:rPr>
            </w:pPr>
            <w:r w:rsidRPr="00892365">
              <w:rPr>
                <w:rFonts w:ascii="Calibri" w:hAnsi="Calibri" w:cs="Calibri"/>
                <w:color w:val="000000"/>
                <w:sz w:val="22"/>
                <w:szCs w:val="22"/>
              </w:rPr>
              <w:t>When teaching pupils about the Monarchy, it tends to focus on the Tudors and the Victorians. The only facts that the pupils can source from this time would be from the book whereas with the Queen’s Jubilee, they got to experience it first-hand e.g. watching it on the TV. It also gave the pupils the opportunity to learn about the Monarchy today that they wouldn’t normally learn about on any other occasion.</w:t>
            </w:r>
          </w:p>
          <w:p w14:paraId="55B6C65F" w14:textId="77777777" w:rsidR="00892365" w:rsidRPr="00892365" w:rsidRDefault="00892365" w:rsidP="00892365">
            <w:pPr>
              <w:pStyle w:val="NormalWeb"/>
              <w:spacing w:before="0" w:after="0"/>
              <w:rPr>
                <w:rFonts w:ascii="Calibri" w:hAnsi="Calibri" w:cs="Calibri"/>
                <w:color w:val="161616"/>
                <w:sz w:val="22"/>
                <w:szCs w:val="22"/>
              </w:rPr>
            </w:pPr>
          </w:p>
          <w:p w14:paraId="694AC245" w14:textId="77777777" w:rsidR="00892365" w:rsidRDefault="00892365" w:rsidP="00892365">
            <w:pPr>
              <w:pStyle w:val="NormalWeb"/>
              <w:spacing w:before="0" w:after="0"/>
              <w:rPr>
                <w:rFonts w:ascii="Calibri" w:hAnsi="Calibri" w:cs="Calibri"/>
                <w:b/>
                <w:bCs/>
                <w:color w:val="000000"/>
                <w:sz w:val="22"/>
                <w:szCs w:val="22"/>
                <w:u w:val="single"/>
              </w:rPr>
            </w:pPr>
            <w:r w:rsidRPr="00892365">
              <w:rPr>
                <w:rFonts w:ascii="Calibri" w:hAnsi="Calibri" w:cs="Calibri"/>
                <w:b/>
                <w:bCs/>
                <w:color w:val="000000"/>
                <w:sz w:val="22"/>
                <w:szCs w:val="22"/>
                <w:u w:val="single"/>
              </w:rPr>
              <w:t>Pedagogy: Advancing learning - Cross-Curricular themes</w:t>
            </w:r>
          </w:p>
          <w:p w14:paraId="7B1AEE54" w14:textId="3C88DB1D"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color w:val="000000"/>
                <w:sz w:val="22"/>
                <w:szCs w:val="22"/>
              </w:rPr>
              <w:t>Cross-curricular themes refers to an overarching topic that connects and integrates content from multiple subject areas. The goal is to provide a more holistic and interconnected approach to learning. This approach emphasises the application of knowledge in real-world contexts and encourages critical thinking and problem-solving skills.</w:t>
            </w:r>
          </w:p>
          <w:p w14:paraId="5335F557"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color w:val="000000"/>
                <w:sz w:val="22"/>
                <w:szCs w:val="22"/>
              </w:rPr>
              <w:t>The Queen’s Jubilee was used as the theme and the lessons delivered throughout the school all linked to this.</w:t>
            </w:r>
          </w:p>
          <w:p w14:paraId="5811E8F0"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color w:val="000000"/>
                <w:sz w:val="22"/>
                <w:szCs w:val="22"/>
              </w:rPr>
              <w:t>Examples of some lessons taught across all AoLE’s included:</w:t>
            </w:r>
          </w:p>
          <w:p w14:paraId="42223354"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b/>
                <w:bCs/>
                <w:color w:val="000000"/>
                <w:sz w:val="22"/>
                <w:szCs w:val="22"/>
              </w:rPr>
              <w:lastRenderedPageBreak/>
              <w:t>Language Literacy and Communication</w:t>
            </w:r>
            <w:r w:rsidRPr="00892365">
              <w:rPr>
                <w:rStyle w:val="apple-converted-space"/>
                <w:rFonts w:ascii="Calibri" w:eastAsiaTheme="majorEastAsia" w:hAnsi="Calibri" w:cs="Calibri"/>
                <w:color w:val="000000"/>
                <w:sz w:val="22"/>
                <w:szCs w:val="22"/>
              </w:rPr>
              <w:t> </w:t>
            </w:r>
            <w:r w:rsidRPr="00892365">
              <w:rPr>
                <w:rFonts w:ascii="Calibri" w:hAnsi="Calibri" w:cs="Calibri"/>
                <w:color w:val="000000"/>
                <w:sz w:val="22"/>
                <w:szCs w:val="22"/>
              </w:rPr>
              <w:t>- Queen reading Comprehension, KWL grid, Write a letter to the Queen’s guard, Write an invitation to the garden party.</w:t>
            </w:r>
          </w:p>
          <w:p w14:paraId="3517E5D3"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b/>
                <w:bCs/>
                <w:color w:val="000000"/>
                <w:sz w:val="22"/>
                <w:szCs w:val="22"/>
              </w:rPr>
              <w:t>Mathematics and Numeracy</w:t>
            </w:r>
            <w:r w:rsidRPr="00892365">
              <w:rPr>
                <w:rStyle w:val="apple-converted-space"/>
                <w:rFonts w:ascii="Calibri" w:eastAsiaTheme="majorEastAsia" w:hAnsi="Calibri" w:cs="Calibri"/>
                <w:color w:val="000000"/>
                <w:sz w:val="22"/>
                <w:szCs w:val="22"/>
              </w:rPr>
              <w:t> </w:t>
            </w:r>
            <w:r w:rsidRPr="00892365">
              <w:rPr>
                <w:rFonts w:ascii="Calibri" w:hAnsi="Calibri" w:cs="Calibri"/>
                <w:color w:val="000000"/>
                <w:sz w:val="22"/>
                <w:szCs w:val="22"/>
              </w:rPr>
              <w:t>- Measure bodies for your own Guards uniform, What food can we buy with our budget for the garden party.</w:t>
            </w:r>
          </w:p>
          <w:p w14:paraId="70D88DFD"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b/>
                <w:bCs/>
                <w:color w:val="000000"/>
                <w:sz w:val="22"/>
                <w:szCs w:val="22"/>
              </w:rPr>
              <w:t>Expressive Arts</w:t>
            </w:r>
            <w:r w:rsidRPr="00892365">
              <w:rPr>
                <w:rStyle w:val="apple-converted-space"/>
                <w:rFonts w:ascii="Calibri" w:eastAsiaTheme="majorEastAsia" w:hAnsi="Calibri" w:cs="Calibri"/>
                <w:color w:val="000000"/>
                <w:sz w:val="22"/>
                <w:szCs w:val="22"/>
              </w:rPr>
              <w:t> </w:t>
            </w:r>
            <w:r w:rsidRPr="00892365">
              <w:rPr>
                <w:rFonts w:ascii="Calibri" w:hAnsi="Calibri" w:cs="Calibri"/>
                <w:color w:val="000000"/>
                <w:sz w:val="22"/>
                <w:szCs w:val="22"/>
              </w:rPr>
              <w:t>- Drawing the Queen’s Portrait, Create a cake for the garden party using plasticine.</w:t>
            </w:r>
          </w:p>
          <w:p w14:paraId="3ECC27E9"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b/>
                <w:bCs/>
                <w:color w:val="000000"/>
                <w:sz w:val="22"/>
                <w:szCs w:val="22"/>
              </w:rPr>
              <w:t>Health &amp; Well-being</w:t>
            </w:r>
            <w:r w:rsidRPr="00892365">
              <w:rPr>
                <w:rStyle w:val="apple-converted-space"/>
                <w:rFonts w:ascii="Calibri" w:eastAsiaTheme="majorEastAsia" w:hAnsi="Calibri" w:cs="Calibri"/>
                <w:color w:val="000000"/>
                <w:sz w:val="22"/>
                <w:szCs w:val="22"/>
              </w:rPr>
              <w:t> </w:t>
            </w:r>
            <w:r w:rsidRPr="00892365">
              <w:rPr>
                <w:rFonts w:ascii="Calibri" w:hAnsi="Calibri" w:cs="Calibri"/>
                <w:color w:val="000000"/>
                <w:sz w:val="22"/>
                <w:szCs w:val="22"/>
              </w:rPr>
              <w:t>- Learn a Kenyan tribal dance (Commonwealth country - each year group had a different country to learn about).</w:t>
            </w:r>
          </w:p>
          <w:p w14:paraId="3923D901"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b/>
                <w:bCs/>
                <w:color w:val="000000"/>
                <w:sz w:val="22"/>
                <w:szCs w:val="22"/>
              </w:rPr>
              <w:t>Science &amp; Technology</w:t>
            </w:r>
            <w:r w:rsidRPr="00892365">
              <w:rPr>
                <w:rStyle w:val="apple-converted-space"/>
                <w:rFonts w:ascii="Calibri" w:eastAsiaTheme="majorEastAsia" w:hAnsi="Calibri" w:cs="Calibri"/>
                <w:color w:val="000000"/>
                <w:sz w:val="22"/>
                <w:szCs w:val="22"/>
              </w:rPr>
              <w:t> </w:t>
            </w:r>
            <w:r w:rsidRPr="00892365">
              <w:rPr>
                <w:rFonts w:ascii="Calibri" w:hAnsi="Calibri" w:cs="Calibri"/>
                <w:color w:val="000000"/>
                <w:sz w:val="22"/>
                <w:szCs w:val="22"/>
              </w:rPr>
              <w:t xml:space="preserve">- Send an email to the Queen’s guards, Record your group copying the changing of the </w:t>
            </w:r>
            <w:proofErr w:type="gramStart"/>
            <w:r w:rsidRPr="00892365">
              <w:rPr>
                <w:rFonts w:ascii="Calibri" w:hAnsi="Calibri" w:cs="Calibri"/>
                <w:color w:val="000000"/>
                <w:sz w:val="22"/>
                <w:szCs w:val="22"/>
              </w:rPr>
              <w:t>guards</w:t>
            </w:r>
            <w:proofErr w:type="gramEnd"/>
            <w:r w:rsidRPr="00892365">
              <w:rPr>
                <w:rFonts w:ascii="Calibri" w:hAnsi="Calibri" w:cs="Calibri"/>
                <w:color w:val="000000"/>
                <w:sz w:val="22"/>
                <w:szCs w:val="22"/>
              </w:rPr>
              <w:t xml:space="preserve"> video, Create and edit a photograph of you as a royal guard.</w:t>
            </w:r>
          </w:p>
          <w:p w14:paraId="2F48E085"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b/>
                <w:bCs/>
                <w:color w:val="000000"/>
                <w:sz w:val="22"/>
                <w:szCs w:val="22"/>
              </w:rPr>
              <w:t>Humanities</w:t>
            </w:r>
            <w:r w:rsidRPr="00892365">
              <w:rPr>
                <w:rStyle w:val="apple-converted-space"/>
                <w:rFonts w:ascii="Calibri" w:eastAsiaTheme="majorEastAsia" w:hAnsi="Calibri" w:cs="Calibri"/>
                <w:color w:val="000000"/>
                <w:sz w:val="22"/>
                <w:szCs w:val="22"/>
              </w:rPr>
              <w:t> </w:t>
            </w:r>
            <w:r w:rsidRPr="00892365">
              <w:rPr>
                <w:rFonts w:ascii="Calibri" w:hAnsi="Calibri" w:cs="Calibri"/>
                <w:color w:val="000000"/>
                <w:sz w:val="22"/>
                <w:szCs w:val="22"/>
              </w:rPr>
              <w:t>- Researching &amp; creating a timeline of key events in the Queen’s reign, Mark on the map where the royal residencies are.</w:t>
            </w:r>
          </w:p>
          <w:p w14:paraId="19DA0A09" w14:textId="77777777" w:rsidR="00892365" w:rsidRPr="00892365" w:rsidRDefault="00892365" w:rsidP="00892365">
            <w:pPr>
              <w:pStyle w:val="NormalWeb"/>
              <w:rPr>
                <w:rFonts w:ascii="Calibri" w:hAnsi="Calibri" w:cs="Calibri"/>
                <w:color w:val="161616"/>
                <w:sz w:val="22"/>
                <w:szCs w:val="22"/>
              </w:rPr>
            </w:pPr>
            <w:r w:rsidRPr="00892365">
              <w:rPr>
                <w:rFonts w:ascii="Calibri" w:hAnsi="Calibri" w:cs="Calibri"/>
                <w:color w:val="161616"/>
                <w:sz w:val="22"/>
                <w:szCs w:val="22"/>
              </w:rPr>
              <w:t> </w:t>
            </w:r>
          </w:p>
          <w:p w14:paraId="5CBFCC31"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b/>
                <w:bCs/>
                <w:color w:val="000000"/>
                <w:sz w:val="22"/>
                <w:szCs w:val="22"/>
                <w:u w:val="single"/>
              </w:rPr>
              <w:t>Innovation - Offering Expertise</w:t>
            </w:r>
          </w:p>
          <w:p w14:paraId="4509543C" w14:textId="77777777" w:rsidR="00892365" w:rsidRPr="00892365" w:rsidRDefault="00892365" w:rsidP="00892365">
            <w:pPr>
              <w:pStyle w:val="NormalWeb"/>
              <w:spacing w:before="0" w:after="0"/>
              <w:rPr>
                <w:rFonts w:ascii="Calibri" w:hAnsi="Calibri" w:cs="Calibri"/>
                <w:color w:val="161616"/>
                <w:sz w:val="22"/>
                <w:szCs w:val="22"/>
              </w:rPr>
            </w:pPr>
            <w:r w:rsidRPr="00892365">
              <w:rPr>
                <w:rFonts w:ascii="Calibri" w:hAnsi="Calibri" w:cs="Calibri"/>
                <w:color w:val="000000"/>
                <w:sz w:val="22"/>
                <w:szCs w:val="22"/>
              </w:rPr>
              <w:t xml:space="preserve">I created and delivered two games of </w:t>
            </w:r>
            <w:proofErr w:type="spellStart"/>
            <w:r w:rsidRPr="00892365">
              <w:rPr>
                <w:rFonts w:ascii="Calibri" w:hAnsi="Calibri" w:cs="Calibri"/>
                <w:color w:val="000000"/>
                <w:sz w:val="22"/>
                <w:szCs w:val="22"/>
              </w:rPr>
              <w:t>Kahoots</w:t>
            </w:r>
            <w:proofErr w:type="spellEnd"/>
            <w:r w:rsidRPr="00892365">
              <w:rPr>
                <w:rFonts w:ascii="Calibri" w:hAnsi="Calibri" w:cs="Calibri"/>
                <w:color w:val="000000"/>
                <w:sz w:val="22"/>
                <w:szCs w:val="22"/>
              </w:rPr>
              <w:t xml:space="preserve"> for the pupils in my year 2 class. One was through the medium of Welsh, practicing the sentence patterns the pupils knew and linking them to the Queen (See evidence for examples). The second Kahoot game was a general knowledge game using all of the facts about the Queen that were taught the weeks prior. After delivering the two games my class mentor asked if I would sit down with her and explain how to create the Kahoot games as she would like to use it with the class in the future.</w:t>
            </w:r>
          </w:p>
          <w:p w14:paraId="1309FE7A" w14:textId="460C9918" w:rsidR="00A96279" w:rsidRPr="00892365" w:rsidRDefault="00892365" w:rsidP="00892365">
            <w:pPr>
              <w:pStyle w:val="NormalWeb"/>
              <w:spacing w:before="0" w:after="0" w:afterAutospacing="0"/>
              <w:rPr>
                <w:rFonts w:ascii="Calibri" w:hAnsi="Calibri" w:cs="Calibri"/>
                <w:color w:val="161616"/>
                <w:sz w:val="22"/>
                <w:szCs w:val="22"/>
              </w:rPr>
            </w:pPr>
            <w:r w:rsidRPr="00892365">
              <w:rPr>
                <w:rFonts w:ascii="Calibri" w:hAnsi="Calibri" w:cs="Calibri"/>
                <w:color w:val="000000"/>
                <w:sz w:val="22"/>
                <w:szCs w:val="22"/>
              </w:rPr>
              <w:t>I sat down with my mentor one lunch time and went through step by step how to create a new game or use/edit an already existing game. I showed her the different type of questions she could choose (Multiple choice, True or False) and made sure she understood fully what she needed to do to present it to the class.</w:t>
            </w:r>
          </w:p>
        </w:tc>
      </w:tr>
      <w:tr w:rsidR="00A96279" w:rsidRPr="008D32B1" w14:paraId="2DEBA256" w14:textId="77777777" w:rsidTr="000478E2">
        <w:tc>
          <w:tcPr>
            <w:tcW w:w="1985" w:type="dxa"/>
          </w:tcPr>
          <w:p w14:paraId="66D5E0B5" w14:textId="77777777" w:rsidR="00A96279" w:rsidRPr="008D32B1" w:rsidRDefault="00A96279" w:rsidP="000478E2">
            <w:pPr>
              <w:jc w:val="center"/>
              <w:rPr>
                <w:rFonts w:ascii="Calibri" w:hAnsi="Calibri" w:cs="Calibri"/>
                <w:b/>
                <w:bCs/>
                <w:color w:val="0070C0"/>
              </w:rPr>
            </w:pPr>
            <w:r w:rsidRPr="008D32B1">
              <w:rPr>
                <w:rFonts w:ascii="Calibri" w:hAnsi="Calibri" w:cs="Calibri"/>
                <w:b/>
                <w:bCs/>
                <w:color w:val="0070C0"/>
              </w:rPr>
              <w:t>What next?</w:t>
            </w:r>
          </w:p>
        </w:tc>
        <w:tc>
          <w:tcPr>
            <w:tcW w:w="9072" w:type="dxa"/>
          </w:tcPr>
          <w:p w14:paraId="0F35B50D" w14:textId="4B4158D9" w:rsidR="00892365" w:rsidRPr="002A1B40" w:rsidRDefault="00892365" w:rsidP="00892365">
            <w:pPr>
              <w:pStyle w:val="NormalWeb"/>
              <w:spacing w:before="0" w:beforeAutospacing="0" w:after="0"/>
              <w:rPr>
                <w:rFonts w:ascii="Calibri" w:hAnsi="Calibri" w:cs="Calibri"/>
                <w:color w:val="161616"/>
                <w:sz w:val="22"/>
                <w:szCs w:val="22"/>
              </w:rPr>
            </w:pPr>
            <w:r w:rsidRPr="002A1B40">
              <w:rPr>
                <w:rFonts w:ascii="Calibri" w:hAnsi="Calibri" w:cs="Calibri"/>
                <w:color w:val="000000"/>
                <w:sz w:val="22"/>
                <w:szCs w:val="22"/>
              </w:rPr>
              <w:t>After observing how engaged the pupils were in the topic of the Queen’s jubilee, I will try to use real life contexts and cross curricular themes through my teaching to make the pupil’s learning experience more relevant and meaningful to their own lives.</w:t>
            </w:r>
          </w:p>
          <w:p w14:paraId="361A66EF" w14:textId="3F21F611" w:rsidR="00A96279" w:rsidRPr="00892365" w:rsidRDefault="00892365" w:rsidP="00892365">
            <w:pPr>
              <w:pStyle w:val="NormalWeb"/>
              <w:spacing w:before="0" w:after="0" w:afterAutospacing="0"/>
              <w:rPr>
                <w:rFonts w:ascii="Open Sans" w:hAnsi="Open Sans" w:cs="Open Sans"/>
                <w:color w:val="161616"/>
                <w:sz w:val="21"/>
                <w:szCs w:val="21"/>
              </w:rPr>
            </w:pPr>
            <w:r w:rsidRPr="002A1B40">
              <w:rPr>
                <w:rFonts w:ascii="Calibri" w:hAnsi="Calibri" w:cs="Calibri"/>
                <w:color w:val="000000"/>
                <w:sz w:val="22"/>
                <w:szCs w:val="22"/>
              </w:rPr>
              <w:t>In my future practice I hope to share even more professional knowledge that I have gained and share it with colleagues who may not have the understanding of certain topics that I do. By offering my expertise, contributes to a collaborative and supportive teaching community.</w:t>
            </w:r>
          </w:p>
        </w:tc>
      </w:tr>
    </w:tbl>
    <w:p w14:paraId="78625F46" w14:textId="77777777" w:rsidR="00A96279" w:rsidRDefault="00A96279">
      <w:pPr>
        <w:rPr>
          <w:b/>
          <w:bCs/>
        </w:rPr>
      </w:pPr>
    </w:p>
    <w:p w14:paraId="7D960EFE" w14:textId="77777777" w:rsidR="0030493F" w:rsidRDefault="0030493F">
      <w:pPr>
        <w:rPr>
          <w:b/>
          <w:bCs/>
        </w:rPr>
      </w:pPr>
    </w:p>
    <w:p w14:paraId="65B75917" w14:textId="77777777" w:rsidR="0030493F" w:rsidRDefault="0030493F">
      <w:pPr>
        <w:rPr>
          <w:b/>
          <w:bCs/>
        </w:rPr>
      </w:pPr>
    </w:p>
    <w:p w14:paraId="7F4791E3" w14:textId="77B4ACDE" w:rsidR="0030493F" w:rsidRDefault="0030493F">
      <w:pPr>
        <w:rPr>
          <w:b/>
          <w:bCs/>
        </w:rPr>
      </w:pPr>
      <w:r>
        <w:rPr>
          <w:b/>
          <w:bCs/>
        </w:rPr>
        <w:br w:type="page"/>
      </w:r>
    </w:p>
    <w:p w14:paraId="6958C724" w14:textId="26A64D7E" w:rsidR="0030493F" w:rsidRDefault="0030493F" w:rsidP="0030493F">
      <w:pPr>
        <w:pStyle w:val="Heading1"/>
        <w:rPr>
          <w:rFonts w:ascii="Calibri" w:hAnsi="Calibri" w:cs="Calibri"/>
          <w:b/>
          <w:bCs/>
          <w:color w:val="000000" w:themeColor="text1"/>
        </w:rPr>
      </w:pPr>
      <w:bookmarkStart w:id="6" w:name="_Toc164019909"/>
      <w:r w:rsidRPr="0030493F">
        <w:rPr>
          <w:rFonts w:ascii="Calibri" w:hAnsi="Calibri" w:cs="Calibri"/>
          <w:b/>
          <w:bCs/>
          <w:color w:val="000000" w:themeColor="text1"/>
        </w:rPr>
        <w:lastRenderedPageBreak/>
        <w:t>Part 2</w:t>
      </w:r>
      <w:bookmarkEnd w:id="6"/>
    </w:p>
    <w:p w14:paraId="0FF5DE8F"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284559A"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44F747E0" w14:textId="3DC6D568"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Any discussion about how to teach within Curriculum for Wales invariably starts with the twelve Pedagogical Principles set out by Professor Graham Donaldson (Impact Wales, 2023). Donaldson’s approach to the creation of the twelve principles was that they should enable teachers to ensure that the four purposes of the curriculum are fulfilled for every pupil and underpin all teaching and learning in Wales (Donaldson, 2015). Grossman (1990) explains that knowledge of the pedagogical content is ‘not an add-on but it is the heart of good teaching and can significantly improve teaching effectiveness and pupil outcomes. Therefore, during my Professional Teaching Experiences (PTEs) I made sure that I was referring to these principles and using them to adapt my teaching in a way that is relevant to the pupil’s needs (</w:t>
      </w:r>
      <w:proofErr w:type="spellStart"/>
      <w:r w:rsidRPr="00243A53">
        <w:rPr>
          <w:rFonts w:ascii="Calibri" w:hAnsi="Calibri" w:cs="Calibri"/>
          <w:color w:val="000000"/>
        </w:rPr>
        <w:t>Shirke</w:t>
      </w:r>
      <w:proofErr w:type="spellEnd"/>
      <w:r w:rsidRPr="00243A53">
        <w:rPr>
          <w:rFonts w:ascii="Calibri" w:hAnsi="Calibri" w:cs="Calibri"/>
          <w:color w:val="000000"/>
        </w:rPr>
        <w:t>, 2021).</w:t>
      </w:r>
    </w:p>
    <w:p w14:paraId="5D8D474C"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0FF5102B"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Across all 3 of my PTEs, I have recognised and identified lessons, events and experiences that demonstrate my knowledge of Donaldson’s twelve pedagogical principles within my own practice. For the purpose of this assignment, I focused on four experiences which show the specific principles in practice which can be found within Part 1 of this assignment.</w:t>
      </w:r>
    </w:p>
    <w:p w14:paraId="477A0821"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F96B0E8"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i/>
          <w:iCs/>
          <w:color w:val="000000"/>
        </w:rPr>
      </w:pPr>
      <w:r w:rsidRPr="00243A53">
        <w:rPr>
          <w:rFonts w:ascii="Calibri" w:hAnsi="Calibri" w:cs="Calibri"/>
          <w:color w:val="000000"/>
        </w:rPr>
        <w:t xml:space="preserve">However, effective teaching involves more than just delivering information; it is also about understanding the impact of one’s actions and constantly improving your own practice (Bosman, 2023). Consequently, I have identified two of these principles as areas for further development. The strands which I will discuss within this assignment </w:t>
      </w:r>
      <w:proofErr w:type="gramStart"/>
      <w:r w:rsidRPr="00243A53">
        <w:rPr>
          <w:rFonts w:ascii="Calibri" w:hAnsi="Calibri" w:cs="Calibri"/>
          <w:color w:val="000000"/>
        </w:rPr>
        <w:t>are:</w:t>
      </w:r>
      <w:proofErr w:type="gramEnd"/>
      <w:r w:rsidRPr="00243A53">
        <w:rPr>
          <w:rFonts w:ascii="Calibri" w:hAnsi="Calibri" w:cs="Calibri"/>
          <w:color w:val="000000"/>
        </w:rPr>
        <w:t xml:space="preserve"> </w:t>
      </w:r>
      <w:r w:rsidRPr="00243A53">
        <w:rPr>
          <w:rFonts w:ascii="Calibri" w:hAnsi="Calibri" w:cs="Calibri"/>
          <w:i/>
          <w:iCs/>
          <w:color w:val="000000"/>
        </w:rPr>
        <w:t>creating authentic contexts for learning</w:t>
      </w:r>
      <w:r w:rsidRPr="00243A53">
        <w:rPr>
          <w:rFonts w:ascii="Calibri" w:hAnsi="Calibri" w:cs="Calibri"/>
          <w:color w:val="000000"/>
        </w:rPr>
        <w:t xml:space="preserve"> and </w:t>
      </w:r>
      <w:r w:rsidRPr="00243A53">
        <w:rPr>
          <w:rFonts w:ascii="Calibri" w:hAnsi="Calibri" w:cs="Calibri"/>
          <w:i/>
          <w:iCs/>
          <w:color w:val="000000"/>
        </w:rPr>
        <w:t>reinforcing cross-curricular</w:t>
      </w:r>
      <w:r w:rsidRPr="00243A53">
        <w:rPr>
          <w:rFonts w:ascii="Calibri" w:hAnsi="Calibri" w:cs="Calibri"/>
          <w:color w:val="000000"/>
        </w:rPr>
        <w:t xml:space="preserve"> </w:t>
      </w:r>
      <w:r w:rsidRPr="00243A53">
        <w:rPr>
          <w:rFonts w:ascii="Calibri" w:hAnsi="Calibri" w:cs="Calibri"/>
          <w:i/>
          <w:iCs/>
          <w:color w:val="000000"/>
        </w:rPr>
        <w:t>responsibilities.</w:t>
      </w:r>
    </w:p>
    <w:p w14:paraId="430D82BB"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i/>
          <w:iCs/>
          <w:color w:val="000000"/>
        </w:rPr>
      </w:pPr>
    </w:p>
    <w:p w14:paraId="785D2097"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39A4AC61"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B301424"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7807145F"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5EBB6718"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76E020FD"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627781DF"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7B826D6"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color w:val="000000"/>
          <w:u w:val="single"/>
        </w:rPr>
      </w:pPr>
      <w:r w:rsidRPr="00243A53">
        <w:rPr>
          <w:rFonts w:ascii="Calibri" w:hAnsi="Calibri" w:cs="Calibri"/>
          <w:b/>
          <w:bCs/>
          <w:color w:val="000000"/>
          <w:u w:val="single"/>
        </w:rPr>
        <w:t xml:space="preserve">Creating authentic contexts for learning </w:t>
      </w:r>
    </w:p>
    <w:p w14:paraId="5EB69B75"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color w:val="000000"/>
          <w:u w:val="single"/>
        </w:rPr>
      </w:pPr>
    </w:p>
    <w:p w14:paraId="1E76CECB"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i/>
          <w:iCs/>
          <w:color w:val="000000"/>
        </w:rPr>
      </w:pPr>
      <w:r w:rsidRPr="00243A53">
        <w:rPr>
          <w:rFonts w:ascii="Calibri" w:hAnsi="Calibri" w:cs="Calibri"/>
          <w:i/>
          <w:iCs/>
          <w:color w:val="000000"/>
        </w:rPr>
        <w:tab/>
        <w:t>“Tell me and I forget. Teach me and I remember. Involve me and I learn”</w:t>
      </w:r>
    </w:p>
    <w:p w14:paraId="4EE7FBD1"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i/>
          <w:iCs/>
          <w:color w:val="000000"/>
        </w:rPr>
      </w:pP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i/>
          <w:iCs/>
          <w:color w:val="000000"/>
        </w:rPr>
        <w:tab/>
      </w:r>
      <w:r w:rsidRPr="00243A53">
        <w:rPr>
          <w:rFonts w:ascii="Calibri" w:hAnsi="Calibri" w:cs="Calibri"/>
          <w:b/>
          <w:bCs/>
          <w:i/>
          <w:iCs/>
          <w:color w:val="000000"/>
        </w:rPr>
        <w:t>Benjamin Franklin</w:t>
      </w:r>
    </w:p>
    <w:p w14:paraId="34B45200"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04BA9203"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The integration of real-life authentic contexts into classroom practices has gained significant attention in recent years due to its potential to improve student engagement, motivation, and academic performance (</w:t>
      </w:r>
      <w:proofErr w:type="spellStart"/>
      <w:r w:rsidRPr="00243A53">
        <w:rPr>
          <w:rFonts w:ascii="Calibri" w:hAnsi="Calibri" w:cs="Calibri"/>
          <w:color w:val="000000"/>
        </w:rPr>
        <w:t>Pahomov</w:t>
      </w:r>
      <w:proofErr w:type="spellEnd"/>
      <w:r w:rsidRPr="00243A53">
        <w:rPr>
          <w:rFonts w:ascii="Calibri" w:hAnsi="Calibri" w:cs="Calibri"/>
          <w:color w:val="000000"/>
        </w:rPr>
        <w:t>, 2017).</w:t>
      </w:r>
      <w:r w:rsidRPr="00243A53">
        <w:rPr>
          <w:rFonts w:ascii="Calibri" w:hAnsi="Calibri" w:cs="Calibri"/>
        </w:rPr>
        <w:t xml:space="preserve"> </w:t>
      </w:r>
      <w:r w:rsidRPr="00243A53">
        <w:rPr>
          <w:rFonts w:ascii="Calibri" w:hAnsi="Calibri" w:cs="Calibri"/>
          <w:color w:val="000000"/>
        </w:rPr>
        <w:t>As a way of enabling students to apply their knowledge and skills in meaningful ways, authentic learning experiences are characterised by tasks and activities that closely mirror those encountered in real-life settings (Herrington &amp; Oliver, 2000). Based on this approach, classroom learning is linked to authentic, relevant situations, which is intended to 'bridge the gap' between academic knowledge and practical application (Beard, 2010).</w:t>
      </w:r>
    </w:p>
    <w:p w14:paraId="04801F90"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424779B4"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rPr>
      </w:pPr>
      <w:r w:rsidRPr="00243A53">
        <w:rPr>
          <w:rFonts w:ascii="Calibri" w:hAnsi="Calibri" w:cs="Calibri"/>
          <w:color w:val="000000"/>
        </w:rPr>
        <w:t>Constructivist theories, such as those proposed by Jean Piaget and Lev Vygotsky, highlight the active role of learners in constructing their own understanding of the world through interaction with their environment (Driver et al., 1994). A constructivist view of learning holds that pupils learn best by participating in authentic tasks and real-world problem-solving activities that are relevant to their lives (Jonassen, 1991).</w:t>
      </w:r>
      <w:r w:rsidRPr="00243A53">
        <w:rPr>
          <w:rFonts w:ascii="Calibri" w:hAnsi="Calibri" w:cs="Calibri"/>
        </w:rPr>
        <w:t xml:space="preserve">  In a similar manner, the situated cognition theory claims that learning is most effective when it occurs in real-life situations, where knowledge is applied directly to authentic activities (Brown et al. 1989</w:t>
      </w:r>
      <w:r w:rsidRPr="00243A53">
        <w:rPr>
          <w:rFonts w:ascii="Calibri" w:hAnsi="Calibri" w:cs="Calibri"/>
          <w:color w:val="000000"/>
        </w:rPr>
        <w:t>).</w:t>
      </w:r>
      <w:r w:rsidRPr="00243A53">
        <w:rPr>
          <w:rFonts w:ascii="Calibri" w:hAnsi="Calibri" w:cs="Calibri"/>
        </w:rPr>
        <w:t xml:space="preserve"> Based on these theoretical perspectives, it is evident that authentic contexts are essential to facilitating deep, meaningful learning by allowing learners to apply their knowledge and skills to situations that are both realistic and relevant.</w:t>
      </w:r>
    </w:p>
    <w:p w14:paraId="4B14D68A"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rPr>
      </w:pPr>
    </w:p>
    <w:p w14:paraId="79775867"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rPr>
        <w:t>Authentic learning involves focussing on connecting what pupils learn in the classroom to how they can apply these skills in real-life situations at home, outside of school, and in solving everyday problems (Finch, 2023). Sabin (2024) states that authentic learning involves students being up and active, exploring the world around them, and thereby making learning a lively experience. (Clay, 2021) states that authentic contexts involves the pupils ‘solving real-</w:t>
      </w:r>
      <w:r w:rsidRPr="00243A53">
        <w:rPr>
          <w:rFonts w:ascii="Calibri" w:hAnsi="Calibri" w:cs="Calibri"/>
        </w:rPr>
        <w:lastRenderedPageBreak/>
        <w:t xml:space="preserve">world problems’ and that the pupils often show a preference for doing rather than listening. For many years, bringing real-world contexts into the classroom was difficult. Outside the classroom was something you could only read about in books or see in movies, or on a school trip if you were lucky. The internet today gives us the ability to view videos from anywhere, on virtually any topic, to demonstrate nearly any process or experience, all with a few clicks of a mouse </w:t>
      </w:r>
      <w:r w:rsidRPr="00243A53">
        <w:rPr>
          <w:rFonts w:ascii="Calibri" w:hAnsi="Calibri" w:cs="Calibri"/>
          <w:color w:val="000000"/>
        </w:rPr>
        <w:t>(Winkelman, 2020).</w:t>
      </w:r>
      <w:r w:rsidRPr="00243A53">
        <w:rPr>
          <w:rFonts w:ascii="Calibri" w:hAnsi="Calibri" w:cs="Calibri"/>
        </w:rPr>
        <w:t xml:space="preserve"> </w:t>
      </w:r>
      <w:r w:rsidRPr="00243A53">
        <w:rPr>
          <w:rFonts w:ascii="Calibri" w:hAnsi="Calibri" w:cs="Calibri"/>
          <w:color w:val="000000"/>
        </w:rPr>
        <w:t xml:space="preserve">Pupils who engage in authentic learning are engaged and motivated to participate in lessons and get the most out of activities so that they can turn theory into practice (Pappas, 2023). </w:t>
      </w:r>
      <w:r w:rsidRPr="00243A53">
        <w:rPr>
          <w:rFonts w:ascii="Calibri" w:hAnsi="Calibri" w:cs="Calibri"/>
        </w:rPr>
        <w:t xml:space="preserve">Every day, we encounter situations in which we must solve problems, change the way we behave, and make decisions. In each situation, we draw on our past experiences and skills to guide our choices and determine what to do next. Authentic learning strives to provide students with these vital life skills, demonstrating the correlation between learning and real-world applications, and cultivating the problem-solving capabilities necessary for life beyond the school environment </w:t>
      </w:r>
      <w:r w:rsidRPr="00243A53">
        <w:rPr>
          <w:rFonts w:ascii="Calibri" w:hAnsi="Calibri" w:cs="Calibri"/>
          <w:color w:val="000000"/>
        </w:rPr>
        <w:t>(E-Teaching, 2016).</w:t>
      </w:r>
    </w:p>
    <w:p w14:paraId="72875350"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4C94137B"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rPr>
      </w:pPr>
      <w:r w:rsidRPr="00243A53">
        <w:rPr>
          <w:rFonts w:ascii="Calibri" w:hAnsi="Calibri" w:cs="Calibri"/>
          <w:color w:val="000000"/>
        </w:rPr>
        <w:t xml:space="preserve">One of the primary challenges in teaching is ensuring that all students grasp the content rather than only a select few. Given the diverse range of personalities, learning preferences, and viewpoints among students, educators often find it challenging to achieve this effectively (ALI Staff, 2017). This is where real-life contexts come into play. </w:t>
      </w:r>
      <w:r w:rsidRPr="00243A53">
        <w:rPr>
          <w:rFonts w:ascii="Calibri" w:hAnsi="Calibri" w:cs="Calibri"/>
        </w:rPr>
        <w:t xml:space="preserve">According to </w:t>
      </w:r>
      <w:proofErr w:type="spellStart"/>
      <w:r w:rsidRPr="00243A53">
        <w:rPr>
          <w:rFonts w:ascii="Calibri" w:hAnsi="Calibri" w:cs="Calibri"/>
          <w:color w:val="000000"/>
        </w:rPr>
        <w:t>STEMscopes</w:t>
      </w:r>
      <w:proofErr w:type="spellEnd"/>
      <w:r w:rsidRPr="00243A53">
        <w:rPr>
          <w:rFonts w:ascii="Calibri" w:hAnsi="Calibri" w:cs="Calibri"/>
          <w:color w:val="000000"/>
        </w:rPr>
        <w:t xml:space="preserve"> (n.d.) a</w:t>
      </w:r>
      <w:r w:rsidRPr="00243A53">
        <w:rPr>
          <w:rFonts w:ascii="Calibri" w:hAnsi="Calibri" w:cs="Calibri"/>
        </w:rPr>
        <w:t>ll pupils can master the content being taught when the classroom is connected to the real world. Another benefit of using real-life contexts is that it introduces and guides the pupils towards new and/or the correct language they need for their particular context (Lansford, 2017).</w:t>
      </w:r>
    </w:p>
    <w:p w14:paraId="67BC336B"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rPr>
      </w:pPr>
    </w:p>
    <w:p w14:paraId="3A0D72A1"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rPr>
        <w:t xml:space="preserve">However, </w:t>
      </w:r>
      <w:r w:rsidRPr="00243A53">
        <w:rPr>
          <w:rFonts w:ascii="Calibri" w:hAnsi="Calibri" w:cs="Calibri"/>
          <w:color w:val="000000"/>
        </w:rPr>
        <w:t>Sinha (2023)</w:t>
      </w:r>
      <w:r w:rsidRPr="00243A53">
        <w:rPr>
          <w:rFonts w:ascii="Calibri" w:hAnsi="Calibri" w:cs="Calibri"/>
        </w:rPr>
        <w:t xml:space="preserve"> disagrees with Lansford (2017) and believes one of the drawbacks of using authentic contexts is that more often than not the language used in authentic contexts is too difficult or beyond the level that the pupils are at.</w:t>
      </w:r>
      <w:r w:rsidRPr="00243A53">
        <w:rPr>
          <w:rFonts w:ascii="Calibri" w:hAnsi="Calibri" w:cs="Calibri"/>
          <w:color w:val="000000"/>
        </w:rPr>
        <w:t xml:space="preserve"> Oman (2020) states another negative is that using authentic materials can consume much more time compared to using classroom textbooks. Singh (2021) agrees and states that proper implementation of authentic contexts is time-consuming and requires more time and effort on the teacher’s part. Another disadvantage to real-life contexts is the complexity and unpredictability of real-world </w:t>
      </w:r>
      <w:r w:rsidRPr="00243A53">
        <w:rPr>
          <w:rFonts w:ascii="Calibri" w:hAnsi="Calibri" w:cs="Calibri"/>
          <w:color w:val="000000"/>
        </w:rPr>
        <w:lastRenderedPageBreak/>
        <w:t>scenarios, which may pose challenges for teachers in designing and implementing instructional activities (Brown et al. 2019).</w:t>
      </w:r>
    </w:p>
    <w:p w14:paraId="30F34D67"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00ED23C4"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During my professional conversation with my class mentor in the middle of my third PTE, I identified real-life authentic contexts (against the QTS standards) as a target that I wished to set for the remainder of my time in the school. I found that I had</w:t>
      </w:r>
      <w:r>
        <w:rPr>
          <w:rFonts w:ascii="Calibri" w:hAnsi="Calibri" w:cs="Calibri"/>
          <w:color w:val="000000"/>
        </w:rPr>
        <w:t xml:space="preserve"> </w:t>
      </w:r>
      <w:r w:rsidRPr="00243A53">
        <w:rPr>
          <w:rFonts w:ascii="Calibri" w:hAnsi="Calibri" w:cs="Calibri"/>
          <w:color w:val="000000"/>
        </w:rPr>
        <w:t>n</w:t>
      </w:r>
      <w:r>
        <w:rPr>
          <w:rFonts w:ascii="Calibri" w:hAnsi="Calibri" w:cs="Calibri"/>
          <w:color w:val="000000"/>
        </w:rPr>
        <w:t>o</w:t>
      </w:r>
      <w:r w:rsidRPr="00243A53">
        <w:rPr>
          <w:rFonts w:ascii="Calibri" w:hAnsi="Calibri" w:cs="Calibri"/>
          <w:color w:val="000000"/>
        </w:rPr>
        <w:t xml:space="preserve">t incorporated it into many of my lessons as I was mainly teaching lessons that followed a set framework which couldn’t be adapted e.g. Read Write Inc. and Jigsaw. </w:t>
      </w:r>
    </w:p>
    <w:p w14:paraId="2481C449"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153F333"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In the lessons that led up to my observation lesson, I had noticed that multiple pupils could</w:t>
      </w:r>
      <w:r>
        <w:rPr>
          <w:rFonts w:ascii="Calibri" w:hAnsi="Calibri" w:cs="Calibri"/>
          <w:color w:val="000000"/>
        </w:rPr>
        <w:t xml:space="preserve"> </w:t>
      </w:r>
      <w:r w:rsidRPr="00243A53">
        <w:rPr>
          <w:rFonts w:ascii="Calibri" w:hAnsi="Calibri" w:cs="Calibri"/>
          <w:color w:val="000000"/>
        </w:rPr>
        <w:t>n</w:t>
      </w:r>
      <w:r>
        <w:rPr>
          <w:rFonts w:ascii="Calibri" w:hAnsi="Calibri" w:cs="Calibri"/>
          <w:color w:val="000000"/>
        </w:rPr>
        <w:t>o</w:t>
      </w:r>
      <w:r w:rsidRPr="00243A53">
        <w:rPr>
          <w:rFonts w:ascii="Calibri" w:hAnsi="Calibri" w:cs="Calibri"/>
          <w:color w:val="000000"/>
        </w:rPr>
        <w:t xml:space="preserve">t grasp the concept of ‘groups of’ </w:t>
      </w:r>
      <w:r w:rsidRPr="00243A53">
        <w:rPr>
          <w:rFonts w:ascii="Calibri" w:hAnsi="Calibri" w:cs="Calibri"/>
          <w:i/>
          <w:iCs/>
          <w:color w:val="000000"/>
        </w:rPr>
        <w:t>(See Part 1, Professional Experience Template 3 for more information).</w:t>
      </w:r>
      <w:r w:rsidRPr="00243A53">
        <w:rPr>
          <w:rFonts w:ascii="Calibri" w:hAnsi="Calibri" w:cs="Calibri"/>
          <w:color w:val="000000"/>
        </w:rPr>
        <w:t xml:space="preserve"> This prompted me to look for real-life materials that would be found in a childhood experience that all pupils would encounter at some point and plan a 'party' where they could help sort the supplies and hopefully grasp the concept of 'groups of'.</w:t>
      </w:r>
    </w:p>
    <w:p w14:paraId="2CA59FDE"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68F2C98C"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As always, it was important for me to reflect on my practice to understand whether my teaching worked and benefited those learners who had previously struggled with the concept (Gravells, n.d.). As I had worked with small focus groups during the activity, I was primarily evaluating through observation, however, I also received verbal comments from the pupils such as ‘that makes so much sense now’ that confirmed to me that using these materials was beneficial to them while teaching this lesson. I also saw an improvement in the pupils’ future work when they were using other visual representations such as counters or pencils and pencil pots as well as in their maths books.</w:t>
      </w:r>
    </w:p>
    <w:p w14:paraId="452AE367"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1962B8FE"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rPr>
      </w:pPr>
      <w:r w:rsidRPr="00243A53">
        <w:rPr>
          <w:rFonts w:ascii="Calibri" w:hAnsi="Calibri" w:cs="Calibri"/>
          <w:color w:val="000000"/>
        </w:rPr>
        <w:t xml:space="preserve">If pupils are presented with real-world and relatable math problems, they will be more likely to learn, focus, and understand the material when it is presented in a context that they can visualize themselves being in (Johnston, 2023). The topics of money and fractions, for instance, would be taught using authentic contexts in my future math lessons. As an example, I would suggest going to the shops and having the </w:t>
      </w:r>
      <w:proofErr w:type="gramStart"/>
      <w:r w:rsidRPr="00243A53">
        <w:rPr>
          <w:rFonts w:ascii="Calibri" w:hAnsi="Calibri" w:cs="Calibri"/>
          <w:color w:val="000000"/>
        </w:rPr>
        <w:t>pupils</w:t>
      </w:r>
      <w:proofErr w:type="gramEnd"/>
      <w:r w:rsidRPr="00243A53">
        <w:rPr>
          <w:rFonts w:ascii="Calibri" w:hAnsi="Calibri" w:cs="Calibri"/>
          <w:color w:val="000000"/>
        </w:rPr>
        <w:t xml:space="preserve"> budget and provide the correct amount of money to the cashier. To teach fractions, I would suggest using pizza slices, which, when sliced, present fractions to the pupils in a context that they will be able to comprehend. </w:t>
      </w:r>
      <w:r w:rsidRPr="00243A53">
        <w:rPr>
          <w:rFonts w:ascii="Calibri" w:hAnsi="Calibri" w:cs="Calibri"/>
        </w:rPr>
        <w:lastRenderedPageBreak/>
        <w:t>It is intended to prepare the pupils to learn what they may not consider to be maths, as well as assist them in recognising the value of maths in their everyday lives.</w:t>
      </w:r>
    </w:p>
    <w:p w14:paraId="7B5FA231"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1EDE1B4D"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The value of authentic contexts for learning has now become apparent to me, as I recognise the importance of relating them to experiences students are likely to encounter within their lifetime, both inside and outside of the classroom. It is my intention to use authentic contexts as much as possible across all AoLEs in my future practice. I intend to provide activities that ‘mirror’ the real world whilst encouraging the pupils to develop life skills such as independence and confidence from these activities.</w:t>
      </w:r>
    </w:p>
    <w:p w14:paraId="00DA8B8E"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color w:val="000000"/>
          <w:u w:val="single"/>
        </w:rPr>
      </w:pPr>
    </w:p>
    <w:p w14:paraId="389803BD"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color w:val="000000"/>
          <w:u w:val="single"/>
        </w:rPr>
      </w:pPr>
    </w:p>
    <w:p w14:paraId="2DEEB15B"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color w:val="000000"/>
          <w:u w:val="single"/>
        </w:rPr>
      </w:pPr>
    </w:p>
    <w:p w14:paraId="7CB850F6"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color w:val="000000"/>
          <w:u w:val="single"/>
        </w:rPr>
      </w:pPr>
    </w:p>
    <w:p w14:paraId="49CA2938" w14:textId="3AD44719"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color w:val="000000"/>
          <w:u w:val="single"/>
        </w:rPr>
      </w:pPr>
      <w:r w:rsidRPr="00243A53">
        <w:rPr>
          <w:rFonts w:ascii="Calibri" w:hAnsi="Calibri" w:cs="Calibri"/>
          <w:b/>
          <w:bCs/>
          <w:color w:val="000000"/>
          <w:u w:val="single"/>
        </w:rPr>
        <w:t xml:space="preserve">Reinforce cross-curricular responsibilities </w:t>
      </w:r>
    </w:p>
    <w:p w14:paraId="6B9C37C9"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6315102E"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There is a range of competences and skills which are the foundations for almost all learning and are essential to being able to participate successfully and confidently in the modern world (Donaldson, 2015). In an era which is characterised by change, the need for personal and social education is more pressing than ever. If pupils are to understand a changing society and are to become active members of it, then a passive academic education has to be complemented by an active, enquiring education which is grounded in the issues of everyday life (Morrison, 1994). As a result of this, priority has already been given to literacy, numeracy and digital competence and is recommended by Donaldson (2015) that these should be cross-curriculum responsibilities.</w:t>
      </w:r>
    </w:p>
    <w:p w14:paraId="3A1A9FC9"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A70AB27"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rPr>
      </w:pPr>
      <w:r w:rsidRPr="00243A53">
        <w:rPr>
          <w:rFonts w:ascii="Calibri" w:hAnsi="Calibri" w:cs="Calibri"/>
          <w:color w:val="000000"/>
        </w:rPr>
        <w:t>An important aspect of cross-curricular responsibilities is the integration of literacy, mathematics, and digital competence across all AoLEs. It is explained that literacy skills are those that enable pupils to effectively communicate, comprehend, and critically analyse information, fostering pupils' ability to engage with diverse texts and articulate ideas across a variety of AoLEs (Dauncey, 2013). Additionally, mathematical competencies go beyond standalone math lessons, as they require pupils to apply numerical reasoning, problem-</w:t>
      </w:r>
      <w:r w:rsidRPr="00243A53">
        <w:rPr>
          <w:rFonts w:ascii="Calibri" w:hAnsi="Calibri" w:cs="Calibri"/>
          <w:color w:val="000000"/>
        </w:rPr>
        <w:lastRenderedPageBreak/>
        <w:t xml:space="preserve">solving, and statistical analysis across many disciplines, thereby improving their quantitative literacy (NCTM, 2000). </w:t>
      </w:r>
      <w:r w:rsidRPr="00243A53">
        <w:rPr>
          <w:rFonts w:ascii="Calibri" w:hAnsi="Calibri" w:cs="Calibri"/>
        </w:rPr>
        <w:t>In addition, digital competence involves the ability to access, evaluate, and create digital content and to guide both independent and collaborative learning in a variety of environments outside of the traditional classroom (Welsh Government, 2022). Teachers facilitate holistic skill development through the integration of these core competencies throughout the curriculum, preparing pupils for living in an increasingly complex and interconnected world.</w:t>
      </w:r>
    </w:p>
    <w:p w14:paraId="3F62B56F"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48D73AFD"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Constructivist learning theories provide a strong theoretical foundation for the development of cross-curricular responsibilities.</w:t>
      </w:r>
      <w:r w:rsidRPr="00243A53">
        <w:rPr>
          <w:rFonts w:ascii="Calibri" w:hAnsi="Calibri" w:cs="Calibri"/>
        </w:rPr>
        <w:t xml:space="preserve"> </w:t>
      </w:r>
      <w:r w:rsidRPr="00243A53">
        <w:rPr>
          <w:rFonts w:ascii="Calibri" w:hAnsi="Calibri" w:cs="Calibri"/>
          <w:color w:val="000000"/>
        </w:rPr>
        <w:t>In constructivism, the idea is that pupils take an active role in the construction of their own understanding and knowledge (Piaget, 1980).</w:t>
      </w:r>
      <w:r w:rsidRPr="00243A53">
        <w:rPr>
          <w:rFonts w:ascii="Calibri" w:hAnsi="Calibri" w:cs="Calibri"/>
        </w:rPr>
        <w:t xml:space="preserve"> </w:t>
      </w:r>
      <w:r w:rsidRPr="00243A53">
        <w:rPr>
          <w:rFonts w:ascii="Calibri" w:hAnsi="Calibri" w:cs="Calibri"/>
          <w:color w:val="000000"/>
        </w:rPr>
        <w:t xml:space="preserve">In this way, pupils are able to apply their skills and knowledge across the different AoLEs, whilst engaged in a process of making connections and constructing mental models (Fosnot, 2005). In addition to having pupils actively participate in the learning process, constructivist approaches also enables critical thinking, problem-solving, and communication skills to be developed (Vygotsky, 1978, Dewey, 1938). Developing these skills is essential for integrating literacy, numeracy, and digital competence across the curriculum. (Schunk, 2020). As a result of embracing constructivist </w:t>
      </w:r>
      <w:proofErr w:type="spellStart"/>
      <w:r w:rsidRPr="00243A53">
        <w:rPr>
          <w:rFonts w:ascii="Calibri" w:hAnsi="Calibri" w:cs="Calibri"/>
          <w:color w:val="000000"/>
        </w:rPr>
        <w:t>principles</w:t>
      </w:r>
      <w:proofErr w:type="spellEnd"/>
      <w:r w:rsidRPr="00243A53">
        <w:rPr>
          <w:rFonts w:ascii="Calibri" w:hAnsi="Calibri" w:cs="Calibri"/>
          <w:color w:val="000000"/>
        </w:rPr>
        <w:t>, teachers are empowered to create learning environments in which pupils can take an active role in their own learning and develop the cross-curricular competencies required for success in the 21st century (</w:t>
      </w:r>
      <w:proofErr w:type="spellStart"/>
      <w:r w:rsidRPr="00243A53">
        <w:rPr>
          <w:rFonts w:ascii="Calibri" w:hAnsi="Calibri" w:cs="Calibri"/>
          <w:color w:val="000000"/>
        </w:rPr>
        <w:t>Ertmer</w:t>
      </w:r>
      <w:proofErr w:type="spellEnd"/>
      <w:r w:rsidRPr="00243A53">
        <w:rPr>
          <w:rFonts w:ascii="Calibri" w:hAnsi="Calibri" w:cs="Calibri"/>
          <w:color w:val="000000"/>
        </w:rPr>
        <w:t xml:space="preserve"> &amp; Newby, 2013).</w:t>
      </w:r>
    </w:p>
    <w:p w14:paraId="03FEE9AF"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65579605"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There are numerous benefits to integrating cross-curricular responsibilities within education. Firstly, it encourages the development of holistic skills by allowing pupils to apply and reinforce these essential competencies across a number of different AoLEs (Gutiérrez-</w:t>
      </w:r>
      <w:proofErr w:type="spellStart"/>
      <w:r w:rsidRPr="00243A53">
        <w:rPr>
          <w:rFonts w:ascii="Calibri" w:hAnsi="Calibri" w:cs="Calibri"/>
          <w:color w:val="000000"/>
        </w:rPr>
        <w:t>Santiuste</w:t>
      </w:r>
      <w:proofErr w:type="spellEnd"/>
      <w:r w:rsidRPr="00243A53">
        <w:rPr>
          <w:rFonts w:ascii="Calibri" w:hAnsi="Calibri" w:cs="Calibri"/>
          <w:color w:val="000000"/>
        </w:rPr>
        <w:t xml:space="preserve"> and Carpio, 2018). Data analysis in a science lesson, for example, enhances numeracy skills as well as scientific literacy and digital competency through the interpretation of graphs and the use of digital tools.</w:t>
      </w:r>
      <w:r w:rsidRPr="00243A53">
        <w:rPr>
          <w:rFonts w:ascii="Calibri" w:hAnsi="Calibri" w:cs="Calibri"/>
        </w:rPr>
        <w:t xml:space="preserve"> </w:t>
      </w:r>
      <w:r w:rsidRPr="00243A53">
        <w:rPr>
          <w:rFonts w:ascii="Calibri" w:hAnsi="Calibri" w:cs="Calibri"/>
          <w:color w:val="000000"/>
        </w:rPr>
        <w:t xml:space="preserve">A second benefit of cross-curricular integration is the opportunity for pupils to make connections between concepts across disciplines, leading to greater knowledge retention and transfer (Orr &amp; Wilkinson, 2017). A mathematics lesson in a historical context or the use of digital research tools in language arts facilitates the </w:t>
      </w:r>
      <w:r w:rsidRPr="00243A53">
        <w:rPr>
          <w:rFonts w:ascii="Calibri" w:hAnsi="Calibri" w:cs="Calibri"/>
          <w:color w:val="000000"/>
        </w:rPr>
        <w:lastRenderedPageBreak/>
        <w:t>development of an interconnected understanding of concepts and enhances the ability of pupils to apply knowledge in a real-world context (Fogarty, 2009). Furthermore, integrating literacy, numeracy, and digital competency will prepare pupils for the demands of the modern workplace, where interdisciplinary skills as well as technological literacy will be increasingly valued in the modern workplace (Binkley et al., 2012).</w:t>
      </w:r>
    </w:p>
    <w:p w14:paraId="6C23278A"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1BB0BE4A"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Nonetheless, integrating cross-curricular responsibilities can present certain challenges and disadvantages.</w:t>
      </w:r>
      <w:r w:rsidRPr="00243A53">
        <w:rPr>
          <w:rFonts w:ascii="Calibri" w:hAnsi="Calibri" w:cs="Calibri"/>
        </w:rPr>
        <w:t xml:space="preserve"> </w:t>
      </w:r>
      <w:r w:rsidRPr="00243A53">
        <w:rPr>
          <w:rFonts w:ascii="Calibri" w:hAnsi="Calibri" w:cs="Calibri"/>
          <w:color w:val="000000"/>
        </w:rPr>
        <w:t>Firstly, it may be difficult for teachers to deliver integrated lessons that meet curriculum objectives across disciplines if they lack sufficient expertise or training in multiple subject areas (Rotherham &amp; Willingham, 2009). Consequently, uneven coverage of content can occur, compromising the quality of instruction in certain AoLEs.</w:t>
      </w:r>
      <w:r w:rsidRPr="00243A53">
        <w:rPr>
          <w:rFonts w:ascii="Calibri" w:hAnsi="Calibri" w:cs="Calibri"/>
        </w:rPr>
        <w:t xml:space="preserve"> </w:t>
      </w:r>
      <w:r w:rsidRPr="00243A53">
        <w:rPr>
          <w:rFonts w:ascii="Calibri" w:hAnsi="Calibri" w:cs="Calibri"/>
          <w:color w:val="000000"/>
        </w:rPr>
        <w:t>Additionally, the school schedule may constrain teachers' ability to explore cross-curricular connections in-depth, as they are often expected to cover a broad range of topics within limited time constraints (Heinrichs, 2015). A further challenge may be the assessment of cross-curricular competencies, given the fact that traditional methods of assessment focus on subject-specific skills and knowledge rather than a broader understanding of AoLEs (Wiliam, 2011). Consequently, instructional objectives may not be aligned with assessment practices, potentially preventing accurate measurement of pupil performance. Despite these challenges, teachers can overcome the disadvantages of cross-curricular responsibilities with targeted professional development, curriculum alignment, and collaborative planning.</w:t>
      </w:r>
    </w:p>
    <w:p w14:paraId="6680D899" w14:textId="77777777" w:rsidR="00E26DF5" w:rsidRPr="00243A53"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b/>
          <w:bCs/>
          <w:color w:val="000000"/>
        </w:rPr>
      </w:pPr>
    </w:p>
    <w:p w14:paraId="78025CDD"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243A53">
        <w:rPr>
          <w:rFonts w:ascii="Calibri" w:hAnsi="Calibri" w:cs="Calibri"/>
          <w:color w:val="000000"/>
        </w:rPr>
        <w:t>During my second Professional conversation at the end of my third PTE, I identified cross-curricular themes (against the QTS standards) as a target I would want to work on in my future practice. I explained that although I had tried to implement this in my practice during this PTE, I had</w:t>
      </w:r>
      <w:r>
        <w:rPr>
          <w:rFonts w:ascii="Calibri" w:hAnsi="Calibri" w:cs="Calibri"/>
          <w:color w:val="000000"/>
        </w:rPr>
        <w:t xml:space="preserve"> </w:t>
      </w:r>
      <w:r w:rsidRPr="00243A53">
        <w:rPr>
          <w:rFonts w:ascii="Calibri" w:hAnsi="Calibri" w:cs="Calibri"/>
          <w:color w:val="000000"/>
        </w:rPr>
        <w:t>n</w:t>
      </w:r>
      <w:r>
        <w:rPr>
          <w:rFonts w:ascii="Calibri" w:hAnsi="Calibri" w:cs="Calibri"/>
          <w:color w:val="000000"/>
        </w:rPr>
        <w:t>o</w:t>
      </w:r>
      <w:r w:rsidRPr="00243A53">
        <w:rPr>
          <w:rFonts w:ascii="Calibri" w:hAnsi="Calibri" w:cs="Calibri"/>
          <w:color w:val="000000"/>
        </w:rPr>
        <w:t xml:space="preserve">t implemented it into all of my lessons. I recognised that my strength in this area was integrating digital competency into the majority of my lessons much more frequently than I </w:t>
      </w:r>
      <w:r w:rsidRPr="00F2499C">
        <w:rPr>
          <w:rFonts w:ascii="Calibri" w:hAnsi="Calibri" w:cs="Calibri"/>
          <w:color w:val="000000"/>
        </w:rPr>
        <w:t xml:space="preserve">would with literacy and numeracy. Across all 3 PTE’s I have also found myself introducing staff to these new digital resources/websites which will help them to reinforce cross-curricular responsibilities in their own future practice. </w:t>
      </w:r>
    </w:p>
    <w:p w14:paraId="0DB19116"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7017A3C6"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F2499C">
        <w:rPr>
          <w:rFonts w:ascii="Calibri" w:hAnsi="Calibri" w:cs="Calibri"/>
          <w:color w:val="000000"/>
        </w:rPr>
        <w:lastRenderedPageBreak/>
        <w:t>Cross-curricular responsibilities refer to integrating literacy, mathematics and digital competency into your teaching as much as possible. In a similar manner, cross-curricular themes consist of teachers incorporating multiple AoLEs that all link to the same theme (Savage, 2010).</w:t>
      </w:r>
    </w:p>
    <w:p w14:paraId="55F2D844"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605F93C6"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F2499C">
        <w:rPr>
          <w:rFonts w:ascii="Calibri" w:hAnsi="Calibri" w:cs="Calibri"/>
          <w:color w:val="000000"/>
        </w:rPr>
        <w:t>As discussed in Part 1 (See Professional Experience Template 4 for more information), in my first PTE  the school had the theme of Queen Elizabeth II for the Summer term. I taught a variety of lessons which ranged across all AoLEs which all related back to the theme of the Queen. Having been in a lower Progression Step 1 class, the pupils worked on these activities on a rotation, either independently or in small focus groups with myself or another teacher. Since the Queen's Jubilee was approaching, and the pupils could see the celebrations taking place outside of school, it was evident that they were eager to learn more about this topic. The pupils continued to learn about the Queen and her life across all of the AoLEs and were making connections between the different concepts that they learnt from each activity they completed on rotation. For example, the pupils researched information about the Queen’s Guard uniform and made a ‘pic-collage’ from the pictures they found online. Then they wrote a letter to a Queen’s Guard which asked them questions about the uniform. This was followed by the pupils creating a checklist of all the clothes they needed to be a Queen’s guard and measuring their bodies so they could create their own uniform. By the end of the term, the pupils had a vast knowledge and understanding of the topic.</w:t>
      </w:r>
    </w:p>
    <w:p w14:paraId="4DB5026C"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342ACDDD"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F2499C">
        <w:rPr>
          <w:rFonts w:ascii="Calibri" w:hAnsi="Calibri" w:cs="Calibri"/>
          <w:color w:val="000000"/>
        </w:rPr>
        <w:t>In my future practice, I intend to implement cross-curricular responsibilities into my lessons as often as possible. The Welsh Government (2021) expressed that they are ‘essential building blocks’ that truly underpin all learning. I will continue to stay up to date with digital resources that I can implement as well as focus on developing my literacy and mathematics skills much more into my lessons.  As I move forward in my practice, I will seek to implement a topic across a term to show cross-curricular teaching and use this theme across all areas of learning.</w:t>
      </w:r>
    </w:p>
    <w:p w14:paraId="69286EF3"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11DD96E9"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17E367E8"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07C25A75"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4F354E0C"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4B00002B"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F2499C">
        <w:rPr>
          <w:rFonts w:ascii="Calibri" w:hAnsi="Calibri" w:cs="Calibri"/>
          <w:color w:val="000000"/>
        </w:rPr>
        <w:t>In conclusion, Donaldson's twelve Pedagogical Principles are fundamentally important for establishing effective teaching practices in Wales. It is possible to improve teaching effectiveness and foster positive pupil outcomes by aligning teaching strategies with these principles. My objective in this assignment was to examine two specific principles which I have emphasized are important to enrich the learning experience and promote holistic skills development among pupils.</w:t>
      </w:r>
    </w:p>
    <w:p w14:paraId="5A135B58"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33A4241F"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F2499C">
        <w:rPr>
          <w:rFonts w:ascii="Calibri" w:hAnsi="Calibri" w:cs="Calibri"/>
          <w:color w:val="000000"/>
        </w:rPr>
        <w:t>Integrating authentic contexts into classroom practices has numerous benefits, including increased pupil engagement, motivation, and application of knowledge. While challenges such as language complexity and time constraints may arise, authentic learning experiences play an important role in developing vital life skills. By reflecting on their practices and implementing them strategically, teachers can effectively incorporate authentic contexts into their teaching, which then enhances the learning and understanding of their students.</w:t>
      </w:r>
    </w:p>
    <w:p w14:paraId="3B0A9B58"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0F64FE5" w14:textId="77777777" w:rsidR="00E26DF5"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F2499C">
        <w:rPr>
          <w:rFonts w:ascii="Calibri" w:hAnsi="Calibri" w:cs="Calibri"/>
          <w:color w:val="000000"/>
        </w:rPr>
        <w:t>Furthermore, the enhancement of cross-curricular responsibilities emphasizes the importance of integrating literacy, mathematics, and digital competence across all AoLEs. Developing connections between disciplines and fostering critical thinking and problem-solving skills prepares pupils for the complexities of the modern world. In spite of challenges such as uneven content coverage and assessment alignment, targeted professional development and collaborative planning can help teachers overcome these obstacles and implement cross-curricular teaching approaches effectively.</w:t>
      </w:r>
    </w:p>
    <w:p w14:paraId="2463BE43"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p>
    <w:p w14:paraId="2186E16A" w14:textId="77777777" w:rsidR="00E26DF5" w:rsidRPr="00F2499C" w:rsidRDefault="00E26DF5" w:rsidP="00E26D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hAnsi="Calibri" w:cs="Calibri"/>
          <w:color w:val="000000"/>
        </w:rPr>
      </w:pPr>
      <w:r w:rsidRPr="00F2499C">
        <w:rPr>
          <w:rFonts w:ascii="Calibri" w:hAnsi="Calibri" w:cs="Calibri"/>
          <w:color w:val="000000"/>
        </w:rPr>
        <w:t>It is imperative that teachers continue to integrate authentic contexts into their teaching practices and reinforce cross-curricular responsibilities. They can then create dynamic learning environments that empower students to engage meaningfully with the curriculum, develop essential skills, and succeed in an ever-evolving society</w:t>
      </w:r>
    </w:p>
    <w:p w14:paraId="085B8588" w14:textId="77777777" w:rsidR="0030493F" w:rsidRDefault="0030493F" w:rsidP="0030493F"/>
    <w:p w14:paraId="38FB5A83" w14:textId="1DCC1514" w:rsidR="0030493F" w:rsidRDefault="0030493F">
      <w:r>
        <w:br w:type="page"/>
      </w:r>
    </w:p>
    <w:p w14:paraId="395170AA" w14:textId="5CCB3154" w:rsidR="0030493F" w:rsidRDefault="0030493F" w:rsidP="0030493F">
      <w:pPr>
        <w:pStyle w:val="Heading1"/>
        <w:rPr>
          <w:rFonts w:ascii="Calibri" w:hAnsi="Calibri" w:cs="Calibri"/>
          <w:b/>
          <w:bCs/>
          <w:color w:val="000000" w:themeColor="text1"/>
        </w:rPr>
      </w:pPr>
      <w:bookmarkStart w:id="7" w:name="_Toc164019910"/>
      <w:r w:rsidRPr="0030493F">
        <w:rPr>
          <w:rFonts w:ascii="Calibri" w:hAnsi="Calibri" w:cs="Calibri"/>
          <w:b/>
          <w:bCs/>
          <w:color w:val="000000" w:themeColor="text1"/>
        </w:rPr>
        <w:lastRenderedPageBreak/>
        <w:t>Reference List</w:t>
      </w:r>
      <w:bookmarkEnd w:id="7"/>
    </w:p>
    <w:p w14:paraId="19942582" w14:textId="77777777" w:rsidR="00EB1F00" w:rsidRDefault="00EB1F00" w:rsidP="00EB1F00"/>
    <w:p w14:paraId="6813B574"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ALI Staff (2017).</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The Importance of Real-World Connections in the Classroom</w:t>
      </w:r>
      <w:r w:rsidRPr="00EB1F00">
        <w:rPr>
          <w:rFonts w:ascii="Calibri" w:hAnsi="Calibri" w:cs="Calibri"/>
          <w:color w:val="000000"/>
          <w:sz w:val="22"/>
          <w:szCs w:val="22"/>
        </w:rPr>
        <w:t>. [online] blog.acceleratelearning.com. Available at: https://blog.acceleratelearning.com/bringing-the-real-world-into-the-classroom-enhancing-the-future-workforce [Accessed 8 Apr. 2024].</w:t>
      </w:r>
    </w:p>
    <w:p w14:paraId="57250A2A"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Beard, C. (2010).</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The experiential learning toolkit : blending practice with concepts</w:t>
      </w:r>
      <w:r w:rsidRPr="00EB1F00">
        <w:rPr>
          <w:rFonts w:ascii="Calibri" w:hAnsi="Calibri" w:cs="Calibri"/>
          <w:color w:val="000000"/>
          <w:sz w:val="22"/>
          <w:szCs w:val="22"/>
        </w:rPr>
        <w:t>. London: Kogan Page.</w:t>
      </w:r>
    </w:p>
    <w:p w14:paraId="4303E418"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 xml:space="preserve">Binkley, M., </w:t>
      </w:r>
      <w:proofErr w:type="spellStart"/>
      <w:r w:rsidRPr="00EB1F00">
        <w:rPr>
          <w:rFonts w:ascii="Calibri" w:hAnsi="Calibri" w:cs="Calibri"/>
          <w:color w:val="000000"/>
          <w:sz w:val="22"/>
          <w:szCs w:val="22"/>
        </w:rPr>
        <w:t>Erstad</w:t>
      </w:r>
      <w:proofErr w:type="spellEnd"/>
      <w:r w:rsidRPr="00EB1F00">
        <w:rPr>
          <w:rFonts w:ascii="Calibri" w:hAnsi="Calibri" w:cs="Calibri"/>
          <w:color w:val="000000"/>
          <w:sz w:val="22"/>
          <w:szCs w:val="22"/>
        </w:rPr>
        <w:t xml:space="preserve">, O., Herman, J., </w:t>
      </w:r>
      <w:proofErr w:type="spellStart"/>
      <w:r w:rsidRPr="00EB1F00">
        <w:rPr>
          <w:rFonts w:ascii="Calibri" w:hAnsi="Calibri" w:cs="Calibri"/>
          <w:color w:val="000000"/>
          <w:sz w:val="22"/>
          <w:szCs w:val="22"/>
        </w:rPr>
        <w:t>Raizen</w:t>
      </w:r>
      <w:proofErr w:type="spellEnd"/>
      <w:r w:rsidRPr="00EB1F00">
        <w:rPr>
          <w:rFonts w:ascii="Calibri" w:hAnsi="Calibri" w:cs="Calibri"/>
          <w:color w:val="000000"/>
          <w:sz w:val="22"/>
          <w:szCs w:val="22"/>
        </w:rPr>
        <w:t>, S., Ripley, M., Miller-Ricci, M. and Rumble, M. (2012).</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Defining twenty-first century skills.</w:t>
      </w:r>
      <w:r w:rsidRPr="00EB1F00">
        <w:rPr>
          <w:rStyle w:val="apple-converted-space"/>
          <w:rFonts w:ascii="Calibri" w:eastAsiaTheme="majorEastAsia" w:hAnsi="Calibri" w:cs="Calibri"/>
          <w:color w:val="000000"/>
          <w:sz w:val="22"/>
          <w:szCs w:val="22"/>
        </w:rPr>
        <w:t> </w:t>
      </w:r>
      <w:r w:rsidRPr="00EB1F00">
        <w:rPr>
          <w:rFonts w:ascii="Calibri" w:hAnsi="Calibri" w:cs="Calibri"/>
          <w:color w:val="000000"/>
          <w:sz w:val="22"/>
          <w:szCs w:val="22"/>
        </w:rPr>
        <w:t>Springer, pp.17–66.</w:t>
      </w:r>
    </w:p>
    <w:p w14:paraId="075249B5"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Bosman, M. (2023).</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The Lifelong Learner: Why Teachers Must Keep Growing Through Professional Development</w:t>
      </w:r>
      <w:r w:rsidRPr="00EB1F00">
        <w:rPr>
          <w:rFonts w:ascii="Calibri" w:hAnsi="Calibri" w:cs="Calibri"/>
          <w:color w:val="000000"/>
          <w:sz w:val="22"/>
          <w:szCs w:val="22"/>
        </w:rPr>
        <w:t>. [online] Available at: https://www.linkedin.com/pulse/lifelong-learner-why-teachers-must-keep-growing-through-bosman [Accessed 30 Mar. 2024].</w:t>
      </w:r>
    </w:p>
    <w:p w14:paraId="7AE26830"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Brown, J.S., Collins, A. and Duguid, P. (2019). Situated cognition and the culture of learning.</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Educational Researcher</w:t>
      </w:r>
      <w:r w:rsidRPr="00EB1F00">
        <w:rPr>
          <w:rFonts w:ascii="Calibri" w:hAnsi="Calibri" w:cs="Calibri"/>
          <w:color w:val="000000"/>
          <w:sz w:val="22"/>
          <w:szCs w:val="22"/>
        </w:rPr>
        <w:t xml:space="preserve">, [online] 18(1), pp.32–42. </w:t>
      </w:r>
      <w:proofErr w:type="spellStart"/>
      <w:r w:rsidRPr="00EB1F00">
        <w:rPr>
          <w:rFonts w:ascii="Calibri" w:hAnsi="Calibri" w:cs="Calibri"/>
          <w:color w:val="000000"/>
          <w:sz w:val="22"/>
          <w:szCs w:val="22"/>
        </w:rPr>
        <w:t>doi:https</w:t>
      </w:r>
      <w:proofErr w:type="spellEnd"/>
      <w:r w:rsidRPr="00EB1F00">
        <w:rPr>
          <w:rFonts w:ascii="Calibri" w:hAnsi="Calibri" w:cs="Calibri"/>
          <w:color w:val="000000"/>
          <w:sz w:val="22"/>
          <w:szCs w:val="22"/>
        </w:rPr>
        <w:t>://doi.org/10.3102/0013189x018001032.</w:t>
      </w:r>
    </w:p>
    <w:p w14:paraId="5AC3E58F"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Catherine Twomey Fosnot (2005).</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Constructivism : theory, perspectives, and practice</w:t>
      </w:r>
      <w:r w:rsidRPr="00EB1F00">
        <w:rPr>
          <w:rFonts w:ascii="Calibri" w:hAnsi="Calibri" w:cs="Calibri"/>
          <w:color w:val="000000"/>
          <w:sz w:val="22"/>
          <w:szCs w:val="22"/>
        </w:rPr>
        <w:t>. 2nd ed. New York: Teachers College Press.</w:t>
      </w:r>
    </w:p>
    <w:p w14:paraId="284A7CFC"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Clay, C. (2021).</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Authentic Learning - Creating Real World Scenarios</w:t>
      </w:r>
      <w:r w:rsidRPr="00EB1F00">
        <w:rPr>
          <w:rFonts w:ascii="Calibri" w:hAnsi="Calibri" w:cs="Calibri"/>
          <w:color w:val="000000"/>
          <w:sz w:val="22"/>
          <w:szCs w:val="22"/>
        </w:rPr>
        <w:t>. [online] www.edumundo.com. Available at: https://www.edumundo.com/en/blog/authentic-learning-creating-real-world-scenarios [Accessed 8 Apr. 2024].</w:t>
      </w:r>
    </w:p>
    <w:p w14:paraId="4CA9A7D0"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proofErr w:type="spellStart"/>
      <w:r w:rsidRPr="00EB1F00">
        <w:rPr>
          <w:rFonts w:ascii="Calibri" w:hAnsi="Calibri" w:cs="Calibri"/>
          <w:color w:val="000000"/>
          <w:sz w:val="22"/>
          <w:szCs w:val="22"/>
        </w:rPr>
        <w:t>Crynallt</w:t>
      </w:r>
      <w:proofErr w:type="spellEnd"/>
      <w:r w:rsidRPr="00EB1F00">
        <w:rPr>
          <w:rFonts w:ascii="Calibri" w:hAnsi="Calibri" w:cs="Calibri"/>
          <w:color w:val="000000"/>
          <w:sz w:val="22"/>
          <w:szCs w:val="22"/>
        </w:rPr>
        <w:t xml:space="preserve"> Primary (n.d.).</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 xml:space="preserve">Cross-Curriculum Responsibilities – </w:t>
      </w:r>
      <w:proofErr w:type="spellStart"/>
      <w:r w:rsidRPr="00EB1F00">
        <w:rPr>
          <w:rFonts w:ascii="Calibri" w:hAnsi="Calibri" w:cs="Calibri"/>
          <w:i/>
          <w:iCs/>
          <w:color w:val="000000"/>
          <w:sz w:val="22"/>
          <w:szCs w:val="22"/>
        </w:rPr>
        <w:t>Crynallt</w:t>
      </w:r>
      <w:proofErr w:type="spellEnd"/>
      <w:r w:rsidRPr="00EB1F00">
        <w:rPr>
          <w:rFonts w:ascii="Calibri" w:hAnsi="Calibri" w:cs="Calibri"/>
          <w:i/>
          <w:iCs/>
          <w:color w:val="000000"/>
          <w:sz w:val="22"/>
          <w:szCs w:val="22"/>
        </w:rPr>
        <w:t xml:space="preserve"> Primary School</w:t>
      </w:r>
      <w:r w:rsidRPr="00EB1F00">
        <w:rPr>
          <w:rFonts w:ascii="Calibri" w:hAnsi="Calibri" w:cs="Calibri"/>
          <w:color w:val="000000"/>
          <w:sz w:val="22"/>
          <w:szCs w:val="22"/>
        </w:rPr>
        <w:t>. [online] crynallt-primary-school.j2bloggy.com. Available at: https://crynallt-primary-school.j2bloggy.com/digital-competence/ [Accessed 9 Apr. 2024].</w:t>
      </w:r>
    </w:p>
    <w:p w14:paraId="2397AF5B"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Dauncey, M. (2013).</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Literacy and Numeracy in Wales</w:t>
      </w:r>
      <w:r w:rsidRPr="00EB1F00">
        <w:rPr>
          <w:rFonts w:ascii="Calibri" w:hAnsi="Calibri" w:cs="Calibri"/>
          <w:color w:val="000000"/>
          <w:sz w:val="22"/>
          <w:szCs w:val="22"/>
        </w:rPr>
        <w:t>. [online] Available at: https://dera.ioe.ac.uk/id/eprint/18020/1/13-039.pdf [Accessed 10 Apr. 2024].</w:t>
      </w:r>
    </w:p>
    <w:p w14:paraId="0D2EF2E7"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Dewey, J. (1938).</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Experience and Education</w:t>
      </w:r>
      <w:r w:rsidRPr="00EB1F00">
        <w:rPr>
          <w:rFonts w:ascii="Calibri" w:hAnsi="Calibri" w:cs="Calibri"/>
          <w:color w:val="000000"/>
          <w:sz w:val="22"/>
          <w:szCs w:val="22"/>
        </w:rPr>
        <w:t>. New York: Free Press.</w:t>
      </w:r>
    </w:p>
    <w:p w14:paraId="5D294E46"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Donaldson, G. (2015).</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Successful Futures Independent Review of Curriculum and Assessment Arrangements in Wales</w:t>
      </w:r>
      <w:r w:rsidRPr="00EB1F00">
        <w:rPr>
          <w:rFonts w:ascii="Calibri" w:hAnsi="Calibri" w:cs="Calibri"/>
          <w:color w:val="000000"/>
          <w:sz w:val="22"/>
          <w:szCs w:val="22"/>
        </w:rPr>
        <w:t>. [online] Available at: https://www.gov.wales/sites/default/files/publications/2018-03/successful-futures.pdf [Accessed 30 Mar. 2024].</w:t>
      </w:r>
    </w:p>
    <w:p w14:paraId="14ACC2C7"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lastRenderedPageBreak/>
        <w:t xml:space="preserve">Driver, R., </w:t>
      </w:r>
      <w:proofErr w:type="spellStart"/>
      <w:r w:rsidRPr="00EB1F00">
        <w:rPr>
          <w:rFonts w:ascii="Calibri" w:hAnsi="Calibri" w:cs="Calibri"/>
          <w:color w:val="000000"/>
          <w:sz w:val="22"/>
          <w:szCs w:val="22"/>
        </w:rPr>
        <w:t>Guesne</w:t>
      </w:r>
      <w:proofErr w:type="spellEnd"/>
      <w:r w:rsidRPr="00EB1F00">
        <w:rPr>
          <w:rFonts w:ascii="Calibri" w:hAnsi="Calibri" w:cs="Calibri"/>
          <w:color w:val="000000"/>
          <w:sz w:val="22"/>
          <w:szCs w:val="22"/>
        </w:rPr>
        <w:t xml:space="preserve">, E. and </w:t>
      </w:r>
      <w:proofErr w:type="spellStart"/>
      <w:r w:rsidRPr="00EB1F00">
        <w:rPr>
          <w:rFonts w:ascii="Calibri" w:hAnsi="Calibri" w:cs="Calibri"/>
          <w:color w:val="000000"/>
          <w:sz w:val="22"/>
          <w:szCs w:val="22"/>
        </w:rPr>
        <w:t>Andrée</w:t>
      </w:r>
      <w:proofErr w:type="spellEnd"/>
      <w:r w:rsidRPr="00EB1F00">
        <w:rPr>
          <w:rFonts w:ascii="Calibri" w:hAnsi="Calibri" w:cs="Calibri"/>
          <w:color w:val="000000"/>
          <w:sz w:val="22"/>
          <w:szCs w:val="22"/>
        </w:rPr>
        <w:t xml:space="preserve"> </w:t>
      </w:r>
      <w:proofErr w:type="spellStart"/>
      <w:r w:rsidRPr="00EB1F00">
        <w:rPr>
          <w:rFonts w:ascii="Calibri" w:hAnsi="Calibri" w:cs="Calibri"/>
          <w:color w:val="000000"/>
          <w:sz w:val="22"/>
          <w:szCs w:val="22"/>
        </w:rPr>
        <w:t>Tiberghien</w:t>
      </w:r>
      <w:proofErr w:type="spellEnd"/>
      <w:r w:rsidRPr="00EB1F00">
        <w:rPr>
          <w:rFonts w:ascii="Calibri" w:hAnsi="Calibri" w:cs="Calibri"/>
          <w:color w:val="000000"/>
          <w:sz w:val="22"/>
          <w:szCs w:val="22"/>
        </w:rPr>
        <w:t xml:space="preserve"> (1994).</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Children’s Ideas in Science</w:t>
      </w:r>
      <w:r w:rsidRPr="00EB1F00">
        <w:rPr>
          <w:rFonts w:ascii="Calibri" w:hAnsi="Calibri" w:cs="Calibri"/>
          <w:color w:val="000000"/>
          <w:sz w:val="22"/>
          <w:szCs w:val="22"/>
        </w:rPr>
        <w:t>. Milton Keynes Open University Press.</w:t>
      </w:r>
    </w:p>
    <w:p w14:paraId="42B8FC9F"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E-Teaching (2016).</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Also published by ACEL • e-Shortcuts -Wisdom for successful school leadership and management • e-Leading -Management strategies for school leaders • e-Technology -Technology in the classroom • e-Early Learning -Thinking on early learning</w:t>
      </w:r>
      <w:r w:rsidRPr="00EB1F00">
        <w:rPr>
          <w:rFonts w:ascii="Calibri" w:hAnsi="Calibri" w:cs="Calibri"/>
          <w:color w:val="000000"/>
          <w:sz w:val="22"/>
          <w:szCs w:val="22"/>
        </w:rPr>
        <w:t>. [online] Available at: https://f.hubspotusercontent40.net/hubfs/5726799/LearnLife_August2021/Pdf/e-Teaching_2016_10-1.pdf [Accessed 8 Apr. 2024].</w:t>
      </w:r>
    </w:p>
    <w:p w14:paraId="4DC03FAB"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proofErr w:type="spellStart"/>
      <w:r w:rsidRPr="00EB1F00">
        <w:rPr>
          <w:rFonts w:ascii="Calibri" w:hAnsi="Calibri" w:cs="Calibri"/>
          <w:color w:val="000000"/>
          <w:sz w:val="22"/>
          <w:szCs w:val="22"/>
        </w:rPr>
        <w:t>Ertmer</w:t>
      </w:r>
      <w:proofErr w:type="spellEnd"/>
      <w:r w:rsidRPr="00EB1F00">
        <w:rPr>
          <w:rFonts w:ascii="Calibri" w:hAnsi="Calibri" w:cs="Calibri"/>
          <w:color w:val="000000"/>
          <w:sz w:val="22"/>
          <w:szCs w:val="22"/>
        </w:rPr>
        <w:t>, P.A. and Newby, T.J. (2013).</w:t>
      </w:r>
      <w:r w:rsidRPr="00EB1F00">
        <w:rPr>
          <w:rStyle w:val="apple-converted-space"/>
          <w:rFonts w:ascii="Calibri" w:eastAsiaTheme="majorEastAsia" w:hAnsi="Calibri" w:cs="Calibri"/>
          <w:color w:val="000000"/>
          <w:sz w:val="22"/>
          <w:szCs w:val="22"/>
        </w:rPr>
        <w:t> </w:t>
      </w:r>
      <w:proofErr w:type="spellStart"/>
      <w:r w:rsidRPr="00EB1F00">
        <w:rPr>
          <w:rFonts w:ascii="Calibri" w:hAnsi="Calibri" w:cs="Calibri"/>
          <w:i/>
          <w:iCs/>
          <w:color w:val="000000"/>
          <w:sz w:val="22"/>
          <w:szCs w:val="22"/>
        </w:rPr>
        <w:t>Behaviorism</w:t>
      </w:r>
      <w:proofErr w:type="spellEnd"/>
      <w:r w:rsidRPr="00EB1F00">
        <w:rPr>
          <w:rFonts w:ascii="Calibri" w:hAnsi="Calibri" w:cs="Calibri"/>
          <w:i/>
          <w:iCs/>
          <w:color w:val="000000"/>
          <w:sz w:val="22"/>
          <w:szCs w:val="22"/>
        </w:rPr>
        <w:t>, Cognitivism, Constructivism: Comparing Critical Features from an Instructional Design Perspective</w:t>
      </w:r>
      <w:r w:rsidRPr="00EB1F00">
        <w:rPr>
          <w:rFonts w:ascii="Calibri" w:hAnsi="Calibri" w:cs="Calibri"/>
          <w:color w:val="000000"/>
          <w:sz w:val="22"/>
          <w:szCs w:val="22"/>
        </w:rPr>
        <w:t>. Performance Improvement Quarterly.</w:t>
      </w:r>
    </w:p>
    <w:p w14:paraId="63577024"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Finch, M. (2023).</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Education Advanced, Inc.</w:t>
      </w:r>
      <w:r w:rsidRPr="00EB1F00">
        <w:rPr>
          <w:rStyle w:val="apple-converted-space"/>
          <w:rFonts w:ascii="Calibri" w:eastAsiaTheme="majorEastAsia" w:hAnsi="Calibri" w:cs="Calibri"/>
          <w:color w:val="000000"/>
          <w:sz w:val="22"/>
          <w:szCs w:val="22"/>
        </w:rPr>
        <w:t> </w:t>
      </w:r>
      <w:r w:rsidRPr="00EB1F00">
        <w:rPr>
          <w:rFonts w:ascii="Calibri" w:hAnsi="Calibri" w:cs="Calibri"/>
          <w:color w:val="000000"/>
          <w:sz w:val="22"/>
          <w:szCs w:val="22"/>
        </w:rPr>
        <w:t>[online] Education Advanced, Inc. Available at: https://educationadvanced.com/resources/blog/authentic-learning-bringing-real-world-relevance-to-the-classroom/ [Accessed 8 Apr. 2024].</w:t>
      </w:r>
    </w:p>
    <w:p w14:paraId="2C75F9EF"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Fogarty, R. (2009).</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How to integrate the curricula</w:t>
      </w:r>
      <w:r w:rsidRPr="00EB1F00">
        <w:rPr>
          <w:rFonts w:ascii="Calibri" w:hAnsi="Calibri" w:cs="Calibri"/>
          <w:color w:val="000000"/>
          <w:sz w:val="22"/>
          <w:szCs w:val="22"/>
        </w:rPr>
        <w:t>. Thousand Oaks, Calif.: Corwin.</w:t>
      </w:r>
    </w:p>
    <w:p w14:paraId="45020C08"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Gravells, A. (n.d.).</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Evaluation &amp; reflective practice</w:t>
      </w:r>
      <w:r w:rsidRPr="00EB1F00">
        <w:rPr>
          <w:rFonts w:ascii="Calibri" w:hAnsi="Calibri" w:cs="Calibri"/>
          <w:color w:val="000000"/>
          <w:sz w:val="22"/>
          <w:szCs w:val="22"/>
        </w:rPr>
        <w:t>. [online] Ann Gravells. Available at: https://www.anngravells.com/information/evaluation# [Accessed 8 Apr. 2024].</w:t>
      </w:r>
    </w:p>
    <w:p w14:paraId="7A94704F"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Grossman, J. (1990). The making of a teacher: Teacher knowledge and teacher education.</w:t>
      </w:r>
    </w:p>
    <w:p w14:paraId="2BA58C00"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Gutiérrez-</w:t>
      </w:r>
      <w:proofErr w:type="spellStart"/>
      <w:r w:rsidRPr="00EB1F00">
        <w:rPr>
          <w:rFonts w:ascii="Calibri" w:hAnsi="Calibri" w:cs="Calibri"/>
          <w:color w:val="000000"/>
          <w:sz w:val="22"/>
          <w:szCs w:val="22"/>
        </w:rPr>
        <w:t>Santiuste</w:t>
      </w:r>
      <w:proofErr w:type="spellEnd"/>
      <w:r w:rsidRPr="00EB1F00">
        <w:rPr>
          <w:rFonts w:ascii="Calibri" w:hAnsi="Calibri" w:cs="Calibri"/>
          <w:color w:val="000000"/>
          <w:sz w:val="22"/>
          <w:szCs w:val="22"/>
        </w:rPr>
        <w:t>, E. and Carpio, M. (2018).</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Integrating Literacy &amp; Numeracy Final Report</w:t>
      </w:r>
      <w:r w:rsidRPr="00EB1F00">
        <w:rPr>
          <w:rFonts w:ascii="Calibri" w:hAnsi="Calibri" w:cs="Calibri"/>
          <w:color w:val="000000"/>
          <w:sz w:val="22"/>
          <w:szCs w:val="22"/>
        </w:rPr>
        <w:t>. [online] Available at: https://www.solas.ie/f/70398/x/2176ab65bb/integrated-literacy-and-numeracy-final-report.pdf [Accessed 11 Apr. 2024].</w:t>
      </w:r>
    </w:p>
    <w:p w14:paraId="08F894E0"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Heinrichs, P. (2015). Integrating the Curriculum in Primary schools: Learning for the future.</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Curriculum Journal</w:t>
      </w:r>
      <w:r w:rsidRPr="00EB1F00">
        <w:rPr>
          <w:rFonts w:ascii="Calibri" w:hAnsi="Calibri" w:cs="Calibri"/>
          <w:color w:val="000000"/>
          <w:sz w:val="22"/>
          <w:szCs w:val="22"/>
        </w:rPr>
        <w:t>, 26(2), pp.185–205.</w:t>
      </w:r>
    </w:p>
    <w:p w14:paraId="437403AE"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Herrington, J. and Oliver, R. (2000). An instructional design framework for authentic learning environments.</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Educational Technology Research and Development</w:t>
      </w:r>
      <w:r w:rsidRPr="00EB1F00">
        <w:rPr>
          <w:rFonts w:ascii="Calibri" w:hAnsi="Calibri" w:cs="Calibri"/>
          <w:color w:val="000000"/>
          <w:sz w:val="22"/>
          <w:szCs w:val="22"/>
        </w:rPr>
        <w:t xml:space="preserve">, [online] 48(3), pp.23–48. </w:t>
      </w:r>
      <w:proofErr w:type="spellStart"/>
      <w:r w:rsidRPr="00EB1F00">
        <w:rPr>
          <w:rFonts w:ascii="Calibri" w:hAnsi="Calibri" w:cs="Calibri"/>
          <w:color w:val="000000"/>
          <w:sz w:val="22"/>
          <w:szCs w:val="22"/>
        </w:rPr>
        <w:t>doi:https</w:t>
      </w:r>
      <w:proofErr w:type="spellEnd"/>
      <w:r w:rsidRPr="00EB1F00">
        <w:rPr>
          <w:rFonts w:ascii="Calibri" w:hAnsi="Calibri" w:cs="Calibri"/>
          <w:color w:val="000000"/>
          <w:sz w:val="22"/>
          <w:szCs w:val="22"/>
        </w:rPr>
        <w:t>://doi.org/10.1007/bf02319856.</w:t>
      </w:r>
    </w:p>
    <w:p w14:paraId="54BE0DCA"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Impact Wales (2023).</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Pedagogy at the Heart of Curriculum for Wales</w:t>
      </w:r>
      <w:r w:rsidRPr="00EB1F00">
        <w:rPr>
          <w:rStyle w:val="apple-converted-space"/>
          <w:rFonts w:ascii="Calibri" w:eastAsiaTheme="majorEastAsia" w:hAnsi="Calibri" w:cs="Calibri"/>
          <w:i/>
          <w:iCs/>
          <w:color w:val="000000"/>
          <w:sz w:val="22"/>
          <w:szCs w:val="22"/>
        </w:rPr>
        <w:t> </w:t>
      </w:r>
      <w:r w:rsidRPr="00EB1F00">
        <w:rPr>
          <w:rFonts w:ascii="Calibri" w:hAnsi="Calibri" w:cs="Calibri"/>
          <w:color w:val="000000"/>
          <w:sz w:val="22"/>
          <w:szCs w:val="22"/>
        </w:rPr>
        <w:t>.</w:t>
      </w:r>
    </w:p>
    <w:p w14:paraId="1A23E796"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Johnston, A. (2023).</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Math In Real Life– Strategies for Planning Lessons Involving Real-World Contexts</w:t>
      </w:r>
      <w:r w:rsidRPr="00EB1F00">
        <w:rPr>
          <w:rFonts w:ascii="Calibri" w:hAnsi="Calibri" w:cs="Calibri"/>
          <w:color w:val="000000"/>
          <w:sz w:val="22"/>
          <w:szCs w:val="22"/>
        </w:rPr>
        <w:t>. [online] www.sadlier.com. Available at: https://www.sadlier.com/school/sadlier-math-blog/math-in-real-life-strategies-for-planning-math-lessons-involving-real-world-contexts [Accessed 9 Apr. 2024].</w:t>
      </w:r>
    </w:p>
    <w:p w14:paraId="6E7819DD"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lastRenderedPageBreak/>
        <w:t xml:space="preserve">Jonassen, D.H. (1991). Evaluating </w:t>
      </w:r>
      <w:proofErr w:type="spellStart"/>
      <w:r w:rsidRPr="00EB1F00">
        <w:rPr>
          <w:rFonts w:ascii="Calibri" w:hAnsi="Calibri" w:cs="Calibri"/>
          <w:color w:val="000000"/>
          <w:sz w:val="22"/>
          <w:szCs w:val="22"/>
        </w:rPr>
        <w:t>Constructivistic</w:t>
      </w:r>
      <w:proofErr w:type="spellEnd"/>
      <w:r w:rsidRPr="00EB1F00">
        <w:rPr>
          <w:rFonts w:ascii="Calibri" w:hAnsi="Calibri" w:cs="Calibri"/>
          <w:color w:val="000000"/>
          <w:sz w:val="22"/>
          <w:szCs w:val="22"/>
        </w:rPr>
        <w:t xml:space="preserve"> Learning.</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Educational Technology</w:t>
      </w:r>
      <w:r w:rsidRPr="00EB1F00">
        <w:rPr>
          <w:rFonts w:ascii="Calibri" w:hAnsi="Calibri" w:cs="Calibri"/>
          <w:color w:val="000000"/>
          <w:sz w:val="22"/>
          <w:szCs w:val="22"/>
        </w:rPr>
        <w:t>, [online] 31(9), pp.28–33. Available at: https://www.jstor.org/stable/44401696 [Accessed 6 Apr. 2024].</w:t>
      </w:r>
    </w:p>
    <w:p w14:paraId="10853238"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Lansford, L. (2017).</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World of Better Learning | Cambridge University Press</w:t>
      </w:r>
      <w:r w:rsidRPr="00EB1F00">
        <w:rPr>
          <w:rFonts w:ascii="Calibri" w:hAnsi="Calibri" w:cs="Calibri"/>
          <w:color w:val="000000"/>
          <w:sz w:val="22"/>
          <w:szCs w:val="22"/>
        </w:rPr>
        <w:t>. [online] World of Better Learning | Cambridge University Press. Available at: https://www.cambridge.org/elt/blog/2014/05/16/authentic-materials-classroom-advantages/ [Accessed 8 Apr. 2024].</w:t>
      </w:r>
    </w:p>
    <w:p w14:paraId="60E43647"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Morrison, K. (1994).</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Implementing Cross-Curricular Themes</w:t>
      </w:r>
      <w:r w:rsidRPr="00EB1F00">
        <w:rPr>
          <w:rFonts w:ascii="Calibri" w:hAnsi="Calibri" w:cs="Calibri"/>
          <w:color w:val="000000"/>
          <w:sz w:val="22"/>
          <w:szCs w:val="22"/>
        </w:rPr>
        <w:t>. London: David Fulton Publishers.</w:t>
      </w:r>
    </w:p>
    <w:p w14:paraId="2E033AE1"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NCTM (2000).</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Principles and Standards - National Council of Teachers of Mathematics</w:t>
      </w:r>
      <w:r w:rsidRPr="00EB1F00">
        <w:rPr>
          <w:rFonts w:ascii="Calibri" w:hAnsi="Calibri" w:cs="Calibri"/>
          <w:color w:val="000000"/>
          <w:sz w:val="22"/>
          <w:szCs w:val="22"/>
        </w:rPr>
        <w:t>. [online] www.nctm.org. Available at: https://www.nctm.org/Standards-and-Positions/Principles-and-Standards/ [Accessed 10 Apr. 2024].</w:t>
      </w:r>
    </w:p>
    <w:p w14:paraId="4CF69198"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Oman, A. (2020).</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Using Authentic Materials in Classrooms: Advantages and Challenges</w:t>
      </w:r>
      <w:r w:rsidRPr="00EB1F00">
        <w:rPr>
          <w:rFonts w:ascii="Calibri" w:hAnsi="Calibri" w:cs="Calibri"/>
          <w:color w:val="000000"/>
          <w:sz w:val="22"/>
          <w:szCs w:val="22"/>
        </w:rPr>
        <w:t>. [online] December 2020. Available at: https://www.hltmag.co.uk/dec20/using-authentic-materials [Accessed 8 Apr. 2024].</w:t>
      </w:r>
    </w:p>
    <w:p w14:paraId="2A3C557A"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Orr, D. and Wilkinson, M. (2017). Developing the Whole Student: The Advantages of Cross-Curricular Learning.</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 xml:space="preserve">International Journal of Educational </w:t>
      </w:r>
      <w:proofErr w:type="spellStart"/>
      <w:r w:rsidRPr="00EB1F00">
        <w:rPr>
          <w:rFonts w:ascii="Calibri" w:hAnsi="Calibri" w:cs="Calibri"/>
          <w:i/>
          <w:iCs/>
          <w:color w:val="000000"/>
          <w:sz w:val="22"/>
          <w:szCs w:val="22"/>
        </w:rPr>
        <w:t>Researc</w:t>
      </w:r>
      <w:proofErr w:type="spellEnd"/>
      <w:r w:rsidRPr="00EB1F00">
        <w:rPr>
          <w:rFonts w:ascii="Calibri" w:hAnsi="Calibri" w:cs="Calibri"/>
          <w:color w:val="000000"/>
          <w:sz w:val="22"/>
          <w:szCs w:val="22"/>
        </w:rPr>
        <w:t>, [online] 86, pp.79–93. Available at: https://www.sciencedirect.com/science/article/abs/pii/S0883035517304998?via%3Dihub [Accessed 11 Apr. 2024].</w:t>
      </w:r>
    </w:p>
    <w:p w14:paraId="67A7FA51"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proofErr w:type="spellStart"/>
      <w:r w:rsidRPr="00EB1F00">
        <w:rPr>
          <w:rFonts w:ascii="Calibri" w:hAnsi="Calibri" w:cs="Calibri"/>
          <w:color w:val="000000"/>
          <w:sz w:val="22"/>
          <w:szCs w:val="22"/>
        </w:rPr>
        <w:t>Pahomov</w:t>
      </w:r>
      <w:proofErr w:type="spellEnd"/>
      <w:r w:rsidRPr="00EB1F00">
        <w:rPr>
          <w:rFonts w:ascii="Calibri" w:hAnsi="Calibri" w:cs="Calibri"/>
          <w:color w:val="000000"/>
          <w:sz w:val="22"/>
          <w:szCs w:val="22"/>
        </w:rPr>
        <w:t>, L. (2014).</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Authentic Learning in the Digital Age</w:t>
      </w:r>
      <w:r w:rsidRPr="00EB1F00">
        <w:rPr>
          <w:rFonts w:ascii="Calibri" w:hAnsi="Calibri" w:cs="Calibri"/>
          <w:color w:val="000000"/>
          <w:sz w:val="22"/>
          <w:szCs w:val="22"/>
        </w:rPr>
        <w:t>. ASCD.</w:t>
      </w:r>
    </w:p>
    <w:p w14:paraId="323ADCD4"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Pappas, C. (2023).</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Authentic Learning Model: Creating Meaningful Learning Experiences</w:t>
      </w:r>
      <w:r w:rsidRPr="00EB1F00">
        <w:rPr>
          <w:rFonts w:ascii="Calibri" w:hAnsi="Calibri" w:cs="Calibri"/>
          <w:color w:val="000000"/>
          <w:sz w:val="22"/>
          <w:szCs w:val="22"/>
        </w:rPr>
        <w:t>. [online] eLearning Industry. Available at: https://elearningindustry.com/authentic-learning-model-creating-meaningful-learning-experiences#:~:text=Authentic%20learning%20provides%20students%20with [Accessed 8 Apr. 2024].</w:t>
      </w:r>
    </w:p>
    <w:p w14:paraId="17367DF8"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 xml:space="preserve">Piaget, J., Elkind, D. and </w:t>
      </w:r>
      <w:proofErr w:type="spellStart"/>
      <w:r w:rsidRPr="00EB1F00">
        <w:rPr>
          <w:rFonts w:ascii="Calibri" w:hAnsi="Calibri" w:cs="Calibri"/>
          <w:color w:val="000000"/>
          <w:sz w:val="22"/>
          <w:szCs w:val="22"/>
        </w:rPr>
        <w:t>Tenzer</w:t>
      </w:r>
      <w:proofErr w:type="spellEnd"/>
      <w:r w:rsidRPr="00EB1F00">
        <w:rPr>
          <w:rFonts w:ascii="Calibri" w:hAnsi="Calibri" w:cs="Calibri"/>
          <w:color w:val="000000"/>
          <w:sz w:val="22"/>
          <w:szCs w:val="22"/>
        </w:rPr>
        <w:t>, A. (1980).</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Six psychological studies</w:t>
      </w:r>
      <w:r w:rsidRPr="00EB1F00">
        <w:rPr>
          <w:rFonts w:ascii="Calibri" w:hAnsi="Calibri" w:cs="Calibri"/>
          <w:color w:val="000000"/>
          <w:sz w:val="22"/>
          <w:szCs w:val="22"/>
        </w:rPr>
        <w:t>. Brighton: Harvester Press, Cop.</w:t>
      </w:r>
    </w:p>
    <w:p w14:paraId="208B5B7A"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Rotherham, A.J. and Willingham, D.T. (2009). 21st Century Skills: The Challenges Ahead.</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Educational Leadership</w:t>
      </w:r>
      <w:r w:rsidRPr="00EB1F00">
        <w:rPr>
          <w:rFonts w:ascii="Calibri" w:hAnsi="Calibri" w:cs="Calibri"/>
          <w:color w:val="000000"/>
          <w:sz w:val="22"/>
          <w:szCs w:val="22"/>
        </w:rPr>
        <w:t>, 67(1), pp.16–21.</w:t>
      </w:r>
    </w:p>
    <w:p w14:paraId="1D411CA2"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Sabin, M. (2024).</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 xml:space="preserve">What is authentic learning and how do I use it? - </w:t>
      </w:r>
      <w:proofErr w:type="spellStart"/>
      <w:r w:rsidRPr="00EB1F00">
        <w:rPr>
          <w:rFonts w:ascii="Calibri" w:hAnsi="Calibri" w:cs="Calibri"/>
          <w:i/>
          <w:iCs/>
          <w:color w:val="000000"/>
          <w:sz w:val="22"/>
          <w:szCs w:val="22"/>
        </w:rPr>
        <w:t>AtlasNext</w:t>
      </w:r>
      <w:proofErr w:type="spellEnd"/>
      <w:r w:rsidRPr="00EB1F00">
        <w:rPr>
          <w:rFonts w:ascii="Calibri" w:hAnsi="Calibri" w:cs="Calibri"/>
          <w:color w:val="000000"/>
          <w:sz w:val="22"/>
          <w:szCs w:val="22"/>
        </w:rPr>
        <w:t>. [online] www.onatlas.com. Available at: https://www.onatlas.com/blog/what-is-authentic-learning-and-how-do-i-use-it [Accessed 8 Apr. 2024].</w:t>
      </w:r>
    </w:p>
    <w:p w14:paraId="65F42700"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Savage, J. (2010).</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Cross-Curricular Teaching and Learning in Secondary Education</w:t>
      </w:r>
      <w:r w:rsidRPr="00EB1F00">
        <w:rPr>
          <w:rFonts w:ascii="Calibri" w:hAnsi="Calibri" w:cs="Calibri"/>
          <w:color w:val="000000"/>
          <w:sz w:val="22"/>
          <w:szCs w:val="22"/>
        </w:rPr>
        <w:t>. Routledge.</w:t>
      </w:r>
    </w:p>
    <w:p w14:paraId="62891506"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Schunk, D.H. (2020).</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Learning theories : An educational perspective.</w:t>
      </w:r>
      <w:r w:rsidRPr="00EB1F00">
        <w:rPr>
          <w:rStyle w:val="apple-converted-space"/>
          <w:rFonts w:ascii="Calibri" w:eastAsiaTheme="majorEastAsia" w:hAnsi="Calibri" w:cs="Calibri"/>
          <w:color w:val="000000"/>
          <w:sz w:val="22"/>
          <w:szCs w:val="22"/>
        </w:rPr>
        <w:t> </w:t>
      </w:r>
      <w:r w:rsidRPr="00EB1F00">
        <w:rPr>
          <w:rFonts w:ascii="Calibri" w:hAnsi="Calibri" w:cs="Calibri"/>
          <w:color w:val="000000"/>
          <w:sz w:val="22"/>
          <w:szCs w:val="22"/>
        </w:rPr>
        <w:t>6th ed. Pearson.</w:t>
      </w:r>
    </w:p>
    <w:p w14:paraId="3FF861D8"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proofErr w:type="spellStart"/>
      <w:r w:rsidRPr="00EB1F00">
        <w:rPr>
          <w:rFonts w:ascii="Calibri" w:hAnsi="Calibri" w:cs="Calibri"/>
          <w:color w:val="000000"/>
          <w:sz w:val="22"/>
          <w:szCs w:val="22"/>
        </w:rPr>
        <w:lastRenderedPageBreak/>
        <w:t>Shirke</w:t>
      </w:r>
      <w:proofErr w:type="spellEnd"/>
      <w:r w:rsidRPr="00EB1F00">
        <w:rPr>
          <w:rFonts w:ascii="Calibri" w:hAnsi="Calibri" w:cs="Calibri"/>
          <w:color w:val="000000"/>
          <w:sz w:val="22"/>
          <w:szCs w:val="22"/>
        </w:rPr>
        <w:t>, A. (2021).</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What is Pedagogy? Importance of pedagogy in teaching and learning process</w:t>
      </w:r>
      <w:r w:rsidRPr="00EB1F00">
        <w:rPr>
          <w:rFonts w:ascii="Calibri" w:hAnsi="Calibri" w:cs="Calibri"/>
          <w:color w:val="000000"/>
          <w:sz w:val="22"/>
          <w:szCs w:val="22"/>
        </w:rPr>
        <w:t>. [online] www.iitms.co.in. Available at: https://www.iitms.co.in/blog/importance-of-pedagogy-in-teaching-and-learning-process.html#:~:text=Pedagogy%20enables%20teachers%20to%20understand [Accessed 30 Mar. 2024].</w:t>
      </w:r>
    </w:p>
    <w:p w14:paraId="36CE6D11"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Singh, V. (2021).</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Advantages and downsides of Authentic Assessments</w:t>
      </w:r>
      <w:r w:rsidRPr="00EB1F00">
        <w:rPr>
          <w:rFonts w:ascii="Calibri" w:hAnsi="Calibri" w:cs="Calibri"/>
          <w:color w:val="000000"/>
          <w:sz w:val="22"/>
          <w:szCs w:val="22"/>
        </w:rPr>
        <w:t>. [online] www.linkedin.com. Available at: https://www.linkedin.com/pulse/advantages-downsides-authentic-assessments-vijay-vardhan-singh [Accessed 8 Apr. 2024].</w:t>
      </w:r>
    </w:p>
    <w:p w14:paraId="283AF799"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Sinha, B. (2023).</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The Pros and Cons of Using Authentic vs. Graded Material in Second Language</w:t>
      </w:r>
      <w:r w:rsidRPr="00EB1F00">
        <w:rPr>
          <w:rFonts w:ascii="Calibri" w:hAnsi="Calibri" w:cs="Calibri"/>
          <w:color w:val="000000"/>
          <w:sz w:val="22"/>
          <w:szCs w:val="22"/>
        </w:rPr>
        <w:t>. [online] www.teflcourse.in. Available at: https://www.teflcourse.in/blog/1407-The-Pros-and-Cons-of-Using-Authentic-vs-Graded-Material-in-Second-Language-blog.php#:~:text=The%20cons%20of%20using%20authentic%20material&amp;text=This%20can%20often%20lead%20to [Accessed 8 Apr. 2024].</w:t>
      </w:r>
    </w:p>
    <w:p w14:paraId="79397AED"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proofErr w:type="spellStart"/>
      <w:r w:rsidRPr="00EB1F00">
        <w:rPr>
          <w:rFonts w:ascii="Calibri" w:hAnsi="Calibri" w:cs="Calibri"/>
          <w:color w:val="000000"/>
          <w:sz w:val="22"/>
          <w:szCs w:val="22"/>
        </w:rPr>
        <w:t>STEMscopes</w:t>
      </w:r>
      <w:proofErr w:type="spellEnd"/>
      <w:r w:rsidRPr="00EB1F00">
        <w:rPr>
          <w:rFonts w:ascii="Calibri" w:hAnsi="Calibri" w:cs="Calibri"/>
          <w:color w:val="000000"/>
          <w:sz w:val="22"/>
          <w:szCs w:val="22"/>
        </w:rPr>
        <w:t xml:space="preserve"> (n.d.).</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The Importance of Real-World Connections in the Classroom</w:t>
      </w:r>
      <w:r w:rsidRPr="00EB1F00">
        <w:rPr>
          <w:rFonts w:ascii="Calibri" w:hAnsi="Calibri" w:cs="Calibri"/>
          <w:color w:val="000000"/>
          <w:sz w:val="22"/>
          <w:szCs w:val="22"/>
        </w:rPr>
        <w:t>. [online] blog.acceleratelearning.com. Available at: https://blog.acceleratelearning.com/bringing-the-real-world-into-the-classroom-enhancing-the-future-workforce [Accessed 8 Apr. 2024].</w:t>
      </w:r>
    </w:p>
    <w:p w14:paraId="2D2DC7D7"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Vygotsky, L. (1978).</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Mind in Society: The Development of Higher Psychological Processes</w:t>
      </w:r>
      <w:r w:rsidRPr="00EB1F00">
        <w:rPr>
          <w:rFonts w:ascii="Calibri" w:hAnsi="Calibri" w:cs="Calibri"/>
          <w:color w:val="000000"/>
          <w:sz w:val="22"/>
          <w:szCs w:val="22"/>
        </w:rPr>
        <w:t>. Cambridge: Harvard University Press.</w:t>
      </w:r>
    </w:p>
    <w:p w14:paraId="5058529B"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Waters, M. (2013).</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Thinking allowed on schooling</w:t>
      </w:r>
      <w:r w:rsidRPr="00EB1F00">
        <w:rPr>
          <w:rFonts w:ascii="Calibri" w:hAnsi="Calibri" w:cs="Calibri"/>
          <w:color w:val="000000"/>
          <w:sz w:val="22"/>
          <w:szCs w:val="22"/>
        </w:rPr>
        <w:t xml:space="preserve">. </w:t>
      </w:r>
      <w:proofErr w:type="spellStart"/>
      <w:r w:rsidRPr="00EB1F00">
        <w:rPr>
          <w:rFonts w:ascii="Calibri" w:hAnsi="Calibri" w:cs="Calibri"/>
          <w:color w:val="000000"/>
          <w:sz w:val="22"/>
          <w:szCs w:val="22"/>
        </w:rPr>
        <w:t>Bancyfelin</w:t>
      </w:r>
      <w:proofErr w:type="spellEnd"/>
      <w:r w:rsidRPr="00EB1F00">
        <w:rPr>
          <w:rFonts w:ascii="Calibri" w:hAnsi="Calibri" w:cs="Calibri"/>
          <w:color w:val="000000"/>
          <w:sz w:val="22"/>
          <w:szCs w:val="22"/>
        </w:rPr>
        <w:t>, Wales: Independent Thinking.</w:t>
      </w:r>
    </w:p>
    <w:p w14:paraId="6765D36E"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Welsh Government (2021).</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CROSS-CURRICULAR SKILLS FRAMEWORKS Revised ABC steps Consultation Document</w:t>
      </w:r>
      <w:r w:rsidRPr="00EB1F00">
        <w:rPr>
          <w:rFonts w:ascii="Calibri" w:hAnsi="Calibri" w:cs="Calibri"/>
          <w:color w:val="000000"/>
          <w:sz w:val="22"/>
          <w:szCs w:val="22"/>
        </w:rPr>
        <w:t>. [online] Available at: https://www.gov.wales/sites/default/files/consultations/2021-05/consultation-document-cross-curricular-skills-frameworks-revised-abc-steps_0.pdf [Accessed 9 Apr. 2024].</w:t>
      </w:r>
    </w:p>
    <w:p w14:paraId="486D1BF8"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Welsh Government (2022).</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Digital Competence Framework - Hwb</w:t>
      </w:r>
      <w:r w:rsidRPr="00EB1F00">
        <w:rPr>
          <w:rFonts w:ascii="Calibri" w:hAnsi="Calibri" w:cs="Calibri"/>
          <w:color w:val="000000"/>
          <w:sz w:val="22"/>
          <w:szCs w:val="22"/>
        </w:rPr>
        <w:t xml:space="preserve">. [online] </w:t>
      </w:r>
      <w:proofErr w:type="spellStart"/>
      <w:r w:rsidRPr="00EB1F00">
        <w:rPr>
          <w:rFonts w:ascii="Calibri" w:hAnsi="Calibri" w:cs="Calibri"/>
          <w:color w:val="000000"/>
          <w:sz w:val="22"/>
          <w:szCs w:val="22"/>
        </w:rPr>
        <w:t>hwb.gov.wales</w:t>
      </w:r>
      <w:proofErr w:type="spellEnd"/>
      <w:r w:rsidRPr="00EB1F00">
        <w:rPr>
          <w:rFonts w:ascii="Calibri" w:hAnsi="Calibri" w:cs="Calibri"/>
          <w:color w:val="000000"/>
          <w:sz w:val="22"/>
          <w:szCs w:val="22"/>
        </w:rPr>
        <w:t>. Available at: https://hwb.gov.wales/curriculum-for-wales/cross-curricular-skills-frameworks/digital-competence-framework/ [Accessed 10 Apr. 2024].</w:t>
      </w:r>
    </w:p>
    <w:p w14:paraId="1CD6E059"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William, D. (2011). What is assessment for learning?</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Studies in Educational Evaluation</w:t>
      </w:r>
      <w:r w:rsidRPr="00EB1F00">
        <w:rPr>
          <w:rFonts w:ascii="Calibri" w:hAnsi="Calibri" w:cs="Calibri"/>
          <w:color w:val="000000"/>
          <w:sz w:val="22"/>
          <w:szCs w:val="22"/>
        </w:rPr>
        <w:t>, 37(1), pp.3–14.</w:t>
      </w:r>
    </w:p>
    <w:p w14:paraId="7A697558" w14:textId="77777777" w:rsidR="00EB1F00" w:rsidRPr="00EB1F00" w:rsidRDefault="00EB1F00" w:rsidP="00EB1F00">
      <w:pPr>
        <w:pStyle w:val="NormalWeb"/>
        <w:spacing w:before="0" w:beforeAutospacing="0" w:after="240" w:afterAutospacing="0" w:line="360" w:lineRule="atLeast"/>
        <w:rPr>
          <w:rFonts w:ascii="Calibri" w:hAnsi="Calibri" w:cs="Calibri"/>
          <w:color w:val="000000"/>
          <w:sz w:val="22"/>
          <w:szCs w:val="22"/>
        </w:rPr>
      </w:pPr>
      <w:r w:rsidRPr="00EB1F00">
        <w:rPr>
          <w:rFonts w:ascii="Calibri" w:hAnsi="Calibri" w:cs="Calibri"/>
          <w:color w:val="000000"/>
          <w:sz w:val="22"/>
          <w:szCs w:val="22"/>
        </w:rPr>
        <w:t>Winkelman, R. (2020).</w:t>
      </w:r>
      <w:r w:rsidRPr="00EB1F00">
        <w:rPr>
          <w:rStyle w:val="apple-converted-space"/>
          <w:rFonts w:ascii="Calibri" w:eastAsiaTheme="majorEastAsia" w:hAnsi="Calibri" w:cs="Calibri"/>
          <w:color w:val="000000"/>
          <w:sz w:val="22"/>
          <w:szCs w:val="22"/>
        </w:rPr>
        <w:t> </w:t>
      </w:r>
      <w:r w:rsidRPr="00EB1F00">
        <w:rPr>
          <w:rFonts w:ascii="Calibri" w:hAnsi="Calibri" w:cs="Calibri"/>
          <w:i/>
          <w:iCs/>
          <w:color w:val="000000"/>
          <w:sz w:val="22"/>
          <w:szCs w:val="22"/>
        </w:rPr>
        <w:t>Authentic Learning: Mirroring the Real World</w:t>
      </w:r>
      <w:r w:rsidRPr="00EB1F00">
        <w:rPr>
          <w:rFonts w:ascii="Calibri" w:hAnsi="Calibri" w:cs="Calibri"/>
          <w:color w:val="000000"/>
          <w:sz w:val="22"/>
          <w:szCs w:val="22"/>
        </w:rPr>
        <w:t>. [online] TIM. Available at: https://fcit.usf.edu/matrix/authentic-learning-mirroring-the-real-world/ [Accessed 8 Apr. 2024].</w:t>
      </w:r>
    </w:p>
    <w:p w14:paraId="4D9BFF0F" w14:textId="77777777" w:rsidR="00EB1F00" w:rsidRPr="00EB1F00" w:rsidRDefault="00EB1F00" w:rsidP="00EB1F00"/>
    <w:sectPr w:rsidR="00EB1F00" w:rsidRPr="00EB1F00">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126DA" w14:textId="77777777" w:rsidR="006A0002" w:rsidRDefault="006A0002" w:rsidP="00F61A0A">
      <w:r>
        <w:separator/>
      </w:r>
    </w:p>
  </w:endnote>
  <w:endnote w:type="continuationSeparator" w:id="0">
    <w:p w14:paraId="78EE0F9C" w14:textId="77777777" w:rsidR="006A0002" w:rsidRDefault="006A0002" w:rsidP="00F61A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649228"/>
      <w:docPartObj>
        <w:docPartGallery w:val="Page Numbers (Bottom of Page)"/>
        <w:docPartUnique/>
      </w:docPartObj>
    </w:sdtPr>
    <w:sdtContent>
      <w:p w14:paraId="1FEDDD2F" w14:textId="70BDFA45" w:rsidR="00A15269" w:rsidRDefault="00A15269" w:rsidP="00E062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8FF547" w14:textId="77777777" w:rsidR="00A15269" w:rsidRDefault="00A15269" w:rsidP="00A152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984499"/>
      <w:docPartObj>
        <w:docPartGallery w:val="Page Numbers (Bottom of Page)"/>
        <w:docPartUnique/>
      </w:docPartObj>
    </w:sdtPr>
    <w:sdtContent>
      <w:p w14:paraId="4A857F1A" w14:textId="7122103D" w:rsidR="00A15269" w:rsidRDefault="00A15269" w:rsidP="00E062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ADACCF" w14:textId="77777777" w:rsidR="00A15269" w:rsidRDefault="00A15269" w:rsidP="00A152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5E8CB" w14:textId="77777777" w:rsidR="006A0002" w:rsidRDefault="006A0002" w:rsidP="00F61A0A">
      <w:r>
        <w:separator/>
      </w:r>
    </w:p>
  </w:footnote>
  <w:footnote w:type="continuationSeparator" w:id="0">
    <w:p w14:paraId="76BE4A9A" w14:textId="77777777" w:rsidR="006A0002" w:rsidRDefault="006A0002" w:rsidP="00F61A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942AE" w14:textId="177047F3" w:rsidR="00F61A0A" w:rsidRPr="00F61A0A" w:rsidRDefault="00F61A0A" w:rsidP="00F61A0A">
    <w:pPr>
      <w:rPr>
        <w:rFonts w:ascii="Calibri" w:hAnsi="Calibri" w:cs="Calibri"/>
        <w:b/>
        <w:bCs/>
        <w:color w:val="747474" w:themeColor="background2" w:themeShade="80"/>
      </w:rPr>
    </w:pPr>
    <w:r w:rsidRPr="00F61A0A">
      <w:rPr>
        <w:rFonts w:ascii="Calibri" w:hAnsi="Calibri" w:cs="Calibri"/>
        <w:b/>
        <w:bCs/>
        <w:color w:val="747474" w:themeColor="background2" w:themeShade="80"/>
      </w:rPr>
      <w:t>ECAD6008: Leading the Learning:                                                         Student Number: 2103599</w:t>
    </w:r>
  </w:p>
  <w:p w14:paraId="51F199AD" w14:textId="3CA15A7D" w:rsidR="00F61A0A" w:rsidRPr="00F61A0A" w:rsidRDefault="00F61A0A" w:rsidP="00F61A0A">
    <w:pPr>
      <w:rPr>
        <w:rFonts w:ascii="Calibri" w:hAnsi="Calibri" w:cs="Calibri"/>
        <w:b/>
        <w:bCs/>
        <w:color w:val="747474" w:themeColor="background2" w:themeShade="80"/>
      </w:rPr>
    </w:pPr>
    <w:r w:rsidRPr="00F61A0A">
      <w:rPr>
        <w:rFonts w:ascii="Calibri" w:hAnsi="Calibri" w:cs="Calibri"/>
        <w:b/>
        <w:bCs/>
        <w:color w:val="747474" w:themeColor="background2" w:themeShade="80"/>
      </w:rPr>
      <w:t>What, How and Why Am I Teaching?</w:t>
    </w:r>
  </w:p>
  <w:p w14:paraId="6C835669" w14:textId="77777777" w:rsidR="00F61A0A" w:rsidRDefault="00F61A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2B1"/>
    <w:rsid w:val="000C7881"/>
    <w:rsid w:val="000F43B6"/>
    <w:rsid w:val="001246E9"/>
    <w:rsid w:val="001700D8"/>
    <w:rsid w:val="001C44F7"/>
    <w:rsid w:val="002A1B40"/>
    <w:rsid w:val="0030493F"/>
    <w:rsid w:val="003D59DE"/>
    <w:rsid w:val="0040287A"/>
    <w:rsid w:val="005A4E34"/>
    <w:rsid w:val="005C1631"/>
    <w:rsid w:val="00620611"/>
    <w:rsid w:val="006A0002"/>
    <w:rsid w:val="00796CED"/>
    <w:rsid w:val="007B7D2D"/>
    <w:rsid w:val="00841EB9"/>
    <w:rsid w:val="008508FC"/>
    <w:rsid w:val="00892365"/>
    <w:rsid w:val="008D32B1"/>
    <w:rsid w:val="009C7816"/>
    <w:rsid w:val="00A15269"/>
    <w:rsid w:val="00A5750F"/>
    <w:rsid w:val="00A96279"/>
    <w:rsid w:val="00B76336"/>
    <w:rsid w:val="00C011E1"/>
    <w:rsid w:val="00CA6450"/>
    <w:rsid w:val="00D83DAB"/>
    <w:rsid w:val="00D909C2"/>
    <w:rsid w:val="00E26DF5"/>
    <w:rsid w:val="00EB1F00"/>
    <w:rsid w:val="00F61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38F25C"/>
  <w15:chartTrackingRefBased/>
  <w15:docId w15:val="{20443E86-5A3B-2943-B0EA-ECFE96B8C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2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32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32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2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2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2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2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2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2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2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32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32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2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2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2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2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2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2B1"/>
    <w:rPr>
      <w:rFonts w:eastAsiaTheme="majorEastAsia" w:cstheme="majorBidi"/>
      <w:color w:val="272727" w:themeColor="text1" w:themeTint="D8"/>
    </w:rPr>
  </w:style>
  <w:style w:type="paragraph" w:styleId="Title">
    <w:name w:val="Title"/>
    <w:basedOn w:val="Normal"/>
    <w:next w:val="Normal"/>
    <w:link w:val="TitleChar"/>
    <w:uiPriority w:val="10"/>
    <w:qFormat/>
    <w:rsid w:val="008D32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2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2B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2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2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32B1"/>
    <w:rPr>
      <w:i/>
      <w:iCs/>
      <w:color w:val="404040" w:themeColor="text1" w:themeTint="BF"/>
    </w:rPr>
  </w:style>
  <w:style w:type="paragraph" w:styleId="ListParagraph">
    <w:name w:val="List Paragraph"/>
    <w:basedOn w:val="Normal"/>
    <w:uiPriority w:val="34"/>
    <w:qFormat/>
    <w:rsid w:val="008D32B1"/>
    <w:pPr>
      <w:ind w:left="720"/>
      <w:contextualSpacing/>
    </w:pPr>
  </w:style>
  <w:style w:type="character" w:styleId="IntenseEmphasis">
    <w:name w:val="Intense Emphasis"/>
    <w:basedOn w:val="DefaultParagraphFont"/>
    <w:uiPriority w:val="21"/>
    <w:qFormat/>
    <w:rsid w:val="008D32B1"/>
    <w:rPr>
      <w:i/>
      <w:iCs/>
      <w:color w:val="0F4761" w:themeColor="accent1" w:themeShade="BF"/>
    </w:rPr>
  </w:style>
  <w:style w:type="paragraph" w:styleId="IntenseQuote">
    <w:name w:val="Intense Quote"/>
    <w:basedOn w:val="Normal"/>
    <w:next w:val="Normal"/>
    <w:link w:val="IntenseQuoteChar"/>
    <w:uiPriority w:val="30"/>
    <w:qFormat/>
    <w:rsid w:val="008D32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2B1"/>
    <w:rPr>
      <w:i/>
      <w:iCs/>
      <w:color w:val="0F4761" w:themeColor="accent1" w:themeShade="BF"/>
    </w:rPr>
  </w:style>
  <w:style w:type="character" w:styleId="IntenseReference">
    <w:name w:val="Intense Reference"/>
    <w:basedOn w:val="DefaultParagraphFont"/>
    <w:uiPriority w:val="32"/>
    <w:qFormat/>
    <w:rsid w:val="008D32B1"/>
    <w:rPr>
      <w:b/>
      <w:bCs/>
      <w:smallCaps/>
      <w:color w:val="0F4761" w:themeColor="accent1" w:themeShade="BF"/>
      <w:spacing w:val="5"/>
    </w:rPr>
  </w:style>
  <w:style w:type="table" w:styleId="TableGrid">
    <w:name w:val="Table Grid"/>
    <w:basedOn w:val="TableNormal"/>
    <w:uiPriority w:val="39"/>
    <w:rsid w:val="008D32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D32B1"/>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8D32B1"/>
  </w:style>
  <w:style w:type="character" w:customStyle="1" w:styleId="normaltextrun">
    <w:name w:val="normaltextrun"/>
    <w:basedOn w:val="DefaultParagraphFont"/>
    <w:rsid w:val="008D32B1"/>
  </w:style>
  <w:style w:type="paragraph" w:styleId="NormalWeb">
    <w:name w:val="Normal (Web)"/>
    <w:basedOn w:val="Normal"/>
    <w:uiPriority w:val="99"/>
    <w:unhideWhenUsed/>
    <w:rsid w:val="0089236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92365"/>
  </w:style>
  <w:style w:type="character" w:styleId="Strong">
    <w:name w:val="Strong"/>
    <w:basedOn w:val="DefaultParagraphFont"/>
    <w:uiPriority w:val="22"/>
    <w:qFormat/>
    <w:rsid w:val="007B7D2D"/>
    <w:rPr>
      <w:b/>
      <w:bCs/>
    </w:rPr>
  </w:style>
  <w:style w:type="paragraph" w:styleId="TOCHeading">
    <w:name w:val="TOC Heading"/>
    <w:basedOn w:val="Heading1"/>
    <w:next w:val="Normal"/>
    <w:uiPriority w:val="39"/>
    <w:unhideWhenUsed/>
    <w:qFormat/>
    <w:rsid w:val="0030493F"/>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30493F"/>
    <w:pPr>
      <w:spacing w:before="120"/>
    </w:pPr>
    <w:rPr>
      <w:b/>
      <w:bCs/>
      <w:i/>
      <w:iCs/>
    </w:rPr>
  </w:style>
  <w:style w:type="paragraph" w:styleId="TOC2">
    <w:name w:val="toc 2"/>
    <w:basedOn w:val="Normal"/>
    <w:next w:val="Normal"/>
    <w:autoRedefine/>
    <w:uiPriority w:val="39"/>
    <w:unhideWhenUsed/>
    <w:rsid w:val="0030493F"/>
    <w:pPr>
      <w:spacing w:before="120"/>
      <w:ind w:left="240"/>
    </w:pPr>
    <w:rPr>
      <w:b/>
      <w:bCs/>
      <w:sz w:val="22"/>
      <w:szCs w:val="22"/>
    </w:rPr>
  </w:style>
  <w:style w:type="paragraph" w:styleId="TOC3">
    <w:name w:val="toc 3"/>
    <w:basedOn w:val="Normal"/>
    <w:next w:val="Normal"/>
    <w:autoRedefine/>
    <w:uiPriority w:val="39"/>
    <w:semiHidden/>
    <w:unhideWhenUsed/>
    <w:rsid w:val="0030493F"/>
    <w:pPr>
      <w:ind w:left="480"/>
    </w:pPr>
    <w:rPr>
      <w:sz w:val="20"/>
      <w:szCs w:val="20"/>
    </w:rPr>
  </w:style>
  <w:style w:type="paragraph" w:styleId="TOC4">
    <w:name w:val="toc 4"/>
    <w:basedOn w:val="Normal"/>
    <w:next w:val="Normal"/>
    <w:autoRedefine/>
    <w:uiPriority w:val="39"/>
    <w:semiHidden/>
    <w:unhideWhenUsed/>
    <w:rsid w:val="0030493F"/>
    <w:pPr>
      <w:ind w:left="720"/>
    </w:pPr>
    <w:rPr>
      <w:sz w:val="20"/>
      <w:szCs w:val="20"/>
    </w:rPr>
  </w:style>
  <w:style w:type="paragraph" w:styleId="TOC5">
    <w:name w:val="toc 5"/>
    <w:basedOn w:val="Normal"/>
    <w:next w:val="Normal"/>
    <w:autoRedefine/>
    <w:uiPriority w:val="39"/>
    <w:semiHidden/>
    <w:unhideWhenUsed/>
    <w:rsid w:val="0030493F"/>
    <w:pPr>
      <w:ind w:left="960"/>
    </w:pPr>
    <w:rPr>
      <w:sz w:val="20"/>
      <w:szCs w:val="20"/>
    </w:rPr>
  </w:style>
  <w:style w:type="paragraph" w:styleId="TOC6">
    <w:name w:val="toc 6"/>
    <w:basedOn w:val="Normal"/>
    <w:next w:val="Normal"/>
    <w:autoRedefine/>
    <w:uiPriority w:val="39"/>
    <w:semiHidden/>
    <w:unhideWhenUsed/>
    <w:rsid w:val="0030493F"/>
    <w:pPr>
      <w:ind w:left="1200"/>
    </w:pPr>
    <w:rPr>
      <w:sz w:val="20"/>
      <w:szCs w:val="20"/>
    </w:rPr>
  </w:style>
  <w:style w:type="paragraph" w:styleId="TOC7">
    <w:name w:val="toc 7"/>
    <w:basedOn w:val="Normal"/>
    <w:next w:val="Normal"/>
    <w:autoRedefine/>
    <w:uiPriority w:val="39"/>
    <w:semiHidden/>
    <w:unhideWhenUsed/>
    <w:rsid w:val="0030493F"/>
    <w:pPr>
      <w:ind w:left="1440"/>
    </w:pPr>
    <w:rPr>
      <w:sz w:val="20"/>
      <w:szCs w:val="20"/>
    </w:rPr>
  </w:style>
  <w:style w:type="paragraph" w:styleId="TOC8">
    <w:name w:val="toc 8"/>
    <w:basedOn w:val="Normal"/>
    <w:next w:val="Normal"/>
    <w:autoRedefine/>
    <w:uiPriority w:val="39"/>
    <w:semiHidden/>
    <w:unhideWhenUsed/>
    <w:rsid w:val="0030493F"/>
    <w:pPr>
      <w:ind w:left="1680"/>
    </w:pPr>
    <w:rPr>
      <w:sz w:val="20"/>
      <w:szCs w:val="20"/>
    </w:rPr>
  </w:style>
  <w:style w:type="paragraph" w:styleId="TOC9">
    <w:name w:val="toc 9"/>
    <w:basedOn w:val="Normal"/>
    <w:next w:val="Normal"/>
    <w:autoRedefine/>
    <w:uiPriority w:val="39"/>
    <w:semiHidden/>
    <w:unhideWhenUsed/>
    <w:rsid w:val="0030493F"/>
    <w:pPr>
      <w:ind w:left="1920"/>
    </w:pPr>
    <w:rPr>
      <w:sz w:val="20"/>
      <w:szCs w:val="20"/>
    </w:rPr>
  </w:style>
  <w:style w:type="character" w:styleId="Hyperlink">
    <w:name w:val="Hyperlink"/>
    <w:basedOn w:val="DefaultParagraphFont"/>
    <w:uiPriority w:val="99"/>
    <w:unhideWhenUsed/>
    <w:rsid w:val="0030493F"/>
    <w:rPr>
      <w:color w:val="467886" w:themeColor="hyperlink"/>
      <w:u w:val="single"/>
    </w:rPr>
  </w:style>
  <w:style w:type="paragraph" w:styleId="Header">
    <w:name w:val="header"/>
    <w:basedOn w:val="Normal"/>
    <w:link w:val="HeaderChar"/>
    <w:uiPriority w:val="99"/>
    <w:unhideWhenUsed/>
    <w:rsid w:val="00F61A0A"/>
    <w:pPr>
      <w:tabs>
        <w:tab w:val="center" w:pos="4513"/>
        <w:tab w:val="right" w:pos="9026"/>
      </w:tabs>
    </w:pPr>
  </w:style>
  <w:style w:type="character" w:customStyle="1" w:styleId="HeaderChar">
    <w:name w:val="Header Char"/>
    <w:basedOn w:val="DefaultParagraphFont"/>
    <w:link w:val="Header"/>
    <w:uiPriority w:val="99"/>
    <w:rsid w:val="00F61A0A"/>
  </w:style>
  <w:style w:type="paragraph" w:styleId="Footer">
    <w:name w:val="footer"/>
    <w:basedOn w:val="Normal"/>
    <w:link w:val="FooterChar"/>
    <w:uiPriority w:val="99"/>
    <w:unhideWhenUsed/>
    <w:rsid w:val="00F61A0A"/>
    <w:pPr>
      <w:tabs>
        <w:tab w:val="center" w:pos="4513"/>
        <w:tab w:val="right" w:pos="9026"/>
      </w:tabs>
    </w:pPr>
  </w:style>
  <w:style w:type="character" w:customStyle="1" w:styleId="FooterChar">
    <w:name w:val="Footer Char"/>
    <w:basedOn w:val="DefaultParagraphFont"/>
    <w:link w:val="Footer"/>
    <w:uiPriority w:val="99"/>
    <w:rsid w:val="00F61A0A"/>
  </w:style>
  <w:style w:type="character" w:styleId="PageNumber">
    <w:name w:val="page number"/>
    <w:basedOn w:val="DefaultParagraphFont"/>
    <w:uiPriority w:val="99"/>
    <w:semiHidden/>
    <w:unhideWhenUsed/>
    <w:rsid w:val="00A15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4208">
      <w:bodyDiv w:val="1"/>
      <w:marLeft w:val="0"/>
      <w:marRight w:val="0"/>
      <w:marTop w:val="0"/>
      <w:marBottom w:val="0"/>
      <w:divBdr>
        <w:top w:val="none" w:sz="0" w:space="0" w:color="auto"/>
        <w:left w:val="none" w:sz="0" w:space="0" w:color="auto"/>
        <w:bottom w:val="none" w:sz="0" w:space="0" w:color="auto"/>
        <w:right w:val="none" w:sz="0" w:space="0" w:color="auto"/>
      </w:divBdr>
      <w:divsChild>
        <w:div w:id="1218466861">
          <w:marLeft w:val="0"/>
          <w:marRight w:val="0"/>
          <w:marTop w:val="0"/>
          <w:marBottom w:val="0"/>
          <w:divBdr>
            <w:top w:val="none" w:sz="0" w:space="0" w:color="auto"/>
            <w:left w:val="none" w:sz="0" w:space="0" w:color="auto"/>
            <w:bottom w:val="none" w:sz="0" w:space="0" w:color="auto"/>
            <w:right w:val="none" w:sz="0" w:space="0" w:color="auto"/>
          </w:divBdr>
        </w:div>
        <w:div w:id="1420326428">
          <w:marLeft w:val="0"/>
          <w:marRight w:val="0"/>
          <w:marTop w:val="0"/>
          <w:marBottom w:val="0"/>
          <w:divBdr>
            <w:top w:val="none" w:sz="0" w:space="0" w:color="auto"/>
            <w:left w:val="none" w:sz="0" w:space="0" w:color="auto"/>
            <w:bottom w:val="none" w:sz="0" w:space="0" w:color="auto"/>
            <w:right w:val="none" w:sz="0" w:space="0" w:color="auto"/>
          </w:divBdr>
        </w:div>
        <w:div w:id="1287925259">
          <w:marLeft w:val="0"/>
          <w:marRight w:val="0"/>
          <w:marTop w:val="0"/>
          <w:marBottom w:val="0"/>
          <w:divBdr>
            <w:top w:val="none" w:sz="0" w:space="0" w:color="auto"/>
            <w:left w:val="none" w:sz="0" w:space="0" w:color="auto"/>
            <w:bottom w:val="none" w:sz="0" w:space="0" w:color="auto"/>
            <w:right w:val="none" w:sz="0" w:space="0" w:color="auto"/>
          </w:divBdr>
        </w:div>
        <w:div w:id="1704940297">
          <w:marLeft w:val="0"/>
          <w:marRight w:val="0"/>
          <w:marTop w:val="0"/>
          <w:marBottom w:val="0"/>
          <w:divBdr>
            <w:top w:val="none" w:sz="0" w:space="0" w:color="auto"/>
            <w:left w:val="none" w:sz="0" w:space="0" w:color="auto"/>
            <w:bottom w:val="none" w:sz="0" w:space="0" w:color="auto"/>
            <w:right w:val="none" w:sz="0" w:space="0" w:color="auto"/>
          </w:divBdr>
        </w:div>
        <w:div w:id="360788828">
          <w:marLeft w:val="0"/>
          <w:marRight w:val="0"/>
          <w:marTop w:val="0"/>
          <w:marBottom w:val="0"/>
          <w:divBdr>
            <w:top w:val="none" w:sz="0" w:space="0" w:color="auto"/>
            <w:left w:val="none" w:sz="0" w:space="0" w:color="auto"/>
            <w:bottom w:val="none" w:sz="0" w:space="0" w:color="auto"/>
            <w:right w:val="none" w:sz="0" w:space="0" w:color="auto"/>
          </w:divBdr>
        </w:div>
        <w:div w:id="1606883608">
          <w:marLeft w:val="0"/>
          <w:marRight w:val="0"/>
          <w:marTop w:val="0"/>
          <w:marBottom w:val="0"/>
          <w:divBdr>
            <w:top w:val="none" w:sz="0" w:space="0" w:color="auto"/>
            <w:left w:val="none" w:sz="0" w:space="0" w:color="auto"/>
            <w:bottom w:val="none" w:sz="0" w:space="0" w:color="auto"/>
            <w:right w:val="none" w:sz="0" w:space="0" w:color="auto"/>
          </w:divBdr>
        </w:div>
        <w:div w:id="1082141732">
          <w:marLeft w:val="0"/>
          <w:marRight w:val="0"/>
          <w:marTop w:val="0"/>
          <w:marBottom w:val="0"/>
          <w:divBdr>
            <w:top w:val="none" w:sz="0" w:space="0" w:color="auto"/>
            <w:left w:val="none" w:sz="0" w:space="0" w:color="auto"/>
            <w:bottom w:val="none" w:sz="0" w:space="0" w:color="auto"/>
            <w:right w:val="none" w:sz="0" w:space="0" w:color="auto"/>
          </w:divBdr>
        </w:div>
        <w:div w:id="8223739">
          <w:marLeft w:val="0"/>
          <w:marRight w:val="0"/>
          <w:marTop w:val="0"/>
          <w:marBottom w:val="0"/>
          <w:divBdr>
            <w:top w:val="none" w:sz="0" w:space="0" w:color="auto"/>
            <w:left w:val="none" w:sz="0" w:space="0" w:color="auto"/>
            <w:bottom w:val="none" w:sz="0" w:space="0" w:color="auto"/>
            <w:right w:val="none" w:sz="0" w:space="0" w:color="auto"/>
          </w:divBdr>
        </w:div>
        <w:div w:id="2111002840">
          <w:marLeft w:val="0"/>
          <w:marRight w:val="0"/>
          <w:marTop w:val="0"/>
          <w:marBottom w:val="0"/>
          <w:divBdr>
            <w:top w:val="none" w:sz="0" w:space="0" w:color="auto"/>
            <w:left w:val="none" w:sz="0" w:space="0" w:color="auto"/>
            <w:bottom w:val="none" w:sz="0" w:space="0" w:color="auto"/>
            <w:right w:val="none" w:sz="0" w:space="0" w:color="auto"/>
          </w:divBdr>
        </w:div>
        <w:div w:id="24908014">
          <w:marLeft w:val="0"/>
          <w:marRight w:val="0"/>
          <w:marTop w:val="0"/>
          <w:marBottom w:val="0"/>
          <w:divBdr>
            <w:top w:val="none" w:sz="0" w:space="0" w:color="auto"/>
            <w:left w:val="none" w:sz="0" w:space="0" w:color="auto"/>
            <w:bottom w:val="none" w:sz="0" w:space="0" w:color="auto"/>
            <w:right w:val="none" w:sz="0" w:space="0" w:color="auto"/>
          </w:divBdr>
        </w:div>
        <w:div w:id="2056345504">
          <w:marLeft w:val="0"/>
          <w:marRight w:val="0"/>
          <w:marTop w:val="0"/>
          <w:marBottom w:val="0"/>
          <w:divBdr>
            <w:top w:val="none" w:sz="0" w:space="0" w:color="auto"/>
            <w:left w:val="none" w:sz="0" w:space="0" w:color="auto"/>
            <w:bottom w:val="none" w:sz="0" w:space="0" w:color="auto"/>
            <w:right w:val="none" w:sz="0" w:space="0" w:color="auto"/>
          </w:divBdr>
        </w:div>
        <w:div w:id="916670226">
          <w:marLeft w:val="0"/>
          <w:marRight w:val="0"/>
          <w:marTop w:val="0"/>
          <w:marBottom w:val="0"/>
          <w:divBdr>
            <w:top w:val="none" w:sz="0" w:space="0" w:color="auto"/>
            <w:left w:val="none" w:sz="0" w:space="0" w:color="auto"/>
            <w:bottom w:val="none" w:sz="0" w:space="0" w:color="auto"/>
            <w:right w:val="none" w:sz="0" w:space="0" w:color="auto"/>
          </w:divBdr>
        </w:div>
        <w:div w:id="631788932">
          <w:marLeft w:val="0"/>
          <w:marRight w:val="0"/>
          <w:marTop w:val="0"/>
          <w:marBottom w:val="0"/>
          <w:divBdr>
            <w:top w:val="none" w:sz="0" w:space="0" w:color="auto"/>
            <w:left w:val="none" w:sz="0" w:space="0" w:color="auto"/>
            <w:bottom w:val="none" w:sz="0" w:space="0" w:color="auto"/>
            <w:right w:val="none" w:sz="0" w:space="0" w:color="auto"/>
          </w:divBdr>
        </w:div>
        <w:div w:id="1545829064">
          <w:marLeft w:val="0"/>
          <w:marRight w:val="0"/>
          <w:marTop w:val="0"/>
          <w:marBottom w:val="0"/>
          <w:divBdr>
            <w:top w:val="none" w:sz="0" w:space="0" w:color="auto"/>
            <w:left w:val="none" w:sz="0" w:space="0" w:color="auto"/>
            <w:bottom w:val="none" w:sz="0" w:space="0" w:color="auto"/>
            <w:right w:val="none" w:sz="0" w:space="0" w:color="auto"/>
          </w:divBdr>
        </w:div>
        <w:div w:id="2046444778">
          <w:marLeft w:val="0"/>
          <w:marRight w:val="0"/>
          <w:marTop w:val="0"/>
          <w:marBottom w:val="0"/>
          <w:divBdr>
            <w:top w:val="none" w:sz="0" w:space="0" w:color="auto"/>
            <w:left w:val="none" w:sz="0" w:space="0" w:color="auto"/>
            <w:bottom w:val="none" w:sz="0" w:space="0" w:color="auto"/>
            <w:right w:val="none" w:sz="0" w:space="0" w:color="auto"/>
          </w:divBdr>
        </w:div>
        <w:div w:id="1535658031">
          <w:marLeft w:val="0"/>
          <w:marRight w:val="0"/>
          <w:marTop w:val="0"/>
          <w:marBottom w:val="0"/>
          <w:divBdr>
            <w:top w:val="none" w:sz="0" w:space="0" w:color="auto"/>
            <w:left w:val="none" w:sz="0" w:space="0" w:color="auto"/>
            <w:bottom w:val="none" w:sz="0" w:space="0" w:color="auto"/>
            <w:right w:val="none" w:sz="0" w:space="0" w:color="auto"/>
          </w:divBdr>
        </w:div>
        <w:div w:id="1670596472">
          <w:marLeft w:val="0"/>
          <w:marRight w:val="0"/>
          <w:marTop w:val="0"/>
          <w:marBottom w:val="0"/>
          <w:divBdr>
            <w:top w:val="none" w:sz="0" w:space="0" w:color="auto"/>
            <w:left w:val="none" w:sz="0" w:space="0" w:color="auto"/>
            <w:bottom w:val="none" w:sz="0" w:space="0" w:color="auto"/>
            <w:right w:val="none" w:sz="0" w:space="0" w:color="auto"/>
          </w:divBdr>
        </w:div>
        <w:div w:id="1704011473">
          <w:marLeft w:val="0"/>
          <w:marRight w:val="0"/>
          <w:marTop w:val="0"/>
          <w:marBottom w:val="0"/>
          <w:divBdr>
            <w:top w:val="none" w:sz="0" w:space="0" w:color="auto"/>
            <w:left w:val="none" w:sz="0" w:space="0" w:color="auto"/>
            <w:bottom w:val="none" w:sz="0" w:space="0" w:color="auto"/>
            <w:right w:val="none" w:sz="0" w:space="0" w:color="auto"/>
          </w:divBdr>
        </w:div>
        <w:div w:id="1002199285">
          <w:marLeft w:val="0"/>
          <w:marRight w:val="0"/>
          <w:marTop w:val="0"/>
          <w:marBottom w:val="0"/>
          <w:divBdr>
            <w:top w:val="none" w:sz="0" w:space="0" w:color="auto"/>
            <w:left w:val="none" w:sz="0" w:space="0" w:color="auto"/>
            <w:bottom w:val="none" w:sz="0" w:space="0" w:color="auto"/>
            <w:right w:val="none" w:sz="0" w:space="0" w:color="auto"/>
          </w:divBdr>
        </w:div>
        <w:div w:id="1057510417">
          <w:marLeft w:val="0"/>
          <w:marRight w:val="0"/>
          <w:marTop w:val="0"/>
          <w:marBottom w:val="0"/>
          <w:divBdr>
            <w:top w:val="none" w:sz="0" w:space="0" w:color="auto"/>
            <w:left w:val="none" w:sz="0" w:space="0" w:color="auto"/>
            <w:bottom w:val="none" w:sz="0" w:space="0" w:color="auto"/>
            <w:right w:val="none" w:sz="0" w:space="0" w:color="auto"/>
          </w:divBdr>
        </w:div>
        <w:div w:id="752244135">
          <w:marLeft w:val="0"/>
          <w:marRight w:val="0"/>
          <w:marTop w:val="0"/>
          <w:marBottom w:val="0"/>
          <w:divBdr>
            <w:top w:val="none" w:sz="0" w:space="0" w:color="auto"/>
            <w:left w:val="none" w:sz="0" w:space="0" w:color="auto"/>
            <w:bottom w:val="none" w:sz="0" w:space="0" w:color="auto"/>
            <w:right w:val="none" w:sz="0" w:space="0" w:color="auto"/>
          </w:divBdr>
        </w:div>
        <w:div w:id="357396257">
          <w:marLeft w:val="0"/>
          <w:marRight w:val="0"/>
          <w:marTop w:val="0"/>
          <w:marBottom w:val="0"/>
          <w:divBdr>
            <w:top w:val="none" w:sz="0" w:space="0" w:color="auto"/>
            <w:left w:val="none" w:sz="0" w:space="0" w:color="auto"/>
            <w:bottom w:val="none" w:sz="0" w:space="0" w:color="auto"/>
            <w:right w:val="none" w:sz="0" w:space="0" w:color="auto"/>
          </w:divBdr>
        </w:div>
        <w:div w:id="1581449683">
          <w:marLeft w:val="0"/>
          <w:marRight w:val="0"/>
          <w:marTop w:val="0"/>
          <w:marBottom w:val="0"/>
          <w:divBdr>
            <w:top w:val="none" w:sz="0" w:space="0" w:color="auto"/>
            <w:left w:val="none" w:sz="0" w:space="0" w:color="auto"/>
            <w:bottom w:val="none" w:sz="0" w:space="0" w:color="auto"/>
            <w:right w:val="none" w:sz="0" w:space="0" w:color="auto"/>
          </w:divBdr>
        </w:div>
        <w:div w:id="375741843">
          <w:marLeft w:val="0"/>
          <w:marRight w:val="0"/>
          <w:marTop w:val="0"/>
          <w:marBottom w:val="0"/>
          <w:divBdr>
            <w:top w:val="none" w:sz="0" w:space="0" w:color="auto"/>
            <w:left w:val="none" w:sz="0" w:space="0" w:color="auto"/>
            <w:bottom w:val="none" w:sz="0" w:space="0" w:color="auto"/>
            <w:right w:val="none" w:sz="0" w:space="0" w:color="auto"/>
          </w:divBdr>
        </w:div>
        <w:div w:id="1847360586">
          <w:marLeft w:val="0"/>
          <w:marRight w:val="0"/>
          <w:marTop w:val="0"/>
          <w:marBottom w:val="0"/>
          <w:divBdr>
            <w:top w:val="none" w:sz="0" w:space="0" w:color="auto"/>
            <w:left w:val="none" w:sz="0" w:space="0" w:color="auto"/>
            <w:bottom w:val="none" w:sz="0" w:space="0" w:color="auto"/>
            <w:right w:val="none" w:sz="0" w:space="0" w:color="auto"/>
          </w:divBdr>
        </w:div>
        <w:div w:id="1276214825">
          <w:marLeft w:val="0"/>
          <w:marRight w:val="0"/>
          <w:marTop w:val="0"/>
          <w:marBottom w:val="0"/>
          <w:divBdr>
            <w:top w:val="none" w:sz="0" w:space="0" w:color="auto"/>
            <w:left w:val="none" w:sz="0" w:space="0" w:color="auto"/>
            <w:bottom w:val="none" w:sz="0" w:space="0" w:color="auto"/>
            <w:right w:val="none" w:sz="0" w:space="0" w:color="auto"/>
          </w:divBdr>
        </w:div>
        <w:div w:id="138769331">
          <w:marLeft w:val="0"/>
          <w:marRight w:val="0"/>
          <w:marTop w:val="0"/>
          <w:marBottom w:val="0"/>
          <w:divBdr>
            <w:top w:val="none" w:sz="0" w:space="0" w:color="auto"/>
            <w:left w:val="none" w:sz="0" w:space="0" w:color="auto"/>
            <w:bottom w:val="none" w:sz="0" w:space="0" w:color="auto"/>
            <w:right w:val="none" w:sz="0" w:space="0" w:color="auto"/>
          </w:divBdr>
        </w:div>
        <w:div w:id="1128359573">
          <w:marLeft w:val="0"/>
          <w:marRight w:val="0"/>
          <w:marTop w:val="0"/>
          <w:marBottom w:val="0"/>
          <w:divBdr>
            <w:top w:val="none" w:sz="0" w:space="0" w:color="auto"/>
            <w:left w:val="none" w:sz="0" w:space="0" w:color="auto"/>
            <w:bottom w:val="none" w:sz="0" w:space="0" w:color="auto"/>
            <w:right w:val="none" w:sz="0" w:space="0" w:color="auto"/>
          </w:divBdr>
        </w:div>
      </w:divsChild>
    </w:div>
    <w:div w:id="996805543">
      <w:bodyDiv w:val="1"/>
      <w:marLeft w:val="0"/>
      <w:marRight w:val="0"/>
      <w:marTop w:val="0"/>
      <w:marBottom w:val="0"/>
      <w:divBdr>
        <w:top w:val="none" w:sz="0" w:space="0" w:color="auto"/>
        <w:left w:val="none" w:sz="0" w:space="0" w:color="auto"/>
        <w:bottom w:val="none" w:sz="0" w:space="0" w:color="auto"/>
        <w:right w:val="none" w:sz="0" w:space="0" w:color="auto"/>
      </w:divBdr>
      <w:divsChild>
        <w:div w:id="1929267600">
          <w:marLeft w:val="0"/>
          <w:marRight w:val="0"/>
          <w:marTop w:val="0"/>
          <w:marBottom w:val="0"/>
          <w:divBdr>
            <w:top w:val="none" w:sz="0" w:space="0" w:color="auto"/>
            <w:left w:val="none" w:sz="0" w:space="0" w:color="auto"/>
            <w:bottom w:val="none" w:sz="0" w:space="0" w:color="auto"/>
            <w:right w:val="none" w:sz="0" w:space="0" w:color="auto"/>
          </w:divBdr>
          <w:divsChild>
            <w:div w:id="1715231189">
              <w:marLeft w:val="0"/>
              <w:marRight w:val="0"/>
              <w:marTop w:val="0"/>
              <w:marBottom w:val="0"/>
              <w:divBdr>
                <w:top w:val="none" w:sz="0" w:space="0" w:color="auto"/>
                <w:left w:val="none" w:sz="0" w:space="0" w:color="auto"/>
                <w:bottom w:val="none" w:sz="0" w:space="0" w:color="auto"/>
                <w:right w:val="none" w:sz="0" w:space="0" w:color="auto"/>
              </w:divBdr>
              <w:divsChild>
                <w:div w:id="1435856179">
                  <w:marLeft w:val="0"/>
                  <w:marRight w:val="0"/>
                  <w:marTop w:val="0"/>
                  <w:marBottom w:val="0"/>
                  <w:divBdr>
                    <w:top w:val="none" w:sz="0" w:space="0" w:color="auto"/>
                    <w:left w:val="none" w:sz="0" w:space="0" w:color="auto"/>
                    <w:bottom w:val="none" w:sz="0" w:space="0" w:color="auto"/>
                    <w:right w:val="none" w:sz="0" w:space="0" w:color="auto"/>
                  </w:divBdr>
                  <w:divsChild>
                    <w:div w:id="131140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222581">
      <w:bodyDiv w:val="1"/>
      <w:marLeft w:val="0"/>
      <w:marRight w:val="0"/>
      <w:marTop w:val="0"/>
      <w:marBottom w:val="0"/>
      <w:divBdr>
        <w:top w:val="none" w:sz="0" w:space="0" w:color="auto"/>
        <w:left w:val="none" w:sz="0" w:space="0" w:color="auto"/>
        <w:bottom w:val="none" w:sz="0" w:space="0" w:color="auto"/>
        <w:right w:val="none" w:sz="0" w:space="0" w:color="auto"/>
      </w:divBdr>
    </w:div>
    <w:div w:id="1097213307">
      <w:bodyDiv w:val="1"/>
      <w:marLeft w:val="0"/>
      <w:marRight w:val="0"/>
      <w:marTop w:val="0"/>
      <w:marBottom w:val="0"/>
      <w:divBdr>
        <w:top w:val="none" w:sz="0" w:space="0" w:color="auto"/>
        <w:left w:val="none" w:sz="0" w:space="0" w:color="auto"/>
        <w:bottom w:val="none" w:sz="0" w:space="0" w:color="auto"/>
        <w:right w:val="none" w:sz="0" w:space="0" w:color="auto"/>
      </w:divBdr>
      <w:divsChild>
        <w:div w:id="1763144617">
          <w:marLeft w:val="0"/>
          <w:marRight w:val="0"/>
          <w:marTop w:val="0"/>
          <w:marBottom w:val="0"/>
          <w:divBdr>
            <w:top w:val="none" w:sz="0" w:space="0" w:color="auto"/>
            <w:left w:val="none" w:sz="0" w:space="0" w:color="auto"/>
            <w:bottom w:val="none" w:sz="0" w:space="0" w:color="auto"/>
            <w:right w:val="none" w:sz="0" w:space="0" w:color="auto"/>
          </w:divBdr>
        </w:div>
      </w:divsChild>
    </w:div>
    <w:div w:id="1185902110">
      <w:bodyDiv w:val="1"/>
      <w:marLeft w:val="0"/>
      <w:marRight w:val="0"/>
      <w:marTop w:val="0"/>
      <w:marBottom w:val="0"/>
      <w:divBdr>
        <w:top w:val="none" w:sz="0" w:space="0" w:color="auto"/>
        <w:left w:val="none" w:sz="0" w:space="0" w:color="auto"/>
        <w:bottom w:val="none" w:sz="0" w:space="0" w:color="auto"/>
        <w:right w:val="none" w:sz="0" w:space="0" w:color="auto"/>
      </w:divBdr>
    </w:div>
    <w:div w:id="1463034389">
      <w:bodyDiv w:val="1"/>
      <w:marLeft w:val="0"/>
      <w:marRight w:val="0"/>
      <w:marTop w:val="0"/>
      <w:marBottom w:val="0"/>
      <w:divBdr>
        <w:top w:val="none" w:sz="0" w:space="0" w:color="auto"/>
        <w:left w:val="none" w:sz="0" w:space="0" w:color="auto"/>
        <w:bottom w:val="none" w:sz="0" w:space="0" w:color="auto"/>
        <w:right w:val="none" w:sz="0" w:space="0" w:color="auto"/>
      </w:divBdr>
      <w:divsChild>
        <w:div w:id="1717120019">
          <w:marLeft w:val="0"/>
          <w:marRight w:val="0"/>
          <w:marTop w:val="0"/>
          <w:marBottom w:val="0"/>
          <w:divBdr>
            <w:top w:val="none" w:sz="0" w:space="0" w:color="auto"/>
            <w:left w:val="none" w:sz="0" w:space="0" w:color="auto"/>
            <w:bottom w:val="none" w:sz="0" w:space="0" w:color="auto"/>
            <w:right w:val="none" w:sz="0" w:space="0" w:color="auto"/>
          </w:divBdr>
          <w:divsChild>
            <w:div w:id="1592817895">
              <w:marLeft w:val="0"/>
              <w:marRight w:val="0"/>
              <w:marTop w:val="0"/>
              <w:marBottom w:val="0"/>
              <w:divBdr>
                <w:top w:val="none" w:sz="0" w:space="0" w:color="auto"/>
                <w:left w:val="none" w:sz="0" w:space="0" w:color="auto"/>
                <w:bottom w:val="none" w:sz="0" w:space="0" w:color="auto"/>
                <w:right w:val="none" w:sz="0" w:space="0" w:color="auto"/>
              </w:divBdr>
              <w:divsChild>
                <w:div w:id="48696493">
                  <w:marLeft w:val="0"/>
                  <w:marRight w:val="0"/>
                  <w:marTop w:val="0"/>
                  <w:marBottom w:val="0"/>
                  <w:divBdr>
                    <w:top w:val="none" w:sz="0" w:space="0" w:color="auto"/>
                    <w:left w:val="none" w:sz="0" w:space="0" w:color="auto"/>
                    <w:bottom w:val="none" w:sz="0" w:space="0" w:color="auto"/>
                    <w:right w:val="none" w:sz="0" w:space="0" w:color="auto"/>
                  </w:divBdr>
                  <w:divsChild>
                    <w:div w:id="209998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620052">
      <w:bodyDiv w:val="1"/>
      <w:marLeft w:val="0"/>
      <w:marRight w:val="0"/>
      <w:marTop w:val="0"/>
      <w:marBottom w:val="0"/>
      <w:divBdr>
        <w:top w:val="none" w:sz="0" w:space="0" w:color="auto"/>
        <w:left w:val="none" w:sz="0" w:space="0" w:color="auto"/>
        <w:bottom w:val="none" w:sz="0" w:space="0" w:color="auto"/>
        <w:right w:val="none" w:sz="0" w:space="0" w:color="auto"/>
      </w:divBdr>
    </w:div>
    <w:div w:id="1525940889">
      <w:bodyDiv w:val="1"/>
      <w:marLeft w:val="0"/>
      <w:marRight w:val="0"/>
      <w:marTop w:val="0"/>
      <w:marBottom w:val="0"/>
      <w:divBdr>
        <w:top w:val="none" w:sz="0" w:space="0" w:color="auto"/>
        <w:left w:val="none" w:sz="0" w:space="0" w:color="auto"/>
        <w:bottom w:val="none" w:sz="0" w:space="0" w:color="auto"/>
        <w:right w:val="none" w:sz="0" w:space="0" w:color="auto"/>
      </w:divBdr>
    </w:div>
    <w:div w:id="1545945942">
      <w:bodyDiv w:val="1"/>
      <w:marLeft w:val="0"/>
      <w:marRight w:val="0"/>
      <w:marTop w:val="0"/>
      <w:marBottom w:val="0"/>
      <w:divBdr>
        <w:top w:val="none" w:sz="0" w:space="0" w:color="auto"/>
        <w:left w:val="none" w:sz="0" w:space="0" w:color="auto"/>
        <w:bottom w:val="none" w:sz="0" w:space="0" w:color="auto"/>
        <w:right w:val="none" w:sz="0" w:space="0" w:color="auto"/>
      </w:divBdr>
    </w:div>
    <w:div w:id="1554073226">
      <w:bodyDiv w:val="1"/>
      <w:marLeft w:val="0"/>
      <w:marRight w:val="0"/>
      <w:marTop w:val="0"/>
      <w:marBottom w:val="0"/>
      <w:divBdr>
        <w:top w:val="none" w:sz="0" w:space="0" w:color="auto"/>
        <w:left w:val="none" w:sz="0" w:space="0" w:color="auto"/>
        <w:bottom w:val="none" w:sz="0" w:space="0" w:color="auto"/>
        <w:right w:val="none" w:sz="0" w:space="0" w:color="auto"/>
      </w:divBdr>
      <w:divsChild>
        <w:div w:id="682588221">
          <w:marLeft w:val="0"/>
          <w:marRight w:val="0"/>
          <w:marTop w:val="0"/>
          <w:marBottom w:val="0"/>
          <w:divBdr>
            <w:top w:val="none" w:sz="0" w:space="0" w:color="auto"/>
            <w:left w:val="none" w:sz="0" w:space="0" w:color="auto"/>
            <w:bottom w:val="none" w:sz="0" w:space="0" w:color="auto"/>
            <w:right w:val="none" w:sz="0" w:space="0" w:color="auto"/>
          </w:divBdr>
          <w:divsChild>
            <w:div w:id="313411600">
              <w:marLeft w:val="0"/>
              <w:marRight w:val="0"/>
              <w:marTop w:val="0"/>
              <w:marBottom w:val="0"/>
              <w:divBdr>
                <w:top w:val="none" w:sz="0" w:space="0" w:color="auto"/>
                <w:left w:val="none" w:sz="0" w:space="0" w:color="auto"/>
                <w:bottom w:val="none" w:sz="0" w:space="0" w:color="auto"/>
                <w:right w:val="none" w:sz="0" w:space="0" w:color="auto"/>
              </w:divBdr>
              <w:divsChild>
                <w:div w:id="70393555">
                  <w:marLeft w:val="0"/>
                  <w:marRight w:val="0"/>
                  <w:marTop w:val="0"/>
                  <w:marBottom w:val="0"/>
                  <w:divBdr>
                    <w:top w:val="none" w:sz="0" w:space="0" w:color="auto"/>
                    <w:left w:val="none" w:sz="0" w:space="0" w:color="auto"/>
                    <w:bottom w:val="none" w:sz="0" w:space="0" w:color="auto"/>
                    <w:right w:val="none" w:sz="0" w:space="0" w:color="auto"/>
                  </w:divBdr>
                  <w:divsChild>
                    <w:div w:id="64168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286003">
      <w:bodyDiv w:val="1"/>
      <w:marLeft w:val="0"/>
      <w:marRight w:val="0"/>
      <w:marTop w:val="0"/>
      <w:marBottom w:val="0"/>
      <w:divBdr>
        <w:top w:val="none" w:sz="0" w:space="0" w:color="auto"/>
        <w:left w:val="none" w:sz="0" w:space="0" w:color="auto"/>
        <w:bottom w:val="none" w:sz="0" w:space="0" w:color="auto"/>
        <w:right w:val="none" w:sz="0" w:space="0" w:color="auto"/>
      </w:divBdr>
    </w:div>
    <w:div w:id="1818452120">
      <w:bodyDiv w:val="1"/>
      <w:marLeft w:val="0"/>
      <w:marRight w:val="0"/>
      <w:marTop w:val="0"/>
      <w:marBottom w:val="0"/>
      <w:divBdr>
        <w:top w:val="none" w:sz="0" w:space="0" w:color="auto"/>
        <w:left w:val="none" w:sz="0" w:space="0" w:color="auto"/>
        <w:bottom w:val="none" w:sz="0" w:space="0" w:color="auto"/>
        <w:right w:val="none" w:sz="0" w:space="0" w:color="auto"/>
      </w:divBdr>
      <w:divsChild>
        <w:div w:id="1428886562">
          <w:marLeft w:val="0"/>
          <w:marRight w:val="0"/>
          <w:marTop w:val="0"/>
          <w:marBottom w:val="0"/>
          <w:divBdr>
            <w:top w:val="none" w:sz="0" w:space="0" w:color="auto"/>
            <w:left w:val="none" w:sz="0" w:space="0" w:color="auto"/>
            <w:bottom w:val="none" w:sz="0" w:space="0" w:color="auto"/>
            <w:right w:val="none" w:sz="0" w:space="0" w:color="auto"/>
          </w:divBdr>
        </w:div>
        <w:div w:id="1833177497">
          <w:marLeft w:val="0"/>
          <w:marRight w:val="0"/>
          <w:marTop w:val="0"/>
          <w:marBottom w:val="0"/>
          <w:divBdr>
            <w:top w:val="none" w:sz="0" w:space="0" w:color="auto"/>
            <w:left w:val="none" w:sz="0" w:space="0" w:color="auto"/>
            <w:bottom w:val="none" w:sz="0" w:space="0" w:color="auto"/>
            <w:right w:val="none" w:sz="0" w:space="0" w:color="auto"/>
          </w:divBdr>
        </w:div>
        <w:div w:id="531773374">
          <w:marLeft w:val="0"/>
          <w:marRight w:val="0"/>
          <w:marTop w:val="0"/>
          <w:marBottom w:val="0"/>
          <w:divBdr>
            <w:top w:val="none" w:sz="0" w:space="0" w:color="auto"/>
            <w:left w:val="none" w:sz="0" w:space="0" w:color="auto"/>
            <w:bottom w:val="none" w:sz="0" w:space="0" w:color="auto"/>
            <w:right w:val="none" w:sz="0" w:space="0" w:color="auto"/>
          </w:divBdr>
        </w:div>
        <w:div w:id="430975824">
          <w:marLeft w:val="0"/>
          <w:marRight w:val="0"/>
          <w:marTop w:val="0"/>
          <w:marBottom w:val="0"/>
          <w:divBdr>
            <w:top w:val="none" w:sz="0" w:space="0" w:color="auto"/>
            <w:left w:val="none" w:sz="0" w:space="0" w:color="auto"/>
            <w:bottom w:val="none" w:sz="0" w:space="0" w:color="auto"/>
            <w:right w:val="none" w:sz="0" w:space="0" w:color="auto"/>
          </w:divBdr>
        </w:div>
        <w:div w:id="991715702">
          <w:marLeft w:val="0"/>
          <w:marRight w:val="0"/>
          <w:marTop w:val="0"/>
          <w:marBottom w:val="0"/>
          <w:divBdr>
            <w:top w:val="none" w:sz="0" w:space="0" w:color="auto"/>
            <w:left w:val="none" w:sz="0" w:space="0" w:color="auto"/>
            <w:bottom w:val="none" w:sz="0" w:space="0" w:color="auto"/>
            <w:right w:val="none" w:sz="0" w:space="0" w:color="auto"/>
          </w:divBdr>
        </w:div>
        <w:div w:id="273251893">
          <w:marLeft w:val="0"/>
          <w:marRight w:val="0"/>
          <w:marTop w:val="0"/>
          <w:marBottom w:val="0"/>
          <w:divBdr>
            <w:top w:val="none" w:sz="0" w:space="0" w:color="auto"/>
            <w:left w:val="none" w:sz="0" w:space="0" w:color="auto"/>
            <w:bottom w:val="none" w:sz="0" w:space="0" w:color="auto"/>
            <w:right w:val="none" w:sz="0" w:space="0" w:color="auto"/>
          </w:divBdr>
        </w:div>
        <w:div w:id="1939211867">
          <w:marLeft w:val="0"/>
          <w:marRight w:val="0"/>
          <w:marTop w:val="0"/>
          <w:marBottom w:val="0"/>
          <w:divBdr>
            <w:top w:val="none" w:sz="0" w:space="0" w:color="auto"/>
            <w:left w:val="none" w:sz="0" w:space="0" w:color="auto"/>
            <w:bottom w:val="none" w:sz="0" w:space="0" w:color="auto"/>
            <w:right w:val="none" w:sz="0" w:space="0" w:color="auto"/>
          </w:divBdr>
        </w:div>
        <w:div w:id="1654094793">
          <w:marLeft w:val="0"/>
          <w:marRight w:val="0"/>
          <w:marTop w:val="0"/>
          <w:marBottom w:val="0"/>
          <w:divBdr>
            <w:top w:val="none" w:sz="0" w:space="0" w:color="auto"/>
            <w:left w:val="none" w:sz="0" w:space="0" w:color="auto"/>
            <w:bottom w:val="none" w:sz="0" w:space="0" w:color="auto"/>
            <w:right w:val="none" w:sz="0" w:space="0" w:color="auto"/>
          </w:divBdr>
        </w:div>
        <w:div w:id="39522313">
          <w:marLeft w:val="0"/>
          <w:marRight w:val="0"/>
          <w:marTop w:val="0"/>
          <w:marBottom w:val="0"/>
          <w:divBdr>
            <w:top w:val="none" w:sz="0" w:space="0" w:color="auto"/>
            <w:left w:val="none" w:sz="0" w:space="0" w:color="auto"/>
            <w:bottom w:val="none" w:sz="0" w:space="0" w:color="auto"/>
            <w:right w:val="none" w:sz="0" w:space="0" w:color="auto"/>
          </w:divBdr>
        </w:div>
        <w:div w:id="772358920">
          <w:marLeft w:val="0"/>
          <w:marRight w:val="0"/>
          <w:marTop w:val="0"/>
          <w:marBottom w:val="0"/>
          <w:divBdr>
            <w:top w:val="none" w:sz="0" w:space="0" w:color="auto"/>
            <w:left w:val="none" w:sz="0" w:space="0" w:color="auto"/>
            <w:bottom w:val="none" w:sz="0" w:space="0" w:color="auto"/>
            <w:right w:val="none" w:sz="0" w:space="0" w:color="auto"/>
          </w:divBdr>
        </w:div>
        <w:div w:id="471557541">
          <w:marLeft w:val="0"/>
          <w:marRight w:val="0"/>
          <w:marTop w:val="0"/>
          <w:marBottom w:val="0"/>
          <w:divBdr>
            <w:top w:val="none" w:sz="0" w:space="0" w:color="auto"/>
            <w:left w:val="none" w:sz="0" w:space="0" w:color="auto"/>
            <w:bottom w:val="none" w:sz="0" w:space="0" w:color="auto"/>
            <w:right w:val="none" w:sz="0" w:space="0" w:color="auto"/>
          </w:divBdr>
        </w:div>
        <w:div w:id="179709990">
          <w:marLeft w:val="0"/>
          <w:marRight w:val="0"/>
          <w:marTop w:val="0"/>
          <w:marBottom w:val="0"/>
          <w:divBdr>
            <w:top w:val="none" w:sz="0" w:space="0" w:color="auto"/>
            <w:left w:val="none" w:sz="0" w:space="0" w:color="auto"/>
            <w:bottom w:val="none" w:sz="0" w:space="0" w:color="auto"/>
            <w:right w:val="none" w:sz="0" w:space="0" w:color="auto"/>
          </w:divBdr>
        </w:div>
        <w:div w:id="1389305179">
          <w:marLeft w:val="0"/>
          <w:marRight w:val="0"/>
          <w:marTop w:val="0"/>
          <w:marBottom w:val="0"/>
          <w:divBdr>
            <w:top w:val="none" w:sz="0" w:space="0" w:color="auto"/>
            <w:left w:val="none" w:sz="0" w:space="0" w:color="auto"/>
            <w:bottom w:val="none" w:sz="0" w:space="0" w:color="auto"/>
            <w:right w:val="none" w:sz="0" w:space="0" w:color="auto"/>
          </w:divBdr>
        </w:div>
        <w:div w:id="861668748">
          <w:marLeft w:val="0"/>
          <w:marRight w:val="0"/>
          <w:marTop w:val="0"/>
          <w:marBottom w:val="0"/>
          <w:divBdr>
            <w:top w:val="none" w:sz="0" w:space="0" w:color="auto"/>
            <w:left w:val="none" w:sz="0" w:space="0" w:color="auto"/>
            <w:bottom w:val="none" w:sz="0" w:space="0" w:color="auto"/>
            <w:right w:val="none" w:sz="0" w:space="0" w:color="auto"/>
          </w:divBdr>
        </w:div>
        <w:div w:id="1451127485">
          <w:marLeft w:val="0"/>
          <w:marRight w:val="0"/>
          <w:marTop w:val="0"/>
          <w:marBottom w:val="0"/>
          <w:divBdr>
            <w:top w:val="none" w:sz="0" w:space="0" w:color="auto"/>
            <w:left w:val="none" w:sz="0" w:space="0" w:color="auto"/>
            <w:bottom w:val="none" w:sz="0" w:space="0" w:color="auto"/>
            <w:right w:val="none" w:sz="0" w:space="0" w:color="auto"/>
          </w:divBdr>
        </w:div>
        <w:div w:id="1925529421">
          <w:marLeft w:val="0"/>
          <w:marRight w:val="0"/>
          <w:marTop w:val="0"/>
          <w:marBottom w:val="0"/>
          <w:divBdr>
            <w:top w:val="none" w:sz="0" w:space="0" w:color="auto"/>
            <w:left w:val="none" w:sz="0" w:space="0" w:color="auto"/>
            <w:bottom w:val="none" w:sz="0" w:space="0" w:color="auto"/>
            <w:right w:val="none" w:sz="0" w:space="0" w:color="auto"/>
          </w:divBdr>
        </w:div>
        <w:div w:id="310453696">
          <w:marLeft w:val="0"/>
          <w:marRight w:val="0"/>
          <w:marTop w:val="0"/>
          <w:marBottom w:val="0"/>
          <w:divBdr>
            <w:top w:val="none" w:sz="0" w:space="0" w:color="auto"/>
            <w:left w:val="none" w:sz="0" w:space="0" w:color="auto"/>
            <w:bottom w:val="none" w:sz="0" w:space="0" w:color="auto"/>
            <w:right w:val="none" w:sz="0" w:space="0" w:color="auto"/>
          </w:divBdr>
        </w:div>
        <w:div w:id="1240561168">
          <w:marLeft w:val="0"/>
          <w:marRight w:val="0"/>
          <w:marTop w:val="0"/>
          <w:marBottom w:val="0"/>
          <w:divBdr>
            <w:top w:val="none" w:sz="0" w:space="0" w:color="auto"/>
            <w:left w:val="none" w:sz="0" w:space="0" w:color="auto"/>
            <w:bottom w:val="none" w:sz="0" w:space="0" w:color="auto"/>
            <w:right w:val="none" w:sz="0" w:space="0" w:color="auto"/>
          </w:divBdr>
        </w:div>
        <w:div w:id="1929462705">
          <w:marLeft w:val="0"/>
          <w:marRight w:val="0"/>
          <w:marTop w:val="0"/>
          <w:marBottom w:val="0"/>
          <w:divBdr>
            <w:top w:val="none" w:sz="0" w:space="0" w:color="auto"/>
            <w:left w:val="none" w:sz="0" w:space="0" w:color="auto"/>
            <w:bottom w:val="none" w:sz="0" w:space="0" w:color="auto"/>
            <w:right w:val="none" w:sz="0" w:space="0" w:color="auto"/>
          </w:divBdr>
        </w:div>
        <w:div w:id="9645208">
          <w:marLeft w:val="0"/>
          <w:marRight w:val="0"/>
          <w:marTop w:val="0"/>
          <w:marBottom w:val="0"/>
          <w:divBdr>
            <w:top w:val="none" w:sz="0" w:space="0" w:color="auto"/>
            <w:left w:val="none" w:sz="0" w:space="0" w:color="auto"/>
            <w:bottom w:val="none" w:sz="0" w:space="0" w:color="auto"/>
            <w:right w:val="none" w:sz="0" w:space="0" w:color="auto"/>
          </w:divBdr>
        </w:div>
        <w:div w:id="1218933016">
          <w:marLeft w:val="0"/>
          <w:marRight w:val="0"/>
          <w:marTop w:val="0"/>
          <w:marBottom w:val="0"/>
          <w:divBdr>
            <w:top w:val="none" w:sz="0" w:space="0" w:color="auto"/>
            <w:left w:val="none" w:sz="0" w:space="0" w:color="auto"/>
            <w:bottom w:val="none" w:sz="0" w:space="0" w:color="auto"/>
            <w:right w:val="none" w:sz="0" w:space="0" w:color="auto"/>
          </w:divBdr>
        </w:div>
        <w:div w:id="1597788528">
          <w:marLeft w:val="0"/>
          <w:marRight w:val="0"/>
          <w:marTop w:val="0"/>
          <w:marBottom w:val="0"/>
          <w:divBdr>
            <w:top w:val="none" w:sz="0" w:space="0" w:color="auto"/>
            <w:left w:val="none" w:sz="0" w:space="0" w:color="auto"/>
            <w:bottom w:val="none" w:sz="0" w:space="0" w:color="auto"/>
            <w:right w:val="none" w:sz="0" w:space="0" w:color="auto"/>
          </w:divBdr>
        </w:div>
        <w:div w:id="1138691449">
          <w:marLeft w:val="0"/>
          <w:marRight w:val="0"/>
          <w:marTop w:val="0"/>
          <w:marBottom w:val="0"/>
          <w:divBdr>
            <w:top w:val="none" w:sz="0" w:space="0" w:color="auto"/>
            <w:left w:val="none" w:sz="0" w:space="0" w:color="auto"/>
            <w:bottom w:val="none" w:sz="0" w:space="0" w:color="auto"/>
            <w:right w:val="none" w:sz="0" w:space="0" w:color="auto"/>
          </w:divBdr>
        </w:div>
        <w:div w:id="1650592376">
          <w:marLeft w:val="0"/>
          <w:marRight w:val="0"/>
          <w:marTop w:val="0"/>
          <w:marBottom w:val="0"/>
          <w:divBdr>
            <w:top w:val="none" w:sz="0" w:space="0" w:color="auto"/>
            <w:left w:val="none" w:sz="0" w:space="0" w:color="auto"/>
            <w:bottom w:val="none" w:sz="0" w:space="0" w:color="auto"/>
            <w:right w:val="none" w:sz="0" w:space="0" w:color="auto"/>
          </w:divBdr>
        </w:div>
        <w:div w:id="748818300">
          <w:marLeft w:val="0"/>
          <w:marRight w:val="0"/>
          <w:marTop w:val="0"/>
          <w:marBottom w:val="0"/>
          <w:divBdr>
            <w:top w:val="none" w:sz="0" w:space="0" w:color="auto"/>
            <w:left w:val="none" w:sz="0" w:space="0" w:color="auto"/>
            <w:bottom w:val="none" w:sz="0" w:space="0" w:color="auto"/>
            <w:right w:val="none" w:sz="0" w:space="0" w:color="auto"/>
          </w:divBdr>
        </w:div>
        <w:div w:id="551966016">
          <w:marLeft w:val="0"/>
          <w:marRight w:val="0"/>
          <w:marTop w:val="0"/>
          <w:marBottom w:val="0"/>
          <w:divBdr>
            <w:top w:val="none" w:sz="0" w:space="0" w:color="auto"/>
            <w:left w:val="none" w:sz="0" w:space="0" w:color="auto"/>
            <w:bottom w:val="none" w:sz="0" w:space="0" w:color="auto"/>
            <w:right w:val="none" w:sz="0" w:space="0" w:color="auto"/>
          </w:divBdr>
        </w:div>
        <w:div w:id="751465465">
          <w:marLeft w:val="0"/>
          <w:marRight w:val="0"/>
          <w:marTop w:val="0"/>
          <w:marBottom w:val="0"/>
          <w:divBdr>
            <w:top w:val="none" w:sz="0" w:space="0" w:color="auto"/>
            <w:left w:val="none" w:sz="0" w:space="0" w:color="auto"/>
            <w:bottom w:val="none" w:sz="0" w:space="0" w:color="auto"/>
            <w:right w:val="none" w:sz="0" w:space="0" w:color="auto"/>
          </w:divBdr>
        </w:div>
        <w:div w:id="885599718">
          <w:marLeft w:val="0"/>
          <w:marRight w:val="0"/>
          <w:marTop w:val="0"/>
          <w:marBottom w:val="0"/>
          <w:divBdr>
            <w:top w:val="none" w:sz="0" w:space="0" w:color="auto"/>
            <w:left w:val="none" w:sz="0" w:space="0" w:color="auto"/>
            <w:bottom w:val="none" w:sz="0" w:space="0" w:color="auto"/>
            <w:right w:val="none" w:sz="0" w:space="0" w:color="auto"/>
          </w:divBdr>
        </w:div>
      </w:divsChild>
    </w:div>
    <w:div w:id="1839346879">
      <w:bodyDiv w:val="1"/>
      <w:marLeft w:val="0"/>
      <w:marRight w:val="0"/>
      <w:marTop w:val="0"/>
      <w:marBottom w:val="0"/>
      <w:divBdr>
        <w:top w:val="none" w:sz="0" w:space="0" w:color="auto"/>
        <w:left w:val="none" w:sz="0" w:space="0" w:color="auto"/>
        <w:bottom w:val="none" w:sz="0" w:space="0" w:color="auto"/>
        <w:right w:val="none" w:sz="0" w:space="0" w:color="auto"/>
      </w:divBdr>
      <w:divsChild>
        <w:div w:id="146552508">
          <w:marLeft w:val="0"/>
          <w:marRight w:val="0"/>
          <w:marTop w:val="0"/>
          <w:marBottom w:val="0"/>
          <w:divBdr>
            <w:top w:val="none" w:sz="0" w:space="0" w:color="auto"/>
            <w:left w:val="none" w:sz="0" w:space="0" w:color="auto"/>
            <w:bottom w:val="none" w:sz="0" w:space="0" w:color="auto"/>
            <w:right w:val="none" w:sz="0" w:space="0" w:color="auto"/>
          </w:divBdr>
          <w:divsChild>
            <w:div w:id="1947493410">
              <w:marLeft w:val="0"/>
              <w:marRight w:val="0"/>
              <w:marTop w:val="0"/>
              <w:marBottom w:val="0"/>
              <w:divBdr>
                <w:top w:val="none" w:sz="0" w:space="0" w:color="auto"/>
                <w:left w:val="none" w:sz="0" w:space="0" w:color="auto"/>
                <w:bottom w:val="none" w:sz="0" w:space="0" w:color="auto"/>
                <w:right w:val="none" w:sz="0" w:space="0" w:color="auto"/>
              </w:divBdr>
              <w:divsChild>
                <w:div w:id="1727878516">
                  <w:marLeft w:val="0"/>
                  <w:marRight w:val="0"/>
                  <w:marTop w:val="0"/>
                  <w:marBottom w:val="0"/>
                  <w:divBdr>
                    <w:top w:val="none" w:sz="0" w:space="0" w:color="auto"/>
                    <w:left w:val="none" w:sz="0" w:space="0" w:color="auto"/>
                    <w:bottom w:val="none" w:sz="0" w:space="0" w:color="auto"/>
                    <w:right w:val="none" w:sz="0" w:space="0" w:color="auto"/>
                  </w:divBdr>
                  <w:divsChild>
                    <w:div w:id="41367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487902">
      <w:bodyDiv w:val="1"/>
      <w:marLeft w:val="0"/>
      <w:marRight w:val="0"/>
      <w:marTop w:val="0"/>
      <w:marBottom w:val="0"/>
      <w:divBdr>
        <w:top w:val="none" w:sz="0" w:space="0" w:color="auto"/>
        <w:left w:val="none" w:sz="0" w:space="0" w:color="auto"/>
        <w:bottom w:val="none" w:sz="0" w:space="0" w:color="auto"/>
        <w:right w:val="none" w:sz="0" w:space="0" w:color="auto"/>
      </w:divBdr>
    </w:div>
    <w:div w:id="204755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C2D8F-390B-4F48-B031-18D4B3C09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26</Pages>
  <Words>8472</Words>
  <Characters>48294</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 Seyerle (2103599)</dc:creator>
  <cp:keywords/>
  <dc:description/>
  <cp:lastModifiedBy>Em Seyerle (2103599)</cp:lastModifiedBy>
  <cp:revision>27</cp:revision>
  <dcterms:created xsi:type="dcterms:W3CDTF">2024-03-23T09:50:00Z</dcterms:created>
  <dcterms:modified xsi:type="dcterms:W3CDTF">2024-04-14T19:45:00Z</dcterms:modified>
</cp:coreProperties>
</file>