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4BB4A36" w14:textId="08CFD322" w:rsidR="00EC6262" w:rsidRDefault="00EC6262" w:rsidP="00032C55">
      <w:pPr>
        <w:jc w:val="both"/>
        <w:rPr>
          <w:rFonts w:ascii="Calibri" w:hAnsi="Calibri" w:cs="Calibri"/>
          <w:b/>
          <w:bCs/>
          <w:u w:val="single"/>
        </w:rPr>
      </w:pPr>
      <w:r>
        <w:rPr>
          <w:rFonts w:ascii="Calibri" w:hAnsi="Calibri" w:cs="Calibri"/>
          <w:b/>
          <w:bCs/>
          <w:u w:val="single"/>
        </w:rPr>
        <w:t>AI</w:t>
      </w:r>
      <w:r w:rsidR="00B8523A">
        <w:rPr>
          <w:rFonts w:ascii="Calibri" w:hAnsi="Calibri" w:cs="Calibri"/>
          <w:b/>
          <w:bCs/>
          <w:u w:val="single"/>
        </w:rPr>
        <w:t xml:space="preserve"> Declaration: </w:t>
      </w:r>
    </w:p>
    <w:p w14:paraId="6D1CCF28" w14:textId="5151B505" w:rsidR="00C06280" w:rsidRPr="00D01BC9" w:rsidRDefault="00C06280" w:rsidP="00C06280">
      <w:pPr>
        <w:pStyle w:val="ListParagraph"/>
        <w:numPr>
          <w:ilvl w:val="0"/>
          <w:numId w:val="14"/>
        </w:numPr>
        <w:jc w:val="both"/>
        <w:rPr>
          <w:rFonts w:ascii="Calibri" w:hAnsi="Calibri" w:cs="Calibri"/>
        </w:rPr>
      </w:pPr>
      <w:r w:rsidRPr="00D01BC9">
        <w:rPr>
          <w:rFonts w:ascii="Calibri" w:hAnsi="Calibri" w:cs="Calibri"/>
        </w:rPr>
        <w:t xml:space="preserve">I </w:t>
      </w:r>
      <w:r w:rsidR="00C371FE" w:rsidRPr="00D01BC9">
        <w:rPr>
          <w:rFonts w:ascii="Calibri" w:hAnsi="Calibri" w:cs="Calibri"/>
        </w:rPr>
        <w:t xml:space="preserve">have used ChatGPT to help me with the structure of </w:t>
      </w:r>
      <w:r w:rsidR="00DD39DB" w:rsidRPr="00D01BC9">
        <w:rPr>
          <w:rFonts w:ascii="Calibri" w:hAnsi="Calibri" w:cs="Calibri"/>
        </w:rPr>
        <w:t>the evaluation of the reform proposal. “</w:t>
      </w:r>
      <w:r w:rsidR="00D01BC9" w:rsidRPr="00D01BC9">
        <w:rPr>
          <w:rFonts w:ascii="Calibri" w:hAnsi="Calibri" w:cs="Calibri"/>
        </w:rPr>
        <w:t>How would I structure the evaluation of a reform proposal?”</w:t>
      </w:r>
    </w:p>
    <w:p w14:paraId="3FB04B16" w14:textId="77777777" w:rsidR="00EC6262" w:rsidRDefault="00EC6262" w:rsidP="00032C55">
      <w:pPr>
        <w:jc w:val="both"/>
        <w:rPr>
          <w:rFonts w:ascii="Calibri" w:hAnsi="Calibri" w:cs="Calibri"/>
          <w:b/>
          <w:bCs/>
          <w:u w:val="single"/>
        </w:rPr>
      </w:pPr>
    </w:p>
    <w:p w14:paraId="1BFA5149" w14:textId="4D04795A" w:rsidR="00032C55" w:rsidRPr="008C3BBD" w:rsidRDefault="00032C55" w:rsidP="00032C55">
      <w:pPr>
        <w:jc w:val="both"/>
        <w:rPr>
          <w:rFonts w:ascii="Calibri" w:hAnsi="Calibri" w:cs="Calibri"/>
        </w:rPr>
      </w:pPr>
      <w:r w:rsidRPr="008C3BBD">
        <w:rPr>
          <w:rFonts w:ascii="Calibri" w:hAnsi="Calibri" w:cs="Calibri"/>
          <w:b/>
          <w:bCs/>
          <w:u w:val="single"/>
        </w:rPr>
        <w:t>Group Contract for Equity and Trust Assessment for Section A </w:t>
      </w:r>
      <w:r w:rsidRPr="008C3BBD">
        <w:rPr>
          <w:rFonts w:ascii="Calibri" w:hAnsi="Calibri" w:cs="Calibri"/>
        </w:rPr>
        <w:t> </w:t>
      </w:r>
    </w:p>
    <w:p w14:paraId="6D0D2B11" w14:textId="121DA47C" w:rsidR="00032C55" w:rsidRPr="008C3BBD" w:rsidRDefault="00032C55" w:rsidP="008C3BBD">
      <w:pPr>
        <w:jc w:val="both"/>
        <w:rPr>
          <w:rFonts w:ascii="Calibri" w:hAnsi="Calibri" w:cs="Calibri"/>
        </w:rPr>
      </w:pPr>
      <w:r w:rsidRPr="008C3BBD">
        <w:rPr>
          <w:rFonts w:ascii="Calibri" w:hAnsi="Calibri" w:cs="Calibri"/>
          <w:b/>
          <w:bCs/>
        </w:rPr>
        <w:t>Participants:</w:t>
      </w:r>
      <w:r w:rsidRPr="008C3BBD">
        <w:rPr>
          <w:rFonts w:ascii="Calibri" w:hAnsi="Calibri" w:cs="Calibri"/>
        </w:rPr>
        <w:t> Jade Brown,</w:t>
      </w:r>
      <w:r w:rsidR="008C3BBD">
        <w:rPr>
          <w:rFonts w:ascii="Calibri" w:hAnsi="Calibri" w:cs="Calibri"/>
        </w:rPr>
        <w:t xml:space="preserve"> </w:t>
      </w:r>
      <w:r w:rsidRPr="008C3BBD">
        <w:rPr>
          <w:rFonts w:ascii="Calibri" w:hAnsi="Calibri" w:cs="Calibri"/>
        </w:rPr>
        <w:t>Sarah Hoffmann,</w:t>
      </w:r>
      <w:r w:rsidR="008C3BBD">
        <w:rPr>
          <w:rFonts w:ascii="Calibri" w:hAnsi="Calibri" w:cs="Calibri"/>
        </w:rPr>
        <w:t xml:space="preserve"> </w:t>
      </w:r>
      <w:r w:rsidRPr="008C3BBD">
        <w:rPr>
          <w:rFonts w:ascii="Calibri" w:hAnsi="Calibri" w:cs="Calibri"/>
        </w:rPr>
        <w:t>Chloe Foulis, Teresa Kan, Sajid Khan, Diana Demeterova, Mohamed Djalo, Ffion Oliver, Alexandra Baloi, Gabrial Harris, Shannon Davies</w:t>
      </w:r>
    </w:p>
    <w:p w14:paraId="2D3A2B4E" w14:textId="42807763" w:rsidR="00032C55" w:rsidRPr="008C3BBD" w:rsidRDefault="00032C55" w:rsidP="00032C55">
      <w:pPr>
        <w:jc w:val="both"/>
        <w:rPr>
          <w:rFonts w:ascii="Calibri" w:hAnsi="Calibri" w:cs="Calibri"/>
        </w:rPr>
      </w:pPr>
      <w:r w:rsidRPr="008C3BBD">
        <w:rPr>
          <w:rFonts w:ascii="Calibri" w:hAnsi="Calibri" w:cs="Calibri"/>
        </w:rPr>
        <w:t>We, the above-named participants, agree to collaboratively work together to complete Section A of the Equity and Trust assessment. This contract outlines our shared expectations, responsibilities, and commitments to ensure fair contribution and effective teamwork. </w:t>
      </w:r>
    </w:p>
    <w:p w14:paraId="2B9C1A0B" w14:textId="77777777" w:rsidR="00032C55" w:rsidRPr="008C3BBD" w:rsidRDefault="00032C55" w:rsidP="00032C55">
      <w:pPr>
        <w:jc w:val="both"/>
        <w:rPr>
          <w:rFonts w:ascii="Calibri" w:hAnsi="Calibri" w:cs="Calibri"/>
        </w:rPr>
      </w:pPr>
      <w:r w:rsidRPr="008C3BBD">
        <w:rPr>
          <w:rFonts w:ascii="Calibri" w:hAnsi="Calibri" w:cs="Calibri"/>
        </w:rPr>
        <w:t>We agree to use the shared Word document to upload our individual work, research, and contributions. We agree to communicate actively and respectfully within the Teams chat to coordinate tasks, share updates, and support one another. </w:t>
      </w:r>
    </w:p>
    <w:p w14:paraId="1E9FCF25" w14:textId="77777777" w:rsidR="00032C55" w:rsidRPr="008C3BBD" w:rsidRDefault="00032C55" w:rsidP="00032C55">
      <w:pPr>
        <w:jc w:val="both"/>
        <w:rPr>
          <w:rFonts w:ascii="Calibri" w:hAnsi="Calibri" w:cs="Calibri"/>
        </w:rPr>
      </w:pPr>
      <w:r w:rsidRPr="008C3BBD">
        <w:rPr>
          <w:rFonts w:ascii="Calibri" w:hAnsi="Calibri" w:cs="Calibri"/>
        </w:rPr>
        <w:t>We agree to participate fairly and contribute meaningfully to the group task. To treat all group members with respect and professionalism and to ensure that all contributions are constructive and aligned with the group’s goals. </w:t>
      </w:r>
    </w:p>
    <w:p w14:paraId="73DA8C4A" w14:textId="77777777" w:rsidR="00032C55" w:rsidRPr="008C3BBD" w:rsidRDefault="00032C55" w:rsidP="00032C55">
      <w:pPr>
        <w:jc w:val="both"/>
        <w:rPr>
          <w:rFonts w:ascii="Calibri" w:hAnsi="Calibri" w:cs="Calibri"/>
        </w:rPr>
      </w:pPr>
      <w:r w:rsidRPr="008C3BBD">
        <w:rPr>
          <w:rFonts w:ascii="Calibri" w:hAnsi="Calibri" w:cs="Calibri"/>
        </w:rPr>
        <w:t>Each member agrees to complete the following tasks: </w:t>
      </w:r>
    </w:p>
    <w:p w14:paraId="25FB16F3" w14:textId="77777777" w:rsidR="008C3BBD" w:rsidRPr="008C3BBD" w:rsidRDefault="008C3BBD" w:rsidP="008C3BBD">
      <w:pPr>
        <w:jc w:val="both"/>
        <w:rPr>
          <w:rFonts w:ascii="Calibri" w:hAnsi="Calibri" w:cs="Calibri"/>
        </w:rPr>
      </w:pP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365"/>
        <w:gridCol w:w="7455"/>
      </w:tblGrid>
      <w:tr w:rsidR="008C3BBD" w:rsidRPr="008C3BBD" w14:paraId="0C4B865A" w14:textId="77777777" w:rsidTr="00995D0F">
        <w:trPr>
          <w:trHeight w:val="285"/>
        </w:trPr>
        <w:tc>
          <w:tcPr>
            <w:tcW w:w="1365" w:type="dxa"/>
            <w:tcBorders>
              <w:top w:val="single" w:sz="6" w:space="0" w:color="000000"/>
              <w:left w:val="single" w:sz="6" w:space="0" w:color="000000"/>
              <w:bottom w:val="single" w:sz="6" w:space="0" w:color="000000"/>
              <w:right w:val="single" w:sz="6" w:space="0" w:color="000000"/>
            </w:tcBorders>
            <w:hideMark/>
          </w:tcPr>
          <w:p w14:paraId="2CAC39F3" w14:textId="77777777" w:rsidR="008C3BBD" w:rsidRPr="008C3BBD" w:rsidRDefault="008C3BBD" w:rsidP="00995D0F">
            <w:pPr>
              <w:jc w:val="both"/>
              <w:rPr>
                <w:rFonts w:ascii="Calibri" w:hAnsi="Calibri" w:cs="Calibri"/>
              </w:rPr>
            </w:pPr>
            <w:r w:rsidRPr="008C3BBD">
              <w:rPr>
                <w:rFonts w:ascii="Calibri" w:hAnsi="Calibri" w:cs="Calibri"/>
                <w:b/>
                <w:bCs/>
              </w:rPr>
              <w:t>Member</w:t>
            </w:r>
            <w:r w:rsidRPr="008C3BBD">
              <w:rPr>
                <w:rFonts w:ascii="Calibri" w:hAnsi="Calibri" w:cs="Calibri"/>
              </w:rPr>
              <w:t> </w:t>
            </w:r>
          </w:p>
        </w:tc>
        <w:tc>
          <w:tcPr>
            <w:tcW w:w="7455" w:type="dxa"/>
            <w:tcBorders>
              <w:top w:val="single" w:sz="6" w:space="0" w:color="000000"/>
              <w:left w:val="single" w:sz="6" w:space="0" w:color="000000"/>
              <w:bottom w:val="single" w:sz="6" w:space="0" w:color="000000"/>
              <w:right w:val="single" w:sz="6" w:space="0" w:color="000000"/>
            </w:tcBorders>
            <w:hideMark/>
          </w:tcPr>
          <w:p w14:paraId="6637F8AA" w14:textId="77777777" w:rsidR="008C3BBD" w:rsidRPr="008C3BBD" w:rsidRDefault="008C3BBD" w:rsidP="00995D0F">
            <w:pPr>
              <w:jc w:val="both"/>
              <w:rPr>
                <w:rFonts w:ascii="Calibri" w:hAnsi="Calibri" w:cs="Calibri"/>
              </w:rPr>
            </w:pPr>
            <w:r w:rsidRPr="008C3BBD">
              <w:rPr>
                <w:rFonts w:ascii="Calibri" w:hAnsi="Calibri" w:cs="Calibri"/>
                <w:b/>
                <w:bCs/>
              </w:rPr>
              <w:t>Contribution</w:t>
            </w:r>
            <w:r w:rsidRPr="008C3BBD">
              <w:rPr>
                <w:rFonts w:ascii="Calibri" w:hAnsi="Calibri" w:cs="Calibri"/>
              </w:rPr>
              <w:t> </w:t>
            </w:r>
          </w:p>
        </w:tc>
      </w:tr>
      <w:tr w:rsidR="008C3BBD" w:rsidRPr="008C3BBD" w14:paraId="743CB5F9" w14:textId="77777777" w:rsidTr="00995D0F">
        <w:trPr>
          <w:trHeight w:val="285"/>
        </w:trPr>
        <w:tc>
          <w:tcPr>
            <w:tcW w:w="1365" w:type="dxa"/>
            <w:tcBorders>
              <w:top w:val="single" w:sz="6" w:space="0" w:color="000000"/>
              <w:left w:val="single" w:sz="6" w:space="0" w:color="000000"/>
              <w:bottom w:val="single" w:sz="6" w:space="0" w:color="000000"/>
              <w:right w:val="single" w:sz="6" w:space="0" w:color="000000"/>
            </w:tcBorders>
            <w:hideMark/>
          </w:tcPr>
          <w:p w14:paraId="486DD016" w14:textId="77777777" w:rsidR="008C3BBD" w:rsidRPr="008C3BBD" w:rsidRDefault="008C3BBD" w:rsidP="00995D0F">
            <w:pPr>
              <w:jc w:val="both"/>
              <w:rPr>
                <w:rFonts w:ascii="Calibri" w:hAnsi="Calibri" w:cs="Calibri"/>
              </w:rPr>
            </w:pPr>
            <w:r w:rsidRPr="008C3BBD">
              <w:rPr>
                <w:rFonts w:ascii="Calibri" w:hAnsi="Calibri" w:cs="Calibri"/>
                <w:b/>
                <w:bCs/>
              </w:rPr>
              <w:t>Jade</w:t>
            </w:r>
            <w:r w:rsidRPr="008C3BBD">
              <w:rPr>
                <w:rFonts w:ascii="Calibri" w:hAnsi="Calibri" w:cs="Calibri"/>
              </w:rPr>
              <w:t> </w:t>
            </w:r>
          </w:p>
        </w:tc>
        <w:tc>
          <w:tcPr>
            <w:tcW w:w="7455" w:type="dxa"/>
            <w:tcBorders>
              <w:top w:val="single" w:sz="6" w:space="0" w:color="000000"/>
              <w:left w:val="single" w:sz="6" w:space="0" w:color="000000"/>
              <w:bottom w:val="single" w:sz="6" w:space="0" w:color="000000"/>
              <w:right w:val="single" w:sz="6" w:space="0" w:color="000000"/>
            </w:tcBorders>
            <w:hideMark/>
          </w:tcPr>
          <w:p w14:paraId="37D4A7F8" w14:textId="77777777" w:rsidR="008C3BBD" w:rsidRPr="008C3BBD" w:rsidRDefault="008C3BBD" w:rsidP="00995D0F">
            <w:pPr>
              <w:jc w:val="both"/>
              <w:rPr>
                <w:rFonts w:ascii="Calibri" w:hAnsi="Calibri" w:cs="Calibri"/>
              </w:rPr>
            </w:pPr>
            <w:r w:rsidRPr="008C3BBD">
              <w:rPr>
                <w:rFonts w:ascii="Calibri" w:hAnsi="Calibri" w:cs="Calibri"/>
              </w:rPr>
              <w:t>Suggested the topic and researched the development of the law.  Created a Bill with 3 Clauses for a new Act called the Trustee Disclosure and Beneficiary Information Act 2026. Researched reform ideas.  </w:t>
            </w:r>
          </w:p>
        </w:tc>
      </w:tr>
      <w:tr w:rsidR="008C3BBD" w:rsidRPr="008C3BBD" w14:paraId="1D09D155" w14:textId="77777777" w:rsidTr="00995D0F">
        <w:trPr>
          <w:trHeight w:val="405"/>
        </w:trPr>
        <w:tc>
          <w:tcPr>
            <w:tcW w:w="1365" w:type="dxa"/>
            <w:tcBorders>
              <w:top w:val="single" w:sz="6" w:space="0" w:color="000000"/>
              <w:left w:val="single" w:sz="6" w:space="0" w:color="000000"/>
              <w:bottom w:val="single" w:sz="6" w:space="0" w:color="000000"/>
              <w:right w:val="single" w:sz="6" w:space="0" w:color="000000"/>
            </w:tcBorders>
            <w:hideMark/>
          </w:tcPr>
          <w:p w14:paraId="581E0C57" w14:textId="77777777" w:rsidR="008C3BBD" w:rsidRPr="008C3BBD" w:rsidRDefault="008C3BBD" w:rsidP="00995D0F">
            <w:pPr>
              <w:jc w:val="both"/>
              <w:rPr>
                <w:rFonts w:ascii="Calibri" w:hAnsi="Calibri" w:cs="Calibri"/>
              </w:rPr>
            </w:pPr>
            <w:r w:rsidRPr="008C3BBD">
              <w:rPr>
                <w:rFonts w:ascii="Calibri" w:hAnsi="Calibri" w:cs="Calibri"/>
                <w:b/>
                <w:bCs/>
              </w:rPr>
              <w:t>Sarah</w:t>
            </w:r>
            <w:r w:rsidRPr="008C3BBD">
              <w:rPr>
                <w:rFonts w:ascii="Calibri" w:hAnsi="Calibri" w:cs="Calibri"/>
              </w:rPr>
              <w:t> </w:t>
            </w:r>
          </w:p>
        </w:tc>
        <w:tc>
          <w:tcPr>
            <w:tcW w:w="7455" w:type="dxa"/>
            <w:tcBorders>
              <w:top w:val="single" w:sz="6" w:space="0" w:color="000000"/>
              <w:left w:val="single" w:sz="6" w:space="0" w:color="000000"/>
              <w:bottom w:val="single" w:sz="6" w:space="0" w:color="000000"/>
              <w:right w:val="single" w:sz="6" w:space="0" w:color="000000"/>
            </w:tcBorders>
            <w:hideMark/>
          </w:tcPr>
          <w:p w14:paraId="13CC3B40" w14:textId="77777777" w:rsidR="008C3BBD" w:rsidRPr="008C3BBD" w:rsidRDefault="008C3BBD" w:rsidP="00995D0F">
            <w:pPr>
              <w:jc w:val="both"/>
              <w:rPr>
                <w:rFonts w:ascii="Calibri" w:hAnsi="Calibri" w:cs="Calibri"/>
              </w:rPr>
            </w:pPr>
            <w:r w:rsidRPr="008C3BBD">
              <w:rPr>
                <w:rFonts w:ascii="Calibri" w:hAnsi="Calibri" w:cs="Calibri"/>
              </w:rPr>
              <w:t>Conducted case research – Murphy v Murphy (2021). Drafted the group contract for each person to electronically sign. Compiled reference list and cases with case law. Anaylise the draft Bill we are proposing </w:t>
            </w:r>
          </w:p>
        </w:tc>
      </w:tr>
      <w:tr w:rsidR="008C3BBD" w:rsidRPr="008C3BBD" w14:paraId="5BABDC1A" w14:textId="77777777" w:rsidTr="00995D0F">
        <w:trPr>
          <w:trHeight w:val="285"/>
        </w:trPr>
        <w:tc>
          <w:tcPr>
            <w:tcW w:w="1365" w:type="dxa"/>
            <w:tcBorders>
              <w:top w:val="single" w:sz="6" w:space="0" w:color="000000"/>
              <w:left w:val="single" w:sz="6" w:space="0" w:color="000000"/>
              <w:bottom w:val="single" w:sz="6" w:space="0" w:color="000000"/>
              <w:right w:val="single" w:sz="6" w:space="0" w:color="000000"/>
            </w:tcBorders>
            <w:hideMark/>
          </w:tcPr>
          <w:p w14:paraId="1CB05D82" w14:textId="77777777" w:rsidR="008C3BBD" w:rsidRPr="008C3BBD" w:rsidRDefault="008C3BBD" w:rsidP="00995D0F">
            <w:pPr>
              <w:jc w:val="both"/>
              <w:rPr>
                <w:rFonts w:ascii="Calibri" w:hAnsi="Calibri" w:cs="Calibri"/>
              </w:rPr>
            </w:pPr>
            <w:r w:rsidRPr="008C3BBD">
              <w:rPr>
                <w:rFonts w:ascii="Calibri" w:hAnsi="Calibri" w:cs="Calibri"/>
                <w:b/>
                <w:bCs/>
              </w:rPr>
              <w:t>Chloe</w:t>
            </w:r>
            <w:r w:rsidRPr="008C3BBD">
              <w:rPr>
                <w:rFonts w:ascii="Calibri" w:hAnsi="Calibri" w:cs="Calibri"/>
              </w:rPr>
              <w:t> </w:t>
            </w:r>
          </w:p>
        </w:tc>
        <w:tc>
          <w:tcPr>
            <w:tcW w:w="7455" w:type="dxa"/>
            <w:tcBorders>
              <w:top w:val="single" w:sz="6" w:space="0" w:color="000000"/>
              <w:left w:val="single" w:sz="6" w:space="0" w:color="000000"/>
              <w:bottom w:val="single" w:sz="6" w:space="0" w:color="000000"/>
              <w:right w:val="single" w:sz="6" w:space="0" w:color="000000"/>
            </w:tcBorders>
            <w:hideMark/>
          </w:tcPr>
          <w:p w14:paraId="34FFFD79" w14:textId="77777777" w:rsidR="008C3BBD" w:rsidRPr="008C3BBD" w:rsidRDefault="008C3BBD" w:rsidP="00995D0F">
            <w:pPr>
              <w:jc w:val="both"/>
              <w:rPr>
                <w:rFonts w:ascii="Calibri" w:hAnsi="Calibri" w:cs="Calibri"/>
              </w:rPr>
            </w:pPr>
            <w:r w:rsidRPr="008C3BBD">
              <w:rPr>
                <w:rFonts w:ascii="Calibri" w:hAnsi="Calibri" w:cs="Calibri"/>
              </w:rPr>
              <w:t>Researched </w:t>
            </w:r>
            <w:r w:rsidRPr="008C3BBD">
              <w:rPr>
                <w:rFonts w:ascii="Calibri" w:hAnsi="Calibri" w:cs="Calibri"/>
                <w:i/>
                <w:iCs/>
              </w:rPr>
              <w:t>Schmidt v Rosewood Trust</w:t>
            </w:r>
            <w:r w:rsidRPr="008C3BBD">
              <w:rPr>
                <w:rFonts w:ascii="Calibri" w:hAnsi="Calibri" w:cs="Calibri"/>
              </w:rPr>
              <w:t> and s22(4) of the Trustee Act 1925. Researched case facts for</w:t>
            </w:r>
            <w:r w:rsidRPr="008C3BBD">
              <w:rPr>
                <w:rFonts w:ascii="Calibri" w:hAnsi="Calibri" w:cs="Calibri"/>
                <w:i/>
                <w:iCs/>
              </w:rPr>
              <w:t> Rouse v IOOF Australia Ltd </w:t>
            </w:r>
            <w:r w:rsidRPr="008C3BBD">
              <w:rPr>
                <w:rFonts w:ascii="Calibri" w:hAnsi="Calibri" w:cs="Calibri"/>
              </w:rPr>
              <w:t>[1999] and identified how this can help us with part B. </w:t>
            </w:r>
          </w:p>
        </w:tc>
      </w:tr>
      <w:tr w:rsidR="008C3BBD" w:rsidRPr="008C3BBD" w14:paraId="10D7BC24" w14:textId="77777777" w:rsidTr="00995D0F">
        <w:trPr>
          <w:trHeight w:val="285"/>
        </w:trPr>
        <w:tc>
          <w:tcPr>
            <w:tcW w:w="1365" w:type="dxa"/>
            <w:tcBorders>
              <w:top w:val="single" w:sz="6" w:space="0" w:color="000000"/>
              <w:left w:val="single" w:sz="6" w:space="0" w:color="000000"/>
              <w:bottom w:val="single" w:sz="6" w:space="0" w:color="000000"/>
              <w:right w:val="single" w:sz="6" w:space="0" w:color="000000"/>
            </w:tcBorders>
            <w:hideMark/>
          </w:tcPr>
          <w:p w14:paraId="6B27C6C8" w14:textId="77777777" w:rsidR="008C3BBD" w:rsidRPr="008C3BBD" w:rsidRDefault="008C3BBD" w:rsidP="00995D0F">
            <w:pPr>
              <w:jc w:val="both"/>
              <w:rPr>
                <w:rFonts w:ascii="Calibri" w:hAnsi="Calibri" w:cs="Calibri"/>
              </w:rPr>
            </w:pPr>
            <w:r w:rsidRPr="008C3BBD">
              <w:rPr>
                <w:rFonts w:ascii="Calibri" w:hAnsi="Calibri" w:cs="Calibri"/>
                <w:b/>
                <w:bCs/>
              </w:rPr>
              <w:t>Teresa</w:t>
            </w:r>
            <w:r w:rsidRPr="008C3BBD">
              <w:rPr>
                <w:rFonts w:ascii="Calibri" w:hAnsi="Calibri" w:cs="Calibri"/>
              </w:rPr>
              <w:t> </w:t>
            </w:r>
          </w:p>
        </w:tc>
        <w:tc>
          <w:tcPr>
            <w:tcW w:w="7455" w:type="dxa"/>
            <w:tcBorders>
              <w:top w:val="single" w:sz="6" w:space="0" w:color="000000"/>
              <w:left w:val="single" w:sz="6" w:space="0" w:color="000000"/>
              <w:bottom w:val="single" w:sz="6" w:space="0" w:color="000000"/>
              <w:right w:val="single" w:sz="6" w:space="0" w:color="000000"/>
            </w:tcBorders>
            <w:hideMark/>
          </w:tcPr>
          <w:p w14:paraId="7001D1BA" w14:textId="77777777" w:rsidR="008C3BBD" w:rsidRPr="008C3BBD" w:rsidRDefault="008C3BBD" w:rsidP="00995D0F">
            <w:pPr>
              <w:jc w:val="both"/>
              <w:rPr>
                <w:rFonts w:ascii="Calibri" w:hAnsi="Calibri" w:cs="Calibri"/>
              </w:rPr>
            </w:pPr>
            <w:r w:rsidRPr="008C3BBD">
              <w:rPr>
                <w:rFonts w:ascii="Calibri" w:hAnsi="Calibri" w:cs="Calibri"/>
              </w:rPr>
              <w:t>Identified a relevant case: </w:t>
            </w:r>
            <w:r w:rsidRPr="008C3BBD">
              <w:rPr>
                <w:rFonts w:ascii="Calibri" w:hAnsi="Calibri" w:cs="Calibri"/>
                <w:i/>
                <w:iCs/>
              </w:rPr>
              <w:t>Schmidt v Rosewood Trust Ltd</w:t>
            </w:r>
            <w:r w:rsidRPr="008C3BBD">
              <w:rPr>
                <w:rFonts w:ascii="Calibri" w:hAnsi="Calibri" w:cs="Calibri"/>
              </w:rPr>
              <w:t>. Researched case facts for Nestle v National Westminster Bank and Target Holdings LTD v Redferns and applied the facts of the case to beneficiary rights. </w:t>
            </w:r>
          </w:p>
        </w:tc>
      </w:tr>
      <w:tr w:rsidR="008C3BBD" w:rsidRPr="008C3BBD" w14:paraId="63A9C858" w14:textId="77777777" w:rsidTr="00995D0F">
        <w:trPr>
          <w:trHeight w:val="285"/>
        </w:trPr>
        <w:tc>
          <w:tcPr>
            <w:tcW w:w="1365" w:type="dxa"/>
            <w:tcBorders>
              <w:top w:val="single" w:sz="6" w:space="0" w:color="000000"/>
              <w:left w:val="single" w:sz="6" w:space="0" w:color="000000"/>
              <w:bottom w:val="single" w:sz="6" w:space="0" w:color="000000"/>
              <w:right w:val="single" w:sz="6" w:space="0" w:color="000000"/>
            </w:tcBorders>
            <w:hideMark/>
          </w:tcPr>
          <w:p w14:paraId="3F597663" w14:textId="77777777" w:rsidR="008C3BBD" w:rsidRPr="008C3BBD" w:rsidRDefault="008C3BBD" w:rsidP="00995D0F">
            <w:pPr>
              <w:jc w:val="both"/>
              <w:rPr>
                <w:rFonts w:ascii="Calibri" w:hAnsi="Calibri" w:cs="Calibri"/>
              </w:rPr>
            </w:pPr>
            <w:r w:rsidRPr="008C3BBD">
              <w:rPr>
                <w:rFonts w:ascii="Calibri" w:hAnsi="Calibri" w:cs="Calibri"/>
                <w:b/>
                <w:bCs/>
              </w:rPr>
              <w:lastRenderedPageBreak/>
              <w:t>Sajid</w:t>
            </w:r>
            <w:r w:rsidRPr="008C3BBD">
              <w:rPr>
                <w:rFonts w:ascii="Calibri" w:hAnsi="Calibri" w:cs="Calibri"/>
              </w:rPr>
              <w:t> </w:t>
            </w:r>
          </w:p>
        </w:tc>
        <w:tc>
          <w:tcPr>
            <w:tcW w:w="7455" w:type="dxa"/>
            <w:tcBorders>
              <w:top w:val="single" w:sz="6" w:space="0" w:color="000000"/>
              <w:left w:val="single" w:sz="6" w:space="0" w:color="000000"/>
              <w:bottom w:val="single" w:sz="6" w:space="0" w:color="000000"/>
              <w:right w:val="single" w:sz="6" w:space="0" w:color="000000"/>
            </w:tcBorders>
            <w:hideMark/>
          </w:tcPr>
          <w:p w14:paraId="661F8E7A" w14:textId="77777777" w:rsidR="008C3BBD" w:rsidRPr="008C3BBD" w:rsidRDefault="008C3BBD" w:rsidP="00995D0F">
            <w:pPr>
              <w:jc w:val="both"/>
              <w:rPr>
                <w:rFonts w:ascii="Calibri" w:hAnsi="Calibri" w:cs="Calibri"/>
              </w:rPr>
            </w:pPr>
            <w:r w:rsidRPr="008C3BBD">
              <w:rPr>
                <w:rFonts w:ascii="Calibri" w:hAnsi="Calibri" w:cs="Calibri"/>
              </w:rPr>
              <w:t>Conducted case research on Trust Accounts. </w:t>
            </w:r>
            <w:r w:rsidRPr="008C3BBD">
              <w:rPr>
                <w:rFonts w:ascii="Calibri" w:hAnsi="Calibri" w:cs="Calibri"/>
                <w:i/>
                <w:iCs/>
              </w:rPr>
              <w:t>Schmidt v Rosewood Trust Ltd</w:t>
            </w:r>
            <w:r w:rsidRPr="008C3BBD">
              <w:rPr>
                <w:rFonts w:ascii="Calibri" w:hAnsi="Calibri" w:cs="Calibri"/>
              </w:rPr>
              <w:t>. </w:t>
            </w:r>
          </w:p>
        </w:tc>
      </w:tr>
      <w:tr w:rsidR="008C3BBD" w:rsidRPr="008C3BBD" w14:paraId="5E8C8832" w14:textId="77777777" w:rsidTr="00995D0F">
        <w:trPr>
          <w:trHeight w:val="285"/>
        </w:trPr>
        <w:tc>
          <w:tcPr>
            <w:tcW w:w="1365" w:type="dxa"/>
            <w:tcBorders>
              <w:top w:val="single" w:sz="6" w:space="0" w:color="000000"/>
              <w:left w:val="single" w:sz="6" w:space="0" w:color="000000"/>
              <w:bottom w:val="single" w:sz="6" w:space="0" w:color="000000"/>
              <w:right w:val="single" w:sz="6" w:space="0" w:color="000000"/>
            </w:tcBorders>
            <w:hideMark/>
          </w:tcPr>
          <w:p w14:paraId="0377B2A3" w14:textId="77777777" w:rsidR="008C3BBD" w:rsidRPr="008C3BBD" w:rsidRDefault="008C3BBD" w:rsidP="00995D0F">
            <w:pPr>
              <w:jc w:val="both"/>
              <w:rPr>
                <w:rFonts w:ascii="Calibri" w:hAnsi="Calibri" w:cs="Calibri"/>
              </w:rPr>
            </w:pPr>
            <w:r w:rsidRPr="008C3BBD">
              <w:rPr>
                <w:rFonts w:ascii="Calibri" w:hAnsi="Calibri" w:cs="Calibri"/>
                <w:b/>
                <w:bCs/>
              </w:rPr>
              <w:t>Diana</w:t>
            </w:r>
            <w:r w:rsidRPr="008C3BBD">
              <w:rPr>
                <w:rFonts w:ascii="Calibri" w:hAnsi="Calibri" w:cs="Calibri"/>
              </w:rPr>
              <w:t> </w:t>
            </w:r>
          </w:p>
        </w:tc>
        <w:tc>
          <w:tcPr>
            <w:tcW w:w="7455" w:type="dxa"/>
            <w:tcBorders>
              <w:top w:val="single" w:sz="6" w:space="0" w:color="000000"/>
              <w:left w:val="single" w:sz="6" w:space="0" w:color="000000"/>
              <w:bottom w:val="single" w:sz="6" w:space="0" w:color="000000"/>
              <w:right w:val="single" w:sz="6" w:space="0" w:color="000000"/>
            </w:tcBorders>
            <w:hideMark/>
          </w:tcPr>
          <w:p w14:paraId="220CC273" w14:textId="77777777" w:rsidR="008C3BBD" w:rsidRPr="008C3BBD" w:rsidRDefault="008C3BBD" w:rsidP="00995D0F">
            <w:pPr>
              <w:jc w:val="both"/>
              <w:rPr>
                <w:rFonts w:ascii="Calibri" w:hAnsi="Calibri" w:cs="Calibri"/>
              </w:rPr>
            </w:pPr>
            <w:r w:rsidRPr="008C3BBD">
              <w:rPr>
                <w:rFonts w:ascii="Calibri" w:hAnsi="Calibri" w:cs="Calibri"/>
              </w:rPr>
              <w:t>Researched </w:t>
            </w:r>
            <w:r w:rsidRPr="008C3BBD">
              <w:rPr>
                <w:rFonts w:ascii="Calibri" w:hAnsi="Calibri" w:cs="Calibri"/>
                <w:i/>
                <w:iCs/>
              </w:rPr>
              <w:t>Lewis v Tamplin. </w:t>
            </w:r>
            <w:r w:rsidRPr="008C3BBD">
              <w:rPr>
                <w:rFonts w:ascii="Calibri" w:hAnsi="Calibri" w:cs="Calibri"/>
              </w:rPr>
              <w:t>Research the challenges associated with beneficiary rights. Researched the </w:t>
            </w:r>
            <w:r w:rsidRPr="008C3BBD">
              <w:rPr>
                <w:rFonts w:ascii="Calibri" w:hAnsi="Calibri" w:cs="Calibri"/>
                <w:b/>
                <w:bCs/>
              </w:rPr>
              <w:t>Data Protection Act 2018 (DPA 2018)</w:t>
            </w:r>
            <w:r w:rsidRPr="008C3BBD">
              <w:rPr>
                <w:rFonts w:ascii="Calibri" w:hAnsi="Calibri" w:cs="Calibri"/>
              </w:rPr>
              <w:t>, and the Inheritance (Provision for Family and Dependants) Act 1975. </w:t>
            </w:r>
          </w:p>
        </w:tc>
      </w:tr>
      <w:tr w:rsidR="008C3BBD" w:rsidRPr="008C3BBD" w14:paraId="7FD6759C" w14:textId="77777777" w:rsidTr="00995D0F">
        <w:trPr>
          <w:trHeight w:val="285"/>
        </w:trPr>
        <w:tc>
          <w:tcPr>
            <w:tcW w:w="1365" w:type="dxa"/>
            <w:tcBorders>
              <w:top w:val="single" w:sz="6" w:space="0" w:color="000000"/>
              <w:left w:val="single" w:sz="6" w:space="0" w:color="000000"/>
              <w:bottom w:val="single" w:sz="6" w:space="0" w:color="000000"/>
              <w:right w:val="single" w:sz="6" w:space="0" w:color="000000"/>
            </w:tcBorders>
            <w:hideMark/>
          </w:tcPr>
          <w:p w14:paraId="5051DEDF" w14:textId="77777777" w:rsidR="008C3BBD" w:rsidRPr="008C3BBD" w:rsidRDefault="008C3BBD" w:rsidP="00995D0F">
            <w:pPr>
              <w:jc w:val="both"/>
              <w:rPr>
                <w:rFonts w:ascii="Calibri" w:hAnsi="Calibri" w:cs="Calibri"/>
              </w:rPr>
            </w:pPr>
            <w:r w:rsidRPr="008C3BBD">
              <w:rPr>
                <w:rFonts w:ascii="Calibri" w:hAnsi="Calibri" w:cs="Calibri"/>
                <w:b/>
                <w:bCs/>
              </w:rPr>
              <w:t>Mohamed</w:t>
            </w:r>
            <w:r w:rsidRPr="008C3BBD">
              <w:rPr>
                <w:rFonts w:ascii="Calibri" w:hAnsi="Calibri" w:cs="Calibri"/>
              </w:rPr>
              <w:t> </w:t>
            </w:r>
          </w:p>
        </w:tc>
        <w:tc>
          <w:tcPr>
            <w:tcW w:w="7455" w:type="dxa"/>
            <w:tcBorders>
              <w:top w:val="single" w:sz="6" w:space="0" w:color="000000"/>
              <w:left w:val="single" w:sz="6" w:space="0" w:color="000000"/>
              <w:bottom w:val="single" w:sz="6" w:space="0" w:color="000000"/>
              <w:right w:val="single" w:sz="6" w:space="0" w:color="000000"/>
            </w:tcBorders>
            <w:hideMark/>
          </w:tcPr>
          <w:p w14:paraId="6FE002C0" w14:textId="77777777" w:rsidR="008C3BBD" w:rsidRPr="008C3BBD" w:rsidRDefault="008C3BBD" w:rsidP="00995D0F">
            <w:pPr>
              <w:jc w:val="both"/>
              <w:rPr>
                <w:rFonts w:ascii="Calibri" w:hAnsi="Calibri" w:cs="Calibri"/>
              </w:rPr>
            </w:pPr>
            <w:r w:rsidRPr="008C3BBD">
              <w:rPr>
                <w:rFonts w:ascii="Calibri" w:hAnsi="Calibri" w:cs="Calibri"/>
              </w:rPr>
              <w:t>Conducted case research. Journal Research. Possible Reform Suggestions from a Journal </w:t>
            </w:r>
          </w:p>
        </w:tc>
      </w:tr>
      <w:tr w:rsidR="008C3BBD" w:rsidRPr="008C3BBD" w14:paraId="76966924" w14:textId="77777777" w:rsidTr="00995D0F">
        <w:trPr>
          <w:trHeight w:val="285"/>
        </w:trPr>
        <w:tc>
          <w:tcPr>
            <w:tcW w:w="1365" w:type="dxa"/>
            <w:tcBorders>
              <w:top w:val="single" w:sz="6" w:space="0" w:color="000000"/>
              <w:left w:val="single" w:sz="6" w:space="0" w:color="000000"/>
              <w:bottom w:val="single" w:sz="6" w:space="0" w:color="000000"/>
              <w:right w:val="single" w:sz="6" w:space="0" w:color="000000"/>
            </w:tcBorders>
            <w:hideMark/>
          </w:tcPr>
          <w:p w14:paraId="616AD73C" w14:textId="77777777" w:rsidR="008C3BBD" w:rsidRPr="008C3BBD" w:rsidRDefault="008C3BBD" w:rsidP="00995D0F">
            <w:pPr>
              <w:jc w:val="both"/>
              <w:rPr>
                <w:rFonts w:ascii="Calibri" w:hAnsi="Calibri" w:cs="Calibri"/>
              </w:rPr>
            </w:pPr>
            <w:r w:rsidRPr="008C3BBD">
              <w:rPr>
                <w:rFonts w:ascii="Calibri" w:hAnsi="Calibri" w:cs="Calibri"/>
                <w:b/>
                <w:bCs/>
              </w:rPr>
              <w:t>Ffion</w:t>
            </w:r>
            <w:r w:rsidRPr="008C3BBD">
              <w:rPr>
                <w:rFonts w:ascii="Calibri" w:hAnsi="Calibri" w:cs="Calibri"/>
              </w:rPr>
              <w:t> </w:t>
            </w:r>
          </w:p>
        </w:tc>
        <w:tc>
          <w:tcPr>
            <w:tcW w:w="7455" w:type="dxa"/>
            <w:tcBorders>
              <w:top w:val="single" w:sz="6" w:space="0" w:color="000000"/>
              <w:left w:val="single" w:sz="6" w:space="0" w:color="000000"/>
              <w:bottom w:val="single" w:sz="6" w:space="0" w:color="000000"/>
              <w:right w:val="single" w:sz="6" w:space="0" w:color="000000"/>
            </w:tcBorders>
            <w:hideMark/>
          </w:tcPr>
          <w:p w14:paraId="5ACFF27C" w14:textId="77777777" w:rsidR="008C3BBD" w:rsidRPr="008C3BBD" w:rsidRDefault="008C3BBD" w:rsidP="00995D0F">
            <w:pPr>
              <w:jc w:val="both"/>
              <w:rPr>
                <w:rFonts w:ascii="Calibri" w:hAnsi="Calibri" w:cs="Calibri"/>
              </w:rPr>
            </w:pPr>
            <w:r w:rsidRPr="008C3BBD">
              <w:rPr>
                <w:rFonts w:ascii="Calibri" w:hAnsi="Calibri" w:cs="Calibri"/>
              </w:rPr>
              <w:t>Researched the current legal position relating to a trustee’s duties and researched the case Boardman v Phipps [1966] UKHL  </w:t>
            </w:r>
          </w:p>
        </w:tc>
      </w:tr>
      <w:tr w:rsidR="008C3BBD" w:rsidRPr="008C3BBD" w14:paraId="4F5A2BE8" w14:textId="77777777" w:rsidTr="00995D0F">
        <w:trPr>
          <w:trHeight w:val="285"/>
        </w:trPr>
        <w:tc>
          <w:tcPr>
            <w:tcW w:w="1365" w:type="dxa"/>
            <w:tcBorders>
              <w:top w:val="single" w:sz="6" w:space="0" w:color="000000"/>
              <w:left w:val="single" w:sz="6" w:space="0" w:color="000000"/>
              <w:bottom w:val="single" w:sz="6" w:space="0" w:color="000000"/>
              <w:right w:val="single" w:sz="6" w:space="0" w:color="000000"/>
            </w:tcBorders>
            <w:hideMark/>
          </w:tcPr>
          <w:p w14:paraId="034C9214" w14:textId="77777777" w:rsidR="008C3BBD" w:rsidRPr="008C3BBD" w:rsidRDefault="008C3BBD" w:rsidP="00995D0F">
            <w:pPr>
              <w:jc w:val="both"/>
              <w:rPr>
                <w:rFonts w:ascii="Calibri" w:hAnsi="Calibri" w:cs="Calibri"/>
              </w:rPr>
            </w:pPr>
            <w:r w:rsidRPr="008C3BBD">
              <w:rPr>
                <w:rFonts w:ascii="Calibri" w:hAnsi="Calibri" w:cs="Calibri"/>
                <w:b/>
                <w:bCs/>
              </w:rPr>
              <w:t>Alexandra</w:t>
            </w:r>
            <w:r w:rsidRPr="008C3BBD">
              <w:rPr>
                <w:rFonts w:ascii="Calibri" w:hAnsi="Calibri" w:cs="Calibri"/>
              </w:rPr>
              <w:t> </w:t>
            </w:r>
          </w:p>
        </w:tc>
        <w:tc>
          <w:tcPr>
            <w:tcW w:w="7455" w:type="dxa"/>
            <w:tcBorders>
              <w:top w:val="single" w:sz="6" w:space="0" w:color="000000"/>
              <w:left w:val="single" w:sz="6" w:space="0" w:color="000000"/>
              <w:bottom w:val="single" w:sz="6" w:space="0" w:color="000000"/>
              <w:right w:val="single" w:sz="6" w:space="0" w:color="000000"/>
            </w:tcBorders>
            <w:hideMark/>
          </w:tcPr>
          <w:p w14:paraId="2B8CB074" w14:textId="77777777" w:rsidR="008C3BBD" w:rsidRPr="008C3BBD" w:rsidRDefault="008C3BBD" w:rsidP="00995D0F">
            <w:pPr>
              <w:jc w:val="both"/>
              <w:rPr>
                <w:rFonts w:ascii="Calibri" w:hAnsi="Calibri" w:cs="Calibri"/>
              </w:rPr>
            </w:pPr>
            <w:r w:rsidRPr="008C3BBD">
              <w:rPr>
                <w:rFonts w:ascii="Calibri" w:hAnsi="Calibri" w:cs="Calibri"/>
              </w:rPr>
              <w:t>Conducted case research Breakspear v Ackland [2008] EWHC 220 (Ch), /Researched the Charities Act 2011. </w:t>
            </w:r>
          </w:p>
        </w:tc>
      </w:tr>
      <w:tr w:rsidR="008C3BBD" w:rsidRPr="008C3BBD" w14:paraId="1451DBBC" w14:textId="77777777" w:rsidTr="00995D0F">
        <w:trPr>
          <w:trHeight w:val="285"/>
        </w:trPr>
        <w:tc>
          <w:tcPr>
            <w:tcW w:w="1365" w:type="dxa"/>
            <w:tcBorders>
              <w:top w:val="single" w:sz="6" w:space="0" w:color="000000"/>
              <w:left w:val="single" w:sz="6" w:space="0" w:color="000000"/>
              <w:bottom w:val="single" w:sz="6" w:space="0" w:color="000000"/>
              <w:right w:val="single" w:sz="6" w:space="0" w:color="000000"/>
            </w:tcBorders>
            <w:hideMark/>
          </w:tcPr>
          <w:p w14:paraId="515344FD" w14:textId="77777777" w:rsidR="008C3BBD" w:rsidRPr="008C3BBD" w:rsidRDefault="008C3BBD" w:rsidP="00995D0F">
            <w:pPr>
              <w:jc w:val="both"/>
              <w:rPr>
                <w:rFonts w:ascii="Calibri" w:hAnsi="Calibri" w:cs="Calibri"/>
              </w:rPr>
            </w:pPr>
            <w:r w:rsidRPr="008C3BBD">
              <w:rPr>
                <w:rFonts w:ascii="Calibri" w:hAnsi="Calibri" w:cs="Calibri"/>
                <w:b/>
                <w:bCs/>
              </w:rPr>
              <w:t>Shannon</w:t>
            </w:r>
            <w:r w:rsidRPr="008C3BBD">
              <w:rPr>
                <w:rFonts w:ascii="Calibri" w:hAnsi="Calibri" w:cs="Calibri"/>
              </w:rPr>
              <w:t> </w:t>
            </w:r>
          </w:p>
        </w:tc>
        <w:tc>
          <w:tcPr>
            <w:tcW w:w="7455" w:type="dxa"/>
            <w:tcBorders>
              <w:top w:val="single" w:sz="6" w:space="0" w:color="000000"/>
              <w:left w:val="single" w:sz="6" w:space="0" w:color="000000"/>
              <w:bottom w:val="single" w:sz="6" w:space="0" w:color="000000"/>
              <w:right w:val="single" w:sz="6" w:space="0" w:color="000000"/>
            </w:tcBorders>
            <w:hideMark/>
          </w:tcPr>
          <w:p w14:paraId="028A725C" w14:textId="77777777" w:rsidR="008C3BBD" w:rsidRPr="008C3BBD" w:rsidRDefault="008C3BBD" w:rsidP="00995D0F">
            <w:pPr>
              <w:jc w:val="both"/>
              <w:rPr>
                <w:rFonts w:ascii="Calibri" w:hAnsi="Calibri" w:cs="Calibri"/>
              </w:rPr>
            </w:pPr>
            <w:r w:rsidRPr="008C3BBD">
              <w:rPr>
                <w:rFonts w:ascii="Calibri" w:hAnsi="Calibri" w:cs="Calibri"/>
              </w:rPr>
              <w:t>How reform interacts with existing Statutory duties </w:t>
            </w:r>
          </w:p>
        </w:tc>
      </w:tr>
      <w:tr w:rsidR="008C3BBD" w:rsidRPr="008C3BBD" w14:paraId="67C4382D" w14:textId="77777777" w:rsidTr="00995D0F">
        <w:trPr>
          <w:trHeight w:val="285"/>
        </w:trPr>
        <w:tc>
          <w:tcPr>
            <w:tcW w:w="1365" w:type="dxa"/>
            <w:tcBorders>
              <w:top w:val="single" w:sz="6" w:space="0" w:color="000000"/>
              <w:left w:val="single" w:sz="6" w:space="0" w:color="000000"/>
              <w:bottom w:val="single" w:sz="6" w:space="0" w:color="000000"/>
              <w:right w:val="single" w:sz="6" w:space="0" w:color="000000"/>
            </w:tcBorders>
            <w:hideMark/>
          </w:tcPr>
          <w:p w14:paraId="23678A80" w14:textId="77777777" w:rsidR="008C3BBD" w:rsidRPr="008C3BBD" w:rsidRDefault="008C3BBD" w:rsidP="00995D0F">
            <w:pPr>
              <w:jc w:val="both"/>
              <w:rPr>
                <w:rFonts w:ascii="Calibri" w:hAnsi="Calibri" w:cs="Calibri"/>
              </w:rPr>
            </w:pPr>
            <w:r w:rsidRPr="008C3BBD">
              <w:rPr>
                <w:rFonts w:ascii="Calibri" w:hAnsi="Calibri" w:cs="Calibri"/>
                <w:b/>
                <w:bCs/>
              </w:rPr>
              <w:t>Gabriel</w:t>
            </w:r>
            <w:r w:rsidRPr="008C3BBD">
              <w:rPr>
                <w:rFonts w:ascii="Calibri" w:hAnsi="Calibri" w:cs="Calibri"/>
              </w:rPr>
              <w:t> </w:t>
            </w:r>
          </w:p>
        </w:tc>
        <w:tc>
          <w:tcPr>
            <w:tcW w:w="7455" w:type="dxa"/>
            <w:tcBorders>
              <w:top w:val="single" w:sz="6" w:space="0" w:color="000000"/>
              <w:left w:val="single" w:sz="6" w:space="0" w:color="000000"/>
              <w:bottom w:val="single" w:sz="6" w:space="0" w:color="000000"/>
              <w:right w:val="single" w:sz="6" w:space="0" w:color="000000"/>
            </w:tcBorders>
            <w:hideMark/>
          </w:tcPr>
          <w:p w14:paraId="56391AC1" w14:textId="77777777" w:rsidR="008C3BBD" w:rsidRPr="008C3BBD" w:rsidRDefault="008C3BBD" w:rsidP="00995D0F">
            <w:pPr>
              <w:jc w:val="both"/>
              <w:rPr>
                <w:rFonts w:ascii="Calibri" w:hAnsi="Calibri" w:cs="Calibri"/>
              </w:rPr>
            </w:pPr>
            <w:r w:rsidRPr="008C3BBD">
              <w:rPr>
                <w:rFonts w:ascii="Calibri" w:hAnsi="Calibri" w:cs="Calibri"/>
              </w:rPr>
              <w:t>Research on Acts comparable in nature to the proposed bill and its provisions (Trusts and Succession (Scotland) Act 2024) </w:t>
            </w:r>
          </w:p>
        </w:tc>
      </w:tr>
    </w:tbl>
    <w:p w14:paraId="15022C53" w14:textId="77777777" w:rsidR="00FC4FCE" w:rsidRDefault="00FC4FCE">
      <w:pPr>
        <w:rPr>
          <w:rFonts w:ascii="Calibri" w:hAnsi="Calibri" w:cs="Calibri"/>
        </w:rPr>
      </w:pPr>
    </w:p>
    <w:p w14:paraId="5B207863" w14:textId="77777777" w:rsidR="005B749E" w:rsidRPr="005B749E" w:rsidRDefault="005B749E" w:rsidP="005B749E">
      <w:pPr>
        <w:jc w:val="both"/>
        <w:rPr>
          <w:rFonts w:ascii="Calibri" w:hAnsi="Calibri" w:cs="Calibri"/>
        </w:rPr>
      </w:pPr>
      <w:r w:rsidRPr="005B749E">
        <w:rPr>
          <w:rFonts w:ascii="Calibri" w:hAnsi="Calibri" w:cs="Calibri"/>
        </w:rPr>
        <w:t>We agree that all work and research submitted is our own. We will not use AI tools or another student’s work in completing our contributions. We will uphold academic honesty and the standards expected as set out in the assessment guidelines.  </w:t>
      </w:r>
    </w:p>
    <w:p w14:paraId="07B75B97" w14:textId="6164EFB7" w:rsidR="005B749E" w:rsidRPr="005B749E" w:rsidRDefault="005B749E" w:rsidP="005B749E">
      <w:pPr>
        <w:jc w:val="both"/>
        <w:rPr>
          <w:rFonts w:ascii="Calibri" w:hAnsi="Calibri" w:cs="Calibri"/>
        </w:rPr>
      </w:pPr>
      <w:r w:rsidRPr="005B749E">
        <w:rPr>
          <w:rFonts w:ascii="Calibri" w:hAnsi="Calibri" w:cs="Calibri"/>
        </w:rPr>
        <w:t>We agree to adhere to the deadline set: Wednesday</w:t>
      </w:r>
      <w:r w:rsidR="00313014">
        <w:rPr>
          <w:rFonts w:ascii="Calibri" w:hAnsi="Calibri" w:cs="Calibri"/>
        </w:rPr>
        <w:t>,</w:t>
      </w:r>
      <w:r w:rsidRPr="005B749E">
        <w:rPr>
          <w:rFonts w:ascii="Calibri" w:hAnsi="Calibri" w:cs="Calibri"/>
        </w:rPr>
        <w:t xml:space="preserve"> 25</w:t>
      </w:r>
      <w:r w:rsidRPr="005B749E">
        <w:rPr>
          <w:rFonts w:ascii="Calibri" w:hAnsi="Calibri" w:cs="Calibri"/>
          <w:vertAlign w:val="superscript"/>
        </w:rPr>
        <w:t>th</w:t>
      </w:r>
      <w:r w:rsidRPr="005B749E">
        <w:rPr>
          <w:rFonts w:ascii="Calibri" w:hAnsi="Calibri" w:cs="Calibri"/>
        </w:rPr>
        <w:t> of February 2026 </w:t>
      </w:r>
    </w:p>
    <w:p w14:paraId="2041595E" w14:textId="77777777" w:rsidR="005B749E" w:rsidRPr="005B749E" w:rsidRDefault="005B749E" w:rsidP="005B749E">
      <w:pPr>
        <w:jc w:val="both"/>
        <w:rPr>
          <w:rFonts w:ascii="Calibri" w:hAnsi="Calibri" w:cs="Calibri"/>
        </w:rPr>
      </w:pPr>
      <w:r w:rsidRPr="005B749E">
        <w:rPr>
          <w:rFonts w:ascii="Calibri" w:hAnsi="Calibri" w:cs="Calibri"/>
        </w:rPr>
        <w:t>By signing below, each participant confirms their agreement to the terms of this contract: </w:t>
      </w:r>
    </w:p>
    <w:p w14:paraId="060E36C1" w14:textId="77777777" w:rsidR="005B749E" w:rsidRPr="005B749E" w:rsidRDefault="005B749E" w:rsidP="005B749E">
      <w:pPr>
        <w:numPr>
          <w:ilvl w:val="0"/>
          <w:numId w:val="1"/>
        </w:numPr>
        <w:jc w:val="both"/>
        <w:rPr>
          <w:rFonts w:ascii="Calibri" w:hAnsi="Calibri" w:cs="Calibri"/>
        </w:rPr>
      </w:pPr>
      <w:r w:rsidRPr="005B749E">
        <w:rPr>
          <w:rFonts w:ascii="Calibri" w:hAnsi="Calibri" w:cs="Calibri"/>
        </w:rPr>
        <w:t>JADE_______________________ (Jade) </w:t>
      </w:r>
    </w:p>
    <w:p w14:paraId="6A574827" w14:textId="77777777" w:rsidR="005B749E" w:rsidRPr="005B749E" w:rsidRDefault="005B749E" w:rsidP="005B749E">
      <w:pPr>
        <w:numPr>
          <w:ilvl w:val="0"/>
          <w:numId w:val="2"/>
        </w:numPr>
        <w:jc w:val="both"/>
        <w:rPr>
          <w:rFonts w:ascii="Calibri" w:hAnsi="Calibri" w:cs="Calibri"/>
        </w:rPr>
      </w:pPr>
      <w:r w:rsidRPr="005B749E">
        <w:rPr>
          <w:rFonts w:ascii="Calibri" w:hAnsi="Calibri" w:cs="Calibri"/>
        </w:rPr>
        <w:t>Sarah ______________________ (Sarah) </w:t>
      </w:r>
    </w:p>
    <w:p w14:paraId="3177E94B" w14:textId="77777777" w:rsidR="005B749E" w:rsidRPr="005B749E" w:rsidRDefault="005B749E" w:rsidP="005B749E">
      <w:pPr>
        <w:numPr>
          <w:ilvl w:val="0"/>
          <w:numId w:val="3"/>
        </w:numPr>
        <w:jc w:val="both"/>
        <w:rPr>
          <w:rFonts w:ascii="Calibri" w:hAnsi="Calibri" w:cs="Calibri"/>
        </w:rPr>
      </w:pPr>
      <w:r w:rsidRPr="005B749E">
        <w:rPr>
          <w:rFonts w:ascii="Calibri" w:hAnsi="Calibri" w:cs="Calibri"/>
        </w:rPr>
        <w:t>CHLOE_____________________ (Chloe) </w:t>
      </w:r>
    </w:p>
    <w:p w14:paraId="603DB604" w14:textId="77777777" w:rsidR="005B749E" w:rsidRPr="005B749E" w:rsidRDefault="005B749E" w:rsidP="005B749E">
      <w:pPr>
        <w:numPr>
          <w:ilvl w:val="0"/>
          <w:numId w:val="4"/>
        </w:numPr>
        <w:jc w:val="both"/>
        <w:rPr>
          <w:rFonts w:ascii="Calibri" w:hAnsi="Calibri" w:cs="Calibri"/>
        </w:rPr>
      </w:pPr>
      <w:r w:rsidRPr="005B749E">
        <w:rPr>
          <w:rFonts w:ascii="Calibri" w:hAnsi="Calibri" w:cs="Calibri"/>
        </w:rPr>
        <w:t>Teresa Kan__________________ (Teresa) </w:t>
      </w:r>
    </w:p>
    <w:p w14:paraId="3A7C9424" w14:textId="77777777" w:rsidR="005B749E" w:rsidRPr="005B749E" w:rsidRDefault="005B749E" w:rsidP="005B749E">
      <w:pPr>
        <w:numPr>
          <w:ilvl w:val="0"/>
          <w:numId w:val="5"/>
        </w:numPr>
        <w:jc w:val="both"/>
        <w:rPr>
          <w:rFonts w:ascii="Calibri" w:hAnsi="Calibri" w:cs="Calibri"/>
        </w:rPr>
      </w:pPr>
      <w:r w:rsidRPr="005B749E">
        <w:rPr>
          <w:rFonts w:ascii="Calibri" w:hAnsi="Calibri" w:cs="Calibri"/>
        </w:rPr>
        <w:t>Sajid Mohammed Abbas Khan (Sajid) </w:t>
      </w:r>
    </w:p>
    <w:p w14:paraId="584BF701" w14:textId="77777777" w:rsidR="005B749E" w:rsidRPr="005B749E" w:rsidRDefault="005B749E" w:rsidP="005B749E">
      <w:pPr>
        <w:numPr>
          <w:ilvl w:val="0"/>
          <w:numId w:val="6"/>
        </w:numPr>
        <w:jc w:val="both"/>
        <w:rPr>
          <w:rFonts w:ascii="Calibri" w:hAnsi="Calibri" w:cs="Calibri"/>
        </w:rPr>
      </w:pPr>
      <w:r w:rsidRPr="005B749E">
        <w:rPr>
          <w:rFonts w:ascii="Calibri" w:hAnsi="Calibri" w:cs="Calibri"/>
        </w:rPr>
        <w:t>DIANA______________________ (Diana) </w:t>
      </w:r>
    </w:p>
    <w:p w14:paraId="754FB79A" w14:textId="77777777" w:rsidR="005B749E" w:rsidRPr="005B749E" w:rsidRDefault="005B749E" w:rsidP="005B749E">
      <w:pPr>
        <w:numPr>
          <w:ilvl w:val="0"/>
          <w:numId w:val="7"/>
        </w:numPr>
        <w:jc w:val="both"/>
        <w:rPr>
          <w:rFonts w:ascii="Calibri" w:hAnsi="Calibri" w:cs="Calibri"/>
        </w:rPr>
      </w:pPr>
      <w:r w:rsidRPr="005B749E">
        <w:rPr>
          <w:rFonts w:ascii="Calibri" w:hAnsi="Calibri" w:cs="Calibri"/>
        </w:rPr>
        <w:t>MOHAMED_________________  (Mohamed) </w:t>
      </w:r>
    </w:p>
    <w:p w14:paraId="0E4391C6" w14:textId="77777777" w:rsidR="005B749E" w:rsidRPr="005B749E" w:rsidRDefault="005B749E" w:rsidP="005B749E">
      <w:pPr>
        <w:numPr>
          <w:ilvl w:val="0"/>
          <w:numId w:val="8"/>
        </w:numPr>
        <w:jc w:val="both"/>
        <w:rPr>
          <w:rFonts w:ascii="Calibri" w:hAnsi="Calibri" w:cs="Calibri"/>
        </w:rPr>
      </w:pPr>
      <w:r w:rsidRPr="005B749E">
        <w:rPr>
          <w:rFonts w:ascii="Calibri" w:hAnsi="Calibri" w:cs="Calibri"/>
        </w:rPr>
        <w:t>Ffion Oliver__________________ (Ffion) </w:t>
      </w:r>
    </w:p>
    <w:p w14:paraId="513C11F3" w14:textId="77777777" w:rsidR="005B749E" w:rsidRPr="005B749E" w:rsidRDefault="005B749E" w:rsidP="005B749E">
      <w:pPr>
        <w:numPr>
          <w:ilvl w:val="0"/>
          <w:numId w:val="9"/>
        </w:numPr>
        <w:jc w:val="both"/>
        <w:rPr>
          <w:rFonts w:ascii="Calibri" w:hAnsi="Calibri" w:cs="Calibri"/>
        </w:rPr>
      </w:pPr>
      <w:r w:rsidRPr="005B749E">
        <w:rPr>
          <w:rFonts w:ascii="Calibri" w:hAnsi="Calibri" w:cs="Calibri"/>
        </w:rPr>
        <w:t>ALEXANDRA_________________ (Alexandra) </w:t>
      </w:r>
    </w:p>
    <w:p w14:paraId="088979E3" w14:textId="77777777" w:rsidR="005B749E" w:rsidRPr="005B749E" w:rsidRDefault="005B749E" w:rsidP="005B749E">
      <w:pPr>
        <w:numPr>
          <w:ilvl w:val="0"/>
          <w:numId w:val="10"/>
        </w:numPr>
        <w:jc w:val="both"/>
        <w:rPr>
          <w:rFonts w:ascii="Calibri" w:hAnsi="Calibri" w:cs="Calibri"/>
        </w:rPr>
      </w:pPr>
      <w:r w:rsidRPr="005B749E">
        <w:rPr>
          <w:rFonts w:ascii="Calibri" w:hAnsi="Calibri" w:cs="Calibri"/>
        </w:rPr>
        <w:t>Shannon____________________  (Shannon) </w:t>
      </w:r>
    </w:p>
    <w:p w14:paraId="1D15AE71" w14:textId="77777777" w:rsidR="005B749E" w:rsidRDefault="005B749E" w:rsidP="005B749E">
      <w:pPr>
        <w:numPr>
          <w:ilvl w:val="0"/>
          <w:numId w:val="11"/>
        </w:numPr>
        <w:jc w:val="both"/>
        <w:rPr>
          <w:rFonts w:ascii="Calibri" w:hAnsi="Calibri" w:cs="Calibri"/>
        </w:rPr>
      </w:pPr>
      <w:r w:rsidRPr="005B749E">
        <w:rPr>
          <w:rFonts w:ascii="Calibri" w:hAnsi="Calibri" w:cs="Calibri"/>
        </w:rPr>
        <w:t>Gabrial______________________ (Gabrial)  </w:t>
      </w:r>
    </w:p>
    <w:p w14:paraId="08EA3C80" w14:textId="7FD4BB4E" w:rsidR="00AE19AC" w:rsidRPr="00415B91" w:rsidRDefault="00AE19AC" w:rsidP="00926CBB">
      <w:pPr>
        <w:spacing w:line="276" w:lineRule="auto"/>
        <w:jc w:val="both"/>
        <w:rPr>
          <w:rFonts w:ascii="Calibri" w:hAnsi="Calibri" w:cs="Calibri"/>
          <w:b/>
          <w:bCs/>
        </w:rPr>
      </w:pPr>
      <w:r w:rsidRPr="00415B91">
        <w:rPr>
          <w:rFonts w:ascii="Calibri" w:hAnsi="Calibri" w:cs="Calibri"/>
          <w:b/>
          <w:bCs/>
        </w:rPr>
        <w:lastRenderedPageBreak/>
        <w:t>Introduction</w:t>
      </w:r>
    </w:p>
    <w:p w14:paraId="6C13E293" w14:textId="1D61CADC" w:rsidR="009A2A8E" w:rsidRDefault="009A2A8E" w:rsidP="00926CBB">
      <w:pPr>
        <w:spacing w:line="276" w:lineRule="auto"/>
        <w:jc w:val="both"/>
        <w:rPr>
          <w:rFonts w:ascii="Calibri" w:hAnsi="Calibri" w:cs="Calibri"/>
          <w:i/>
          <w:iCs/>
        </w:rPr>
      </w:pPr>
      <w:r>
        <w:rPr>
          <w:rFonts w:ascii="Calibri" w:hAnsi="Calibri" w:cs="Calibri"/>
        </w:rPr>
        <w:t>The law of equity sets fiduciary obligations on trustees to ensure that trust</w:t>
      </w:r>
      <w:r w:rsidR="006C2BD7">
        <w:rPr>
          <w:rFonts w:ascii="Calibri" w:hAnsi="Calibri" w:cs="Calibri"/>
        </w:rPr>
        <w:t>s</w:t>
      </w:r>
      <w:r>
        <w:rPr>
          <w:rFonts w:ascii="Calibri" w:hAnsi="Calibri" w:cs="Calibri"/>
        </w:rPr>
        <w:t xml:space="preserve"> are handled in accordance with the settlor’s wishes and for the benefit of the beneficiaries. The beneficiaries’ right to knowledge</w:t>
      </w:r>
      <w:r w:rsidR="00B835F0">
        <w:rPr>
          <w:rFonts w:ascii="Calibri" w:hAnsi="Calibri" w:cs="Calibri"/>
        </w:rPr>
        <w:t>, which empowers them to comprehend their interests and hold trustees responsible</w:t>
      </w:r>
      <w:r w:rsidR="006C2BD7">
        <w:rPr>
          <w:rFonts w:ascii="Calibri" w:hAnsi="Calibri" w:cs="Calibri"/>
        </w:rPr>
        <w:t>, is a fundamental component of these obligations. Despite its significan</w:t>
      </w:r>
      <w:r w:rsidR="00A55941">
        <w:rPr>
          <w:rFonts w:ascii="Calibri" w:hAnsi="Calibri" w:cs="Calibri"/>
        </w:rPr>
        <w:t>ce</w:t>
      </w:r>
      <w:r w:rsidR="006C2BD7">
        <w:rPr>
          <w:rFonts w:ascii="Calibri" w:hAnsi="Calibri" w:cs="Calibri"/>
        </w:rPr>
        <w:t>, there is plenty of uncertainty in this area of trust law since it is still developing and heavily dependent on case law</w:t>
      </w:r>
      <w:r w:rsidR="00A55941">
        <w:rPr>
          <w:rFonts w:ascii="Calibri" w:hAnsi="Calibri" w:cs="Calibri"/>
        </w:rPr>
        <w:t xml:space="preserve">. Courts have had difficulty defining exactly what beneficiaries are allowed to know, how trustees should react to requests, and how conflicting interests like transparency and confidentiality should be balanced. </w:t>
      </w:r>
      <w:r w:rsidR="00415B91" w:rsidRPr="00415B91">
        <w:rPr>
          <w:rFonts w:ascii="Calibri" w:hAnsi="Calibri" w:cs="Calibri"/>
          <w:i/>
          <w:iCs/>
        </w:rPr>
        <w:t>(Wong, B. 2022).</w:t>
      </w:r>
    </w:p>
    <w:p w14:paraId="60F56DC8" w14:textId="221AC480" w:rsidR="00A71121" w:rsidRDefault="00A71121" w:rsidP="00926CBB">
      <w:pPr>
        <w:spacing w:line="276" w:lineRule="auto"/>
        <w:jc w:val="both"/>
        <w:rPr>
          <w:rFonts w:ascii="Calibri" w:hAnsi="Calibri" w:cs="Calibri"/>
          <w:i/>
          <w:iCs/>
        </w:rPr>
      </w:pPr>
      <w:r>
        <w:rPr>
          <w:rFonts w:ascii="Calibri" w:hAnsi="Calibri" w:cs="Calibri"/>
        </w:rPr>
        <w:t xml:space="preserve">The group decided to focus </w:t>
      </w:r>
      <w:r w:rsidR="002D0155">
        <w:rPr>
          <w:rFonts w:ascii="Calibri" w:hAnsi="Calibri" w:cs="Calibri"/>
        </w:rPr>
        <w:t>the law reform project on beneficiaries’ rights to information, as it is generally considered to be one of the most problematic aspects of trust law. During collaboration</w:t>
      </w:r>
      <w:r w:rsidR="00CB6565">
        <w:rPr>
          <w:rFonts w:ascii="Calibri" w:hAnsi="Calibri" w:cs="Calibri"/>
        </w:rPr>
        <w:t>, we examined important case law, academic research, and comparative legal theories to identify recurre</w:t>
      </w:r>
      <w:r w:rsidR="00E35704">
        <w:rPr>
          <w:rFonts w:ascii="Calibri" w:hAnsi="Calibri" w:cs="Calibri"/>
        </w:rPr>
        <w:t>nt problems with ambiguity, inconsistency, and inaccessibility. Beneficiaries frequent</w:t>
      </w:r>
      <w:r w:rsidR="001714FA">
        <w:rPr>
          <w:rFonts w:ascii="Calibri" w:hAnsi="Calibri" w:cs="Calibri"/>
        </w:rPr>
        <w:t>l</w:t>
      </w:r>
      <w:r w:rsidR="00E35704">
        <w:rPr>
          <w:rFonts w:ascii="Calibri" w:hAnsi="Calibri" w:cs="Calibri"/>
        </w:rPr>
        <w:t>y have trouble getting cru</w:t>
      </w:r>
      <w:r w:rsidR="004C7F8E">
        <w:rPr>
          <w:rFonts w:ascii="Calibri" w:hAnsi="Calibri" w:cs="Calibri"/>
        </w:rPr>
        <w:t>cial information, and trustees</w:t>
      </w:r>
      <w:r w:rsidR="00AC24F9">
        <w:rPr>
          <w:rFonts w:ascii="Calibri" w:hAnsi="Calibri" w:cs="Calibri"/>
        </w:rPr>
        <w:t xml:space="preserve"> will </w:t>
      </w:r>
      <w:r w:rsidR="004C7F8E">
        <w:rPr>
          <w:rFonts w:ascii="Calibri" w:hAnsi="Calibri" w:cs="Calibri"/>
        </w:rPr>
        <w:t>deal with unclear responsibilities, along with potential responsibilities.</w:t>
      </w:r>
      <w:r w:rsidR="00AC24F9">
        <w:rPr>
          <w:rFonts w:ascii="Calibri" w:hAnsi="Calibri" w:cs="Calibri"/>
        </w:rPr>
        <w:t xml:space="preserve"> </w:t>
      </w:r>
      <w:r w:rsidR="00AC24F9" w:rsidRPr="00AC24F9">
        <w:rPr>
          <w:rFonts w:ascii="Calibri" w:hAnsi="Calibri" w:cs="Calibri"/>
          <w:i/>
          <w:iCs/>
        </w:rPr>
        <w:t>(Irwinmitchell, 2026).</w:t>
      </w:r>
    </w:p>
    <w:p w14:paraId="7DD5773E" w14:textId="78C39BF8" w:rsidR="00122213" w:rsidRDefault="00122213" w:rsidP="00926CBB">
      <w:pPr>
        <w:spacing w:line="276" w:lineRule="auto"/>
        <w:jc w:val="both"/>
        <w:rPr>
          <w:rFonts w:ascii="Calibri" w:hAnsi="Calibri" w:cs="Calibri"/>
        </w:rPr>
      </w:pPr>
      <w:r>
        <w:rPr>
          <w:rFonts w:ascii="Calibri" w:hAnsi="Calibri" w:cs="Calibri"/>
        </w:rPr>
        <w:t>The group concluded that statutory action is n</w:t>
      </w:r>
      <w:r w:rsidR="00B21779">
        <w:rPr>
          <w:rFonts w:ascii="Calibri" w:hAnsi="Calibri" w:cs="Calibri"/>
        </w:rPr>
        <w:t>ecessary to improve fairness in trust administration, reduce depend</w:t>
      </w:r>
      <w:r w:rsidR="00582023">
        <w:rPr>
          <w:rFonts w:ascii="Calibri" w:hAnsi="Calibri" w:cs="Calibri"/>
        </w:rPr>
        <w:t>en</w:t>
      </w:r>
      <w:r w:rsidR="00B21779">
        <w:rPr>
          <w:rFonts w:ascii="Calibri" w:hAnsi="Calibri" w:cs="Calibri"/>
        </w:rPr>
        <w:t>ce on judicial dis</w:t>
      </w:r>
      <w:r w:rsidR="00F875F4">
        <w:rPr>
          <w:rFonts w:ascii="Calibri" w:hAnsi="Calibri" w:cs="Calibri"/>
        </w:rPr>
        <w:t>cretion, and give a clearer direction</w:t>
      </w:r>
      <w:r w:rsidR="00582023">
        <w:rPr>
          <w:rFonts w:ascii="Calibri" w:hAnsi="Calibri" w:cs="Calibri"/>
        </w:rPr>
        <w:t>.</w:t>
      </w:r>
      <w:r w:rsidR="00F875F4">
        <w:rPr>
          <w:rFonts w:ascii="Calibri" w:hAnsi="Calibri" w:cs="Calibri"/>
        </w:rPr>
        <w:t xml:space="preserve"> </w:t>
      </w:r>
      <w:r w:rsidR="00582023">
        <w:rPr>
          <w:rFonts w:ascii="Calibri" w:hAnsi="Calibri" w:cs="Calibri"/>
        </w:rPr>
        <w:t>T</w:t>
      </w:r>
      <w:r w:rsidR="00F875F4">
        <w:rPr>
          <w:rFonts w:ascii="Calibri" w:hAnsi="Calibri" w:cs="Calibri"/>
        </w:rPr>
        <w:t>he following report outlines the current legal position, its challenges, and evaluates the prop</w:t>
      </w:r>
      <w:r w:rsidR="00582023">
        <w:rPr>
          <w:rFonts w:ascii="Calibri" w:hAnsi="Calibri" w:cs="Calibri"/>
        </w:rPr>
        <w:t>o</w:t>
      </w:r>
      <w:r w:rsidR="00F875F4">
        <w:rPr>
          <w:rFonts w:ascii="Calibri" w:hAnsi="Calibri" w:cs="Calibri"/>
        </w:rPr>
        <w:t>sed reform</w:t>
      </w:r>
      <w:r w:rsidR="00582023">
        <w:rPr>
          <w:rFonts w:ascii="Calibri" w:hAnsi="Calibri" w:cs="Calibri"/>
        </w:rPr>
        <w:t xml:space="preserve">s </w:t>
      </w:r>
      <w:r w:rsidR="00F875F4">
        <w:rPr>
          <w:rFonts w:ascii="Calibri" w:hAnsi="Calibri" w:cs="Calibri"/>
        </w:rPr>
        <w:t>developed b</w:t>
      </w:r>
      <w:r w:rsidR="00582023">
        <w:rPr>
          <w:rFonts w:ascii="Calibri" w:hAnsi="Calibri" w:cs="Calibri"/>
        </w:rPr>
        <w:t>y our group.</w:t>
      </w:r>
    </w:p>
    <w:p w14:paraId="4234C94D" w14:textId="77777777" w:rsidR="006E217A" w:rsidRDefault="006E217A" w:rsidP="00926CBB">
      <w:pPr>
        <w:spacing w:line="276" w:lineRule="auto"/>
        <w:jc w:val="both"/>
        <w:rPr>
          <w:rFonts w:ascii="Calibri" w:hAnsi="Calibri" w:cs="Calibri"/>
        </w:rPr>
      </w:pPr>
    </w:p>
    <w:p w14:paraId="7F0EE885" w14:textId="690630A7" w:rsidR="006E217A" w:rsidRPr="007637B5" w:rsidRDefault="005762AC" w:rsidP="00926CBB">
      <w:pPr>
        <w:spacing w:line="276" w:lineRule="auto"/>
        <w:jc w:val="both"/>
        <w:rPr>
          <w:rFonts w:ascii="Calibri" w:hAnsi="Calibri" w:cs="Calibri"/>
          <w:b/>
          <w:bCs/>
        </w:rPr>
      </w:pPr>
      <w:r w:rsidRPr="007637B5">
        <w:rPr>
          <w:rFonts w:ascii="Calibri" w:hAnsi="Calibri" w:cs="Calibri"/>
          <w:b/>
          <w:bCs/>
        </w:rPr>
        <w:t xml:space="preserve">Current Position </w:t>
      </w:r>
    </w:p>
    <w:p w14:paraId="69DD1062" w14:textId="13CA13E6" w:rsidR="003824BB" w:rsidRDefault="002A470C" w:rsidP="00926CBB">
      <w:pPr>
        <w:spacing w:line="276" w:lineRule="auto"/>
        <w:jc w:val="both"/>
        <w:rPr>
          <w:rFonts w:ascii="Calibri" w:hAnsi="Calibri" w:cs="Calibri"/>
          <w:i/>
          <w:iCs/>
        </w:rPr>
      </w:pPr>
      <w:r>
        <w:rPr>
          <w:rFonts w:ascii="Calibri" w:hAnsi="Calibri" w:cs="Calibri"/>
        </w:rPr>
        <w:t>The beneficiaries’ right to information has traditionally been governed by case law rather than statute.</w:t>
      </w:r>
      <w:r w:rsidR="00962292">
        <w:rPr>
          <w:rFonts w:ascii="Calibri" w:hAnsi="Calibri" w:cs="Calibri"/>
        </w:rPr>
        <w:t xml:space="preserve"> </w:t>
      </w:r>
      <w:r w:rsidR="003824BB">
        <w:rPr>
          <w:rFonts w:ascii="Calibri" w:hAnsi="Calibri" w:cs="Calibri"/>
        </w:rPr>
        <w:t>The ruling in Re</w:t>
      </w:r>
      <w:r w:rsidR="004A624D">
        <w:rPr>
          <w:rFonts w:ascii="Calibri" w:hAnsi="Calibri" w:cs="Calibri"/>
        </w:rPr>
        <w:t xml:space="preserve"> Londonderry’s Settlement (1965)</w:t>
      </w:r>
      <w:r w:rsidR="00EE080F">
        <w:rPr>
          <w:rFonts w:ascii="Calibri" w:hAnsi="Calibri" w:cs="Calibri"/>
        </w:rPr>
        <w:t>, which determined that beneficiaries had the right to view specific papers relating to the management of the trust, including trust accounts, serves as the foundation for modern analysis.</w:t>
      </w:r>
      <w:r w:rsidR="002B6FCA">
        <w:rPr>
          <w:rFonts w:ascii="Calibri" w:hAnsi="Calibri" w:cs="Calibri"/>
        </w:rPr>
        <w:t xml:space="preserve"> </w:t>
      </w:r>
      <w:r w:rsidR="00F7789E">
        <w:rPr>
          <w:rFonts w:ascii="Calibri" w:hAnsi="Calibri" w:cs="Calibri"/>
        </w:rPr>
        <w:t>However</w:t>
      </w:r>
      <w:r w:rsidR="00135ACF">
        <w:rPr>
          <w:rFonts w:ascii="Calibri" w:hAnsi="Calibri" w:cs="Calibri"/>
        </w:rPr>
        <w:t>,</w:t>
      </w:r>
      <w:r w:rsidR="00F7789E">
        <w:rPr>
          <w:rFonts w:ascii="Calibri" w:hAnsi="Calibri" w:cs="Calibri"/>
        </w:rPr>
        <w:t xml:space="preserve"> the decision also established a clear line between admin</w:t>
      </w:r>
      <w:r w:rsidR="00135ACF">
        <w:rPr>
          <w:rFonts w:ascii="Calibri" w:hAnsi="Calibri" w:cs="Calibri"/>
        </w:rPr>
        <w:t xml:space="preserve">istrative records and those that disclose the motivations or discussions of trustees, which were considered private and not allowed to be shared. </w:t>
      </w:r>
      <w:r w:rsidR="003A124A">
        <w:rPr>
          <w:rFonts w:ascii="Calibri" w:hAnsi="Calibri" w:cs="Calibri"/>
        </w:rPr>
        <w:t>The court highlighted a proprie</w:t>
      </w:r>
      <w:r w:rsidR="00C17AC5">
        <w:rPr>
          <w:rFonts w:ascii="Calibri" w:hAnsi="Calibri" w:cs="Calibri"/>
        </w:rPr>
        <w:t>tary basis for disclosure, arguing that</w:t>
      </w:r>
      <w:r w:rsidR="00313A6D">
        <w:rPr>
          <w:rFonts w:ascii="Calibri" w:hAnsi="Calibri" w:cs="Calibri"/>
        </w:rPr>
        <w:t>,</w:t>
      </w:r>
      <w:r w:rsidR="00C17AC5">
        <w:rPr>
          <w:rFonts w:ascii="Calibri" w:hAnsi="Calibri" w:cs="Calibri"/>
        </w:rPr>
        <w:t xml:space="preserve"> </w:t>
      </w:r>
      <w:r w:rsidR="00313A6D">
        <w:rPr>
          <w:rFonts w:ascii="Calibri" w:hAnsi="Calibri" w:cs="Calibri"/>
        </w:rPr>
        <w:t>because</w:t>
      </w:r>
      <w:r w:rsidR="007B0EDF">
        <w:rPr>
          <w:rFonts w:ascii="Calibri" w:hAnsi="Calibri" w:cs="Calibri"/>
        </w:rPr>
        <w:t xml:space="preserve"> the beneficiaries hav</w:t>
      </w:r>
      <w:r w:rsidR="00313A6D">
        <w:rPr>
          <w:rFonts w:ascii="Calibri" w:hAnsi="Calibri" w:cs="Calibri"/>
        </w:rPr>
        <w:t>e</w:t>
      </w:r>
      <w:r w:rsidR="007B0EDF">
        <w:rPr>
          <w:rFonts w:ascii="Calibri" w:hAnsi="Calibri" w:cs="Calibri"/>
        </w:rPr>
        <w:t xml:space="preserve"> equitable interests in the trust property, they can access information. </w:t>
      </w:r>
      <w:r w:rsidR="00313A6D" w:rsidRPr="00313A6D">
        <w:rPr>
          <w:rFonts w:ascii="Calibri" w:hAnsi="Calibri" w:cs="Calibri"/>
          <w:i/>
          <w:iCs/>
        </w:rPr>
        <w:t>(Oppenheimer et al., 2026).</w:t>
      </w:r>
    </w:p>
    <w:p w14:paraId="10DC71BC" w14:textId="5D79665E" w:rsidR="00FB0405" w:rsidRDefault="00FB0405" w:rsidP="00926CBB">
      <w:pPr>
        <w:spacing w:line="276" w:lineRule="auto"/>
        <w:jc w:val="both"/>
        <w:rPr>
          <w:rFonts w:ascii="Calibri" w:hAnsi="Calibri" w:cs="Calibri"/>
          <w:i/>
          <w:iCs/>
        </w:rPr>
      </w:pPr>
      <w:r>
        <w:rPr>
          <w:rFonts w:ascii="Calibri" w:hAnsi="Calibri" w:cs="Calibri"/>
        </w:rPr>
        <w:t xml:space="preserve">In Schmidt v Rosewood Trust Ltd (2003), the Privy Council challenged this private approach, rejecting </w:t>
      </w:r>
      <w:r w:rsidR="006266FF">
        <w:rPr>
          <w:rFonts w:ascii="Calibri" w:hAnsi="Calibri" w:cs="Calibri"/>
        </w:rPr>
        <w:t>the idea that disclosure is dependent on property rights. Rather</w:t>
      </w:r>
      <w:r w:rsidR="009E31A8">
        <w:rPr>
          <w:rFonts w:ascii="Calibri" w:hAnsi="Calibri" w:cs="Calibri"/>
        </w:rPr>
        <w:t>,</w:t>
      </w:r>
      <w:r w:rsidR="006266FF">
        <w:rPr>
          <w:rFonts w:ascii="Calibri" w:hAnsi="Calibri" w:cs="Calibri"/>
        </w:rPr>
        <w:t xml:space="preserve"> the court decided that disclosure</w:t>
      </w:r>
      <w:r w:rsidR="009E31A8">
        <w:rPr>
          <w:rFonts w:ascii="Calibri" w:hAnsi="Calibri" w:cs="Calibri"/>
        </w:rPr>
        <w:t xml:space="preserve"> falls under the court’s inherent supervisory power. Under this approach, </w:t>
      </w:r>
      <w:r w:rsidR="00C019E6">
        <w:rPr>
          <w:rFonts w:ascii="Calibri" w:hAnsi="Calibri" w:cs="Calibri"/>
        </w:rPr>
        <w:t xml:space="preserve">disclosure is optional and dependent on several considerations, including beneficiaries’ interests, the requirement for appropriate trust management, and the confidentiality of specific documents. </w:t>
      </w:r>
      <w:r w:rsidR="00C019E6" w:rsidRPr="00C019E6">
        <w:rPr>
          <w:rFonts w:ascii="Calibri" w:hAnsi="Calibri" w:cs="Calibri"/>
          <w:i/>
          <w:iCs/>
        </w:rPr>
        <w:t>(vlex, 2020).</w:t>
      </w:r>
    </w:p>
    <w:p w14:paraId="3EDB7FE5" w14:textId="2F7FF699" w:rsidR="008D5F2A" w:rsidRDefault="008D5F2A" w:rsidP="00926CBB">
      <w:pPr>
        <w:spacing w:line="276" w:lineRule="auto"/>
        <w:jc w:val="both"/>
        <w:rPr>
          <w:rFonts w:ascii="Calibri" w:hAnsi="Calibri" w:cs="Calibri"/>
        </w:rPr>
      </w:pPr>
      <w:r>
        <w:rPr>
          <w:rFonts w:ascii="Calibri" w:hAnsi="Calibri" w:cs="Calibri"/>
        </w:rPr>
        <w:lastRenderedPageBreak/>
        <w:t xml:space="preserve">The existing legislation lacks </w:t>
      </w:r>
      <w:r w:rsidR="00C16CA1">
        <w:rPr>
          <w:rFonts w:ascii="Calibri" w:hAnsi="Calibri" w:cs="Calibri"/>
        </w:rPr>
        <w:t>clarity, yet</w:t>
      </w:r>
      <w:r>
        <w:rPr>
          <w:rFonts w:ascii="Calibri" w:hAnsi="Calibri" w:cs="Calibri"/>
        </w:rPr>
        <w:t xml:space="preserve"> is quite flexible due to the lack of legislative intervention. Beneficiaries are unsure about the information they are entitled to obtain, and trustees must negotiate a complicated and </w:t>
      </w:r>
      <w:r w:rsidR="00346C34">
        <w:rPr>
          <w:rFonts w:ascii="Calibri" w:hAnsi="Calibri" w:cs="Calibri"/>
        </w:rPr>
        <w:t>occasionally conflicting body of case law. Due to the lack of a formal definition, trust management has become extremely inconsistent and unpredictable.</w:t>
      </w:r>
      <w:r w:rsidR="00C16CA1">
        <w:rPr>
          <w:rFonts w:ascii="Calibri" w:hAnsi="Calibri" w:cs="Calibri"/>
        </w:rPr>
        <w:t xml:space="preserve"> (Cowie, 2018).</w:t>
      </w:r>
    </w:p>
    <w:p w14:paraId="4FFF4364" w14:textId="77777777" w:rsidR="008C6914" w:rsidRDefault="008C6914" w:rsidP="00926CBB">
      <w:pPr>
        <w:spacing w:line="276" w:lineRule="auto"/>
        <w:jc w:val="both"/>
        <w:rPr>
          <w:rFonts w:ascii="Calibri" w:hAnsi="Calibri" w:cs="Calibri"/>
        </w:rPr>
      </w:pPr>
    </w:p>
    <w:p w14:paraId="784DDA87" w14:textId="7D13E8BE" w:rsidR="00C232B4" w:rsidRPr="0018374D" w:rsidRDefault="00C232B4" w:rsidP="00926CBB">
      <w:pPr>
        <w:spacing w:line="276" w:lineRule="auto"/>
        <w:jc w:val="both"/>
        <w:rPr>
          <w:rFonts w:ascii="Calibri" w:hAnsi="Calibri" w:cs="Calibri"/>
          <w:b/>
          <w:bCs/>
        </w:rPr>
      </w:pPr>
      <w:r w:rsidRPr="0018374D">
        <w:rPr>
          <w:rFonts w:ascii="Calibri" w:hAnsi="Calibri" w:cs="Calibri"/>
          <w:b/>
          <w:bCs/>
        </w:rPr>
        <w:t>Current Challenges</w:t>
      </w:r>
    </w:p>
    <w:p w14:paraId="64ACD656" w14:textId="2A66B1C4" w:rsidR="002A1F03" w:rsidRDefault="002A1F03" w:rsidP="00926CBB">
      <w:pPr>
        <w:pStyle w:val="ListParagraph"/>
        <w:numPr>
          <w:ilvl w:val="0"/>
          <w:numId w:val="13"/>
        </w:numPr>
        <w:spacing w:line="276" w:lineRule="auto"/>
        <w:jc w:val="both"/>
        <w:rPr>
          <w:rFonts w:ascii="Calibri" w:hAnsi="Calibri" w:cs="Calibri"/>
          <w:b/>
          <w:bCs/>
        </w:rPr>
      </w:pPr>
      <w:r w:rsidRPr="0018374D">
        <w:rPr>
          <w:rFonts w:ascii="Calibri" w:hAnsi="Calibri" w:cs="Calibri"/>
          <w:b/>
          <w:bCs/>
        </w:rPr>
        <w:t>Lack of Clarity in the scope of disclosure</w:t>
      </w:r>
    </w:p>
    <w:p w14:paraId="67663238" w14:textId="587D3791" w:rsidR="000A6AF2" w:rsidRDefault="00DF7511" w:rsidP="00926CBB">
      <w:pPr>
        <w:spacing w:line="276" w:lineRule="auto"/>
        <w:jc w:val="both"/>
        <w:rPr>
          <w:rFonts w:ascii="Calibri" w:hAnsi="Calibri" w:cs="Calibri"/>
          <w:i/>
          <w:iCs/>
        </w:rPr>
      </w:pPr>
      <w:r w:rsidRPr="00851C0A">
        <w:rPr>
          <w:rFonts w:ascii="Calibri" w:hAnsi="Calibri" w:cs="Calibri"/>
        </w:rPr>
        <w:t xml:space="preserve">The lack of clarity around the range of documents that </w:t>
      </w:r>
      <w:r w:rsidR="000E5766" w:rsidRPr="00851C0A">
        <w:rPr>
          <w:rFonts w:ascii="Calibri" w:hAnsi="Calibri" w:cs="Calibri"/>
        </w:rPr>
        <w:t>beneficiaries</w:t>
      </w:r>
      <w:r w:rsidR="004C663C" w:rsidRPr="00851C0A">
        <w:rPr>
          <w:rFonts w:ascii="Calibri" w:hAnsi="Calibri" w:cs="Calibri"/>
        </w:rPr>
        <w:t xml:space="preserve"> are authorised to view is one of the biggest problems with the current framework. The leading authority, Re Lon</w:t>
      </w:r>
      <w:r w:rsidR="00AC00E2" w:rsidRPr="00851C0A">
        <w:rPr>
          <w:rFonts w:ascii="Calibri" w:hAnsi="Calibri" w:cs="Calibri"/>
        </w:rPr>
        <w:t>donderry’s Settlement [1965]</w:t>
      </w:r>
      <w:r w:rsidR="0093772B" w:rsidRPr="00851C0A">
        <w:rPr>
          <w:rFonts w:ascii="Calibri" w:hAnsi="Calibri" w:cs="Calibri"/>
        </w:rPr>
        <w:t xml:space="preserve"> Ch 918, established that beneficiaries had the right to view certain trust papers, including accounts and administrative records, but not those which disclose the trustees’ motivations or reasoning when using their discre</w:t>
      </w:r>
      <w:r w:rsidR="00225C89" w:rsidRPr="00851C0A">
        <w:rPr>
          <w:rFonts w:ascii="Calibri" w:hAnsi="Calibri" w:cs="Calibri"/>
        </w:rPr>
        <w:t>tionary powers. The case did not, however, provide a precise definition of the broad range of papers that are classi</w:t>
      </w:r>
      <w:r w:rsidR="009A7712" w:rsidRPr="00851C0A">
        <w:rPr>
          <w:rFonts w:ascii="Calibri" w:hAnsi="Calibri" w:cs="Calibri"/>
        </w:rPr>
        <w:t>fied as “trust documents.”</w:t>
      </w:r>
      <w:r w:rsidR="0018374D" w:rsidRPr="00851C0A">
        <w:rPr>
          <w:rFonts w:ascii="Calibri" w:hAnsi="Calibri" w:cs="Calibri"/>
          <w:i/>
          <w:iCs/>
        </w:rPr>
        <w:t>(</w:t>
      </w:r>
      <w:r w:rsidR="0018374D" w:rsidRPr="0018374D">
        <w:rPr>
          <w:rFonts w:ascii="Calibri" w:hAnsi="Calibri" w:cs="Calibri"/>
          <w:i/>
          <w:iCs/>
        </w:rPr>
        <w:t>LexisNexis, 2017).</w:t>
      </w:r>
    </w:p>
    <w:p w14:paraId="00BF0F54" w14:textId="22992847" w:rsidR="00C107A9" w:rsidRDefault="009E3696" w:rsidP="00926CBB">
      <w:pPr>
        <w:spacing w:line="276" w:lineRule="auto"/>
        <w:jc w:val="both"/>
        <w:rPr>
          <w:rFonts w:ascii="Calibri" w:hAnsi="Calibri" w:cs="Calibri"/>
        </w:rPr>
      </w:pPr>
      <w:r>
        <w:rPr>
          <w:rFonts w:ascii="Calibri" w:hAnsi="Calibri" w:cs="Calibri"/>
        </w:rPr>
        <w:t xml:space="preserve">Complex paperwork, such as </w:t>
      </w:r>
      <w:r w:rsidR="00CB6170">
        <w:rPr>
          <w:rFonts w:ascii="Calibri" w:hAnsi="Calibri" w:cs="Calibri"/>
        </w:rPr>
        <w:t>investment reports,</w:t>
      </w:r>
      <w:r w:rsidR="003702DF">
        <w:rPr>
          <w:rFonts w:ascii="Calibri" w:hAnsi="Calibri" w:cs="Calibri"/>
        </w:rPr>
        <w:t xml:space="preserve"> expert</w:t>
      </w:r>
      <w:r w:rsidR="000B5EF8">
        <w:rPr>
          <w:rFonts w:ascii="Calibri" w:hAnsi="Calibri" w:cs="Calibri"/>
        </w:rPr>
        <w:t xml:space="preserve"> advice, and internal communications, is frequently involved in modern trust man</w:t>
      </w:r>
      <w:r w:rsidR="0028025B">
        <w:rPr>
          <w:rFonts w:ascii="Calibri" w:hAnsi="Calibri" w:cs="Calibri"/>
        </w:rPr>
        <w:t xml:space="preserve">agement. Regarding </w:t>
      </w:r>
      <w:r w:rsidR="006105D0">
        <w:rPr>
          <w:rFonts w:ascii="Calibri" w:hAnsi="Calibri" w:cs="Calibri"/>
        </w:rPr>
        <w:t>whether such materials s</w:t>
      </w:r>
      <w:r w:rsidR="00087AB0">
        <w:rPr>
          <w:rFonts w:ascii="Calibri" w:hAnsi="Calibri" w:cs="Calibri"/>
        </w:rPr>
        <w:t>hould be revealed, the courts have not offered clear guidance. For both</w:t>
      </w:r>
      <w:r w:rsidR="00267919">
        <w:rPr>
          <w:rFonts w:ascii="Calibri" w:hAnsi="Calibri" w:cs="Calibri"/>
        </w:rPr>
        <w:t xml:space="preserve"> trustees and benefic</w:t>
      </w:r>
      <w:r w:rsidR="004943FC">
        <w:rPr>
          <w:rFonts w:ascii="Calibri" w:hAnsi="Calibri" w:cs="Calibri"/>
        </w:rPr>
        <w:t>iaries, this uncertainty raise</w:t>
      </w:r>
      <w:r w:rsidR="00587E85">
        <w:rPr>
          <w:rFonts w:ascii="Calibri" w:hAnsi="Calibri" w:cs="Calibri"/>
        </w:rPr>
        <w:t>s</w:t>
      </w:r>
      <w:r w:rsidR="004943FC">
        <w:rPr>
          <w:rFonts w:ascii="Calibri" w:hAnsi="Calibri" w:cs="Calibri"/>
        </w:rPr>
        <w:t xml:space="preserve"> challenges. While beneficiaries may find it difficult to determine what information they are rightfully entitled to, trustees may</w:t>
      </w:r>
      <w:r w:rsidR="00587E85">
        <w:rPr>
          <w:rFonts w:ascii="Calibri" w:hAnsi="Calibri" w:cs="Calibri"/>
        </w:rPr>
        <w:t xml:space="preserve"> take a cautious approach and refuse disclosure. </w:t>
      </w:r>
      <w:r w:rsidR="00587E85" w:rsidRPr="00587E85">
        <w:rPr>
          <w:rFonts w:ascii="Calibri" w:hAnsi="Calibri" w:cs="Calibri"/>
          <w:i/>
          <w:iCs/>
        </w:rPr>
        <w:t>(Geneva, C. 2024).</w:t>
      </w:r>
    </w:p>
    <w:p w14:paraId="3A7A7EF4" w14:textId="77777777" w:rsidR="00587E85" w:rsidRPr="00587E85" w:rsidRDefault="00587E85" w:rsidP="00926CBB">
      <w:pPr>
        <w:spacing w:line="276" w:lineRule="auto"/>
        <w:jc w:val="both"/>
        <w:rPr>
          <w:rFonts w:ascii="Calibri" w:hAnsi="Calibri" w:cs="Calibri"/>
        </w:rPr>
      </w:pPr>
    </w:p>
    <w:p w14:paraId="15F272D9" w14:textId="64DF6222" w:rsidR="001D6409" w:rsidRDefault="001D6409" w:rsidP="00926CBB">
      <w:pPr>
        <w:pStyle w:val="ListParagraph"/>
        <w:numPr>
          <w:ilvl w:val="0"/>
          <w:numId w:val="13"/>
        </w:numPr>
        <w:spacing w:line="276" w:lineRule="auto"/>
        <w:jc w:val="both"/>
        <w:rPr>
          <w:rFonts w:ascii="Calibri" w:hAnsi="Calibri" w:cs="Calibri"/>
          <w:b/>
          <w:bCs/>
        </w:rPr>
      </w:pPr>
      <w:r w:rsidRPr="00702D0E">
        <w:rPr>
          <w:rFonts w:ascii="Calibri" w:hAnsi="Calibri" w:cs="Calibri"/>
          <w:b/>
          <w:bCs/>
        </w:rPr>
        <w:t xml:space="preserve">Reliance on Judicial discretion </w:t>
      </w:r>
    </w:p>
    <w:p w14:paraId="33079840" w14:textId="30289833" w:rsidR="006A3E8A" w:rsidRDefault="006A3E8A" w:rsidP="006A3E8A">
      <w:pPr>
        <w:spacing w:line="276" w:lineRule="auto"/>
        <w:jc w:val="both"/>
        <w:rPr>
          <w:rFonts w:ascii="Calibri" w:hAnsi="Calibri" w:cs="Calibri"/>
          <w:i/>
          <w:iCs/>
        </w:rPr>
      </w:pPr>
      <w:r w:rsidRPr="002E1741">
        <w:rPr>
          <w:rFonts w:ascii="Calibri" w:hAnsi="Calibri" w:cs="Calibri"/>
        </w:rPr>
        <w:t>The Privy Council’s ruling in Schm</w:t>
      </w:r>
      <w:r w:rsidR="00AC13B4" w:rsidRPr="002E1741">
        <w:rPr>
          <w:rFonts w:ascii="Calibri" w:hAnsi="Calibri" w:cs="Calibri"/>
        </w:rPr>
        <w:t>idt v Rosewood Trust Ltd [2003] UKPC 26 fundamentally changed the legal foundation</w:t>
      </w:r>
      <w:r w:rsidR="00D51C7B" w:rsidRPr="002E1741">
        <w:rPr>
          <w:rFonts w:ascii="Calibri" w:hAnsi="Calibri" w:cs="Calibri"/>
        </w:rPr>
        <w:t xml:space="preserve"> for disclosure. The court underlined that disclosure should be decided by the court’s inherent supervisory</w:t>
      </w:r>
      <w:r w:rsidR="00134942" w:rsidRPr="002E1741">
        <w:rPr>
          <w:rFonts w:ascii="Calibri" w:hAnsi="Calibri" w:cs="Calibri"/>
        </w:rPr>
        <w:t xml:space="preserve"> competence over trusts, rejecting the strict</w:t>
      </w:r>
      <w:r w:rsidR="001E4242" w:rsidRPr="002E1741">
        <w:rPr>
          <w:rFonts w:ascii="Calibri" w:hAnsi="Calibri" w:cs="Calibri"/>
        </w:rPr>
        <w:t xml:space="preserve"> proprietary approach that underpinned</w:t>
      </w:r>
      <w:r w:rsidR="002E1741" w:rsidRPr="002E1741">
        <w:rPr>
          <w:rFonts w:ascii="Calibri" w:hAnsi="Calibri" w:cs="Calibri"/>
        </w:rPr>
        <w:t xml:space="preserve"> previous instances. Therefore, the right to trust information is dependent upon the court’s judgment rather than being automatic. </w:t>
      </w:r>
      <w:r w:rsidR="002E1741" w:rsidRPr="002E1741">
        <w:rPr>
          <w:rFonts w:ascii="Calibri" w:hAnsi="Calibri" w:cs="Calibri"/>
          <w:i/>
          <w:iCs/>
        </w:rPr>
        <w:t>(Simmonds, 2023).</w:t>
      </w:r>
    </w:p>
    <w:p w14:paraId="066AE259" w14:textId="013E342E" w:rsidR="002E1741" w:rsidRPr="002E1741" w:rsidRDefault="002E1741" w:rsidP="006A3E8A">
      <w:pPr>
        <w:spacing w:line="276" w:lineRule="auto"/>
        <w:jc w:val="both"/>
        <w:rPr>
          <w:rFonts w:ascii="Calibri" w:hAnsi="Calibri" w:cs="Calibri"/>
        </w:rPr>
      </w:pPr>
      <w:r>
        <w:rPr>
          <w:rFonts w:ascii="Calibri" w:hAnsi="Calibri" w:cs="Calibri"/>
        </w:rPr>
        <w:t>This method increases unpredictability</w:t>
      </w:r>
      <w:r w:rsidR="00015DF7">
        <w:rPr>
          <w:rFonts w:ascii="Calibri" w:hAnsi="Calibri" w:cs="Calibri"/>
        </w:rPr>
        <w:t>,</w:t>
      </w:r>
      <w:r>
        <w:rPr>
          <w:rFonts w:ascii="Calibri" w:hAnsi="Calibri" w:cs="Calibri"/>
        </w:rPr>
        <w:t xml:space="preserve"> yet it offers flexibility</w:t>
      </w:r>
      <w:r w:rsidR="00AF4C5B">
        <w:rPr>
          <w:rFonts w:ascii="Calibri" w:hAnsi="Calibri" w:cs="Calibri"/>
        </w:rPr>
        <w:t xml:space="preserve">. Various courts may weigh conflicting interests in various ways, leading to inconsistent decisions. Additionally, </w:t>
      </w:r>
      <w:r w:rsidR="00BB5B62">
        <w:rPr>
          <w:rFonts w:ascii="Calibri" w:hAnsi="Calibri" w:cs="Calibri"/>
        </w:rPr>
        <w:t>considering</w:t>
      </w:r>
      <w:r w:rsidR="00AF4C5B">
        <w:rPr>
          <w:rFonts w:ascii="Calibri" w:hAnsi="Calibri" w:cs="Calibri"/>
        </w:rPr>
        <w:t xml:space="preserve"> the remedy </w:t>
      </w:r>
      <w:r w:rsidR="00BB5B62">
        <w:rPr>
          <w:rFonts w:ascii="Calibri" w:hAnsi="Calibri" w:cs="Calibri"/>
        </w:rPr>
        <w:t>is discretionary</w:t>
      </w:r>
      <w:r w:rsidR="008E7528">
        <w:rPr>
          <w:rFonts w:ascii="Calibri" w:hAnsi="Calibri" w:cs="Calibri"/>
        </w:rPr>
        <w:t>,</w:t>
      </w:r>
      <w:r w:rsidR="00BB5B62">
        <w:rPr>
          <w:rFonts w:ascii="Calibri" w:hAnsi="Calibri" w:cs="Calibri"/>
        </w:rPr>
        <w:t xml:space="preserve"> beneficiaries frequently </w:t>
      </w:r>
      <w:r w:rsidR="008E7528">
        <w:rPr>
          <w:rFonts w:ascii="Calibri" w:hAnsi="Calibri" w:cs="Calibri"/>
        </w:rPr>
        <w:t>must</w:t>
      </w:r>
      <w:r w:rsidR="00BB5B62">
        <w:rPr>
          <w:rFonts w:ascii="Calibri" w:hAnsi="Calibri" w:cs="Calibri"/>
        </w:rPr>
        <w:t xml:space="preserve"> start legal procedures </w:t>
      </w:r>
      <w:r w:rsidR="005222F7">
        <w:rPr>
          <w:rFonts w:ascii="Calibri" w:hAnsi="Calibri" w:cs="Calibri"/>
        </w:rPr>
        <w:t>to</w:t>
      </w:r>
      <w:r w:rsidR="00BB5B62">
        <w:rPr>
          <w:rFonts w:ascii="Calibri" w:hAnsi="Calibri" w:cs="Calibri"/>
        </w:rPr>
        <w:t xml:space="preserve"> access records. </w:t>
      </w:r>
      <w:r w:rsidR="008E7528">
        <w:rPr>
          <w:rFonts w:ascii="Calibri" w:hAnsi="Calibri" w:cs="Calibri"/>
        </w:rPr>
        <w:t>B</w:t>
      </w:r>
      <w:r w:rsidR="00BB5B62">
        <w:rPr>
          <w:rFonts w:ascii="Calibri" w:hAnsi="Calibri" w:cs="Calibri"/>
        </w:rPr>
        <w:t>enefici</w:t>
      </w:r>
      <w:r w:rsidR="008E7528">
        <w:rPr>
          <w:rFonts w:ascii="Calibri" w:hAnsi="Calibri" w:cs="Calibri"/>
        </w:rPr>
        <w:t xml:space="preserve">aries may be stopped from pursuing valid requests for information by the expensive and time-consuming aspects of this process. </w:t>
      </w:r>
      <w:r w:rsidR="008E7528" w:rsidRPr="008E7528">
        <w:rPr>
          <w:rFonts w:ascii="Calibri" w:hAnsi="Calibri" w:cs="Calibri"/>
          <w:i/>
          <w:iCs/>
        </w:rPr>
        <w:t>(LexisNexis, 2025).</w:t>
      </w:r>
    </w:p>
    <w:p w14:paraId="75994587" w14:textId="77777777" w:rsidR="00130806" w:rsidRPr="002E1741" w:rsidRDefault="00130806" w:rsidP="00926CBB">
      <w:pPr>
        <w:spacing w:line="276" w:lineRule="auto"/>
        <w:jc w:val="both"/>
        <w:rPr>
          <w:rFonts w:ascii="Calibri" w:hAnsi="Calibri" w:cs="Calibri"/>
          <w:b/>
          <w:bCs/>
          <w:i/>
          <w:iCs/>
        </w:rPr>
      </w:pPr>
    </w:p>
    <w:p w14:paraId="09540DF4" w14:textId="3D7DB30A" w:rsidR="00462764" w:rsidRDefault="008E11A5" w:rsidP="00926CBB">
      <w:pPr>
        <w:pStyle w:val="ListParagraph"/>
        <w:numPr>
          <w:ilvl w:val="0"/>
          <w:numId w:val="13"/>
        </w:numPr>
        <w:spacing w:line="276" w:lineRule="auto"/>
        <w:jc w:val="both"/>
        <w:rPr>
          <w:rFonts w:ascii="Calibri" w:hAnsi="Calibri" w:cs="Calibri"/>
          <w:b/>
          <w:bCs/>
        </w:rPr>
      </w:pPr>
      <w:r w:rsidRPr="00130806">
        <w:rPr>
          <w:rFonts w:ascii="Calibri" w:hAnsi="Calibri" w:cs="Calibri"/>
          <w:b/>
          <w:bCs/>
        </w:rPr>
        <w:lastRenderedPageBreak/>
        <w:t xml:space="preserve">Conflict between transparency and confidentiality </w:t>
      </w:r>
    </w:p>
    <w:p w14:paraId="28E1A6C9" w14:textId="672A7BC4" w:rsidR="00D572C1" w:rsidRDefault="00D572C1" w:rsidP="00D572C1">
      <w:pPr>
        <w:spacing w:line="276" w:lineRule="auto"/>
        <w:jc w:val="both"/>
        <w:rPr>
          <w:rFonts w:ascii="Calibri" w:hAnsi="Calibri" w:cs="Calibri"/>
          <w:i/>
          <w:iCs/>
        </w:rPr>
      </w:pPr>
      <w:r w:rsidRPr="00176AD3">
        <w:rPr>
          <w:rFonts w:ascii="Calibri" w:hAnsi="Calibri" w:cs="Calibri"/>
        </w:rPr>
        <w:t>The need for achieving a balance between transparency and the protection of confidential trustee discussions present</w:t>
      </w:r>
      <w:r w:rsidR="00176AD3" w:rsidRPr="00176AD3">
        <w:rPr>
          <w:rFonts w:ascii="Calibri" w:hAnsi="Calibri" w:cs="Calibri"/>
        </w:rPr>
        <w:t>s</w:t>
      </w:r>
      <w:r w:rsidRPr="00176AD3">
        <w:rPr>
          <w:rFonts w:ascii="Calibri" w:hAnsi="Calibri" w:cs="Calibri"/>
        </w:rPr>
        <w:t xml:space="preserve"> another difficulty. Since confidentiality is believed to be necessary to enable trustees to make decisions freely and without interference from others, the </w:t>
      </w:r>
      <w:r w:rsidR="00176AD3" w:rsidRPr="00176AD3">
        <w:rPr>
          <w:rFonts w:ascii="Calibri" w:hAnsi="Calibri" w:cs="Calibri"/>
        </w:rPr>
        <w:t>ruling</w:t>
      </w:r>
      <w:r w:rsidRPr="00176AD3">
        <w:rPr>
          <w:rFonts w:ascii="Calibri" w:hAnsi="Calibri" w:cs="Calibri"/>
        </w:rPr>
        <w:t xml:space="preserve"> in Re Londonderry</w:t>
      </w:r>
      <w:r w:rsidR="00176AD3" w:rsidRPr="00176AD3">
        <w:rPr>
          <w:rFonts w:ascii="Calibri" w:hAnsi="Calibri" w:cs="Calibri"/>
        </w:rPr>
        <w:t>’s Settlement established that trustees are often not obligated to disclose papers detailing their justifications for exercising discretionary powers. (</w:t>
      </w:r>
      <w:r w:rsidR="00176AD3" w:rsidRPr="00176AD3">
        <w:rPr>
          <w:rFonts w:ascii="Calibri" w:hAnsi="Calibri" w:cs="Calibri"/>
          <w:i/>
          <w:iCs/>
        </w:rPr>
        <w:t>Benest and Dann, 2018).</w:t>
      </w:r>
    </w:p>
    <w:p w14:paraId="0BE7C6D2" w14:textId="3D4BC63B" w:rsidR="00580C4B" w:rsidRDefault="00176AD3" w:rsidP="00926CBB">
      <w:pPr>
        <w:spacing w:line="276" w:lineRule="auto"/>
        <w:jc w:val="both"/>
        <w:rPr>
          <w:rFonts w:ascii="Calibri" w:hAnsi="Calibri" w:cs="Calibri"/>
        </w:rPr>
      </w:pPr>
      <w:r>
        <w:rPr>
          <w:rFonts w:ascii="Calibri" w:hAnsi="Calibri" w:cs="Calibri"/>
        </w:rPr>
        <w:t>However, in circumstances when beneficiaries believe trustees have misused their power, this concept may restric</w:t>
      </w:r>
      <w:r w:rsidR="006536D6">
        <w:rPr>
          <w:rFonts w:ascii="Calibri" w:hAnsi="Calibri" w:cs="Calibri"/>
        </w:rPr>
        <w:t>t responsibility. The disclosure of settlor letters of wishes was further investigated in the High Court ruling in Breakspear v Ackland [2008]</w:t>
      </w:r>
      <w:r w:rsidR="009B114C">
        <w:rPr>
          <w:rFonts w:ascii="Calibri" w:hAnsi="Calibri" w:cs="Calibri"/>
        </w:rPr>
        <w:t xml:space="preserve"> EWHC 220 (Ch). The court ruled that although trustees have the power</w:t>
      </w:r>
      <w:r w:rsidR="004613A4">
        <w:rPr>
          <w:rFonts w:ascii="Calibri" w:hAnsi="Calibri" w:cs="Calibri"/>
        </w:rPr>
        <w:t xml:space="preserve"> to reveal such letters when required, they are normally kept confidential. The ruling made certain parts of the legi</w:t>
      </w:r>
      <w:r w:rsidR="00FA18E4">
        <w:rPr>
          <w:rFonts w:ascii="Calibri" w:hAnsi="Calibri" w:cs="Calibri"/>
        </w:rPr>
        <w:t>slation clearer, but it also underlined that trustee judgment and court oversight continue to serve</w:t>
      </w:r>
      <w:r w:rsidR="00C32D3D">
        <w:rPr>
          <w:rFonts w:ascii="Calibri" w:hAnsi="Calibri" w:cs="Calibri"/>
        </w:rPr>
        <w:t xml:space="preserve"> a major role in disclosure decisions. </w:t>
      </w:r>
      <w:r w:rsidR="00C32D3D" w:rsidRPr="00C32D3D">
        <w:rPr>
          <w:rFonts w:ascii="Calibri" w:hAnsi="Calibri" w:cs="Calibri"/>
          <w:i/>
          <w:iCs/>
        </w:rPr>
        <w:t>(Division, C. and Briggs, J. 2008).</w:t>
      </w:r>
    </w:p>
    <w:p w14:paraId="730E1314" w14:textId="77777777" w:rsidR="00C32D3D" w:rsidRPr="00C32D3D" w:rsidRDefault="00C32D3D" w:rsidP="00926CBB">
      <w:pPr>
        <w:spacing w:line="276" w:lineRule="auto"/>
        <w:jc w:val="both"/>
        <w:rPr>
          <w:rFonts w:ascii="Calibri" w:hAnsi="Calibri" w:cs="Calibri"/>
        </w:rPr>
      </w:pPr>
    </w:p>
    <w:p w14:paraId="5E60B0FA" w14:textId="44C0A904" w:rsidR="00130806" w:rsidRPr="00805690" w:rsidRDefault="000B0A3A" w:rsidP="00926CBB">
      <w:pPr>
        <w:pStyle w:val="ListParagraph"/>
        <w:numPr>
          <w:ilvl w:val="0"/>
          <w:numId w:val="13"/>
        </w:numPr>
        <w:spacing w:line="276" w:lineRule="auto"/>
        <w:jc w:val="both"/>
        <w:rPr>
          <w:rFonts w:ascii="Calibri" w:hAnsi="Calibri" w:cs="Calibri"/>
          <w:b/>
          <w:bCs/>
        </w:rPr>
      </w:pPr>
      <w:r w:rsidRPr="00805690">
        <w:rPr>
          <w:rFonts w:ascii="Calibri" w:hAnsi="Calibri" w:cs="Calibri"/>
          <w:b/>
          <w:bCs/>
        </w:rPr>
        <w:t>Weak protection of beneficiaries’ rights</w:t>
      </w:r>
    </w:p>
    <w:p w14:paraId="5FD97199" w14:textId="0AA9513F" w:rsidR="006344D3" w:rsidRDefault="006F7914" w:rsidP="00926CBB">
      <w:pPr>
        <w:spacing w:line="276" w:lineRule="auto"/>
        <w:jc w:val="both"/>
        <w:rPr>
          <w:rFonts w:ascii="Calibri" w:hAnsi="Calibri" w:cs="Calibri"/>
          <w:i/>
          <w:iCs/>
        </w:rPr>
      </w:pPr>
      <w:r>
        <w:rPr>
          <w:rFonts w:ascii="Calibri" w:hAnsi="Calibri" w:cs="Calibri"/>
        </w:rPr>
        <w:t>B</w:t>
      </w:r>
      <w:r w:rsidR="006344D3">
        <w:rPr>
          <w:rFonts w:ascii="Calibri" w:hAnsi="Calibri" w:cs="Calibri"/>
        </w:rPr>
        <w:t>ene</w:t>
      </w:r>
      <w:r>
        <w:rPr>
          <w:rFonts w:ascii="Calibri" w:hAnsi="Calibri" w:cs="Calibri"/>
        </w:rPr>
        <w:t>ficiaries must be able to enforce the trust, according to a fundamental principle of trust</w:t>
      </w:r>
      <w:r w:rsidR="001B2904">
        <w:rPr>
          <w:rFonts w:ascii="Calibri" w:hAnsi="Calibri" w:cs="Calibri"/>
        </w:rPr>
        <w:t xml:space="preserve"> law. Beneficiaries cannot keep an eye on trustee performance, confront misconduct, or</w:t>
      </w:r>
      <w:r w:rsidR="00D21227">
        <w:rPr>
          <w:rFonts w:ascii="Calibri" w:hAnsi="Calibri" w:cs="Calibri"/>
        </w:rPr>
        <w:t xml:space="preserve"> comprehend their rights without access to critical information. Academic commentary frequently emphasises how beneficiaries’ lack of simple access to trust documents compromises accountability. Under the current framework, discret</w:t>
      </w:r>
      <w:r w:rsidR="00834496">
        <w:rPr>
          <w:rFonts w:ascii="Calibri" w:hAnsi="Calibri" w:cs="Calibri"/>
        </w:rPr>
        <w:t>ionary beneficiaries, who might not have a permanent proprietary interest, are especially vulner</w:t>
      </w:r>
      <w:r w:rsidR="005D7154">
        <w:rPr>
          <w:rFonts w:ascii="Calibri" w:hAnsi="Calibri" w:cs="Calibri"/>
        </w:rPr>
        <w:t xml:space="preserve">able because trustees may claim they have no clear right to information. </w:t>
      </w:r>
      <w:r w:rsidR="005D7154" w:rsidRPr="005D7154">
        <w:rPr>
          <w:rFonts w:ascii="Calibri" w:hAnsi="Calibri" w:cs="Calibri"/>
          <w:i/>
          <w:iCs/>
        </w:rPr>
        <w:t>(Irwinmitchell, 2026).</w:t>
      </w:r>
    </w:p>
    <w:p w14:paraId="6EAF5788" w14:textId="77777777" w:rsidR="000937AD" w:rsidRDefault="000937AD" w:rsidP="00926CBB">
      <w:pPr>
        <w:spacing w:line="276" w:lineRule="auto"/>
        <w:jc w:val="both"/>
        <w:rPr>
          <w:rFonts w:ascii="Calibri" w:hAnsi="Calibri" w:cs="Calibri"/>
          <w:i/>
          <w:iCs/>
        </w:rPr>
      </w:pPr>
    </w:p>
    <w:p w14:paraId="2B606326" w14:textId="2601247E" w:rsidR="000937AD" w:rsidRPr="007D525F" w:rsidRDefault="000937AD" w:rsidP="00926CBB">
      <w:pPr>
        <w:pStyle w:val="ListParagraph"/>
        <w:numPr>
          <w:ilvl w:val="0"/>
          <w:numId w:val="13"/>
        </w:numPr>
        <w:spacing w:line="276" w:lineRule="auto"/>
        <w:jc w:val="both"/>
        <w:rPr>
          <w:rFonts w:ascii="Calibri" w:hAnsi="Calibri" w:cs="Calibri"/>
          <w:b/>
          <w:bCs/>
        </w:rPr>
      </w:pPr>
      <w:r w:rsidRPr="007D525F">
        <w:rPr>
          <w:rFonts w:ascii="Calibri" w:hAnsi="Calibri" w:cs="Calibri"/>
          <w:b/>
          <w:bCs/>
        </w:rPr>
        <w:t>Challenges for trustees</w:t>
      </w:r>
    </w:p>
    <w:p w14:paraId="3AE9CA48" w14:textId="7D7B265B" w:rsidR="00106BD2" w:rsidRDefault="00106BD2" w:rsidP="00926CBB">
      <w:pPr>
        <w:spacing w:line="276" w:lineRule="auto"/>
        <w:jc w:val="both"/>
        <w:rPr>
          <w:rFonts w:ascii="Calibri" w:hAnsi="Calibri" w:cs="Calibri"/>
          <w:i/>
          <w:iCs/>
        </w:rPr>
      </w:pPr>
      <w:r>
        <w:rPr>
          <w:rFonts w:ascii="Calibri" w:hAnsi="Calibri" w:cs="Calibri"/>
        </w:rPr>
        <w:t>Trustees must achieve a balance between their confidentiality and fiduciary responsibilities. Trustees may be held liable for either keeping information or releasing too much due to the absence of a defined statutory framework</w:t>
      </w:r>
      <w:r w:rsidR="007D525F">
        <w:rPr>
          <w:rFonts w:ascii="Calibri" w:hAnsi="Calibri" w:cs="Calibri"/>
        </w:rPr>
        <w:t>,</w:t>
      </w:r>
      <w:r>
        <w:rPr>
          <w:rFonts w:ascii="Calibri" w:hAnsi="Calibri" w:cs="Calibri"/>
        </w:rPr>
        <w:t xml:space="preserve"> due to the volume and complexity of documents, </w:t>
      </w:r>
      <w:r w:rsidR="007D525F">
        <w:rPr>
          <w:rFonts w:ascii="Calibri" w:hAnsi="Calibri" w:cs="Calibri"/>
        </w:rPr>
        <w:t xml:space="preserve">and </w:t>
      </w:r>
      <w:r>
        <w:rPr>
          <w:rFonts w:ascii="Calibri" w:hAnsi="Calibri" w:cs="Calibri"/>
        </w:rPr>
        <w:t>trustees may also have to deal with administrative difficulties. The possi</w:t>
      </w:r>
      <w:r w:rsidR="00CF6A17">
        <w:rPr>
          <w:rFonts w:ascii="Calibri" w:hAnsi="Calibri" w:cs="Calibri"/>
        </w:rPr>
        <w:t>bility of inconsistent practice increases in the absence of statutory guidance, especially among professional trustees who might apply overly cautious disclosure proce</w:t>
      </w:r>
      <w:r w:rsidR="007D525F">
        <w:rPr>
          <w:rFonts w:ascii="Calibri" w:hAnsi="Calibri" w:cs="Calibri"/>
        </w:rPr>
        <w:t xml:space="preserve">dures. </w:t>
      </w:r>
      <w:r w:rsidR="007D525F" w:rsidRPr="007D525F">
        <w:rPr>
          <w:rFonts w:ascii="Calibri" w:hAnsi="Calibri" w:cs="Calibri"/>
          <w:i/>
          <w:iCs/>
        </w:rPr>
        <w:t>(Simmonds, M. 2023).</w:t>
      </w:r>
    </w:p>
    <w:p w14:paraId="2147F750" w14:textId="77777777" w:rsidR="00BB49B6" w:rsidRDefault="00BB49B6" w:rsidP="00926CBB">
      <w:pPr>
        <w:spacing w:line="276" w:lineRule="auto"/>
        <w:jc w:val="both"/>
        <w:rPr>
          <w:rFonts w:ascii="Calibri" w:hAnsi="Calibri" w:cs="Calibri"/>
          <w:i/>
          <w:iCs/>
        </w:rPr>
      </w:pPr>
    </w:p>
    <w:p w14:paraId="2C039D0D" w14:textId="77777777" w:rsidR="00BB49B6" w:rsidRDefault="00BB49B6" w:rsidP="00926CBB">
      <w:pPr>
        <w:spacing w:line="276" w:lineRule="auto"/>
        <w:jc w:val="both"/>
        <w:rPr>
          <w:rFonts w:ascii="Calibri" w:hAnsi="Calibri" w:cs="Calibri"/>
          <w:i/>
          <w:iCs/>
        </w:rPr>
      </w:pPr>
    </w:p>
    <w:p w14:paraId="31113BF8" w14:textId="77777777" w:rsidR="007D525F" w:rsidRDefault="007D525F" w:rsidP="00106BD2">
      <w:pPr>
        <w:spacing w:line="276" w:lineRule="auto"/>
        <w:jc w:val="both"/>
        <w:rPr>
          <w:rFonts w:ascii="Calibri" w:hAnsi="Calibri" w:cs="Calibri"/>
          <w:i/>
          <w:iCs/>
        </w:rPr>
      </w:pPr>
    </w:p>
    <w:p w14:paraId="2C0F5611" w14:textId="1D2BAEB6" w:rsidR="007D525F" w:rsidRPr="003B25C6" w:rsidRDefault="007D525F" w:rsidP="007D525F">
      <w:pPr>
        <w:pStyle w:val="ListParagraph"/>
        <w:numPr>
          <w:ilvl w:val="0"/>
          <w:numId w:val="13"/>
        </w:numPr>
        <w:spacing w:line="276" w:lineRule="auto"/>
        <w:jc w:val="both"/>
        <w:rPr>
          <w:rFonts w:ascii="Calibri" w:hAnsi="Calibri" w:cs="Calibri"/>
          <w:b/>
          <w:bCs/>
        </w:rPr>
      </w:pPr>
      <w:r w:rsidRPr="003B25C6">
        <w:rPr>
          <w:rFonts w:ascii="Calibri" w:hAnsi="Calibri" w:cs="Calibri"/>
          <w:b/>
          <w:bCs/>
        </w:rPr>
        <w:lastRenderedPageBreak/>
        <w:t xml:space="preserve">Conflict with equitable principles </w:t>
      </w:r>
    </w:p>
    <w:p w14:paraId="77ECE8CD" w14:textId="146E04C2" w:rsidR="007D525F" w:rsidRDefault="007D525F" w:rsidP="007D525F">
      <w:pPr>
        <w:spacing w:line="276" w:lineRule="auto"/>
        <w:jc w:val="both"/>
        <w:rPr>
          <w:rFonts w:ascii="Calibri" w:hAnsi="Calibri" w:cs="Calibri"/>
          <w:i/>
          <w:iCs/>
        </w:rPr>
      </w:pPr>
      <w:r>
        <w:rPr>
          <w:rFonts w:ascii="Calibri" w:hAnsi="Calibri" w:cs="Calibri"/>
        </w:rPr>
        <w:t>Equity aims to promote fairness, transparency, and accountability. These values may be compro</w:t>
      </w:r>
      <w:r w:rsidR="00B03FD5">
        <w:rPr>
          <w:rFonts w:ascii="Calibri" w:hAnsi="Calibri" w:cs="Calibri"/>
        </w:rPr>
        <w:t>mised by the existing legal framework, which bases important portions of disclosure on judicial discretion or the subjective opinions of trustees. Depending on their financial means, the trustee’s approach, or differing interpretations across jurisdict</w:t>
      </w:r>
      <w:r w:rsidR="009D52AC">
        <w:rPr>
          <w:rFonts w:ascii="Calibri" w:hAnsi="Calibri" w:cs="Calibri"/>
        </w:rPr>
        <w:t>ion</w:t>
      </w:r>
      <w:r w:rsidR="00550325">
        <w:rPr>
          <w:rFonts w:ascii="Calibri" w:hAnsi="Calibri" w:cs="Calibri"/>
        </w:rPr>
        <w:t>s</w:t>
      </w:r>
      <w:r w:rsidR="009D52AC">
        <w:rPr>
          <w:rFonts w:ascii="Calibri" w:hAnsi="Calibri" w:cs="Calibri"/>
        </w:rPr>
        <w:t>, beneficiaries may receive different treatment.</w:t>
      </w:r>
      <w:r w:rsidR="00550325">
        <w:rPr>
          <w:rFonts w:ascii="Calibri" w:hAnsi="Calibri" w:cs="Calibri"/>
        </w:rPr>
        <w:t xml:space="preserve"> In addition, the lack </w:t>
      </w:r>
      <w:r w:rsidR="003B25C6">
        <w:rPr>
          <w:rFonts w:ascii="Calibri" w:hAnsi="Calibri" w:cs="Calibri"/>
        </w:rPr>
        <w:t>o</w:t>
      </w:r>
      <w:r w:rsidR="00550325">
        <w:rPr>
          <w:rFonts w:ascii="Calibri" w:hAnsi="Calibri" w:cs="Calibri"/>
        </w:rPr>
        <w:t>f clear regulations increases the possibility of trustees abusing their position, which</w:t>
      </w:r>
      <w:r w:rsidR="003B25C6">
        <w:rPr>
          <w:rFonts w:ascii="Calibri" w:hAnsi="Calibri" w:cs="Calibri"/>
        </w:rPr>
        <w:t xml:space="preserve"> runs counter to equity’s fundamental aim of preventing abuse of power. </w:t>
      </w:r>
      <w:r w:rsidR="003B25C6" w:rsidRPr="003B25C6">
        <w:rPr>
          <w:rFonts w:ascii="Calibri" w:hAnsi="Calibri" w:cs="Calibri"/>
          <w:i/>
          <w:iCs/>
        </w:rPr>
        <w:t>(LexisNexis, 2025).</w:t>
      </w:r>
    </w:p>
    <w:p w14:paraId="2761C584" w14:textId="77777777" w:rsidR="003B25C6" w:rsidRDefault="003B25C6" w:rsidP="007D525F">
      <w:pPr>
        <w:spacing w:line="276" w:lineRule="auto"/>
        <w:jc w:val="both"/>
        <w:rPr>
          <w:rFonts w:ascii="Calibri" w:hAnsi="Calibri" w:cs="Calibri"/>
          <w:i/>
          <w:iCs/>
        </w:rPr>
      </w:pPr>
    </w:p>
    <w:p w14:paraId="5FCD8DB2" w14:textId="6AE2CF18" w:rsidR="003B25C6" w:rsidRPr="0068248E" w:rsidRDefault="00273DA8" w:rsidP="003B25C6">
      <w:pPr>
        <w:pStyle w:val="ListParagraph"/>
        <w:numPr>
          <w:ilvl w:val="0"/>
          <w:numId w:val="13"/>
        </w:numPr>
        <w:spacing w:line="276" w:lineRule="auto"/>
        <w:jc w:val="both"/>
        <w:rPr>
          <w:rFonts w:ascii="Calibri" w:hAnsi="Calibri" w:cs="Calibri"/>
          <w:b/>
          <w:bCs/>
        </w:rPr>
      </w:pPr>
      <w:r w:rsidRPr="0068248E">
        <w:rPr>
          <w:rFonts w:ascii="Calibri" w:hAnsi="Calibri" w:cs="Calibri"/>
          <w:b/>
          <w:bCs/>
        </w:rPr>
        <w:t>Outdated doctrinal foundations</w:t>
      </w:r>
    </w:p>
    <w:p w14:paraId="23548079" w14:textId="1C14297E" w:rsidR="003E56DC" w:rsidRDefault="00273DA8" w:rsidP="00273DA8">
      <w:pPr>
        <w:spacing w:line="276" w:lineRule="auto"/>
        <w:jc w:val="both"/>
        <w:rPr>
          <w:rFonts w:ascii="Calibri" w:hAnsi="Calibri" w:cs="Calibri"/>
          <w:i/>
          <w:iCs/>
        </w:rPr>
      </w:pPr>
      <w:r>
        <w:rPr>
          <w:rFonts w:ascii="Calibri" w:hAnsi="Calibri" w:cs="Calibri"/>
        </w:rPr>
        <w:t>Since the rulings in the key cases, trust administration has significantly change</w:t>
      </w:r>
      <w:r w:rsidR="0082694F">
        <w:rPr>
          <w:rFonts w:ascii="Calibri" w:hAnsi="Calibri" w:cs="Calibri"/>
        </w:rPr>
        <w:t>d</w:t>
      </w:r>
      <w:r>
        <w:rPr>
          <w:rFonts w:ascii="Calibri" w:hAnsi="Calibri" w:cs="Calibri"/>
        </w:rPr>
        <w:t>. A more modern and thorough disclosure framework is needed due to complex</w:t>
      </w:r>
      <w:r w:rsidR="0068248E">
        <w:rPr>
          <w:rFonts w:ascii="Calibri" w:hAnsi="Calibri" w:cs="Calibri"/>
        </w:rPr>
        <w:t>,</w:t>
      </w:r>
      <w:r>
        <w:rPr>
          <w:rFonts w:ascii="Calibri" w:hAnsi="Calibri" w:cs="Calibri"/>
        </w:rPr>
        <w:t xml:space="preserve"> broad trust </w:t>
      </w:r>
      <w:r w:rsidR="0082694F">
        <w:rPr>
          <w:rFonts w:ascii="Calibri" w:hAnsi="Calibri" w:cs="Calibri"/>
        </w:rPr>
        <w:t xml:space="preserve">arrangements, the growing employment of professional trustees, and digital communication methods. The gap between legal concepts and practical trust administration keeps growing </w:t>
      </w:r>
      <w:r w:rsidR="0068248E">
        <w:rPr>
          <w:rFonts w:ascii="Calibri" w:hAnsi="Calibri" w:cs="Calibri"/>
        </w:rPr>
        <w:t>due to</w:t>
      </w:r>
      <w:r w:rsidR="0082694F">
        <w:rPr>
          <w:rFonts w:ascii="Calibri" w:hAnsi="Calibri" w:cs="Calibri"/>
        </w:rPr>
        <w:t xml:space="preserve"> the lack of </w:t>
      </w:r>
      <w:r w:rsidR="0068248E">
        <w:rPr>
          <w:rFonts w:ascii="Calibri" w:hAnsi="Calibri" w:cs="Calibri"/>
        </w:rPr>
        <w:t xml:space="preserve">reform. </w:t>
      </w:r>
      <w:r w:rsidR="0068248E" w:rsidRPr="0068248E">
        <w:rPr>
          <w:rFonts w:ascii="Calibri" w:hAnsi="Calibri" w:cs="Calibri"/>
          <w:i/>
          <w:iCs/>
        </w:rPr>
        <w:t>(Simmonds, M. 2023).</w:t>
      </w:r>
    </w:p>
    <w:p w14:paraId="2A0BE354" w14:textId="77777777" w:rsidR="008D69F5" w:rsidRDefault="008D69F5" w:rsidP="00273DA8">
      <w:pPr>
        <w:spacing w:line="276" w:lineRule="auto"/>
        <w:jc w:val="both"/>
        <w:rPr>
          <w:rFonts w:ascii="Calibri" w:hAnsi="Calibri" w:cs="Calibri"/>
          <w:i/>
          <w:iCs/>
        </w:rPr>
      </w:pPr>
    </w:p>
    <w:p w14:paraId="2AD27D76" w14:textId="74D766EF" w:rsidR="003E56DC" w:rsidRPr="008A4BF4" w:rsidRDefault="003E56DC" w:rsidP="00273DA8">
      <w:pPr>
        <w:spacing w:line="276" w:lineRule="auto"/>
        <w:jc w:val="both"/>
        <w:rPr>
          <w:rFonts w:ascii="Calibri" w:hAnsi="Calibri" w:cs="Calibri"/>
          <w:b/>
          <w:bCs/>
        </w:rPr>
      </w:pPr>
      <w:r w:rsidRPr="008A4BF4">
        <w:rPr>
          <w:rFonts w:ascii="Calibri" w:hAnsi="Calibri" w:cs="Calibri"/>
          <w:b/>
          <w:bCs/>
        </w:rPr>
        <w:t xml:space="preserve">Proposals for Reform </w:t>
      </w:r>
    </w:p>
    <w:p w14:paraId="72727C87" w14:textId="3A65DC32" w:rsidR="00DF39B2" w:rsidRDefault="008A4BF4" w:rsidP="001A5B6F">
      <w:pPr>
        <w:spacing w:line="276" w:lineRule="auto"/>
        <w:jc w:val="both"/>
        <w:rPr>
          <w:rFonts w:ascii="Calibri" w:hAnsi="Calibri" w:cs="Calibri"/>
        </w:rPr>
      </w:pPr>
      <w:r>
        <w:rPr>
          <w:rFonts w:ascii="Calibri" w:hAnsi="Calibri" w:cs="Calibri"/>
        </w:rPr>
        <w:t>To</w:t>
      </w:r>
      <w:r w:rsidR="00DF39B2">
        <w:rPr>
          <w:rFonts w:ascii="Calibri" w:hAnsi="Calibri" w:cs="Calibri"/>
        </w:rPr>
        <w:t xml:space="preserve"> guarantee more consistency, fairness, and accessibility, the difficulties with the present disclosure framework hig</w:t>
      </w:r>
      <w:r w:rsidR="008D1671">
        <w:rPr>
          <w:rFonts w:ascii="Calibri" w:hAnsi="Calibri" w:cs="Calibri"/>
        </w:rPr>
        <w:t>hlight</w:t>
      </w:r>
      <w:r w:rsidR="00DF39B2">
        <w:rPr>
          <w:rFonts w:ascii="Calibri" w:hAnsi="Calibri" w:cs="Calibri"/>
        </w:rPr>
        <w:t xml:space="preserve"> the necessity of clear legislative reform. </w:t>
      </w:r>
      <w:r w:rsidR="008E0FA0">
        <w:rPr>
          <w:rFonts w:ascii="Calibri" w:hAnsi="Calibri" w:cs="Calibri"/>
        </w:rPr>
        <w:t>To address these concerns, our group created the Trustee Disclosure and Beneficiary Information Act 2026</w:t>
      </w:r>
      <w:r w:rsidR="00FC1867">
        <w:rPr>
          <w:rFonts w:ascii="Calibri" w:hAnsi="Calibri" w:cs="Calibri"/>
        </w:rPr>
        <w:t xml:space="preserve">, which establishes </w:t>
      </w:r>
      <w:r w:rsidR="00865FB2">
        <w:rPr>
          <w:rFonts w:ascii="Calibri" w:hAnsi="Calibri" w:cs="Calibri"/>
        </w:rPr>
        <w:t>a systematic, non-judicial dispute resolution procedure, clearly</w:t>
      </w:r>
      <w:r w:rsidR="008D1671">
        <w:rPr>
          <w:rFonts w:ascii="Calibri" w:hAnsi="Calibri" w:cs="Calibri"/>
        </w:rPr>
        <w:t xml:space="preserve"> limits access to confidential or deliberative materials, and defines the essential information to which beneficiaries are entitled. </w:t>
      </w:r>
    </w:p>
    <w:p w14:paraId="3AA9E6A7" w14:textId="1D9AC1B4" w:rsidR="008A4BF4" w:rsidRPr="008A4BF4" w:rsidRDefault="008A4BF4" w:rsidP="001A5B6F">
      <w:pPr>
        <w:pStyle w:val="paragraph"/>
        <w:spacing w:before="0" w:beforeAutospacing="0" w:after="0" w:afterAutospacing="0" w:line="276" w:lineRule="auto"/>
        <w:textAlignment w:val="baseline"/>
        <w:rPr>
          <w:rStyle w:val="eop"/>
          <w:rFonts w:ascii="Calibri" w:hAnsi="Calibri" w:cs="Calibri"/>
        </w:rPr>
      </w:pPr>
      <w:r w:rsidRPr="008A4BF4">
        <w:rPr>
          <w:rStyle w:val="normaltextrun"/>
          <w:rFonts w:ascii="Calibri" w:hAnsi="Calibri" w:cs="Calibri"/>
          <w:b/>
          <w:bCs/>
          <w:u w:val="single"/>
        </w:rPr>
        <w:t>BILL TITLE – TRUSTEE DISCLOSURE AND BENEFICIARY INFORMATION ACT 2026.</w:t>
      </w:r>
    </w:p>
    <w:p w14:paraId="23026B23" w14:textId="77777777" w:rsidR="008A4BF4" w:rsidRPr="008A4BF4" w:rsidRDefault="008A4BF4" w:rsidP="001A5B6F">
      <w:pPr>
        <w:pStyle w:val="paragraph"/>
        <w:spacing w:before="0" w:beforeAutospacing="0" w:after="0" w:afterAutospacing="0" w:line="276" w:lineRule="auto"/>
        <w:textAlignment w:val="baseline"/>
        <w:rPr>
          <w:rFonts w:ascii="Calibri" w:hAnsi="Calibri" w:cs="Calibri"/>
          <w:sz w:val="18"/>
          <w:szCs w:val="18"/>
        </w:rPr>
      </w:pPr>
    </w:p>
    <w:p w14:paraId="2ED4E8B8" w14:textId="6E11A351" w:rsidR="008A4BF4" w:rsidRPr="008A4BF4" w:rsidRDefault="008A4BF4" w:rsidP="001A5B6F">
      <w:pPr>
        <w:pStyle w:val="paragraph"/>
        <w:spacing w:before="0" w:beforeAutospacing="0" w:after="0" w:afterAutospacing="0" w:line="276" w:lineRule="auto"/>
        <w:textAlignment w:val="baseline"/>
        <w:rPr>
          <w:rStyle w:val="eop"/>
          <w:rFonts w:ascii="Calibri" w:hAnsi="Calibri" w:cs="Calibri"/>
        </w:rPr>
      </w:pPr>
      <w:r w:rsidRPr="008A4BF4">
        <w:rPr>
          <w:rStyle w:val="normaltextrun"/>
          <w:rFonts w:ascii="Calibri" w:hAnsi="Calibri" w:cs="Calibri"/>
          <w:b/>
          <w:bCs/>
          <w:u w:val="single"/>
        </w:rPr>
        <w:t>Long Title &amp; Summary –</w:t>
      </w:r>
      <w:r w:rsidRPr="008A4BF4">
        <w:rPr>
          <w:rStyle w:val="apple-converted-space"/>
          <w:rFonts w:ascii="Calibri" w:hAnsi="Calibri" w:cs="Calibri"/>
          <w:b/>
          <w:bCs/>
          <w:u w:val="single"/>
        </w:rPr>
        <w:t> </w:t>
      </w:r>
      <w:r w:rsidR="00DD62FC">
        <w:rPr>
          <w:rStyle w:val="apple-converted-space"/>
          <w:rFonts w:ascii="Calibri" w:hAnsi="Calibri" w:cs="Calibri"/>
          <w:b/>
          <w:bCs/>
          <w:u w:val="single"/>
        </w:rPr>
        <w:t xml:space="preserve"> </w:t>
      </w:r>
      <w:r w:rsidRPr="008A4BF4">
        <w:rPr>
          <w:rStyle w:val="normaltextrun"/>
          <w:rFonts w:ascii="Calibri" w:hAnsi="Calibri" w:cs="Calibri"/>
        </w:rPr>
        <w:t>An Act to clarify and regulate trustees' duties to provide information to beneficiaries, to define categories of trust documents subject to disclosure and to</w:t>
      </w:r>
      <w:r w:rsidRPr="008A4BF4">
        <w:rPr>
          <w:rStyle w:val="apple-converted-space"/>
          <w:rFonts w:ascii="Calibri" w:hAnsi="Calibri" w:cs="Calibri"/>
        </w:rPr>
        <w:t> </w:t>
      </w:r>
      <w:r w:rsidRPr="008A4BF4">
        <w:rPr>
          <w:rStyle w:val="normaltextrun"/>
          <w:rFonts w:ascii="Calibri" w:hAnsi="Calibri" w:cs="Calibri"/>
        </w:rPr>
        <w:t>establish principles governing trustee discretion and for connected purposes.</w:t>
      </w:r>
    </w:p>
    <w:p w14:paraId="38F0ADDD" w14:textId="77777777" w:rsidR="008A4BF4" w:rsidRPr="008A4BF4" w:rsidRDefault="008A4BF4" w:rsidP="001A5B6F">
      <w:pPr>
        <w:pStyle w:val="paragraph"/>
        <w:spacing w:before="0" w:beforeAutospacing="0" w:after="0" w:afterAutospacing="0" w:line="276" w:lineRule="auto"/>
        <w:textAlignment w:val="baseline"/>
        <w:rPr>
          <w:rFonts w:ascii="Calibri" w:hAnsi="Calibri" w:cs="Calibri"/>
          <w:sz w:val="18"/>
          <w:szCs w:val="18"/>
        </w:rPr>
      </w:pPr>
    </w:p>
    <w:p w14:paraId="044ADB05" w14:textId="5D291846" w:rsidR="008A4BF4" w:rsidRPr="008A4BF4" w:rsidRDefault="008A4BF4" w:rsidP="001A5B6F">
      <w:pPr>
        <w:pStyle w:val="paragraph"/>
        <w:spacing w:before="0" w:beforeAutospacing="0" w:after="0" w:afterAutospacing="0" w:line="276" w:lineRule="auto"/>
        <w:textAlignment w:val="baseline"/>
        <w:rPr>
          <w:rStyle w:val="eop"/>
          <w:rFonts w:ascii="Calibri" w:hAnsi="Calibri" w:cs="Calibri"/>
        </w:rPr>
      </w:pPr>
      <w:r w:rsidRPr="008A4BF4">
        <w:rPr>
          <w:rStyle w:val="normaltextrun"/>
          <w:rFonts w:ascii="Calibri" w:hAnsi="Calibri" w:cs="Calibri"/>
          <w:b/>
          <w:bCs/>
          <w:u w:val="single"/>
        </w:rPr>
        <w:t>Clause 1 – Statutory Right to Core Information</w:t>
      </w:r>
      <w:r w:rsidRPr="008A4BF4">
        <w:rPr>
          <w:rStyle w:val="scxw195928839"/>
          <w:rFonts w:ascii="Calibri" w:hAnsi="Calibri" w:cs="Calibri"/>
        </w:rPr>
        <w:t> </w:t>
      </w:r>
      <w:r w:rsidRPr="008A4BF4">
        <w:rPr>
          <w:rFonts w:ascii="Calibri" w:hAnsi="Calibri" w:cs="Calibri"/>
        </w:rPr>
        <w:br/>
      </w:r>
      <w:r w:rsidRPr="008A4BF4">
        <w:rPr>
          <w:rStyle w:val="normaltextrun"/>
          <w:rFonts w:ascii="Calibri" w:hAnsi="Calibri" w:cs="Calibri"/>
        </w:rPr>
        <w:t>A trustee shall, upon reasonable request, provide a beneficiary with: (a) the trust instrument; (b) annual trust accounts (c) a summary of trust assets and liabilities and (d) details of distributions made to that beneficiary. Disclosure under this section shall not require a court order unless disputed. A trustee may refuse disclosure where the request is vexatious, manifestly unreasonable, or contrary to the proper administration of the trust.</w:t>
      </w:r>
    </w:p>
    <w:p w14:paraId="46C0F93A" w14:textId="77777777" w:rsidR="008A4BF4" w:rsidRPr="008A4BF4" w:rsidRDefault="008A4BF4" w:rsidP="001A5B6F">
      <w:pPr>
        <w:pStyle w:val="paragraph"/>
        <w:spacing w:before="0" w:beforeAutospacing="0" w:after="0" w:afterAutospacing="0" w:line="276" w:lineRule="auto"/>
        <w:textAlignment w:val="baseline"/>
        <w:rPr>
          <w:rFonts w:ascii="Calibri" w:hAnsi="Calibri" w:cs="Calibri"/>
          <w:sz w:val="18"/>
          <w:szCs w:val="18"/>
        </w:rPr>
      </w:pPr>
    </w:p>
    <w:p w14:paraId="7425F890" w14:textId="77777777" w:rsidR="008A4BF4" w:rsidRPr="008A4BF4" w:rsidRDefault="008A4BF4" w:rsidP="001A5B6F">
      <w:pPr>
        <w:pStyle w:val="paragraph"/>
        <w:spacing w:before="0" w:beforeAutospacing="0" w:after="0" w:afterAutospacing="0" w:line="276" w:lineRule="auto"/>
        <w:textAlignment w:val="baseline"/>
        <w:rPr>
          <w:rStyle w:val="normaltextrun"/>
          <w:rFonts w:ascii="Calibri" w:hAnsi="Calibri" w:cs="Calibri"/>
        </w:rPr>
      </w:pPr>
      <w:r w:rsidRPr="008A4BF4">
        <w:rPr>
          <w:rStyle w:val="normaltextrun"/>
          <w:rFonts w:ascii="Calibri" w:hAnsi="Calibri" w:cs="Calibri"/>
          <w:b/>
          <w:bCs/>
          <w:u w:val="single"/>
        </w:rPr>
        <w:lastRenderedPageBreak/>
        <w:t>Clause 2 – Confidential and Deliberative Documents</w:t>
      </w:r>
      <w:r w:rsidRPr="008A4BF4">
        <w:rPr>
          <w:rStyle w:val="scxw195928839"/>
          <w:rFonts w:ascii="Calibri" w:hAnsi="Calibri" w:cs="Calibri"/>
        </w:rPr>
        <w:t> </w:t>
      </w:r>
      <w:r w:rsidRPr="008A4BF4">
        <w:rPr>
          <w:rFonts w:ascii="Calibri" w:hAnsi="Calibri" w:cs="Calibri"/>
        </w:rPr>
        <w:br/>
      </w:r>
      <w:r w:rsidRPr="008A4BF4">
        <w:rPr>
          <w:rStyle w:val="normaltextrun"/>
          <w:rFonts w:ascii="Calibri" w:hAnsi="Calibri" w:cs="Calibri"/>
        </w:rPr>
        <w:t>Trustees shall not be required to</w:t>
      </w:r>
      <w:r w:rsidRPr="008A4BF4">
        <w:rPr>
          <w:rStyle w:val="apple-converted-space"/>
          <w:rFonts w:ascii="Calibri" w:hAnsi="Calibri" w:cs="Calibri"/>
        </w:rPr>
        <w:t> </w:t>
      </w:r>
      <w:r w:rsidRPr="008A4BF4">
        <w:rPr>
          <w:rStyle w:val="normaltextrun"/>
          <w:rFonts w:ascii="Calibri" w:hAnsi="Calibri" w:cs="Calibri"/>
        </w:rPr>
        <w:t>disclose</w:t>
      </w:r>
      <w:r w:rsidRPr="008A4BF4">
        <w:rPr>
          <w:rStyle w:val="apple-converted-space"/>
          <w:rFonts w:ascii="Calibri" w:hAnsi="Calibri" w:cs="Calibri"/>
        </w:rPr>
        <w:t> </w:t>
      </w:r>
      <w:r w:rsidRPr="008A4BF4">
        <w:rPr>
          <w:rStyle w:val="normaltextrun"/>
          <w:rFonts w:ascii="Calibri" w:hAnsi="Calibri" w:cs="Calibri"/>
        </w:rPr>
        <w:t>documents recording their deliberations or reasons for discretionary decisions. Letters of wishes shall be presumed confidential. The court may order disclosure where necessary to ensure proper administration and where just and</w:t>
      </w:r>
      <w:r w:rsidRPr="008A4BF4">
        <w:rPr>
          <w:rStyle w:val="apple-converted-space"/>
          <w:rFonts w:ascii="Calibri" w:hAnsi="Calibri" w:cs="Calibri"/>
        </w:rPr>
        <w:t> </w:t>
      </w:r>
      <w:r w:rsidRPr="008A4BF4">
        <w:rPr>
          <w:rStyle w:val="normaltextrun"/>
          <w:rFonts w:ascii="Calibri" w:hAnsi="Calibri" w:cs="Calibri"/>
        </w:rPr>
        <w:t>equitable</w:t>
      </w:r>
      <w:r w:rsidRPr="008A4BF4">
        <w:rPr>
          <w:rStyle w:val="apple-converted-space"/>
          <w:rFonts w:ascii="Calibri" w:hAnsi="Calibri" w:cs="Calibri"/>
        </w:rPr>
        <w:t> </w:t>
      </w:r>
      <w:r w:rsidRPr="008A4BF4">
        <w:rPr>
          <w:rStyle w:val="normaltextrun"/>
          <w:rFonts w:ascii="Calibri" w:hAnsi="Calibri" w:cs="Calibri"/>
        </w:rPr>
        <w:t>in the circumstances.</w:t>
      </w:r>
    </w:p>
    <w:p w14:paraId="6FBDABFD" w14:textId="0C950A8D" w:rsidR="008A4BF4" w:rsidRPr="008A4BF4" w:rsidRDefault="008A4BF4" w:rsidP="001A5B6F">
      <w:pPr>
        <w:pStyle w:val="paragraph"/>
        <w:spacing w:before="0" w:beforeAutospacing="0" w:after="0" w:afterAutospacing="0" w:line="276" w:lineRule="auto"/>
        <w:textAlignment w:val="baseline"/>
        <w:rPr>
          <w:rFonts w:ascii="Calibri" w:hAnsi="Calibri" w:cs="Calibri"/>
          <w:sz w:val="18"/>
          <w:szCs w:val="18"/>
        </w:rPr>
      </w:pPr>
    </w:p>
    <w:p w14:paraId="5A7BF687" w14:textId="4CC283E3" w:rsidR="008A4BF4" w:rsidRDefault="008A4BF4" w:rsidP="001A5B6F">
      <w:pPr>
        <w:pStyle w:val="paragraph"/>
        <w:spacing w:before="0" w:beforeAutospacing="0" w:after="0" w:afterAutospacing="0" w:line="276" w:lineRule="auto"/>
        <w:textAlignment w:val="baseline"/>
        <w:rPr>
          <w:rStyle w:val="normaltextrun"/>
          <w:rFonts w:ascii="Calibri" w:hAnsi="Calibri" w:cs="Calibri"/>
        </w:rPr>
      </w:pPr>
      <w:r w:rsidRPr="008A4BF4">
        <w:rPr>
          <w:rStyle w:val="normaltextrun"/>
          <w:rFonts w:ascii="Calibri" w:hAnsi="Calibri" w:cs="Calibri"/>
          <w:b/>
          <w:bCs/>
          <w:u w:val="single"/>
        </w:rPr>
        <w:t>Clause 3 – Alternative Dispute Resolution</w:t>
      </w:r>
      <w:r w:rsidRPr="008A4BF4">
        <w:rPr>
          <w:rStyle w:val="scxw195928839"/>
          <w:rFonts w:ascii="Calibri" w:hAnsi="Calibri" w:cs="Calibri"/>
        </w:rPr>
        <w:t> </w:t>
      </w:r>
      <w:r w:rsidRPr="008A4BF4">
        <w:rPr>
          <w:rFonts w:ascii="Calibri" w:hAnsi="Calibri" w:cs="Calibri"/>
        </w:rPr>
        <w:br/>
      </w:r>
      <w:r w:rsidRPr="008A4BF4">
        <w:rPr>
          <w:rStyle w:val="normaltextrun"/>
          <w:rFonts w:ascii="Calibri" w:hAnsi="Calibri" w:cs="Calibri"/>
        </w:rPr>
        <w:t>Before</w:t>
      </w:r>
      <w:r w:rsidRPr="008A4BF4">
        <w:rPr>
          <w:rStyle w:val="apple-converted-space"/>
          <w:rFonts w:ascii="Calibri" w:hAnsi="Calibri" w:cs="Calibri"/>
        </w:rPr>
        <w:t> </w:t>
      </w:r>
      <w:r w:rsidRPr="008A4BF4">
        <w:rPr>
          <w:rStyle w:val="normaltextrun"/>
          <w:rFonts w:ascii="Calibri" w:hAnsi="Calibri" w:cs="Calibri"/>
        </w:rPr>
        <w:t>commencing</w:t>
      </w:r>
      <w:r w:rsidRPr="008A4BF4">
        <w:rPr>
          <w:rStyle w:val="apple-converted-space"/>
          <w:rFonts w:ascii="Calibri" w:hAnsi="Calibri" w:cs="Calibri"/>
        </w:rPr>
        <w:t> </w:t>
      </w:r>
      <w:r w:rsidRPr="008A4BF4">
        <w:rPr>
          <w:rStyle w:val="normaltextrun"/>
          <w:rFonts w:ascii="Calibri" w:hAnsi="Calibri" w:cs="Calibri"/>
        </w:rPr>
        <w:t>court proceedings relating to disclosure under this Act, the parties shall</w:t>
      </w:r>
      <w:r w:rsidRPr="008A4BF4">
        <w:rPr>
          <w:rStyle w:val="apple-converted-space"/>
          <w:rFonts w:ascii="Calibri" w:hAnsi="Calibri" w:cs="Calibri"/>
        </w:rPr>
        <w:t> </w:t>
      </w:r>
      <w:r w:rsidRPr="008A4BF4">
        <w:rPr>
          <w:rStyle w:val="normaltextrun"/>
          <w:rFonts w:ascii="Calibri" w:hAnsi="Calibri" w:cs="Calibri"/>
        </w:rPr>
        <w:t>attempt</w:t>
      </w:r>
      <w:r w:rsidRPr="008A4BF4">
        <w:rPr>
          <w:rStyle w:val="apple-converted-space"/>
          <w:rFonts w:ascii="Calibri" w:hAnsi="Calibri" w:cs="Calibri"/>
        </w:rPr>
        <w:t> </w:t>
      </w:r>
      <w:r w:rsidRPr="008A4BF4">
        <w:rPr>
          <w:rStyle w:val="normaltextrun"/>
          <w:rFonts w:ascii="Calibri" w:hAnsi="Calibri" w:cs="Calibri"/>
        </w:rPr>
        <w:t>resolution through mediation or another recognised form of alternative dispute resolution. The court may consider non-compliance when</w:t>
      </w:r>
      <w:r w:rsidRPr="008A4BF4">
        <w:rPr>
          <w:rStyle w:val="apple-converted-space"/>
          <w:rFonts w:ascii="Calibri" w:hAnsi="Calibri" w:cs="Calibri"/>
        </w:rPr>
        <w:t> </w:t>
      </w:r>
      <w:r w:rsidRPr="008A4BF4">
        <w:rPr>
          <w:rStyle w:val="normaltextrun"/>
          <w:rFonts w:ascii="Calibri" w:hAnsi="Calibri" w:cs="Calibri"/>
        </w:rPr>
        <w:t>determining</w:t>
      </w:r>
      <w:r w:rsidRPr="008A4BF4">
        <w:rPr>
          <w:rStyle w:val="apple-converted-space"/>
          <w:rFonts w:ascii="Calibri" w:hAnsi="Calibri" w:cs="Calibri"/>
        </w:rPr>
        <w:t> </w:t>
      </w:r>
      <w:r w:rsidRPr="008A4BF4">
        <w:rPr>
          <w:rStyle w:val="normaltextrun"/>
          <w:rFonts w:ascii="Calibri" w:hAnsi="Calibri" w:cs="Calibri"/>
        </w:rPr>
        <w:t>costs.</w:t>
      </w:r>
    </w:p>
    <w:p w14:paraId="7116BD61" w14:textId="77777777" w:rsidR="00A639AE" w:rsidRDefault="00A639AE" w:rsidP="00DD62FC">
      <w:pPr>
        <w:pStyle w:val="paragraph"/>
        <w:spacing w:before="0" w:beforeAutospacing="0" w:after="0" w:afterAutospacing="0"/>
        <w:textAlignment w:val="baseline"/>
        <w:rPr>
          <w:rStyle w:val="normaltextrun"/>
          <w:rFonts w:ascii="Calibri" w:hAnsi="Calibri" w:cs="Calibri"/>
        </w:rPr>
      </w:pPr>
    </w:p>
    <w:p w14:paraId="13AB1C3E" w14:textId="77777777" w:rsidR="0059501B" w:rsidRDefault="0059501B" w:rsidP="00DD62FC">
      <w:pPr>
        <w:pStyle w:val="paragraph"/>
        <w:spacing w:before="0" w:beforeAutospacing="0" w:after="0" w:afterAutospacing="0"/>
        <w:textAlignment w:val="baseline"/>
        <w:rPr>
          <w:rStyle w:val="normaltextrun"/>
          <w:rFonts w:ascii="Calibri" w:hAnsi="Calibri" w:cs="Calibri"/>
        </w:rPr>
      </w:pPr>
    </w:p>
    <w:p w14:paraId="1C517743" w14:textId="1450B5F7" w:rsidR="0059501B" w:rsidRDefault="0059501B" w:rsidP="00926CBB">
      <w:pPr>
        <w:pStyle w:val="paragraph"/>
        <w:spacing w:before="0" w:beforeAutospacing="0" w:after="0" w:afterAutospacing="0" w:line="276" w:lineRule="auto"/>
        <w:textAlignment w:val="baseline"/>
        <w:rPr>
          <w:rStyle w:val="normaltextrun"/>
          <w:rFonts w:ascii="Calibri" w:hAnsi="Calibri" w:cs="Calibri"/>
          <w:b/>
          <w:bCs/>
        </w:rPr>
      </w:pPr>
      <w:r w:rsidRPr="00A75A03">
        <w:rPr>
          <w:rStyle w:val="normaltextrun"/>
          <w:rFonts w:ascii="Calibri" w:hAnsi="Calibri" w:cs="Calibri"/>
          <w:b/>
          <w:bCs/>
        </w:rPr>
        <w:t>Evaluation of the Reform Proposal</w:t>
      </w:r>
      <w:r w:rsidR="00A639AE" w:rsidRPr="00A75A03">
        <w:rPr>
          <w:rStyle w:val="normaltextrun"/>
          <w:rFonts w:ascii="Calibri" w:hAnsi="Calibri" w:cs="Calibri"/>
          <w:b/>
          <w:bCs/>
        </w:rPr>
        <w:t>s</w:t>
      </w:r>
    </w:p>
    <w:p w14:paraId="60B941AB" w14:textId="77777777" w:rsidR="008D69F5" w:rsidRDefault="008D69F5" w:rsidP="00926CBB">
      <w:pPr>
        <w:pStyle w:val="paragraph"/>
        <w:spacing w:before="0" w:beforeAutospacing="0" w:after="0" w:afterAutospacing="0" w:line="276" w:lineRule="auto"/>
        <w:textAlignment w:val="baseline"/>
        <w:rPr>
          <w:rStyle w:val="normaltextrun"/>
          <w:rFonts w:ascii="Calibri" w:hAnsi="Calibri" w:cs="Calibri"/>
          <w:b/>
          <w:bCs/>
        </w:rPr>
      </w:pPr>
    </w:p>
    <w:p w14:paraId="0CDD6650" w14:textId="240DFD46" w:rsidR="0022359F" w:rsidRDefault="0022359F" w:rsidP="000D6D8F">
      <w:pPr>
        <w:pStyle w:val="paragraph"/>
        <w:spacing w:before="0" w:beforeAutospacing="0" w:after="0" w:afterAutospacing="0" w:line="276" w:lineRule="auto"/>
        <w:jc w:val="both"/>
        <w:textAlignment w:val="baseline"/>
        <w:rPr>
          <w:rStyle w:val="normaltextrun"/>
          <w:rFonts w:ascii="Calibri" w:hAnsi="Calibri" w:cs="Calibri"/>
        </w:rPr>
      </w:pPr>
      <w:r w:rsidRPr="000D6D8F">
        <w:rPr>
          <w:rStyle w:val="normaltextrun"/>
          <w:rFonts w:ascii="Calibri" w:hAnsi="Calibri" w:cs="Calibri"/>
        </w:rPr>
        <w:t xml:space="preserve">The Trustee Disclosure and Beneficiary </w:t>
      </w:r>
      <w:r w:rsidR="00215C5D" w:rsidRPr="000D6D8F">
        <w:rPr>
          <w:rStyle w:val="normaltextrun"/>
          <w:rFonts w:ascii="Calibri" w:hAnsi="Calibri" w:cs="Calibri"/>
        </w:rPr>
        <w:t>I</w:t>
      </w:r>
      <w:r w:rsidRPr="000D6D8F">
        <w:rPr>
          <w:rStyle w:val="normaltextrun"/>
          <w:rFonts w:ascii="Calibri" w:hAnsi="Calibri" w:cs="Calibri"/>
        </w:rPr>
        <w:t xml:space="preserve">nformation </w:t>
      </w:r>
      <w:r w:rsidR="00215C5D" w:rsidRPr="000D6D8F">
        <w:rPr>
          <w:rStyle w:val="normaltextrun"/>
          <w:rFonts w:ascii="Calibri" w:hAnsi="Calibri" w:cs="Calibri"/>
        </w:rPr>
        <w:t>A</w:t>
      </w:r>
      <w:r w:rsidRPr="000D6D8F">
        <w:rPr>
          <w:rStyle w:val="normaltextrun"/>
          <w:rFonts w:ascii="Calibri" w:hAnsi="Calibri" w:cs="Calibri"/>
        </w:rPr>
        <w:t>ct 2026</w:t>
      </w:r>
      <w:r w:rsidR="00215C5D" w:rsidRPr="000D6D8F">
        <w:rPr>
          <w:rStyle w:val="normaltextrun"/>
          <w:rFonts w:ascii="Calibri" w:hAnsi="Calibri" w:cs="Calibri"/>
        </w:rPr>
        <w:t xml:space="preserve"> aims to address the uncertainty surrounding beneficiaries’ rights to information by introducing statutory guidance on trustees’ disclosure obligations. While the proposed reform offer</w:t>
      </w:r>
      <w:r w:rsidR="00E11676" w:rsidRPr="000D6D8F">
        <w:rPr>
          <w:rStyle w:val="normaltextrun"/>
          <w:rFonts w:ascii="Calibri" w:hAnsi="Calibri" w:cs="Calibri"/>
        </w:rPr>
        <w:t>s</w:t>
      </w:r>
      <w:r w:rsidR="00215C5D" w:rsidRPr="000D6D8F">
        <w:rPr>
          <w:rStyle w:val="normaltextrun"/>
          <w:rFonts w:ascii="Calibri" w:hAnsi="Calibri" w:cs="Calibri"/>
        </w:rPr>
        <w:t xml:space="preserve"> significant be</w:t>
      </w:r>
      <w:r w:rsidR="00E11676" w:rsidRPr="000D6D8F">
        <w:rPr>
          <w:rStyle w:val="normaltextrun"/>
          <w:rFonts w:ascii="Calibri" w:hAnsi="Calibri" w:cs="Calibri"/>
        </w:rPr>
        <w:t>nefits in term</w:t>
      </w:r>
      <w:r w:rsidR="00F004D2" w:rsidRPr="000D6D8F">
        <w:rPr>
          <w:rStyle w:val="normaltextrun"/>
          <w:rFonts w:ascii="Calibri" w:hAnsi="Calibri" w:cs="Calibri"/>
        </w:rPr>
        <w:t>s</w:t>
      </w:r>
      <w:r w:rsidR="00E11676" w:rsidRPr="000D6D8F">
        <w:rPr>
          <w:rStyle w:val="normaltextrun"/>
          <w:rFonts w:ascii="Calibri" w:hAnsi="Calibri" w:cs="Calibri"/>
        </w:rPr>
        <w:t xml:space="preserve"> of clarity and transparency, they also present certain challenges that may require</w:t>
      </w:r>
      <w:r w:rsidR="00F004D2" w:rsidRPr="000D6D8F">
        <w:rPr>
          <w:rStyle w:val="normaltextrun"/>
          <w:rFonts w:ascii="Calibri" w:hAnsi="Calibri" w:cs="Calibri"/>
        </w:rPr>
        <w:t xml:space="preserve"> further clarification through judicial interpretation. </w:t>
      </w:r>
    </w:p>
    <w:p w14:paraId="483EC139" w14:textId="77777777" w:rsidR="00A360C2" w:rsidRDefault="00A360C2" w:rsidP="000D6D8F">
      <w:pPr>
        <w:pStyle w:val="paragraph"/>
        <w:spacing w:before="0" w:beforeAutospacing="0" w:after="0" w:afterAutospacing="0" w:line="276" w:lineRule="auto"/>
        <w:jc w:val="both"/>
        <w:textAlignment w:val="baseline"/>
        <w:rPr>
          <w:rStyle w:val="normaltextrun"/>
          <w:rFonts w:ascii="Calibri" w:hAnsi="Calibri" w:cs="Calibri"/>
        </w:rPr>
      </w:pPr>
    </w:p>
    <w:p w14:paraId="2DC92F48" w14:textId="58D04E4E" w:rsidR="00A360C2" w:rsidRDefault="00A360C2" w:rsidP="000D6D8F">
      <w:pPr>
        <w:pStyle w:val="paragraph"/>
        <w:spacing w:before="0" w:beforeAutospacing="0" w:after="0" w:afterAutospacing="0" w:line="276" w:lineRule="auto"/>
        <w:jc w:val="both"/>
        <w:textAlignment w:val="baseline"/>
        <w:rPr>
          <w:rStyle w:val="normaltextrun"/>
          <w:rFonts w:ascii="Calibri" w:hAnsi="Calibri" w:cs="Calibri"/>
          <w:b/>
          <w:bCs/>
        </w:rPr>
      </w:pPr>
      <w:r w:rsidRPr="003E4245">
        <w:rPr>
          <w:rStyle w:val="normaltextrun"/>
          <w:rFonts w:ascii="Calibri" w:hAnsi="Calibri" w:cs="Calibri"/>
          <w:b/>
          <w:bCs/>
        </w:rPr>
        <w:t>Clause 1 – Statutory Right to Core Information</w:t>
      </w:r>
    </w:p>
    <w:p w14:paraId="25CAD484" w14:textId="77777777" w:rsidR="00FD11B7" w:rsidRDefault="00FD11B7" w:rsidP="000D6D8F">
      <w:pPr>
        <w:pStyle w:val="paragraph"/>
        <w:spacing w:before="0" w:beforeAutospacing="0" w:after="0" w:afterAutospacing="0" w:line="276" w:lineRule="auto"/>
        <w:jc w:val="both"/>
        <w:textAlignment w:val="baseline"/>
        <w:rPr>
          <w:rStyle w:val="normaltextrun"/>
          <w:rFonts w:ascii="Calibri" w:hAnsi="Calibri" w:cs="Calibri"/>
          <w:b/>
          <w:bCs/>
        </w:rPr>
      </w:pPr>
    </w:p>
    <w:p w14:paraId="63545E11" w14:textId="3D5F6446" w:rsidR="00FD11B7" w:rsidRDefault="00FD11B7" w:rsidP="000D6D8F">
      <w:pPr>
        <w:pStyle w:val="paragraph"/>
        <w:spacing w:before="0" w:beforeAutospacing="0" w:after="0" w:afterAutospacing="0" w:line="276" w:lineRule="auto"/>
        <w:jc w:val="both"/>
        <w:textAlignment w:val="baseline"/>
        <w:rPr>
          <w:rStyle w:val="normaltextrun"/>
          <w:rFonts w:ascii="Calibri" w:hAnsi="Calibri" w:cs="Calibri"/>
          <w:i/>
          <w:iCs/>
        </w:rPr>
      </w:pPr>
      <w:r w:rsidRPr="00266527">
        <w:rPr>
          <w:rStyle w:val="normaltextrun"/>
          <w:rFonts w:ascii="Calibri" w:hAnsi="Calibri" w:cs="Calibri"/>
        </w:rPr>
        <w:t>Clause 1’s establishment of a clear legislative entitlement for beneficiaries to get important trust information, such as the trust instrument, yearly accounts, assets, summaries, and distribution data, is one of its main advantages. The lack of clarity in the existing common law</w:t>
      </w:r>
      <w:r w:rsidR="00E71C00" w:rsidRPr="00266527">
        <w:rPr>
          <w:rStyle w:val="normaltextrun"/>
          <w:rFonts w:ascii="Calibri" w:hAnsi="Calibri" w:cs="Calibri"/>
        </w:rPr>
        <w:t xml:space="preserve"> framework is addressed by this change. The Privy Council underlined in Schmidt v Rosewood Trust Ltd</w:t>
      </w:r>
      <w:r w:rsidR="00CB1B9B" w:rsidRPr="00266527">
        <w:rPr>
          <w:rStyle w:val="normaltextrun"/>
          <w:rFonts w:ascii="Calibri" w:hAnsi="Calibri" w:cs="Calibri"/>
        </w:rPr>
        <w:t xml:space="preserve"> [2003] UKPC 26 that disclosure is within the court’s supervisory jurisdiction and that beneficiaries do not automatically have a proprietary right to trust records. Although this approach </w:t>
      </w:r>
      <w:r w:rsidR="00266527">
        <w:rPr>
          <w:rStyle w:val="normaltextrun"/>
          <w:rFonts w:ascii="Calibri" w:hAnsi="Calibri" w:cs="Calibri"/>
        </w:rPr>
        <w:t>afford</w:t>
      </w:r>
      <w:r w:rsidR="00CB1B9B" w:rsidRPr="00266527">
        <w:rPr>
          <w:rStyle w:val="normaltextrun"/>
          <w:rFonts w:ascii="Calibri" w:hAnsi="Calibri" w:cs="Calibri"/>
        </w:rPr>
        <w:t>ed flexi</w:t>
      </w:r>
      <w:r w:rsidR="00266527" w:rsidRPr="00266527">
        <w:rPr>
          <w:rStyle w:val="normaltextrun"/>
          <w:rFonts w:ascii="Calibri" w:hAnsi="Calibri" w:cs="Calibri"/>
        </w:rPr>
        <w:t xml:space="preserve">bility, it has also </w:t>
      </w:r>
      <w:r w:rsidR="00266527">
        <w:rPr>
          <w:rStyle w:val="normaltextrun"/>
          <w:rFonts w:ascii="Calibri" w:hAnsi="Calibri" w:cs="Calibri"/>
        </w:rPr>
        <w:t>created</w:t>
      </w:r>
      <w:r w:rsidR="00266527" w:rsidRPr="00266527">
        <w:rPr>
          <w:rStyle w:val="normaltextrun"/>
          <w:rFonts w:ascii="Calibri" w:hAnsi="Calibri" w:cs="Calibri"/>
        </w:rPr>
        <w:t xml:space="preserve"> uncertain</w:t>
      </w:r>
      <w:r w:rsidR="00266527">
        <w:rPr>
          <w:rStyle w:val="normaltextrun"/>
          <w:rFonts w:ascii="Calibri" w:hAnsi="Calibri" w:cs="Calibri"/>
        </w:rPr>
        <w:t>ty</w:t>
      </w:r>
      <w:r w:rsidR="00266527" w:rsidRPr="00266527">
        <w:rPr>
          <w:rStyle w:val="normaltextrun"/>
          <w:rFonts w:ascii="Calibri" w:hAnsi="Calibri" w:cs="Calibri"/>
        </w:rPr>
        <w:t xml:space="preserve"> for beneficiaries and trustees. </w:t>
      </w:r>
      <w:r w:rsidR="00266527" w:rsidRPr="00266527">
        <w:rPr>
          <w:rStyle w:val="normaltextrun"/>
          <w:rFonts w:ascii="Calibri" w:hAnsi="Calibri" w:cs="Calibri"/>
          <w:i/>
          <w:iCs/>
        </w:rPr>
        <w:t>(Kinsleynapley, 2020).</w:t>
      </w:r>
    </w:p>
    <w:p w14:paraId="21916F1D" w14:textId="77777777" w:rsidR="00266527" w:rsidRDefault="00266527" w:rsidP="000D6D8F">
      <w:pPr>
        <w:pStyle w:val="paragraph"/>
        <w:spacing w:before="0" w:beforeAutospacing="0" w:after="0" w:afterAutospacing="0" w:line="276" w:lineRule="auto"/>
        <w:jc w:val="both"/>
        <w:textAlignment w:val="baseline"/>
        <w:rPr>
          <w:rStyle w:val="normaltextrun"/>
          <w:rFonts w:ascii="Calibri" w:hAnsi="Calibri" w:cs="Calibri"/>
          <w:i/>
          <w:iCs/>
        </w:rPr>
      </w:pPr>
    </w:p>
    <w:p w14:paraId="03CDA065" w14:textId="62CAD153" w:rsidR="00266527" w:rsidRDefault="00266527" w:rsidP="000D6D8F">
      <w:pPr>
        <w:pStyle w:val="paragraph"/>
        <w:spacing w:before="0" w:beforeAutospacing="0" w:after="0" w:afterAutospacing="0" w:line="276" w:lineRule="auto"/>
        <w:jc w:val="both"/>
        <w:textAlignment w:val="baseline"/>
        <w:rPr>
          <w:rStyle w:val="normaltextrun"/>
          <w:rFonts w:ascii="Calibri" w:hAnsi="Calibri" w:cs="Calibri"/>
          <w:i/>
          <w:iCs/>
        </w:rPr>
      </w:pPr>
      <w:r>
        <w:rPr>
          <w:rStyle w:val="normaltextrun"/>
          <w:rFonts w:ascii="Calibri" w:hAnsi="Calibri" w:cs="Calibri"/>
        </w:rPr>
        <w:t>Clause 1 increases legal clarity</w:t>
      </w:r>
      <w:r w:rsidR="00F6521D">
        <w:rPr>
          <w:rStyle w:val="normaltextrun"/>
          <w:rFonts w:ascii="Calibri" w:hAnsi="Calibri" w:cs="Calibri"/>
        </w:rPr>
        <w:t xml:space="preserve"> and reduces the need for beneficiaries to seek judicial action by codifying a minimal set of documents that must be supplied upon reasonable request.</w:t>
      </w:r>
      <w:r w:rsidR="000A124D">
        <w:rPr>
          <w:rStyle w:val="normaltextrun"/>
          <w:rFonts w:ascii="Calibri" w:hAnsi="Calibri" w:cs="Calibri"/>
        </w:rPr>
        <w:t xml:space="preserve"> This encourages responsibility and is consistent with the equitable concept that requires trustees to take responsibi</w:t>
      </w:r>
      <w:r w:rsidR="00FC75D4">
        <w:rPr>
          <w:rStyle w:val="normaltextrun"/>
          <w:rFonts w:ascii="Calibri" w:hAnsi="Calibri" w:cs="Calibri"/>
        </w:rPr>
        <w:t xml:space="preserve">lity for how they handle trust assets. </w:t>
      </w:r>
      <w:r w:rsidR="00FC75D4" w:rsidRPr="00FC75D4">
        <w:rPr>
          <w:rStyle w:val="normaltextrun"/>
          <w:rFonts w:ascii="Calibri" w:hAnsi="Calibri" w:cs="Calibri"/>
          <w:i/>
          <w:iCs/>
        </w:rPr>
        <w:t>(Abbot, L. 2021).</w:t>
      </w:r>
    </w:p>
    <w:p w14:paraId="795FE86D" w14:textId="77777777" w:rsidR="00FC75D4" w:rsidRDefault="00FC75D4" w:rsidP="000D6D8F">
      <w:pPr>
        <w:pStyle w:val="paragraph"/>
        <w:spacing w:before="0" w:beforeAutospacing="0" w:after="0" w:afterAutospacing="0" w:line="276" w:lineRule="auto"/>
        <w:jc w:val="both"/>
        <w:textAlignment w:val="baseline"/>
        <w:rPr>
          <w:rStyle w:val="normaltextrun"/>
          <w:rFonts w:ascii="Calibri" w:hAnsi="Calibri" w:cs="Calibri"/>
          <w:i/>
          <w:iCs/>
        </w:rPr>
      </w:pPr>
    </w:p>
    <w:p w14:paraId="7E82DB9F" w14:textId="1C6D1E39" w:rsidR="00FC75D4" w:rsidRDefault="00315078" w:rsidP="000D6D8F">
      <w:pPr>
        <w:pStyle w:val="paragraph"/>
        <w:spacing w:before="0" w:beforeAutospacing="0" w:after="0" w:afterAutospacing="0" w:line="276" w:lineRule="auto"/>
        <w:jc w:val="both"/>
        <w:textAlignment w:val="baseline"/>
        <w:rPr>
          <w:rStyle w:val="normaltextrun"/>
          <w:rFonts w:ascii="Calibri" w:hAnsi="Calibri" w:cs="Calibri"/>
          <w:i/>
          <w:iCs/>
        </w:rPr>
      </w:pPr>
      <w:r>
        <w:rPr>
          <w:rStyle w:val="normaltextrun"/>
          <w:rFonts w:ascii="Calibri" w:hAnsi="Calibri" w:cs="Calibri"/>
        </w:rPr>
        <w:t>However,</w:t>
      </w:r>
      <w:r w:rsidR="00FC75D4">
        <w:rPr>
          <w:rStyle w:val="normaltextrun"/>
          <w:rFonts w:ascii="Calibri" w:hAnsi="Calibri" w:cs="Calibri"/>
        </w:rPr>
        <w:t xml:space="preserve"> the clause presents certain challenges. Investment advice, internal communications, and reports produced by professional advisors are examples of modern trust documents that may not be included in the statutory list of “core information” if it is </w:t>
      </w:r>
      <w:r w:rsidR="00776643">
        <w:rPr>
          <w:rStyle w:val="normaltextrun"/>
          <w:rFonts w:ascii="Calibri" w:hAnsi="Calibri" w:cs="Calibri"/>
        </w:rPr>
        <w:t xml:space="preserve">read narrowly. Courts have occasionally </w:t>
      </w:r>
      <w:r>
        <w:rPr>
          <w:rStyle w:val="normaltextrun"/>
          <w:rFonts w:ascii="Calibri" w:hAnsi="Calibri" w:cs="Calibri"/>
        </w:rPr>
        <w:t>considered</w:t>
      </w:r>
      <w:r w:rsidR="00776643">
        <w:rPr>
          <w:rStyle w:val="normaltextrun"/>
          <w:rFonts w:ascii="Calibri" w:hAnsi="Calibri" w:cs="Calibri"/>
        </w:rPr>
        <w:t xml:space="preserve"> larger categories of documents under the existing rules when disclosure was required to guarantee appropriate trust management. </w:t>
      </w:r>
      <w:r w:rsidR="00776643">
        <w:rPr>
          <w:rStyle w:val="normaltextrun"/>
          <w:rFonts w:ascii="Calibri" w:hAnsi="Calibri" w:cs="Calibri"/>
        </w:rPr>
        <w:lastRenderedPageBreak/>
        <w:t xml:space="preserve">Beneficiaries may therefore still need to go to the court under certain conditions when papers do not fit within the specific categories, regardless of the provision’s intended clarity. </w:t>
      </w:r>
      <w:r w:rsidR="00776643" w:rsidRPr="00650035">
        <w:rPr>
          <w:rStyle w:val="normaltextrun"/>
          <w:rFonts w:ascii="Calibri" w:hAnsi="Calibri" w:cs="Calibri"/>
          <w:i/>
          <w:iCs/>
        </w:rPr>
        <w:t>(LexisNexis</w:t>
      </w:r>
      <w:r w:rsidR="00650035" w:rsidRPr="00650035">
        <w:rPr>
          <w:rStyle w:val="normaltextrun"/>
          <w:rFonts w:ascii="Calibri" w:hAnsi="Calibri" w:cs="Calibri"/>
          <w:i/>
          <w:iCs/>
        </w:rPr>
        <w:t>, 2020).</w:t>
      </w:r>
    </w:p>
    <w:p w14:paraId="7ABBDE9D" w14:textId="77777777" w:rsidR="00FF6043" w:rsidRDefault="00FF6043" w:rsidP="000D6D8F">
      <w:pPr>
        <w:pStyle w:val="paragraph"/>
        <w:spacing w:before="0" w:beforeAutospacing="0" w:after="0" w:afterAutospacing="0" w:line="276" w:lineRule="auto"/>
        <w:jc w:val="both"/>
        <w:textAlignment w:val="baseline"/>
        <w:rPr>
          <w:rStyle w:val="normaltextrun"/>
          <w:rFonts w:ascii="Calibri" w:hAnsi="Calibri" w:cs="Calibri"/>
          <w:i/>
          <w:iCs/>
        </w:rPr>
      </w:pPr>
    </w:p>
    <w:p w14:paraId="135F6AD8" w14:textId="6C3C692E" w:rsidR="00FF6043" w:rsidRDefault="00FF6043" w:rsidP="000D6D8F">
      <w:pPr>
        <w:pStyle w:val="paragraph"/>
        <w:spacing w:before="0" w:beforeAutospacing="0" w:after="0" w:afterAutospacing="0" w:line="276" w:lineRule="auto"/>
        <w:jc w:val="both"/>
        <w:textAlignment w:val="baseline"/>
        <w:rPr>
          <w:rStyle w:val="normaltextrun"/>
          <w:rFonts w:ascii="Calibri" w:hAnsi="Calibri" w:cs="Calibri"/>
          <w:i/>
          <w:iCs/>
        </w:rPr>
      </w:pPr>
      <w:r>
        <w:rPr>
          <w:rStyle w:val="normaltextrun"/>
          <w:rFonts w:ascii="Calibri" w:hAnsi="Calibri" w:cs="Calibri"/>
        </w:rPr>
        <w:t>Additionally, trustees may have more administrative work if they are required to submit summar</w:t>
      </w:r>
      <w:r w:rsidR="00C26F57">
        <w:rPr>
          <w:rStyle w:val="normaltextrun"/>
          <w:rFonts w:ascii="Calibri" w:hAnsi="Calibri" w:cs="Calibri"/>
        </w:rPr>
        <w:t xml:space="preserve">ies of their assets and liabilities. Creating comprehensive summaries may require expert advice and increase the trust’s administrative expenses in big or complicated trusts with substantial investment </w:t>
      </w:r>
      <w:r w:rsidR="001D432F">
        <w:rPr>
          <w:rStyle w:val="normaltextrun"/>
          <w:rFonts w:ascii="Calibri" w:hAnsi="Calibri" w:cs="Calibri"/>
        </w:rPr>
        <w:t>portfolios</w:t>
      </w:r>
      <w:r w:rsidR="00C26F57">
        <w:rPr>
          <w:rStyle w:val="normaltextrun"/>
          <w:rFonts w:ascii="Calibri" w:hAnsi="Calibri" w:cs="Calibri"/>
        </w:rPr>
        <w:t xml:space="preserve">. This is especially important </w:t>
      </w:r>
      <w:r w:rsidR="001D432F">
        <w:rPr>
          <w:rStyle w:val="normaltextrun"/>
          <w:rFonts w:ascii="Calibri" w:hAnsi="Calibri" w:cs="Calibri"/>
        </w:rPr>
        <w:t>since</w:t>
      </w:r>
      <w:r w:rsidR="00C26F57">
        <w:rPr>
          <w:rStyle w:val="normaltextrun"/>
          <w:rFonts w:ascii="Calibri" w:hAnsi="Calibri" w:cs="Calibri"/>
        </w:rPr>
        <w:t xml:space="preserve"> the Trustee Act of 2000</w:t>
      </w:r>
      <w:r w:rsidR="001D432F">
        <w:rPr>
          <w:rStyle w:val="normaltextrun"/>
          <w:rFonts w:ascii="Calibri" w:hAnsi="Calibri" w:cs="Calibri"/>
        </w:rPr>
        <w:t xml:space="preserve"> s.1 and s.5</w:t>
      </w:r>
      <w:r w:rsidR="003D395D">
        <w:rPr>
          <w:rStyle w:val="normaltextrun"/>
          <w:rFonts w:ascii="Calibri" w:hAnsi="Calibri" w:cs="Calibri"/>
        </w:rPr>
        <w:t>,</w:t>
      </w:r>
      <w:r w:rsidR="001D432F">
        <w:rPr>
          <w:rStyle w:val="normaltextrun"/>
          <w:rFonts w:ascii="Calibri" w:hAnsi="Calibri" w:cs="Calibri"/>
        </w:rPr>
        <w:t xml:space="preserve"> require</w:t>
      </w:r>
      <w:r w:rsidR="000963CB">
        <w:rPr>
          <w:rStyle w:val="normaltextrun"/>
          <w:rFonts w:ascii="Calibri" w:hAnsi="Calibri" w:cs="Calibri"/>
        </w:rPr>
        <w:t>s</w:t>
      </w:r>
      <w:r w:rsidR="001D432F">
        <w:rPr>
          <w:rStyle w:val="normaltextrun"/>
          <w:rFonts w:ascii="Calibri" w:hAnsi="Calibri" w:cs="Calibri"/>
        </w:rPr>
        <w:t xml:space="preserve"> trustees to manage trust investments with </w:t>
      </w:r>
      <w:r w:rsidR="000963CB">
        <w:rPr>
          <w:rStyle w:val="normaltextrun"/>
          <w:rFonts w:ascii="Calibri" w:hAnsi="Calibri" w:cs="Calibri"/>
        </w:rPr>
        <w:t xml:space="preserve">a </w:t>
      </w:r>
      <w:r w:rsidR="001D432F">
        <w:rPr>
          <w:rStyle w:val="normaltextrun"/>
          <w:rFonts w:ascii="Calibri" w:hAnsi="Calibri" w:cs="Calibri"/>
        </w:rPr>
        <w:t xml:space="preserve">statutory duty of care and may require them to seek expert assistance. </w:t>
      </w:r>
      <w:r w:rsidR="001D432F" w:rsidRPr="00315078">
        <w:rPr>
          <w:rStyle w:val="normaltextrun"/>
          <w:rFonts w:ascii="Calibri" w:hAnsi="Calibri" w:cs="Calibri"/>
          <w:i/>
          <w:iCs/>
        </w:rPr>
        <w:t>(</w:t>
      </w:r>
      <w:r w:rsidR="00315078" w:rsidRPr="00315078">
        <w:rPr>
          <w:rStyle w:val="normaltextrun"/>
          <w:rFonts w:ascii="Calibri" w:hAnsi="Calibri" w:cs="Calibri"/>
          <w:i/>
          <w:iCs/>
        </w:rPr>
        <w:t>legislation.gov.uk, 2021).</w:t>
      </w:r>
    </w:p>
    <w:p w14:paraId="5A914A39" w14:textId="77777777" w:rsidR="000963CB" w:rsidRDefault="000963CB" w:rsidP="000D6D8F">
      <w:pPr>
        <w:pStyle w:val="paragraph"/>
        <w:spacing w:before="0" w:beforeAutospacing="0" w:after="0" w:afterAutospacing="0" w:line="276" w:lineRule="auto"/>
        <w:jc w:val="both"/>
        <w:textAlignment w:val="baseline"/>
        <w:rPr>
          <w:rStyle w:val="normaltextrun"/>
          <w:rFonts w:ascii="Calibri" w:hAnsi="Calibri" w:cs="Calibri"/>
          <w:i/>
          <w:iCs/>
        </w:rPr>
      </w:pPr>
    </w:p>
    <w:p w14:paraId="38F4E6AC" w14:textId="635D3A27" w:rsidR="000963CB" w:rsidRDefault="000963CB" w:rsidP="000D6D8F">
      <w:pPr>
        <w:pStyle w:val="paragraph"/>
        <w:spacing w:before="0" w:beforeAutospacing="0" w:after="0" w:afterAutospacing="0" w:line="276" w:lineRule="auto"/>
        <w:jc w:val="both"/>
        <w:textAlignment w:val="baseline"/>
        <w:rPr>
          <w:rStyle w:val="normaltextrun"/>
          <w:rFonts w:ascii="Calibri" w:hAnsi="Calibri" w:cs="Calibri"/>
          <w:b/>
          <w:bCs/>
        </w:rPr>
      </w:pPr>
      <w:r w:rsidRPr="000963CB">
        <w:rPr>
          <w:rStyle w:val="normaltextrun"/>
          <w:rFonts w:ascii="Calibri" w:hAnsi="Calibri" w:cs="Calibri"/>
          <w:b/>
          <w:bCs/>
        </w:rPr>
        <w:t>Clause 2 – Confidential and Deliberative Documents</w:t>
      </w:r>
    </w:p>
    <w:p w14:paraId="23CFCB2F" w14:textId="77777777" w:rsidR="003D395D" w:rsidRDefault="003D395D" w:rsidP="000D6D8F">
      <w:pPr>
        <w:pStyle w:val="paragraph"/>
        <w:spacing w:before="0" w:beforeAutospacing="0" w:after="0" w:afterAutospacing="0" w:line="276" w:lineRule="auto"/>
        <w:jc w:val="both"/>
        <w:textAlignment w:val="baseline"/>
        <w:rPr>
          <w:rStyle w:val="normaltextrun"/>
          <w:rFonts w:ascii="Calibri" w:hAnsi="Calibri" w:cs="Calibri"/>
          <w:b/>
          <w:bCs/>
        </w:rPr>
      </w:pPr>
    </w:p>
    <w:p w14:paraId="465958FA" w14:textId="0EA727F4" w:rsidR="003D395D" w:rsidRDefault="003D395D" w:rsidP="000D6D8F">
      <w:pPr>
        <w:pStyle w:val="paragraph"/>
        <w:spacing w:before="0" w:beforeAutospacing="0" w:after="0" w:afterAutospacing="0" w:line="276" w:lineRule="auto"/>
        <w:jc w:val="both"/>
        <w:textAlignment w:val="baseline"/>
        <w:rPr>
          <w:rStyle w:val="normaltextrun"/>
          <w:rFonts w:ascii="Calibri" w:hAnsi="Calibri" w:cs="Calibri"/>
          <w:i/>
          <w:iCs/>
        </w:rPr>
      </w:pPr>
      <w:r w:rsidRPr="00BA37D8">
        <w:rPr>
          <w:rStyle w:val="normaltextrun"/>
          <w:rFonts w:ascii="Calibri" w:hAnsi="Calibri" w:cs="Calibri"/>
        </w:rPr>
        <w:t>The long-standing rule that trustee</w:t>
      </w:r>
      <w:r w:rsidR="00D7798B" w:rsidRPr="00BA37D8">
        <w:rPr>
          <w:rStyle w:val="normaltextrun"/>
          <w:rFonts w:ascii="Calibri" w:hAnsi="Calibri" w:cs="Calibri"/>
        </w:rPr>
        <w:t xml:space="preserve"> are often excluded from disclosing records that reflect their consideration</w:t>
      </w:r>
      <w:r w:rsidR="00D5272D" w:rsidRPr="00BA37D8">
        <w:rPr>
          <w:rStyle w:val="normaltextrun"/>
          <w:rFonts w:ascii="Calibri" w:hAnsi="Calibri" w:cs="Calibri"/>
        </w:rPr>
        <w:t>s or just</w:t>
      </w:r>
      <w:r w:rsidR="00D95DC9" w:rsidRPr="00BA37D8">
        <w:rPr>
          <w:rStyle w:val="normaltextrun"/>
          <w:rFonts w:ascii="Calibri" w:hAnsi="Calibri" w:cs="Calibri"/>
        </w:rPr>
        <w:t>ifications for making discretionary decisions is upheld</w:t>
      </w:r>
      <w:r w:rsidR="00825073" w:rsidRPr="00BA37D8">
        <w:rPr>
          <w:rStyle w:val="normaltextrun"/>
          <w:rFonts w:ascii="Calibri" w:hAnsi="Calibri" w:cs="Calibri"/>
        </w:rPr>
        <w:t xml:space="preserve"> by clause 2. </w:t>
      </w:r>
      <w:r w:rsidR="00825073" w:rsidRPr="00BA37D8">
        <w:rPr>
          <w:rStyle w:val="normaltextrun"/>
          <w:rFonts w:ascii="Calibri" w:hAnsi="Calibri" w:cs="Calibri"/>
          <w:i/>
          <w:iCs/>
        </w:rPr>
        <w:t>(Holbech, C. 2012).</w:t>
      </w:r>
      <w:r w:rsidR="00825073" w:rsidRPr="00BA37D8">
        <w:rPr>
          <w:rStyle w:val="normaltextrun"/>
          <w:rFonts w:ascii="Calibri" w:hAnsi="Calibri" w:cs="Calibri"/>
        </w:rPr>
        <w:t xml:space="preserve"> This is consistent with the Court of Appeal’s ruling in Re Londonderry’s</w:t>
      </w:r>
      <w:r w:rsidR="009850B0" w:rsidRPr="00BA37D8">
        <w:rPr>
          <w:rStyle w:val="normaltextrun"/>
          <w:rFonts w:ascii="Calibri" w:hAnsi="Calibri" w:cs="Calibri"/>
        </w:rPr>
        <w:t xml:space="preserve"> Settlement [1965] Ch 918 (CA), which said that beneficiaries ha</w:t>
      </w:r>
      <w:r w:rsidR="007F7E0E" w:rsidRPr="00BA37D8">
        <w:rPr>
          <w:rStyle w:val="normaltextrun"/>
          <w:rFonts w:ascii="Calibri" w:hAnsi="Calibri" w:cs="Calibri"/>
        </w:rPr>
        <w:t>ve</w:t>
      </w:r>
      <w:r w:rsidR="009850B0" w:rsidRPr="00BA37D8">
        <w:rPr>
          <w:rStyle w:val="normaltextrun"/>
          <w:rFonts w:ascii="Calibri" w:hAnsi="Calibri" w:cs="Calibri"/>
        </w:rPr>
        <w:t xml:space="preserve"> no right to view papers related to trustees’ deci</w:t>
      </w:r>
      <w:r w:rsidR="007F7E0E" w:rsidRPr="00BA37D8">
        <w:rPr>
          <w:rStyle w:val="normaltextrun"/>
          <w:rFonts w:ascii="Calibri" w:hAnsi="Calibri" w:cs="Calibri"/>
        </w:rPr>
        <w:t>s</w:t>
      </w:r>
      <w:r w:rsidR="009850B0" w:rsidRPr="00BA37D8">
        <w:rPr>
          <w:rStyle w:val="normaltextrun"/>
          <w:rFonts w:ascii="Calibri" w:hAnsi="Calibri" w:cs="Calibri"/>
        </w:rPr>
        <w:t>ion</w:t>
      </w:r>
      <w:r w:rsidR="007F7E0E" w:rsidRPr="00BA37D8">
        <w:rPr>
          <w:rStyle w:val="normaltextrun"/>
          <w:rFonts w:ascii="Calibri" w:hAnsi="Calibri" w:cs="Calibri"/>
        </w:rPr>
        <w:t xml:space="preserve">-making procedures. This rule’s justification is that trustees must be free to use their discretion without interference from beneficiaries who could challenge their justification. </w:t>
      </w:r>
      <w:r w:rsidR="007F7E0E" w:rsidRPr="00BA37D8">
        <w:rPr>
          <w:rStyle w:val="normaltextrun"/>
          <w:rFonts w:ascii="Calibri" w:hAnsi="Calibri" w:cs="Calibri"/>
          <w:i/>
          <w:iCs/>
        </w:rPr>
        <w:t>(Oppenheimer, H., Nathan and Vandyk,</w:t>
      </w:r>
      <w:r w:rsidR="00BA37D8" w:rsidRPr="00BA37D8">
        <w:rPr>
          <w:rStyle w:val="normaltextrun"/>
          <w:rFonts w:ascii="Calibri" w:hAnsi="Calibri" w:cs="Calibri"/>
          <w:i/>
          <w:iCs/>
        </w:rPr>
        <w:t xml:space="preserve"> </w:t>
      </w:r>
      <w:r w:rsidR="007F7E0E" w:rsidRPr="00BA37D8">
        <w:rPr>
          <w:rStyle w:val="normaltextrun"/>
          <w:rFonts w:ascii="Calibri" w:hAnsi="Calibri" w:cs="Calibri"/>
          <w:i/>
          <w:iCs/>
        </w:rPr>
        <w:t>P. R</w:t>
      </w:r>
      <w:r w:rsidR="00BA37D8">
        <w:rPr>
          <w:rStyle w:val="normaltextrun"/>
          <w:rFonts w:ascii="Calibri" w:hAnsi="Calibri" w:cs="Calibri"/>
          <w:i/>
          <w:iCs/>
        </w:rPr>
        <w:t>.,</w:t>
      </w:r>
      <w:r w:rsidR="00BA37D8" w:rsidRPr="00BA37D8">
        <w:rPr>
          <w:rStyle w:val="normaltextrun"/>
          <w:rFonts w:ascii="Calibri" w:hAnsi="Calibri" w:cs="Calibri"/>
          <w:i/>
          <w:iCs/>
        </w:rPr>
        <w:t xml:space="preserve"> and Kimber).</w:t>
      </w:r>
    </w:p>
    <w:p w14:paraId="51817C41" w14:textId="77777777" w:rsidR="00BA37D8" w:rsidRDefault="00BA37D8" w:rsidP="000D6D8F">
      <w:pPr>
        <w:pStyle w:val="paragraph"/>
        <w:spacing w:before="0" w:beforeAutospacing="0" w:after="0" w:afterAutospacing="0" w:line="276" w:lineRule="auto"/>
        <w:jc w:val="both"/>
        <w:textAlignment w:val="baseline"/>
        <w:rPr>
          <w:rStyle w:val="normaltextrun"/>
          <w:rFonts w:ascii="Calibri" w:hAnsi="Calibri" w:cs="Calibri"/>
          <w:i/>
          <w:iCs/>
        </w:rPr>
      </w:pPr>
    </w:p>
    <w:p w14:paraId="69DC14D3" w14:textId="7D6D9E1E" w:rsidR="00BA37D8" w:rsidRDefault="00BA37D8" w:rsidP="000D6D8F">
      <w:pPr>
        <w:pStyle w:val="paragraph"/>
        <w:spacing w:before="0" w:beforeAutospacing="0" w:after="0" w:afterAutospacing="0" w:line="276" w:lineRule="auto"/>
        <w:jc w:val="both"/>
        <w:textAlignment w:val="baseline"/>
        <w:rPr>
          <w:rStyle w:val="normaltextrun"/>
          <w:rFonts w:ascii="Calibri" w:hAnsi="Calibri" w:cs="Calibri"/>
          <w:i/>
          <w:iCs/>
        </w:rPr>
      </w:pPr>
      <w:r>
        <w:rPr>
          <w:rStyle w:val="normaltextrun"/>
          <w:rFonts w:ascii="Calibri" w:hAnsi="Calibri" w:cs="Calibri"/>
        </w:rPr>
        <w:t>The clause also reflects the thinking in Breakspear v Ackland [2008] EWHC 220 (Ch), where the High Court upheld the overall confidentiality of settlor letters of wishes, while trustees may choose to release them under certain conditions. The suggested modification preserves</w:t>
      </w:r>
      <w:r w:rsidR="00BB3E03">
        <w:rPr>
          <w:rStyle w:val="normaltextrun"/>
          <w:rFonts w:ascii="Calibri" w:hAnsi="Calibri" w:cs="Calibri"/>
        </w:rPr>
        <w:t xml:space="preserve"> trustees’ authority and safeguards the confidentiality of settlor intentions by</w:t>
      </w:r>
      <w:r w:rsidR="004E0627">
        <w:rPr>
          <w:rStyle w:val="normaltextrun"/>
          <w:rFonts w:ascii="Calibri" w:hAnsi="Calibri" w:cs="Calibri"/>
        </w:rPr>
        <w:t xml:space="preserve"> upholding this concept. </w:t>
      </w:r>
      <w:r w:rsidR="004E0627" w:rsidRPr="004E0627">
        <w:rPr>
          <w:rStyle w:val="normaltextrun"/>
          <w:rFonts w:ascii="Calibri" w:hAnsi="Calibri" w:cs="Calibri"/>
          <w:i/>
          <w:iCs/>
        </w:rPr>
        <w:t>(Division, C. and Briggs, J. 2008).</w:t>
      </w:r>
    </w:p>
    <w:p w14:paraId="68F43341" w14:textId="77777777" w:rsidR="004E0627" w:rsidRDefault="004E0627" w:rsidP="000D6D8F">
      <w:pPr>
        <w:pStyle w:val="paragraph"/>
        <w:spacing w:before="0" w:beforeAutospacing="0" w:after="0" w:afterAutospacing="0" w:line="276" w:lineRule="auto"/>
        <w:jc w:val="both"/>
        <w:textAlignment w:val="baseline"/>
        <w:rPr>
          <w:rStyle w:val="normaltextrun"/>
          <w:rFonts w:ascii="Calibri" w:hAnsi="Calibri" w:cs="Calibri"/>
          <w:i/>
          <w:iCs/>
        </w:rPr>
      </w:pPr>
    </w:p>
    <w:p w14:paraId="0E227728" w14:textId="1BE6DB8F" w:rsidR="004E0627" w:rsidRDefault="004E0627" w:rsidP="000D6D8F">
      <w:pPr>
        <w:pStyle w:val="paragraph"/>
        <w:spacing w:before="0" w:beforeAutospacing="0" w:after="0" w:afterAutospacing="0" w:line="276" w:lineRule="auto"/>
        <w:jc w:val="both"/>
        <w:textAlignment w:val="baseline"/>
        <w:rPr>
          <w:rStyle w:val="normaltextrun"/>
          <w:rFonts w:ascii="Calibri" w:hAnsi="Calibri" w:cs="Calibri"/>
          <w:i/>
          <w:iCs/>
        </w:rPr>
      </w:pPr>
      <w:r>
        <w:rPr>
          <w:rStyle w:val="normaltextrun"/>
          <w:rFonts w:ascii="Calibri" w:hAnsi="Calibri" w:cs="Calibri"/>
        </w:rPr>
        <w:t xml:space="preserve">However, by enabling the court to mandate disclosure where it is “just and equitable” and required for the good administration of the trust, the proposed clause additionally provides a crucial safeguard. As recognised in Schmidt v Rosewood Trust Ltd [2003] UKPC 26, this reflects the court’s supervisory jurisdiction over trusts, which allows disclosure to be required when appropriate. </w:t>
      </w:r>
      <w:r w:rsidRPr="004E0627">
        <w:rPr>
          <w:rStyle w:val="normaltextrun"/>
          <w:rFonts w:ascii="Calibri" w:hAnsi="Calibri" w:cs="Calibri"/>
          <w:i/>
          <w:iCs/>
        </w:rPr>
        <w:t>(Vlex, 2020).</w:t>
      </w:r>
    </w:p>
    <w:p w14:paraId="186F9633" w14:textId="77777777" w:rsidR="00744862" w:rsidRDefault="00744862" w:rsidP="000D6D8F">
      <w:pPr>
        <w:pStyle w:val="paragraph"/>
        <w:spacing w:before="0" w:beforeAutospacing="0" w:after="0" w:afterAutospacing="0" w:line="276" w:lineRule="auto"/>
        <w:jc w:val="both"/>
        <w:textAlignment w:val="baseline"/>
        <w:rPr>
          <w:rStyle w:val="normaltextrun"/>
          <w:rFonts w:ascii="Calibri" w:hAnsi="Calibri" w:cs="Calibri"/>
          <w:i/>
          <w:iCs/>
        </w:rPr>
      </w:pPr>
    </w:p>
    <w:p w14:paraId="75C6E8E6" w14:textId="24D73D15" w:rsidR="00744862" w:rsidRDefault="00744862" w:rsidP="000D6D8F">
      <w:pPr>
        <w:pStyle w:val="paragraph"/>
        <w:spacing w:before="0" w:beforeAutospacing="0" w:after="0" w:afterAutospacing="0" w:line="276" w:lineRule="auto"/>
        <w:jc w:val="both"/>
        <w:textAlignment w:val="baseline"/>
        <w:rPr>
          <w:rStyle w:val="normaltextrun"/>
          <w:rFonts w:ascii="Calibri" w:hAnsi="Calibri" w:cs="Calibri"/>
          <w:i/>
          <w:iCs/>
        </w:rPr>
      </w:pPr>
      <w:r>
        <w:rPr>
          <w:rStyle w:val="normaltextrun"/>
          <w:rFonts w:ascii="Calibri" w:hAnsi="Calibri" w:cs="Calibri"/>
        </w:rPr>
        <w:t>Nevertheless, the clause’s</w:t>
      </w:r>
      <w:r w:rsidR="00D9595E">
        <w:rPr>
          <w:rStyle w:val="normaltextrun"/>
          <w:rFonts w:ascii="Calibri" w:hAnsi="Calibri" w:cs="Calibri"/>
        </w:rPr>
        <w:t xml:space="preserve"> structure could also lead to misunderstanding. As the term “just and equitable” is so broad, the courts may need to interpret it, which could result in further legal action. In practice, courts</w:t>
      </w:r>
      <w:r w:rsidR="00B32B18">
        <w:rPr>
          <w:rStyle w:val="normaltextrun"/>
          <w:rFonts w:ascii="Calibri" w:hAnsi="Calibri" w:cs="Calibri"/>
        </w:rPr>
        <w:t xml:space="preserve"> may </w:t>
      </w:r>
      <w:r w:rsidR="00993C38">
        <w:rPr>
          <w:rStyle w:val="normaltextrun"/>
          <w:rFonts w:ascii="Calibri" w:hAnsi="Calibri" w:cs="Calibri"/>
        </w:rPr>
        <w:t xml:space="preserve">use </w:t>
      </w:r>
      <w:r w:rsidR="00B32B18">
        <w:rPr>
          <w:rStyle w:val="normaltextrun"/>
          <w:rFonts w:ascii="Calibri" w:hAnsi="Calibri" w:cs="Calibri"/>
        </w:rPr>
        <w:t xml:space="preserve">case law that clarifies the circumstances under which disclosure should be ordered, and therefore, some of the uncertainty in the current system may endure. </w:t>
      </w:r>
      <w:r w:rsidR="00B32B18" w:rsidRPr="00B32B18">
        <w:rPr>
          <w:rStyle w:val="normaltextrun"/>
          <w:rFonts w:ascii="Calibri" w:hAnsi="Calibri" w:cs="Calibri"/>
          <w:i/>
          <w:iCs/>
        </w:rPr>
        <w:t>(Gardener, B. 2022).</w:t>
      </w:r>
    </w:p>
    <w:p w14:paraId="4EA0C41F" w14:textId="77777777" w:rsidR="00DA5C49" w:rsidRDefault="00DA5C49" w:rsidP="000D6D8F">
      <w:pPr>
        <w:pStyle w:val="paragraph"/>
        <w:spacing w:before="0" w:beforeAutospacing="0" w:after="0" w:afterAutospacing="0" w:line="276" w:lineRule="auto"/>
        <w:jc w:val="both"/>
        <w:textAlignment w:val="baseline"/>
        <w:rPr>
          <w:rStyle w:val="normaltextrun"/>
          <w:rFonts w:ascii="Calibri" w:hAnsi="Calibri" w:cs="Calibri"/>
          <w:i/>
          <w:iCs/>
        </w:rPr>
      </w:pPr>
    </w:p>
    <w:p w14:paraId="1DB0DC9A" w14:textId="18764C16" w:rsidR="00BC5558" w:rsidRDefault="00DA5C49" w:rsidP="00DC07D6">
      <w:pPr>
        <w:pStyle w:val="paragraph"/>
        <w:spacing w:before="0" w:beforeAutospacing="0" w:after="0" w:afterAutospacing="0" w:line="276" w:lineRule="auto"/>
        <w:jc w:val="both"/>
        <w:textAlignment w:val="baseline"/>
        <w:rPr>
          <w:rStyle w:val="normaltextrun"/>
          <w:rFonts w:ascii="Calibri" w:hAnsi="Calibri" w:cs="Calibri"/>
          <w:i/>
          <w:iCs/>
        </w:rPr>
      </w:pPr>
      <w:r>
        <w:rPr>
          <w:rStyle w:val="normaltextrun"/>
          <w:rFonts w:ascii="Calibri" w:hAnsi="Calibri" w:cs="Calibri"/>
        </w:rPr>
        <w:lastRenderedPageBreak/>
        <w:t>The High Court examined whether beneficiaries should be informed of a settlor’s letter of wishes in Breakspear v Ackland. According to Briggs J, as these letters are meant t</w:t>
      </w:r>
      <w:r w:rsidR="008C5DD7">
        <w:rPr>
          <w:rStyle w:val="normaltextrun"/>
          <w:rFonts w:ascii="Calibri" w:hAnsi="Calibri" w:cs="Calibri"/>
        </w:rPr>
        <w:t xml:space="preserve">o provide trustees with private guidance when using their discretionary powers, they are often confidential. </w:t>
      </w:r>
      <w:r w:rsidR="00B242A1">
        <w:rPr>
          <w:rStyle w:val="normaltextrun"/>
          <w:rFonts w:ascii="Calibri" w:hAnsi="Calibri" w:cs="Calibri"/>
        </w:rPr>
        <w:t>The court did</w:t>
      </w:r>
      <w:r w:rsidR="008163F2">
        <w:rPr>
          <w:rStyle w:val="normaltextrun"/>
          <w:rFonts w:ascii="Calibri" w:hAnsi="Calibri" w:cs="Calibri"/>
        </w:rPr>
        <w:t>,</w:t>
      </w:r>
      <w:r w:rsidR="00B242A1">
        <w:rPr>
          <w:rStyle w:val="normaltextrun"/>
          <w:rFonts w:ascii="Calibri" w:hAnsi="Calibri" w:cs="Calibri"/>
        </w:rPr>
        <w:t xml:space="preserve"> however, also rule that trustees may choose to reveal the letter when it is appropriate and that the court may order disclosure under speci</w:t>
      </w:r>
      <w:r w:rsidR="008163F2">
        <w:rPr>
          <w:rStyle w:val="normaltextrun"/>
          <w:rFonts w:ascii="Calibri" w:hAnsi="Calibri" w:cs="Calibri"/>
        </w:rPr>
        <w:t xml:space="preserve">fic conditions. </w:t>
      </w:r>
      <w:r w:rsidR="008163F2" w:rsidRPr="008163F2">
        <w:rPr>
          <w:rStyle w:val="normaltextrun"/>
          <w:rFonts w:ascii="Calibri" w:hAnsi="Calibri" w:cs="Calibri"/>
          <w:i/>
          <w:iCs/>
        </w:rPr>
        <w:t>(Simmonds, M. 2023).</w:t>
      </w:r>
    </w:p>
    <w:p w14:paraId="217759E7" w14:textId="2130B794" w:rsidR="008163F2" w:rsidRDefault="008163F2" w:rsidP="00DC07D6">
      <w:pPr>
        <w:pStyle w:val="paragraph"/>
        <w:spacing w:before="0" w:beforeAutospacing="0" w:after="0" w:afterAutospacing="0" w:line="276" w:lineRule="auto"/>
        <w:jc w:val="both"/>
        <w:textAlignment w:val="baseline"/>
        <w:rPr>
          <w:rStyle w:val="normaltextrun"/>
          <w:rFonts w:ascii="Calibri" w:hAnsi="Calibri" w:cs="Calibri"/>
          <w:i/>
          <w:iCs/>
        </w:rPr>
      </w:pPr>
      <w:r>
        <w:rPr>
          <w:rStyle w:val="normaltextrun"/>
          <w:rFonts w:ascii="Calibri" w:hAnsi="Calibri" w:cs="Calibri"/>
        </w:rPr>
        <w:t xml:space="preserve">The case shows that beneficiaries are not always permitted to receive letters of wishes, even though they might have a substantial impact on trustees’ decisions. This could lead to conflict between beneficiary responsibility and settlor confidentiality. </w:t>
      </w:r>
      <w:r w:rsidRPr="008163F2">
        <w:rPr>
          <w:rStyle w:val="normaltextrun"/>
          <w:rFonts w:ascii="Calibri" w:hAnsi="Calibri" w:cs="Calibri"/>
          <w:i/>
          <w:iCs/>
        </w:rPr>
        <w:t>(Division, C and Briggs J. 2008).</w:t>
      </w:r>
    </w:p>
    <w:p w14:paraId="7A176FDE" w14:textId="77777777" w:rsidR="009F75CA" w:rsidRDefault="009F75CA" w:rsidP="00DC07D6">
      <w:pPr>
        <w:pStyle w:val="paragraph"/>
        <w:spacing w:before="0" w:beforeAutospacing="0" w:after="0" w:afterAutospacing="0" w:line="276" w:lineRule="auto"/>
        <w:jc w:val="both"/>
        <w:textAlignment w:val="baseline"/>
        <w:rPr>
          <w:rStyle w:val="normaltextrun"/>
          <w:rFonts w:ascii="Calibri" w:hAnsi="Calibri" w:cs="Calibri"/>
          <w:i/>
          <w:iCs/>
        </w:rPr>
      </w:pPr>
    </w:p>
    <w:p w14:paraId="511772D7" w14:textId="53455435" w:rsidR="009F75CA" w:rsidRDefault="009F75CA" w:rsidP="00DC07D6">
      <w:pPr>
        <w:pStyle w:val="paragraph"/>
        <w:spacing w:before="0" w:beforeAutospacing="0" w:after="0" w:afterAutospacing="0" w:line="276" w:lineRule="auto"/>
        <w:jc w:val="both"/>
        <w:textAlignment w:val="baseline"/>
        <w:rPr>
          <w:rStyle w:val="normaltextrun"/>
          <w:rFonts w:ascii="Calibri" w:hAnsi="Calibri" w:cs="Calibri"/>
          <w:b/>
          <w:bCs/>
        </w:rPr>
      </w:pPr>
      <w:r w:rsidRPr="009F75CA">
        <w:rPr>
          <w:rStyle w:val="normaltextrun"/>
          <w:rFonts w:ascii="Calibri" w:hAnsi="Calibri" w:cs="Calibri"/>
          <w:b/>
          <w:bCs/>
        </w:rPr>
        <w:t>Clause 3 – Alternative Dispute Resolution</w:t>
      </w:r>
    </w:p>
    <w:p w14:paraId="2372F81D" w14:textId="77777777" w:rsidR="00E91D43" w:rsidRDefault="00E91D43" w:rsidP="00DC07D6">
      <w:pPr>
        <w:pStyle w:val="paragraph"/>
        <w:spacing w:before="0" w:beforeAutospacing="0" w:after="0" w:afterAutospacing="0" w:line="276" w:lineRule="auto"/>
        <w:jc w:val="both"/>
        <w:textAlignment w:val="baseline"/>
        <w:rPr>
          <w:rStyle w:val="normaltextrun"/>
          <w:rFonts w:ascii="Calibri" w:hAnsi="Calibri" w:cs="Calibri"/>
          <w:b/>
          <w:bCs/>
        </w:rPr>
      </w:pPr>
    </w:p>
    <w:p w14:paraId="4799CA9B" w14:textId="7E92802A" w:rsidR="00565450" w:rsidRDefault="00565450" w:rsidP="00DC07D6">
      <w:pPr>
        <w:pStyle w:val="paragraph"/>
        <w:spacing w:before="0" w:beforeAutospacing="0" w:after="0" w:afterAutospacing="0" w:line="276" w:lineRule="auto"/>
        <w:jc w:val="both"/>
        <w:textAlignment w:val="baseline"/>
        <w:rPr>
          <w:rStyle w:val="normaltextrun"/>
          <w:rFonts w:ascii="Calibri" w:hAnsi="Calibri" w:cs="Calibri"/>
          <w:i/>
          <w:iCs/>
        </w:rPr>
      </w:pPr>
      <w:r>
        <w:rPr>
          <w:rStyle w:val="normaltextrun"/>
          <w:rFonts w:ascii="Calibri" w:hAnsi="Calibri" w:cs="Calibri"/>
        </w:rPr>
        <w:t>Clause 3 requires that parties attempt alternative dispute resolution (ADR) before going to court. This reflects recent developments in the UK’s civil justice system, where courts are encouraging the use of mediation and other type</w:t>
      </w:r>
      <w:r w:rsidR="006955AA">
        <w:rPr>
          <w:rStyle w:val="normaltextrun"/>
          <w:rFonts w:ascii="Calibri" w:hAnsi="Calibri" w:cs="Calibri"/>
        </w:rPr>
        <w:t xml:space="preserve">s </w:t>
      </w:r>
      <w:r w:rsidR="00855517">
        <w:rPr>
          <w:rStyle w:val="normaltextrun"/>
          <w:rFonts w:ascii="Calibri" w:hAnsi="Calibri" w:cs="Calibri"/>
        </w:rPr>
        <w:t xml:space="preserve">of </w:t>
      </w:r>
      <w:r w:rsidR="006955AA">
        <w:rPr>
          <w:rStyle w:val="normaltextrun"/>
          <w:rFonts w:ascii="Calibri" w:hAnsi="Calibri" w:cs="Calibri"/>
        </w:rPr>
        <w:t>alternative dispute resolution (ADR) to settle disputes more quickly and affo</w:t>
      </w:r>
      <w:r w:rsidR="00855517">
        <w:rPr>
          <w:rStyle w:val="normaltextrun"/>
          <w:rFonts w:ascii="Calibri" w:hAnsi="Calibri" w:cs="Calibri"/>
        </w:rPr>
        <w:t xml:space="preserve">rdably. </w:t>
      </w:r>
      <w:r w:rsidR="00855517" w:rsidRPr="00855517">
        <w:rPr>
          <w:rStyle w:val="normaltextrun"/>
          <w:rFonts w:ascii="Calibri" w:hAnsi="Calibri" w:cs="Calibri"/>
          <w:i/>
          <w:iCs/>
        </w:rPr>
        <w:t>(Drummond, I. and Pyataey, V. 2024).</w:t>
      </w:r>
    </w:p>
    <w:p w14:paraId="3FB196F2" w14:textId="77777777" w:rsidR="00855517" w:rsidRDefault="00855517" w:rsidP="00DC07D6">
      <w:pPr>
        <w:pStyle w:val="paragraph"/>
        <w:spacing w:before="0" w:beforeAutospacing="0" w:after="0" w:afterAutospacing="0" w:line="276" w:lineRule="auto"/>
        <w:jc w:val="both"/>
        <w:textAlignment w:val="baseline"/>
        <w:rPr>
          <w:rStyle w:val="normaltextrun"/>
          <w:rFonts w:ascii="Calibri" w:hAnsi="Calibri" w:cs="Calibri"/>
          <w:i/>
          <w:iCs/>
        </w:rPr>
      </w:pPr>
    </w:p>
    <w:p w14:paraId="4DAA363A" w14:textId="1C09E9FE" w:rsidR="00855517" w:rsidRDefault="00855517" w:rsidP="00DC07D6">
      <w:pPr>
        <w:pStyle w:val="paragraph"/>
        <w:spacing w:before="0" w:beforeAutospacing="0" w:after="0" w:afterAutospacing="0" w:line="276" w:lineRule="auto"/>
        <w:jc w:val="both"/>
        <w:textAlignment w:val="baseline"/>
        <w:rPr>
          <w:rStyle w:val="normaltextrun"/>
          <w:rFonts w:ascii="Calibri" w:hAnsi="Calibri" w:cs="Calibri"/>
          <w:i/>
          <w:iCs/>
        </w:rPr>
      </w:pPr>
      <w:r>
        <w:rPr>
          <w:rStyle w:val="normaltextrun"/>
          <w:rFonts w:ascii="Calibri" w:hAnsi="Calibri" w:cs="Calibri"/>
        </w:rPr>
        <w:t>In Churchill v Merthyr Tydfil County Bor</w:t>
      </w:r>
      <w:r w:rsidR="00847995">
        <w:rPr>
          <w:rStyle w:val="normaltextrun"/>
          <w:rFonts w:ascii="Calibri" w:hAnsi="Calibri" w:cs="Calibri"/>
        </w:rPr>
        <w:t>ough Council [2023] EWCA Civ 1416</w:t>
      </w:r>
      <w:r w:rsidR="00F71A50">
        <w:rPr>
          <w:rStyle w:val="normaltextrun"/>
          <w:rFonts w:ascii="Calibri" w:hAnsi="Calibri" w:cs="Calibri"/>
        </w:rPr>
        <w:t>, the Court of Appeal ruled that courts have the authority to order alternative dispute resolution</w:t>
      </w:r>
      <w:r w:rsidR="007716C7">
        <w:rPr>
          <w:rStyle w:val="normaltextrun"/>
          <w:rFonts w:ascii="Calibri" w:hAnsi="Calibri" w:cs="Calibri"/>
        </w:rPr>
        <w:t xml:space="preserve"> where it is appropriate. This ruling demonstrates the judiciary’s increasing acceptance of ADR to </w:t>
      </w:r>
      <w:r w:rsidR="00C304F6">
        <w:rPr>
          <w:rStyle w:val="normaltextrun"/>
          <w:rFonts w:ascii="Calibri" w:hAnsi="Calibri" w:cs="Calibri"/>
        </w:rPr>
        <w:t xml:space="preserve">save litigation costs and encourage cooperative solutions. </w:t>
      </w:r>
      <w:r w:rsidR="00C304F6" w:rsidRPr="00C304F6">
        <w:rPr>
          <w:rStyle w:val="normaltextrun"/>
          <w:rFonts w:ascii="Calibri" w:hAnsi="Calibri" w:cs="Calibri"/>
          <w:i/>
          <w:iCs/>
        </w:rPr>
        <w:t>(Rees, K. 2023).</w:t>
      </w:r>
    </w:p>
    <w:p w14:paraId="4A99F590" w14:textId="77777777" w:rsidR="00C304F6" w:rsidRDefault="00C304F6" w:rsidP="00DC07D6">
      <w:pPr>
        <w:pStyle w:val="paragraph"/>
        <w:spacing w:before="0" w:beforeAutospacing="0" w:after="0" w:afterAutospacing="0" w:line="276" w:lineRule="auto"/>
        <w:jc w:val="both"/>
        <w:textAlignment w:val="baseline"/>
        <w:rPr>
          <w:rStyle w:val="normaltextrun"/>
          <w:rFonts w:ascii="Calibri" w:hAnsi="Calibri" w:cs="Calibri"/>
          <w:i/>
          <w:iCs/>
        </w:rPr>
      </w:pPr>
    </w:p>
    <w:p w14:paraId="1A6BBFB0" w14:textId="0DE063F2" w:rsidR="00C304F6" w:rsidRDefault="00C304F6" w:rsidP="00DC07D6">
      <w:pPr>
        <w:pStyle w:val="paragraph"/>
        <w:spacing w:before="0" w:beforeAutospacing="0" w:after="0" w:afterAutospacing="0" w:line="276" w:lineRule="auto"/>
        <w:jc w:val="both"/>
        <w:textAlignment w:val="baseline"/>
        <w:rPr>
          <w:rStyle w:val="normaltextrun"/>
          <w:rFonts w:ascii="Calibri" w:hAnsi="Calibri" w:cs="Calibri"/>
          <w:i/>
          <w:iCs/>
        </w:rPr>
      </w:pPr>
      <w:r>
        <w:rPr>
          <w:rStyle w:val="normaltextrun"/>
          <w:rFonts w:ascii="Calibri" w:hAnsi="Calibri" w:cs="Calibri"/>
        </w:rPr>
        <w:t>The encouragement of alternative dispute resolution within clause 3 also reflects existing judicial appro</w:t>
      </w:r>
      <w:r w:rsidR="003F08C7">
        <w:rPr>
          <w:rStyle w:val="normaltextrun"/>
          <w:rFonts w:ascii="Calibri" w:hAnsi="Calibri" w:cs="Calibri"/>
        </w:rPr>
        <w:t xml:space="preserve">aches in civil procedure. The Court of Appeal’s ruling in Halsey v Milton Keynes General NHS Trust [2004] EWCA Civ 576 </w:t>
      </w:r>
      <w:r w:rsidR="00E41DB7">
        <w:rPr>
          <w:rStyle w:val="normaltextrun"/>
          <w:rFonts w:ascii="Calibri" w:hAnsi="Calibri" w:cs="Calibri"/>
        </w:rPr>
        <w:t>demonstrated</w:t>
      </w:r>
      <w:r w:rsidR="003F08C7">
        <w:rPr>
          <w:rStyle w:val="normaltextrun"/>
          <w:rFonts w:ascii="Calibri" w:hAnsi="Calibri" w:cs="Calibri"/>
        </w:rPr>
        <w:t xml:space="preserve"> the </w:t>
      </w:r>
      <w:r w:rsidR="00E41DB7">
        <w:rPr>
          <w:rStyle w:val="normaltextrun"/>
          <w:rFonts w:ascii="Calibri" w:hAnsi="Calibri" w:cs="Calibri"/>
        </w:rPr>
        <w:t xml:space="preserve">court’s growing support for ADR as a means of effectively resolving conflicts by holding that parties who unfairly refuse to participate in mediation may incur negative economic repercussions. </w:t>
      </w:r>
      <w:r w:rsidR="00E41DB7" w:rsidRPr="00E41DB7">
        <w:rPr>
          <w:rStyle w:val="normaltextrun"/>
          <w:rFonts w:ascii="Calibri" w:hAnsi="Calibri" w:cs="Calibri"/>
          <w:i/>
          <w:iCs/>
        </w:rPr>
        <w:t>(LexisNexis, 2026).</w:t>
      </w:r>
    </w:p>
    <w:p w14:paraId="5B0B02DE" w14:textId="77777777" w:rsidR="00856578" w:rsidRDefault="00856578" w:rsidP="00DC07D6">
      <w:pPr>
        <w:pStyle w:val="paragraph"/>
        <w:spacing w:before="0" w:beforeAutospacing="0" w:after="0" w:afterAutospacing="0" w:line="276" w:lineRule="auto"/>
        <w:jc w:val="both"/>
        <w:textAlignment w:val="baseline"/>
        <w:rPr>
          <w:rStyle w:val="normaltextrun"/>
          <w:rFonts w:ascii="Calibri" w:hAnsi="Calibri" w:cs="Calibri"/>
          <w:i/>
          <w:iCs/>
        </w:rPr>
      </w:pPr>
    </w:p>
    <w:p w14:paraId="6FFCA7DA" w14:textId="53972570" w:rsidR="00856578" w:rsidRDefault="00856578" w:rsidP="00DC07D6">
      <w:pPr>
        <w:pStyle w:val="paragraph"/>
        <w:spacing w:before="0" w:beforeAutospacing="0" w:after="0" w:afterAutospacing="0" w:line="276" w:lineRule="auto"/>
        <w:jc w:val="both"/>
        <w:textAlignment w:val="baseline"/>
        <w:rPr>
          <w:rStyle w:val="normaltextrun"/>
          <w:rFonts w:ascii="Calibri" w:hAnsi="Calibri" w:cs="Calibri"/>
          <w:i/>
          <w:iCs/>
        </w:rPr>
      </w:pPr>
      <w:r>
        <w:rPr>
          <w:rStyle w:val="normaltextrun"/>
          <w:rFonts w:ascii="Calibri" w:hAnsi="Calibri" w:cs="Calibri"/>
        </w:rPr>
        <w:t>Mandatory ADR</w:t>
      </w:r>
      <w:r w:rsidR="00420433">
        <w:rPr>
          <w:rStyle w:val="normaltextrun"/>
          <w:rFonts w:ascii="Calibri" w:hAnsi="Calibri" w:cs="Calibri"/>
        </w:rPr>
        <w:t>,</w:t>
      </w:r>
      <w:r w:rsidR="00D64A04">
        <w:rPr>
          <w:rStyle w:val="normaltextrun"/>
          <w:rFonts w:ascii="Calibri" w:hAnsi="Calibri" w:cs="Calibri"/>
        </w:rPr>
        <w:t xml:space="preserve"> however, can potentially provide some practical challenges. Mediation may not be successful in situations when there are substantial disagreements between the parties over confidentiality or trustee wrongdoing. In Halsey v Milton Keyn</w:t>
      </w:r>
      <w:r w:rsidR="00560C7A">
        <w:rPr>
          <w:rStyle w:val="normaltextrun"/>
          <w:rFonts w:ascii="Calibri" w:hAnsi="Calibri" w:cs="Calibri"/>
        </w:rPr>
        <w:t>es General NHS Trust [2004] EWCA Civ 576, the Court of Appeal acknowledged that alternative dispute resolution is not always</w:t>
      </w:r>
      <w:r w:rsidR="00420433">
        <w:rPr>
          <w:rStyle w:val="normaltextrun"/>
          <w:rFonts w:ascii="Calibri" w:hAnsi="Calibri" w:cs="Calibri"/>
        </w:rPr>
        <w:t xml:space="preserve"> suitable, especially where parties have different opinions or need a court ruling on legal matters. (</w:t>
      </w:r>
      <w:r w:rsidR="00420433" w:rsidRPr="00420433">
        <w:rPr>
          <w:rStyle w:val="normaltextrun"/>
          <w:rFonts w:ascii="Calibri" w:hAnsi="Calibri" w:cs="Calibri"/>
          <w:i/>
          <w:iCs/>
        </w:rPr>
        <w:t>Forbes, Pierie, M. 2025).</w:t>
      </w:r>
    </w:p>
    <w:p w14:paraId="6A3FC74A" w14:textId="77777777" w:rsidR="00533FBC" w:rsidRDefault="00533FBC" w:rsidP="00DC07D6">
      <w:pPr>
        <w:pStyle w:val="paragraph"/>
        <w:spacing w:before="0" w:beforeAutospacing="0" w:after="0" w:afterAutospacing="0" w:line="276" w:lineRule="auto"/>
        <w:jc w:val="both"/>
        <w:textAlignment w:val="baseline"/>
        <w:rPr>
          <w:rStyle w:val="normaltextrun"/>
          <w:rFonts w:ascii="Calibri" w:hAnsi="Calibri" w:cs="Calibri"/>
          <w:i/>
          <w:iCs/>
        </w:rPr>
      </w:pPr>
    </w:p>
    <w:p w14:paraId="15CF01F9" w14:textId="18377586" w:rsidR="004E5C2F" w:rsidRDefault="00533FBC" w:rsidP="00926CBB">
      <w:pPr>
        <w:pStyle w:val="paragraph"/>
        <w:spacing w:before="0" w:beforeAutospacing="0" w:after="0" w:afterAutospacing="0" w:line="276" w:lineRule="auto"/>
        <w:jc w:val="both"/>
        <w:textAlignment w:val="baseline"/>
        <w:rPr>
          <w:rFonts w:ascii="Calibri" w:hAnsi="Calibri" w:cs="Calibri"/>
        </w:rPr>
      </w:pPr>
      <w:r>
        <w:rPr>
          <w:rStyle w:val="normaltextrun"/>
          <w:rFonts w:ascii="Calibri" w:hAnsi="Calibri" w:cs="Calibri"/>
        </w:rPr>
        <w:t>Additionally, there can be</w:t>
      </w:r>
      <w:r w:rsidR="001959A0">
        <w:rPr>
          <w:rStyle w:val="normaltextrun"/>
          <w:rFonts w:ascii="Calibri" w:hAnsi="Calibri" w:cs="Calibri"/>
        </w:rPr>
        <w:t xml:space="preserve"> urgent situations when beneficia</w:t>
      </w:r>
      <w:r w:rsidR="001009F7">
        <w:rPr>
          <w:rStyle w:val="normaltextrun"/>
          <w:rFonts w:ascii="Calibri" w:hAnsi="Calibri" w:cs="Calibri"/>
        </w:rPr>
        <w:t>ries need access to information</w:t>
      </w:r>
      <w:r w:rsidR="006A6D1B">
        <w:rPr>
          <w:rStyle w:val="normaltextrun"/>
          <w:rFonts w:ascii="Calibri" w:hAnsi="Calibri" w:cs="Calibri"/>
        </w:rPr>
        <w:t xml:space="preserve"> to investigate</w:t>
      </w:r>
      <w:r w:rsidR="00C9733E">
        <w:rPr>
          <w:rStyle w:val="normaltextrun"/>
          <w:rFonts w:ascii="Calibri" w:hAnsi="Calibri" w:cs="Calibri"/>
        </w:rPr>
        <w:t xml:space="preserve"> any breaches of trust. </w:t>
      </w:r>
      <w:r w:rsidR="00C9733E" w:rsidRPr="00C9733E">
        <w:rPr>
          <w:rStyle w:val="normaltextrun"/>
          <w:rFonts w:ascii="Calibri" w:hAnsi="Calibri" w:cs="Calibri"/>
          <w:i/>
          <w:iCs/>
        </w:rPr>
        <w:t>(</w:t>
      </w:r>
      <w:r w:rsidR="005302B2" w:rsidRPr="00C9733E">
        <w:rPr>
          <w:rStyle w:val="normaltextrun"/>
          <w:rFonts w:ascii="Calibri" w:hAnsi="Calibri" w:cs="Calibri"/>
          <w:i/>
          <w:iCs/>
        </w:rPr>
        <w:t>Abbott</w:t>
      </w:r>
      <w:r w:rsidR="00C9733E" w:rsidRPr="00C9733E">
        <w:rPr>
          <w:rStyle w:val="normaltextrun"/>
          <w:rFonts w:ascii="Calibri" w:hAnsi="Calibri" w:cs="Calibri"/>
          <w:i/>
          <w:iCs/>
        </w:rPr>
        <w:t>, L. 2021).</w:t>
      </w:r>
      <w:r w:rsidR="00C9733E">
        <w:rPr>
          <w:rStyle w:val="normaltextrun"/>
          <w:rFonts w:ascii="Calibri" w:hAnsi="Calibri" w:cs="Calibri"/>
        </w:rPr>
        <w:t xml:space="preserve"> Requiring </w:t>
      </w:r>
      <w:r w:rsidR="003965C4">
        <w:rPr>
          <w:rStyle w:val="normaltextrun"/>
          <w:rFonts w:ascii="Calibri" w:hAnsi="Calibri" w:cs="Calibri"/>
        </w:rPr>
        <w:t>parties to seek alternative dispute resolution before going to court may postpone</w:t>
      </w:r>
      <w:r w:rsidR="00EC04C4">
        <w:rPr>
          <w:rStyle w:val="normaltextrun"/>
          <w:rFonts w:ascii="Calibri" w:hAnsi="Calibri" w:cs="Calibri"/>
        </w:rPr>
        <w:t xml:space="preserve"> judicial remedy in</w:t>
      </w:r>
      <w:r w:rsidR="001629E9">
        <w:rPr>
          <w:rStyle w:val="normaltextrun"/>
          <w:rFonts w:ascii="Calibri" w:hAnsi="Calibri" w:cs="Calibri"/>
        </w:rPr>
        <w:t xml:space="preserve"> such circumstances. In Sch</w:t>
      </w:r>
      <w:r w:rsidR="0077719D">
        <w:rPr>
          <w:rStyle w:val="normaltextrun"/>
          <w:rFonts w:ascii="Calibri" w:hAnsi="Calibri" w:cs="Calibri"/>
        </w:rPr>
        <w:t>midt v Rosewood Trust Ltd [2003] UKPC 26, the</w:t>
      </w:r>
      <w:r w:rsidR="001C48F1">
        <w:rPr>
          <w:rStyle w:val="normaltextrun"/>
          <w:rFonts w:ascii="Calibri" w:hAnsi="Calibri" w:cs="Calibri"/>
        </w:rPr>
        <w:t xml:space="preserve"> Privy Council emphasi</w:t>
      </w:r>
      <w:r w:rsidR="005302B2">
        <w:rPr>
          <w:rStyle w:val="normaltextrun"/>
          <w:rFonts w:ascii="Calibri" w:hAnsi="Calibri" w:cs="Calibri"/>
        </w:rPr>
        <w:t>s</w:t>
      </w:r>
      <w:r w:rsidR="001C48F1">
        <w:rPr>
          <w:rStyle w:val="normaltextrun"/>
          <w:rFonts w:ascii="Calibri" w:hAnsi="Calibri" w:cs="Calibri"/>
        </w:rPr>
        <w:t xml:space="preserve">ed the court’s </w:t>
      </w:r>
      <w:r w:rsidR="001C48F1">
        <w:rPr>
          <w:rStyle w:val="normaltextrun"/>
          <w:rFonts w:ascii="Calibri" w:hAnsi="Calibri" w:cs="Calibri"/>
        </w:rPr>
        <w:lastRenderedPageBreak/>
        <w:t>supervisory role in guaranteeing effective trust administration, highlighting the significance of access to information</w:t>
      </w:r>
      <w:r w:rsidR="005302B2">
        <w:rPr>
          <w:rStyle w:val="normaltextrun"/>
          <w:rFonts w:ascii="Calibri" w:hAnsi="Calibri" w:cs="Calibri"/>
        </w:rPr>
        <w:t xml:space="preserve"> to evaluate trustee action. </w:t>
      </w:r>
      <w:r w:rsidR="005302B2" w:rsidRPr="005302B2">
        <w:rPr>
          <w:rStyle w:val="normaltextrun"/>
          <w:rFonts w:ascii="Calibri" w:hAnsi="Calibri" w:cs="Calibri"/>
          <w:i/>
          <w:iCs/>
        </w:rPr>
        <w:t>(Forbes, Pierie, M. 2025)</w:t>
      </w:r>
      <w:r w:rsidR="005302B2">
        <w:rPr>
          <w:rStyle w:val="normaltextrun"/>
          <w:rFonts w:ascii="Calibri" w:hAnsi="Calibri" w:cs="Calibri"/>
          <w:i/>
          <w:iCs/>
        </w:rPr>
        <w:t>.</w:t>
      </w:r>
    </w:p>
    <w:p w14:paraId="330D63F6" w14:textId="785250B2" w:rsidR="004E5C2F" w:rsidRDefault="004E5C2F" w:rsidP="00926CBB">
      <w:pPr>
        <w:pStyle w:val="paragraph"/>
        <w:spacing w:before="0" w:beforeAutospacing="0" w:after="0" w:afterAutospacing="0" w:line="276" w:lineRule="auto"/>
        <w:jc w:val="both"/>
        <w:textAlignment w:val="baseline"/>
        <w:rPr>
          <w:rFonts w:ascii="Calibri" w:hAnsi="Calibri" w:cs="Calibri"/>
          <w:b/>
          <w:bCs/>
        </w:rPr>
      </w:pPr>
      <w:r w:rsidRPr="005C759D">
        <w:rPr>
          <w:rFonts w:ascii="Calibri" w:hAnsi="Calibri" w:cs="Calibri"/>
          <w:b/>
          <w:bCs/>
        </w:rPr>
        <w:t>Conclusion</w:t>
      </w:r>
    </w:p>
    <w:p w14:paraId="1BFF89A8" w14:textId="0D228B25" w:rsidR="008943F0" w:rsidRDefault="008943F0" w:rsidP="00926CBB">
      <w:pPr>
        <w:pStyle w:val="paragraph"/>
        <w:spacing w:before="0" w:beforeAutospacing="0" w:after="0" w:afterAutospacing="0" w:line="276" w:lineRule="auto"/>
        <w:jc w:val="both"/>
        <w:textAlignment w:val="baseline"/>
        <w:rPr>
          <w:rFonts w:ascii="Calibri" w:hAnsi="Calibri" w:cs="Calibri"/>
        </w:rPr>
      </w:pPr>
      <w:r w:rsidRPr="00CF7729">
        <w:rPr>
          <w:rFonts w:ascii="Calibri" w:hAnsi="Calibri" w:cs="Calibri"/>
        </w:rPr>
        <w:t xml:space="preserve">This report has examined the current legal framework governing beneficiaries’ rights to information and identified </w:t>
      </w:r>
      <w:r w:rsidR="00EC2CAE" w:rsidRPr="00CF7729">
        <w:rPr>
          <w:rFonts w:ascii="Calibri" w:hAnsi="Calibri" w:cs="Calibri"/>
        </w:rPr>
        <w:t>several flaws, including a lack of clarity, an over</w:t>
      </w:r>
      <w:r w:rsidR="00CF7729" w:rsidRPr="00CF7729">
        <w:rPr>
          <w:rFonts w:ascii="Calibri" w:hAnsi="Calibri" w:cs="Calibri"/>
        </w:rPr>
        <w:t>-reliance on judicial discretion and difficulties establishing a balance between transparency and confidentiality.</w:t>
      </w:r>
      <w:r w:rsidR="00D05CFF">
        <w:rPr>
          <w:rFonts w:ascii="Calibri" w:hAnsi="Calibri" w:cs="Calibri"/>
        </w:rPr>
        <w:t xml:space="preserve"> These problems undermine accountability and raise questions for both trustees and beneficiaries.</w:t>
      </w:r>
    </w:p>
    <w:p w14:paraId="72D08AA3" w14:textId="77777777" w:rsidR="00C842E5" w:rsidRDefault="00C842E5" w:rsidP="00097AA6">
      <w:pPr>
        <w:pStyle w:val="paragraph"/>
        <w:spacing w:before="0" w:beforeAutospacing="0" w:after="0" w:afterAutospacing="0" w:line="276" w:lineRule="auto"/>
        <w:jc w:val="both"/>
        <w:textAlignment w:val="baseline"/>
        <w:rPr>
          <w:rFonts w:ascii="Calibri" w:hAnsi="Calibri" w:cs="Calibri"/>
        </w:rPr>
      </w:pPr>
    </w:p>
    <w:p w14:paraId="157984F4" w14:textId="6F622C3C" w:rsidR="00C842E5" w:rsidRDefault="00423198" w:rsidP="00097AA6">
      <w:pPr>
        <w:pStyle w:val="paragraph"/>
        <w:spacing w:before="0" w:beforeAutospacing="0" w:after="0" w:afterAutospacing="0" w:line="276" w:lineRule="auto"/>
        <w:jc w:val="both"/>
        <w:textAlignment w:val="baseline"/>
        <w:rPr>
          <w:rFonts w:ascii="Calibri" w:hAnsi="Calibri" w:cs="Calibri"/>
        </w:rPr>
      </w:pPr>
      <w:r>
        <w:rPr>
          <w:rFonts w:ascii="Calibri" w:hAnsi="Calibri" w:cs="Calibri"/>
        </w:rPr>
        <w:t xml:space="preserve">The </w:t>
      </w:r>
      <w:r w:rsidR="00C842E5">
        <w:rPr>
          <w:rFonts w:ascii="Calibri" w:hAnsi="Calibri" w:cs="Calibri"/>
        </w:rPr>
        <w:t>Trustee Disclosure and Beneficiary Information Act 2026</w:t>
      </w:r>
      <w:r w:rsidR="005F0279">
        <w:rPr>
          <w:rFonts w:ascii="Calibri" w:hAnsi="Calibri" w:cs="Calibri"/>
        </w:rPr>
        <w:t xml:space="preserve"> aims to address these issues by establishing a structured ADR</w:t>
      </w:r>
      <w:r w:rsidR="005F6E0F">
        <w:rPr>
          <w:rFonts w:ascii="Calibri" w:hAnsi="Calibri" w:cs="Calibri"/>
        </w:rPr>
        <w:t xml:space="preserve"> procedure, defining the confidentiality of deliberative documents</w:t>
      </w:r>
      <w:r w:rsidR="00F41876">
        <w:rPr>
          <w:rFonts w:ascii="Calibri" w:hAnsi="Calibri" w:cs="Calibri"/>
        </w:rPr>
        <w:t>,</w:t>
      </w:r>
      <w:r w:rsidR="005F6E0F">
        <w:rPr>
          <w:rFonts w:ascii="Calibri" w:hAnsi="Calibri" w:cs="Calibri"/>
        </w:rPr>
        <w:t xml:space="preserve"> and providing a </w:t>
      </w:r>
      <w:r w:rsidR="00F41876">
        <w:rPr>
          <w:rFonts w:ascii="Calibri" w:hAnsi="Calibri" w:cs="Calibri"/>
        </w:rPr>
        <w:t>statutory</w:t>
      </w:r>
      <w:r w:rsidR="005F6E0F">
        <w:rPr>
          <w:rFonts w:ascii="Calibri" w:hAnsi="Calibri" w:cs="Calibri"/>
        </w:rPr>
        <w:t xml:space="preserve"> right </w:t>
      </w:r>
      <w:r w:rsidR="00F41876">
        <w:rPr>
          <w:rFonts w:ascii="Calibri" w:hAnsi="Calibri" w:cs="Calibri"/>
        </w:rPr>
        <w:t xml:space="preserve">of access </w:t>
      </w:r>
      <w:r w:rsidR="005F6E0F">
        <w:rPr>
          <w:rFonts w:ascii="Calibri" w:hAnsi="Calibri" w:cs="Calibri"/>
        </w:rPr>
        <w:t>to fundamental information. While maintaining essential aspects of trustee authority</w:t>
      </w:r>
      <w:r w:rsidR="00B1611C">
        <w:rPr>
          <w:rFonts w:ascii="Calibri" w:hAnsi="Calibri" w:cs="Calibri"/>
        </w:rPr>
        <w:t xml:space="preserve"> and judicial supervision, these reforms provide more transparency, accessibility and fairness.</w:t>
      </w:r>
    </w:p>
    <w:p w14:paraId="5A76A2FC" w14:textId="77777777" w:rsidR="0072245F" w:rsidRDefault="0072245F" w:rsidP="00097AA6">
      <w:pPr>
        <w:pStyle w:val="paragraph"/>
        <w:spacing w:before="0" w:beforeAutospacing="0" w:after="0" w:afterAutospacing="0" w:line="276" w:lineRule="auto"/>
        <w:jc w:val="both"/>
        <w:textAlignment w:val="baseline"/>
        <w:rPr>
          <w:rFonts w:ascii="Calibri" w:hAnsi="Calibri" w:cs="Calibri"/>
        </w:rPr>
      </w:pPr>
    </w:p>
    <w:p w14:paraId="7BE1F33E" w14:textId="4542C36B" w:rsidR="0072245F" w:rsidRDefault="0072245F" w:rsidP="00097AA6">
      <w:pPr>
        <w:pStyle w:val="paragraph"/>
        <w:spacing w:before="0" w:beforeAutospacing="0" w:after="0" w:afterAutospacing="0" w:line="276" w:lineRule="auto"/>
        <w:jc w:val="both"/>
        <w:textAlignment w:val="baseline"/>
        <w:rPr>
          <w:rFonts w:ascii="Calibri" w:hAnsi="Calibri" w:cs="Calibri"/>
        </w:rPr>
      </w:pPr>
      <w:r>
        <w:rPr>
          <w:rFonts w:ascii="Calibri" w:hAnsi="Calibri" w:cs="Calibri"/>
        </w:rPr>
        <w:t xml:space="preserve">The proposals are not without limitations. Possible issues include the </w:t>
      </w:r>
      <w:r w:rsidR="00926CBB">
        <w:rPr>
          <w:rFonts w:ascii="Calibri" w:hAnsi="Calibri" w:cs="Calibri"/>
        </w:rPr>
        <w:t>risk of new disputes arising regarding documents not specifically covered by the statutory categories, the risk of additional administrative costs, and uncertainty regarding</w:t>
      </w:r>
      <w:r w:rsidR="002E177A">
        <w:rPr>
          <w:rFonts w:ascii="Calibri" w:hAnsi="Calibri" w:cs="Calibri"/>
        </w:rPr>
        <w:t xml:space="preserve"> the interpretation of key terms. These disadvan</w:t>
      </w:r>
      <w:r w:rsidR="002506B2">
        <w:rPr>
          <w:rFonts w:ascii="Calibri" w:hAnsi="Calibri" w:cs="Calibri"/>
        </w:rPr>
        <w:t>tages, however, fade in comparison with the advantages of establishing a more consistent and cohesive disclosure framework.</w:t>
      </w:r>
    </w:p>
    <w:p w14:paraId="018F5674" w14:textId="77777777" w:rsidR="00926CBB" w:rsidRDefault="00926CBB" w:rsidP="00097AA6">
      <w:pPr>
        <w:pStyle w:val="paragraph"/>
        <w:spacing w:before="0" w:beforeAutospacing="0" w:after="0" w:afterAutospacing="0" w:line="276" w:lineRule="auto"/>
        <w:jc w:val="both"/>
        <w:textAlignment w:val="baseline"/>
        <w:rPr>
          <w:rFonts w:ascii="Calibri" w:hAnsi="Calibri" w:cs="Calibri"/>
        </w:rPr>
      </w:pPr>
    </w:p>
    <w:p w14:paraId="20A6382E" w14:textId="4BBBF2D1" w:rsidR="00926CBB" w:rsidRPr="00CF7729" w:rsidRDefault="00926CBB" w:rsidP="00097AA6">
      <w:pPr>
        <w:pStyle w:val="paragraph"/>
        <w:spacing w:before="0" w:beforeAutospacing="0" w:after="0" w:afterAutospacing="0" w:line="276" w:lineRule="auto"/>
        <w:jc w:val="both"/>
        <w:textAlignment w:val="baseline"/>
        <w:rPr>
          <w:rFonts w:ascii="Calibri" w:hAnsi="Calibri" w:cs="Calibri"/>
        </w:rPr>
      </w:pPr>
      <w:r>
        <w:rPr>
          <w:rFonts w:ascii="Calibri" w:hAnsi="Calibri" w:cs="Calibri"/>
        </w:rPr>
        <w:t xml:space="preserve">Overall, the proposed reforms offer a responsible and balanced strategy for updating beneficiaries’ information rights, encouraging transparency while preserving the essential protections and flexibility needed for successful trust management. </w:t>
      </w:r>
    </w:p>
    <w:p w14:paraId="6259A4B1" w14:textId="77777777" w:rsidR="000415B8" w:rsidRDefault="000415B8" w:rsidP="000415B8">
      <w:pPr>
        <w:pStyle w:val="paragraph"/>
        <w:spacing w:before="0" w:beforeAutospacing="0" w:after="0" w:afterAutospacing="0" w:line="276" w:lineRule="auto"/>
        <w:jc w:val="both"/>
        <w:textAlignment w:val="baseline"/>
        <w:rPr>
          <w:rFonts w:ascii="Calibri" w:hAnsi="Calibri" w:cs="Calibri"/>
          <w:b/>
          <w:bCs/>
        </w:rPr>
      </w:pPr>
    </w:p>
    <w:p w14:paraId="2107689F" w14:textId="77777777" w:rsidR="000415B8" w:rsidRDefault="000415B8" w:rsidP="00B275CA">
      <w:pPr>
        <w:pStyle w:val="paragraph"/>
        <w:spacing w:before="0" w:beforeAutospacing="0" w:after="0" w:afterAutospacing="0" w:line="276" w:lineRule="auto"/>
        <w:jc w:val="both"/>
        <w:textAlignment w:val="baseline"/>
        <w:rPr>
          <w:rFonts w:ascii="Calibri" w:hAnsi="Calibri" w:cs="Calibri"/>
          <w:i/>
          <w:iCs/>
        </w:rPr>
      </w:pPr>
    </w:p>
    <w:p w14:paraId="322D6CB5" w14:textId="77777777" w:rsidR="00E22B96" w:rsidRDefault="00E22B96" w:rsidP="00B275CA">
      <w:pPr>
        <w:pStyle w:val="paragraph"/>
        <w:spacing w:before="0" w:beforeAutospacing="0" w:after="0" w:afterAutospacing="0" w:line="276" w:lineRule="auto"/>
        <w:jc w:val="both"/>
        <w:textAlignment w:val="baseline"/>
        <w:rPr>
          <w:rFonts w:ascii="Calibri" w:hAnsi="Calibri" w:cs="Calibri"/>
        </w:rPr>
      </w:pPr>
    </w:p>
    <w:p w14:paraId="190A389F" w14:textId="77777777" w:rsidR="009F75CA" w:rsidRDefault="009F75CA">
      <w:pPr>
        <w:rPr>
          <w:rFonts w:ascii="Calibri" w:hAnsi="Calibri" w:cs="Calibri"/>
          <w:b/>
          <w:bCs/>
        </w:rPr>
      </w:pPr>
    </w:p>
    <w:p w14:paraId="2AD4D610" w14:textId="77777777" w:rsidR="006142A4" w:rsidRDefault="006142A4">
      <w:pPr>
        <w:rPr>
          <w:rFonts w:ascii="Calibri" w:hAnsi="Calibri" w:cs="Calibri"/>
          <w:b/>
          <w:bCs/>
        </w:rPr>
      </w:pPr>
    </w:p>
    <w:p w14:paraId="1FA54708" w14:textId="77777777" w:rsidR="006142A4" w:rsidRDefault="006142A4">
      <w:pPr>
        <w:rPr>
          <w:rFonts w:ascii="Calibri" w:hAnsi="Calibri" w:cs="Calibri"/>
          <w:b/>
          <w:bCs/>
        </w:rPr>
      </w:pPr>
    </w:p>
    <w:p w14:paraId="5A97DEF0" w14:textId="77777777" w:rsidR="006142A4" w:rsidRDefault="006142A4">
      <w:pPr>
        <w:rPr>
          <w:rFonts w:ascii="Calibri" w:hAnsi="Calibri" w:cs="Calibri"/>
          <w:b/>
          <w:bCs/>
        </w:rPr>
      </w:pPr>
    </w:p>
    <w:p w14:paraId="20CFECBB" w14:textId="77777777" w:rsidR="006142A4" w:rsidRDefault="006142A4">
      <w:pPr>
        <w:rPr>
          <w:rFonts w:ascii="Calibri" w:hAnsi="Calibri" w:cs="Calibri"/>
          <w:b/>
          <w:bCs/>
        </w:rPr>
      </w:pPr>
    </w:p>
    <w:p w14:paraId="5D0DCC7D" w14:textId="77777777" w:rsidR="006142A4" w:rsidRDefault="006142A4">
      <w:pPr>
        <w:rPr>
          <w:rFonts w:ascii="Calibri" w:hAnsi="Calibri" w:cs="Calibri"/>
          <w:b/>
          <w:bCs/>
        </w:rPr>
      </w:pPr>
    </w:p>
    <w:p w14:paraId="196F324E" w14:textId="77777777" w:rsidR="006142A4" w:rsidRDefault="006142A4">
      <w:pPr>
        <w:rPr>
          <w:rFonts w:ascii="Calibri" w:hAnsi="Calibri" w:cs="Calibri"/>
          <w:b/>
          <w:bCs/>
        </w:rPr>
      </w:pPr>
    </w:p>
    <w:p w14:paraId="6FD57786" w14:textId="77777777" w:rsidR="006142A4" w:rsidRDefault="006142A4">
      <w:pPr>
        <w:rPr>
          <w:rFonts w:ascii="Calibri" w:hAnsi="Calibri" w:cs="Calibri"/>
          <w:b/>
          <w:bCs/>
        </w:rPr>
      </w:pPr>
    </w:p>
    <w:p w14:paraId="61E80021" w14:textId="77777777" w:rsidR="009F75CA" w:rsidRDefault="009F75CA">
      <w:pPr>
        <w:rPr>
          <w:rFonts w:ascii="Calibri" w:hAnsi="Calibri" w:cs="Calibri"/>
          <w:b/>
          <w:bCs/>
        </w:rPr>
      </w:pPr>
    </w:p>
    <w:p w14:paraId="54E31C1F" w14:textId="77777777" w:rsidR="00465FA7" w:rsidRDefault="00465FA7">
      <w:pPr>
        <w:rPr>
          <w:rFonts w:ascii="Calibri" w:hAnsi="Calibri" w:cs="Calibri"/>
          <w:b/>
          <w:bCs/>
        </w:rPr>
      </w:pPr>
    </w:p>
    <w:p w14:paraId="5F4243FE" w14:textId="77777777" w:rsidR="006142A4" w:rsidRPr="001407AA" w:rsidRDefault="006142A4" w:rsidP="006142A4">
      <w:pPr>
        <w:rPr>
          <w:rFonts w:ascii="Calibri" w:hAnsi="Calibri" w:cs="Calibri"/>
          <w:b/>
          <w:bCs/>
        </w:rPr>
      </w:pPr>
      <w:r w:rsidRPr="001407AA">
        <w:rPr>
          <w:rFonts w:ascii="Calibri" w:hAnsi="Calibri" w:cs="Calibri"/>
          <w:b/>
          <w:bCs/>
        </w:rPr>
        <w:t>Cases:</w:t>
      </w:r>
    </w:p>
    <w:p w14:paraId="0C375C04" w14:textId="77777777" w:rsidR="006142A4" w:rsidRDefault="006142A4" w:rsidP="006142A4">
      <w:pPr>
        <w:pStyle w:val="ListParagraph"/>
        <w:numPr>
          <w:ilvl w:val="0"/>
          <w:numId w:val="12"/>
        </w:numPr>
        <w:rPr>
          <w:rFonts w:ascii="Calibri" w:hAnsi="Calibri" w:cs="Calibri"/>
        </w:rPr>
      </w:pPr>
      <w:r>
        <w:rPr>
          <w:rFonts w:ascii="Calibri" w:hAnsi="Calibri" w:cs="Calibri"/>
        </w:rPr>
        <w:t>Re Londonderry’s Settlement (1965)</w:t>
      </w:r>
    </w:p>
    <w:p w14:paraId="42D1B8C7" w14:textId="77777777" w:rsidR="006142A4" w:rsidRDefault="006142A4" w:rsidP="006142A4">
      <w:pPr>
        <w:pStyle w:val="ListParagraph"/>
        <w:numPr>
          <w:ilvl w:val="0"/>
          <w:numId w:val="12"/>
        </w:numPr>
        <w:rPr>
          <w:rFonts w:ascii="Calibri" w:hAnsi="Calibri" w:cs="Calibri"/>
        </w:rPr>
      </w:pPr>
      <w:r>
        <w:rPr>
          <w:rFonts w:ascii="Calibri" w:hAnsi="Calibri" w:cs="Calibri"/>
        </w:rPr>
        <w:t>Schmidt v Rosewood Trust Ltd (2003)</w:t>
      </w:r>
    </w:p>
    <w:p w14:paraId="02AA9465" w14:textId="77777777" w:rsidR="006142A4" w:rsidRDefault="006142A4" w:rsidP="006142A4">
      <w:pPr>
        <w:pStyle w:val="ListParagraph"/>
        <w:numPr>
          <w:ilvl w:val="0"/>
          <w:numId w:val="12"/>
        </w:numPr>
        <w:rPr>
          <w:rFonts w:ascii="Calibri" w:hAnsi="Calibri" w:cs="Calibri"/>
        </w:rPr>
      </w:pPr>
      <w:r>
        <w:rPr>
          <w:rFonts w:ascii="Calibri" w:hAnsi="Calibri" w:cs="Calibri"/>
        </w:rPr>
        <w:t>Breakspear and others v Ackland and another [2008] EWHC 220 (Ch)</w:t>
      </w:r>
    </w:p>
    <w:p w14:paraId="650BA1F5" w14:textId="77777777" w:rsidR="006142A4" w:rsidRDefault="006142A4" w:rsidP="006142A4">
      <w:pPr>
        <w:pStyle w:val="ListParagraph"/>
        <w:numPr>
          <w:ilvl w:val="0"/>
          <w:numId w:val="12"/>
        </w:numPr>
        <w:rPr>
          <w:rFonts w:ascii="Calibri" w:hAnsi="Calibri" w:cs="Calibri"/>
        </w:rPr>
      </w:pPr>
      <w:r>
        <w:rPr>
          <w:rFonts w:ascii="Calibri" w:hAnsi="Calibri" w:cs="Calibri"/>
        </w:rPr>
        <w:t>Churchill v Merthyr Tydfil County Borough Council [2023] EWCA Civ 1416</w:t>
      </w:r>
    </w:p>
    <w:p w14:paraId="1DB5B736" w14:textId="64B5656E" w:rsidR="006142A4" w:rsidRDefault="006142A4" w:rsidP="006142A4">
      <w:pPr>
        <w:pStyle w:val="ListParagraph"/>
        <w:numPr>
          <w:ilvl w:val="0"/>
          <w:numId w:val="12"/>
        </w:numPr>
        <w:rPr>
          <w:rFonts w:ascii="Calibri" w:hAnsi="Calibri" w:cs="Calibri"/>
        </w:rPr>
      </w:pPr>
      <w:r>
        <w:rPr>
          <w:rFonts w:ascii="Calibri" w:hAnsi="Calibri" w:cs="Calibri"/>
        </w:rPr>
        <w:t>Halsey v Milton Keynes General NHS Trust [2004] EWCA Civ 576</w:t>
      </w:r>
    </w:p>
    <w:p w14:paraId="2954ADCD" w14:textId="77777777" w:rsidR="006142A4" w:rsidRPr="006142A4" w:rsidRDefault="006142A4" w:rsidP="006142A4">
      <w:pPr>
        <w:pStyle w:val="ListParagraph"/>
        <w:rPr>
          <w:rFonts w:ascii="Calibri" w:hAnsi="Calibri" w:cs="Calibri"/>
        </w:rPr>
      </w:pPr>
    </w:p>
    <w:p w14:paraId="2CBBE526" w14:textId="7C993C92" w:rsidR="00603147" w:rsidRDefault="009836D3">
      <w:pPr>
        <w:rPr>
          <w:rFonts w:ascii="Calibri" w:hAnsi="Calibri" w:cs="Calibri"/>
          <w:b/>
          <w:bCs/>
        </w:rPr>
      </w:pPr>
      <w:r w:rsidRPr="006F21F5">
        <w:rPr>
          <w:rFonts w:ascii="Calibri" w:hAnsi="Calibri" w:cs="Calibri"/>
          <w:b/>
          <w:bCs/>
        </w:rPr>
        <w:t>References</w:t>
      </w:r>
      <w:r w:rsidR="006F21F5">
        <w:rPr>
          <w:rFonts w:ascii="Calibri" w:hAnsi="Calibri" w:cs="Calibri"/>
          <w:b/>
          <w:bCs/>
        </w:rPr>
        <w:t>:</w:t>
      </w:r>
    </w:p>
    <w:p w14:paraId="6789A64B" w14:textId="3085B772" w:rsidR="00D42181" w:rsidRPr="006D2729" w:rsidRDefault="00D42181">
      <w:pPr>
        <w:rPr>
          <w:rFonts w:ascii="Calibri" w:hAnsi="Calibri" w:cs="Calibri"/>
        </w:rPr>
      </w:pPr>
      <w:r w:rsidRPr="002D71AE">
        <w:rPr>
          <w:rFonts w:ascii="Calibri" w:hAnsi="Calibri" w:cs="Calibri"/>
        </w:rPr>
        <w:t>Abbott, L. (2021). What information does a trustee have to disclose</w:t>
      </w:r>
      <w:r w:rsidR="006D2729" w:rsidRPr="002D71AE">
        <w:rPr>
          <w:rFonts w:ascii="Calibri" w:hAnsi="Calibri" w:cs="Calibri"/>
        </w:rPr>
        <w:t xml:space="preserve"> to a beneficiary? The Gazette. Available at: </w:t>
      </w:r>
      <w:hyperlink r:id="rId7" w:history="1">
        <w:r w:rsidR="00BA6B27" w:rsidRPr="002D71AE">
          <w:rPr>
            <w:rStyle w:val="Hyperlink"/>
            <w:rFonts w:ascii="Calibri" w:hAnsi="Calibri" w:cs="Calibri"/>
          </w:rPr>
          <w:t>https://www.thegazette.co.uk/all-notices/content/103984</w:t>
        </w:r>
      </w:hyperlink>
      <w:r w:rsidR="00BA6B27" w:rsidRPr="002D71AE">
        <w:rPr>
          <w:rFonts w:ascii="Calibri" w:hAnsi="Calibri" w:cs="Calibri"/>
        </w:rPr>
        <w:t xml:space="preserve"> </w:t>
      </w:r>
      <w:r w:rsidR="006D2729" w:rsidRPr="002D71AE">
        <w:rPr>
          <w:rFonts w:ascii="Calibri" w:hAnsi="Calibri" w:cs="Calibri"/>
        </w:rPr>
        <w:t>(accessed: 04.03.2026).</w:t>
      </w:r>
    </w:p>
    <w:p w14:paraId="74E175E0" w14:textId="036F59C0" w:rsidR="00C73039" w:rsidRPr="00E34ABC" w:rsidRDefault="00C73039">
      <w:pPr>
        <w:rPr>
          <w:rFonts w:ascii="Calibri" w:hAnsi="Calibri" w:cs="Calibri"/>
        </w:rPr>
      </w:pPr>
      <w:r>
        <w:rPr>
          <w:rFonts w:ascii="Calibri" w:hAnsi="Calibri" w:cs="Calibri"/>
        </w:rPr>
        <w:t>Benest, A. and Dann, J. (2018). Round 2: transparency V Right</w:t>
      </w:r>
      <w:r w:rsidR="00A8364A">
        <w:rPr>
          <w:rFonts w:ascii="Calibri" w:hAnsi="Calibri" w:cs="Calibri"/>
        </w:rPr>
        <w:t xml:space="preserve"> to Confidentiality | Baker &amp; Partners LLP.</w:t>
      </w:r>
      <w:r w:rsidR="00E34ABC">
        <w:rPr>
          <w:rFonts w:ascii="Calibri" w:hAnsi="Calibri" w:cs="Calibri"/>
        </w:rPr>
        <w:t xml:space="preserve"> Available at: </w:t>
      </w:r>
      <w:hyperlink r:id="rId8" w:history="1">
        <w:r w:rsidR="00481F46" w:rsidRPr="00657BFE">
          <w:rPr>
            <w:rStyle w:val="Hyperlink"/>
            <w:rFonts w:ascii="Calibri" w:hAnsi="Calibri" w:cs="Calibri"/>
          </w:rPr>
          <w:t>https://www.bakerandpartners.com/insights/round-2-transparency-v-right-to-confidentiality/</w:t>
        </w:r>
      </w:hyperlink>
      <w:r w:rsidR="00481F46">
        <w:rPr>
          <w:rFonts w:ascii="Calibri" w:hAnsi="Calibri" w:cs="Calibri"/>
        </w:rPr>
        <w:t xml:space="preserve"> </w:t>
      </w:r>
      <w:r w:rsidR="00E34ABC">
        <w:rPr>
          <w:rFonts w:ascii="Calibri" w:hAnsi="Calibri" w:cs="Calibri"/>
        </w:rPr>
        <w:t>(accessed: 02.03.2026).</w:t>
      </w:r>
    </w:p>
    <w:p w14:paraId="1C15A1E2" w14:textId="77777777" w:rsidR="001D1BB1" w:rsidRDefault="001954C0">
      <w:pPr>
        <w:rPr>
          <w:rFonts w:ascii="Calibri" w:hAnsi="Calibri" w:cs="Calibri"/>
        </w:rPr>
      </w:pPr>
      <w:r w:rsidRPr="001D1BB1">
        <w:rPr>
          <w:rFonts w:ascii="Calibri" w:hAnsi="Calibri" w:cs="Calibri"/>
        </w:rPr>
        <w:t>C</w:t>
      </w:r>
      <w:r w:rsidR="00A779EA" w:rsidRPr="001D1BB1">
        <w:rPr>
          <w:rFonts w:ascii="Calibri" w:hAnsi="Calibri" w:cs="Calibri"/>
        </w:rPr>
        <w:t xml:space="preserve">owie, G. (2018). Legislative consent: what, why, and how? House of Commons </w:t>
      </w:r>
      <w:r w:rsidR="001D1BB1" w:rsidRPr="001D1BB1">
        <w:rPr>
          <w:rFonts w:ascii="Calibri" w:hAnsi="Calibri" w:cs="Calibri"/>
        </w:rPr>
        <w:t xml:space="preserve">Library. Available at: </w:t>
      </w:r>
      <w:hyperlink r:id="rId9" w:history="1">
        <w:r w:rsidR="001D1BB1" w:rsidRPr="001D1BB1">
          <w:rPr>
            <w:rStyle w:val="Hyperlink"/>
            <w:rFonts w:ascii="Calibri" w:hAnsi="Calibri" w:cs="Calibri"/>
          </w:rPr>
          <w:t>https://commonslibrary.parliament.uk/legislative-consent-what-why-and-how/</w:t>
        </w:r>
      </w:hyperlink>
      <w:r w:rsidR="001D1BB1" w:rsidRPr="001D1BB1">
        <w:rPr>
          <w:rFonts w:ascii="Calibri" w:hAnsi="Calibri" w:cs="Calibri"/>
        </w:rPr>
        <w:t xml:space="preserve"> (accessed: 28.02.2026)</w:t>
      </w:r>
    </w:p>
    <w:p w14:paraId="642BD984" w14:textId="7C3E63C0" w:rsidR="00287F1D" w:rsidRDefault="004F27C2">
      <w:pPr>
        <w:rPr>
          <w:rFonts w:ascii="Calibri" w:hAnsi="Calibri" w:cs="Calibri"/>
        </w:rPr>
      </w:pPr>
      <w:r>
        <w:rPr>
          <w:rFonts w:ascii="Calibri" w:hAnsi="Calibri" w:cs="Calibri"/>
        </w:rPr>
        <w:t>Division, C</w:t>
      </w:r>
      <w:r w:rsidR="00D54633">
        <w:rPr>
          <w:rFonts w:ascii="Calibri" w:hAnsi="Calibri" w:cs="Calibri"/>
        </w:rPr>
        <w:t xml:space="preserve">. </w:t>
      </w:r>
      <w:r w:rsidR="006272F8">
        <w:rPr>
          <w:rFonts w:ascii="Calibri" w:hAnsi="Calibri" w:cs="Calibri"/>
        </w:rPr>
        <w:t>and Briggs, J. (2008)</w:t>
      </w:r>
      <w:r w:rsidR="00260A46">
        <w:rPr>
          <w:rFonts w:ascii="Calibri" w:hAnsi="Calibri" w:cs="Calibri"/>
        </w:rPr>
        <w:t xml:space="preserve"> Breakspear and other</w:t>
      </w:r>
      <w:r w:rsidR="007F0A56">
        <w:rPr>
          <w:rFonts w:ascii="Calibri" w:hAnsi="Calibri" w:cs="Calibri"/>
        </w:rPr>
        <w:t>s</w:t>
      </w:r>
      <w:r w:rsidR="00260A46">
        <w:rPr>
          <w:rFonts w:ascii="Calibri" w:hAnsi="Calibri" w:cs="Calibri"/>
        </w:rPr>
        <w:t xml:space="preserve"> v Ackland and another [2008]</w:t>
      </w:r>
      <w:r w:rsidR="00C26D11">
        <w:rPr>
          <w:rFonts w:ascii="Calibri" w:hAnsi="Calibri" w:cs="Calibri"/>
        </w:rPr>
        <w:t xml:space="preserve"> EWHC 220 (Ch). LexisNexis. Available at: </w:t>
      </w:r>
      <w:hyperlink r:id="rId10" w:history="1">
        <w:r w:rsidR="00BC7853" w:rsidRPr="00657BFE">
          <w:rPr>
            <w:rStyle w:val="Hyperlink"/>
            <w:rFonts w:ascii="Calibri" w:hAnsi="Calibri" w:cs="Calibri"/>
          </w:rPr>
          <w:t>https://plus-lexis-com.uwtsd.idm.oclc.org/uk/cases-uk/breakspear-and-others-v-ackland-and-another-_6/?crid=8e994d10-dada-4f92-b072-e395e084cf3f&amp;pddocumentnumber=5</w:t>
        </w:r>
      </w:hyperlink>
      <w:r w:rsidR="00BC7853">
        <w:rPr>
          <w:rFonts w:ascii="Calibri" w:hAnsi="Calibri" w:cs="Calibri"/>
        </w:rPr>
        <w:t xml:space="preserve"> (accessed: 12.03.2026)</w:t>
      </w:r>
    </w:p>
    <w:p w14:paraId="79F5D4CE" w14:textId="03EF4B91" w:rsidR="001F01B5" w:rsidRDefault="001F01B5">
      <w:pPr>
        <w:rPr>
          <w:rFonts w:ascii="Calibri" w:hAnsi="Calibri" w:cs="Calibri"/>
        </w:rPr>
      </w:pPr>
      <w:r>
        <w:rPr>
          <w:rFonts w:ascii="Calibri" w:hAnsi="Calibri" w:cs="Calibri"/>
        </w:rPr>
        <w:t xml:space="preserve">Drummond, I. and Pyataey, V. (2024). New Rules Allow Courts </w:t>
      </w:r>
      <w:r w:rsidR="005222F7">
        <w:rPr>
          <w:rFonts w:ascii="Calibri" w:hAnsi="Calibri" w:cs="Calibri"/>
        </w:rPr>
        <w:t>in</w:t>
      </w:r>
      <w:r w:rsidR="000B184A">
        <w:rPr>
          <w:rFonts w:ascii="Calibri" w:hAnsi="Calibri" w:cs="Calibri"/>
        </w:rPr>
        <w:t xml:space="preserve"> England and Wales </w:t>
      </w:r>
      <w:r w:rsidR="00F50A32">
        <w:rPr>
          <w:rFonts w:ascii="Calibri" w:hAnsi="Calibri" w:cs="Calibri"/>
        </w:rPr>
        <w:t>to</w:t>
      </w:r>
      <w:r w:rsidR="000B184A">
        <w:rPr>
          <w:rFonts w:ascii="Calibri" w:hAnsi="Calibri" w:cs="Calibri"/>
        </w:rPr>
        <w:t xml:space="preserve"> Order Use of Alternative Dispute Resolution. Mondaq.com. available at:</w:t>
      </w:r>
      <w:r w:rsidR="00F50A32">
        <w:rPr>
          <w:rFonts w:ascii="Calibri" w:hAnsi="Calibri" w:cs="Calibri"/>
        </w:rPr>
        <w:t xml:space="preserve"> </w:t>
      </w:r>
      <w:hyperlink r:id="rId11" w:history="1">
        <w:r w:rsidR="00F50A32" w:rsidRPr="00476300">
          <w:rPr>
            <w:rStyle w:val="Hyperlink"/>
            <w:rFonts w:ascii="Calibri" w:hAnsi="Calibri" w:cs="Calibri"/>
          </w:rPr>
          <w:t>https://www.mondaq.com/uk/civil-law/1552378/new-rules-allow-courts-in-england-and-wales-to-order-use-of-alternative-dispute-resolution</w:t>
        </w:r>
      </w:hyperlink>
      <w:r w:rsidR="00F50A32">
        <w:rPr>
          <w:rFonts w:ascii="Calibri" w:hAnsi="Calibri" w:cs="Calibri"/>
        </w:rPr>
        <w:t xml:space="preserve"> (accessed: 04.03.2026)</w:t>
      </w:r>
    </w:p>
    <w:p w14:paraId="1E5C7DAB" w14:textId="5ABEA65E" w:rsidR="00911B44" w:rsidRDefault="00911B44">
      <w:pPr>
        <w:rPr>
          <w:rFonts w:ascii="Calibri" w:hAnsi="Calibri" w:cs="Calibri"/>
        </w:rPr>
      </w:pPr>
      <w:r w:rsidRPr="00743D77">
        <w:rPr>
          <w:rFonts w:ascii="Calibri" w:hAnsi="Calibri" w:cs="Calibri"/>
        </w:rPr>
        <w:t>Forbes,</w:t>
      </w:r>
      <w:r>
        <w:rPr>
          <w:rFonts w:ascii="Calibri" w:hAnsi="Calibri" w:cs="Calibri"/>
        </w:rPr>
        <w:t xml:space="preserve"> Pierie, M. (2025). Mandate to Mediate: </w:t>
      </w:r>
      <w:r w:rsidR="00155720">
        <w:rPr>
          <w:rFonts w:ascii="Calibri" w:hAnsi="Calibri" w:cs="Calibri"/>
        </w:rPr>
        <w:t>C</w:t>
      </w:r>
      <w:r>
        <w:rPr>
          <w:rFonts w:ascii="Calibri" w:hAnsi="Calibri" w:cs="Calibri"/>
        </w:rPr>
        <w:t>ompelled Alternative Dispute Resolution in England</w:t>
      </w:r>
      <w:r w:rsidR="00155720">
        <w:rPr>
          <w:rFonts w:ascii="Calibri" w:hAnsi="Calibri" w:cs="Calibri"/>
        </w:rPr>
        <w:t xml:space="preserve">. Ashurst. Available at: </w:t>
      </w:r>
      <w:hyperlink r:id="rId12" w:history="1">
        <w:r w:rsidR="00155720" w:rsidRPr="002234E0">
          <w:rPr>
            <w:rStyle w:val="Hyperlink"/>
            <w:rFonts w:ascii="Calibri" w:hAnsi="Calibri" w:cs="Calibri"/>
          </w:rPr>
          <w:t>https://www.ashurst.com/en/insights/mandate-to-mediate-compelled-alternative-dispute-resolution-in-england/</w:t>
        </w:r>
      </w:hyperlink>
      <w:r w:rsidR="00155720">
        <w:rPr>
          <w:rFonts w:ascii="Calibri" w:hAnsi="Calibri" w:cs="Calibri"/>
        </w:rPr>
        <w:t xml:space="preserve"> (accessed: 04.03.2026).</w:t>
      </w:r>
    </w:p>
    <w:p w14:paraId="5AAE333D" w14:textId="031A5BE8" w:rsidR="00FD7511" w:rsidRDefault="00755061">
      <w:pPr>
        <w:rPr>
          <w:rFonts w:ascii="Calibri" w:hAnsi="Calibri" w:cs="Calibri"/>
        </w:rPr>
      </w:pPr>
      <w:r>
        <w:rPr>
          <w:rFonts w:ascii="Calibri" w:hAnsi="Calibri" w:cs="Calibri"/>
        </w:rPr>
        <w:t>Gardener, B. (2022). Trustees’ duties and beneficiaries’ rights under trusts. Personal Finance Society. Available at:</w:t>
      </w:r>
      <w:r w:rsidR="00F03FBC">
        <w:rPr>
          <w:rFonts w:ascii="Calibri" w:hAnsi="Calibri" w:cs="Calibri"/>
        </w:rPr>
        <w:t xml:space="preserve"> </w:t>
      </w:r>
      <w:hyperlink r:id="rId13" w:history="1">
        <w:r w:rsidR="00FD7511" w:rsidRPr="00476300">
          <w:rPr>
            <w:rStyle w:val="Hyperlink"/>
            <w:rFonts w:ascii="Calibri" w:hAnsi="Calibri" w:cs="Calibri"/>
          </w:rPr>
          <w:t>https://www.thepfs.org/news-insight/news/articles/trustees-duties-and-beneficiaries-rights-under-trusts/01db6bfc-9b2e-4105-b071-9905a3142654</w:t>
        </w:r>
      </w:hyperlink>
      <w:r w:rsidR="00F50A32">
        <w:rPr>
          <w:rFonts w:ascii="Calibri" w:hAnsi="Calibri" w:cs="Calibri"/>
        </w:rPr>
        <w:t xml:space="preserve"> </w:t>
      </w:r>
      <w:r w:rsidR="00FD7511">
        <w:rPr>
          <w:rFonts w:ascii="Calibri" w:hAnsi="Calibri" w:cs="Calibri"/>
        </w:rPr>
        <w:t>(accessed: 04.03.2026).</w:t>
      </w:r>
    </w:p>
    <w:p w14:paraId="4D6C10A6" w14:textId="6E3A96CA" w:rsidR="00453FC0" w:rsidRDefault="00453FC0">
      <w:pPr>
        <w:rPr>
          <w:rFonts w:ascii="Calibri" w:hAnsi="Calibri" w:cs="Calibri"/>
        </w:rPr>
      </w:pPr>
      <w:r>
        <w:rPr>
          <w:rFonts w:ascii="Calibri" w:hAnsi="Calibri" w:cs="Calibri"/>
        </w:rPr>
        <w:t>Geneva, C. (2024). Modern Trust Administration – Clermont Trust</w:t>
      </w:r>
      <w:r w:rsidR="001F11DB">
        <w:rPr>
          <w:rFonts w:ascii="Calibri" w:hAnsi="Calibri" w:cs="Calibri"/>
        </w:rPr>
        <w:t xml:space="preserve">. Available at: </w:t>
      </w:r>
      <w:hyperlink r:id="rId14" w:history="1">
        <w:r w:rsidR="001F11DB" w:rsidRPr="00657BFE">
          <w:rPr>
            <w:rStyle w:val="Hyperlink"/>
            <w:rFonts w:ascii="Calibri" w:hAnsi="Calibri" w:cs="Calibri"/>
          </w:rPr>
          <w:t>https://clermonttrust.com/modern-trust-administration/</w:t>
        </w:r>
      </w:hyperlink>
      <w:r w:rsidR="001F11DB">
        <w:rPr>
          <w:rFonts w:ascii="Calibri" w:hAnsi="Calibri" w:cs="Calibri"/>
        </w:rPr>
        <w:t xml:space="preserve"> (accessed: 12.03.2026)</w:t>
      </w:r>
    </w:p>
    <w:p w14:paraId="076D23B6" w14:textId="77777777" w:rsidR="007D5BB1" w:rsidRDefault="003326B7">
      <w:pPr>
        <w:rPr>
          <w:rFonts w:ascii="Calibri" w:hAnsi="Calibri" w:cs="Calibri"/>
        </w:rPr>
      </w:pPr>
      <w:r w:rsidRPr="007D5BB1">
        <w:rPr>
          <w:rFonts w:ascii="Calibri" w:hAnsi="Calibri" w:cs="Calibri"/>
        </w:rPr>
        <w:lastRenderedPageBreak/>
        <w:t>HSFK (2018)</w:t>
      </w:r>
      <w:r w:rsidR="00B221F5" w:rsidRPr="007D5BB1">
        <w:rPr>
          <w:rFonts w:ascii="Calibri" w:hAnsi="Calibri" w:cs="Calibri"/>
        </w:rPr>
        <w:t>. English High Court considers scope of beneficiaries</w:t>
      </w:r>
      <w:r w:rsidR="009D21D8" w:rsidRPr="007D5BB1">
        <w:rPr>
          <w:rFonts w:ascii="Calibri" w:hAnsi="Calibri" w:cs="Calibri"/>
        </w:rPr>
        <w:t>’</w:t>
      </w:r>
      <w:r w:rsidR="00B221F5" w:rsidRPr="007D5BB1">
        <w:rPr>
          <w:rFonts w:ascii="Calibri" w:hAnsi="Calibri" w:cs="Calibri"/>
        </w:rPr>
        <w:t xml:space="preserve"> right to request information from trustees</w:t>
      </w:r>
      <w:r w:rsidR="009D21D8" w:rsidRPr="007D5BB1">
        <w:rPr>
          <w:rFonts w:ascii="Calibri" w:hAnsi="Calibri" w:cs="Calibri"/>
        </w:rPr>
        <w:t xml:space="preserve">. </w:t>
      </w:r>
      <w:r w:rsidR="000661F2" w:rsidRPr="007D5BB1">
        <w:rPr>
          <w:rFonts w:ascii="Calibri" w:hAnsi="Calibri" w:cs="Calibri"/>
        </w:rPr>
        <w:t>Herbert Smith Freehills Kramer LLP</w:t>
      </w:r>
      <w:r w:rsidR="009D21D8" w:rsidRPr="007D5BB1">
        <w:rPr>
          <w:rFonts w:ascii="Calibri" w:hAnsi="Calibri" w:cs="Calibri"/>
        </w:rPr>
        <w:t>.</w:t>
      </w:r>
      <w:r w:rsidR="009D21D8">
        <w:rPr>
          <w:rFonts w:ascii="Calibri" w:hAnsi="Calibri" w:cs="Calibri"/>
        </w:rPr>
        <w:t xml:space="preserve"> Available at: </w:t>
      </w:r>
      <w:hyperlink r:id="rId15" w:history="1">
        <w:r w:rsidR="007D5BB1" w:rsidRPr="00476300">
          <w:rPr>
            <w:rStyle w:val="Hyperlink"/>
            <w:rFonts w:ascii="Calibri" w:hAnsi="Calibri" w:cs="Calibri"/>
          </w:rPr>
          <w:t>https://www.hsfkramer.com/notes/pwtd/2018-06/english-high-court-considers-scope-of-beneficiaries-right-to-request-information-from-trustees</w:t>
        </w:r>
      </w:hyperlink>
      <w:r w:rsidR="007D5BB1">
        <w:rPr>
          <w:rFonts w:ascii="Calibri" w:hAnsi="Calibri" w:cs="Calibri"/>
        </w:rPr>
        <w:t xml:space="preserve"> (accessed: 04.03.2026)</w:t>
      </w:r>
    </w:p>
    <w:p w14:paraId="678FC98F" w14:textId="6C800C84" w:rsidR="00B94168" w:rsidRDefault="00B94168">
      <w:pPr>
        <w:rPr>
          <w:rFonts w:ascii="Calibri" w:hAnsi="Calibri" w:cs="Calibri"/>
        </w:rPr>
      </w:pPr>
      <w:hyperlink r:id="rId16" w:history="1"/>
      <w:r>
        <w:rPr>
          <w:rFonts w:ascii="Calibri" w:hAnsi="Calibri" w:cs="Calibri"/>
        </w:rPr>
        <w:t>Holbech, C. (2012). Trustees</w:t>
      </w:r>
      <w:r w:rsidR="007E0DBE">
        <w:rPr>
          <w:rFonts w:ascii="Calibri" w:hAnsi="Calibri" w:cs="Calibri"/>
        </w:rPr>
        <w:t>’</w:t>
      </w:r>
      <w:r>
        <w:rPr>
          <w:rFonts w:ascii="Calibri" w:hAnsi="Calibri" w:cs="Calibri"/>
        </w:rPr>
        <w:t xml:space="preserve"> duties to provide documents. </w:t>
      </w:r>
      <w:r w:rsidR="007E0DBE">
        <w:rPr>
          <w:rFonts w:ascii="Calibri" w:hAnsi="Calibri" w:cs="Calibri"/>
        </w:rPr>
        <w:t xml:space="preserve">Charles Holbech. Available at: </w:t>
      </w:r>
      <w:hyperlink r:id="rId17" w:history="1">
        <w:r w:rsidR="007E0DBE" w:rsidRPr="002234E0">
          <w:rPr>
            <w:rStyle w:val="Hyperlink"/>
            <w:rFonts w:ascii="Calibri" w:hAnsi="Calibri" w:cs="Calibri"/>
          </w:rPr>
          <w:t>https://holbech.co.uk/trustees-duties-to-provide-documents/</w:t>
        </w:r>
      </w:hyperlink>
      <w:r w:rsidR="007E0DBE">
        <w:rPr>
          <w:rFonts w:ascii="Calibri" w:hAnsi="Calibri" w:cs="Calibri"/>
        </w:rPr>
        <w:t xml:space="preserve"> (accessed: 04.03.2026).</w:t>
      </w:r>
    </w:p>
    <w:p w14:paraId="081E3800" w14:textId="38BF4061" w:rsidR="003873B6" w:rsidRDefault="00B44EB9">
      <w:pPr>
        <w:rPr>
          <w:rFonts w:ascii="Calibri" w:hAnsi="Calibri" w:cs="Calibri"/>
        </w:rPr>
      </w:pPr>
      <w:r>
        <w:rPr>
          <w:rFonts w:ascii="Calibri" w:hAnsi="Calibri" w:cs="Calibri"/>
        </w:rPr>
        <w:t>Irwinmitchell (2026). What Right Does a Will Beneficiary Have?</w:t>
      </w:r>
      <w:r w:rsidR="00DA12F1">
        <w:rPr>
          <w:rFonts w:ascii="Calibri" w:hAnsi="Calibri" w:cs="Calibri"/>
        </w:rPr>
        <w:t xml:space="preserve"> Irwin Mitchell. Available at:</w:t>
      </w:r>
      <w:r w:rsidR="00D376CD">
        <w:rPr>
          <w:rFonts w:ascii="Calibri" w:hAnsi="Calibri" w:cs="Calibri"/>
        </w:rPr>
        <w:t xml:space="preserve"> </w:t>
      </w:r>
      <w:hyperlink r:id="rId18" w:history="1">
        <w:r w:rsidR="00D376CD" w:rsidRPr="00D0637E">
          <w:rPr>
            <w:rStyle w:val="Hyperlink"/>
            <w:rFonts w:ascii="Calibri" w:hAnsi="Calibri" w:cs="Calibri"/>
          </w:rPr>
          <w:t>https://www.irwinmitchell.com/personal/guides/probate-guide/beneficiary-rights</w:t>
        </w:r>
      </w:hyperlink>
      <w:r w:rsidR="00D376CD">
        <w:rPr>
          <w:rFonts w:ascii="Calibri" w:hAnsi="Calibri" w:cs="Calibri"/>
        </w:rPr>
        <w:t xml:space="preserve"> (accessed: 26.02.2026)</w:t>
      </w:r>
    </w:p>
    <w:p w14:paraId="4BA033B8" w14:textId="4AD55E2B" w:rsidR="00C0158E" w:rsidRDefault="006D7CD9">
      <w:pPr>
        <w:rPr>
          <w:rFonts w:ascii="Calibri" w:hAnsi="Calibri" w:cs="Calibri"/>
        </w:rPr>
      </w:pPr>
      <w:r>
        <w:rPr>
          <w:rFonts w:ascii="Calibri" w:hAnsi="Calibri" w:cs="Calibri"/>
        </w:rPr>
        <w:t>Kingsleynapley (2020)</w:t>
      </w:r>
      <w:r w:rsidR="00B04A45">
        <w:rPr>
          <w:rFonts w:ascii="Calibri" w:hAnsi="Calibri" w:cs="Calibri"/>
        </w:rPr>
        <w:t xml:space="preserve">. </w:t>
      </w:r>
      <w:r w:rsidR="00755BD7">
        <w:rPr>
          <w:rFonts w:ascii="Calibri" w:hAnsi="Calibri" w:cs="Calibri"/>
        </w:rPr>
        <w:t xml:space="preserve">Provision of Information by Trustees to </w:t>
      </w:r>
      <w:r w:rsidR="005C6224">
        <w:rPr>
          <w:rFonts w:ascii="Calibri" w:hAnsi="Calibri" w:cs="Calibri"/>
        </w:rPr>
        <w:t>B</w:t>
      </w:r>
      <w:r w:rsidR="00755BD7">
        <w:rPr>
          <w:rFonts w:ascii="Calibri" w:hAnsi="Calibri" w:cs="Calibri"/>
        </w:rPr>
        <w:t>eneficiaries</w:t>
      </w:r>
      <w:r w:rsidR="00437F30">
        <w:rPr>
          <w:rFonts w:ascii="Calibri" w:hAnsi="Calibri" w:cs="Calibri"/>
        </w:rPr>
        <w:t xml:space="preserve">. Kingsleynapley.co.uk. available at: </w:t>
      </w:r>
      <w:hyperlink r:id="rId19" w:history="1">
        <w:r w:rsidR="00367184" w:rsidRPr="00476300">
          <w:rPr>
            <w:rStyle w:val="Hyperlink"/>
            <w:rFonts w:ascii="Calibri" w:hAnsi="Calibri" w:cs="Calibri"/>
          </w:rPr>
          <w:t>https://www.kingsleynapley.co.uk/services/department/dispute-resolution/trust-and-estate-disputes/trustees/provision-of-information-by-trustees-to-beneficiaries</w:t>
        </w:r>
      </w:hyperlink>
      <w:r w:rsidR="00367184">
        <w:rPr>
          <w:rFonts w:ascii="Calibri" w:hAnsi="Calibri" w:cs="Calibri"/>
        </w:rPr>
        <w:t xml:space="preserve"> (accessed: 04.03.2026).</w:t>
      </w:r>
    </w:p>
    <w:p w14:paraId="60FB9BF5" w14:textId="35A8B864" w:rsidR="00BA64E8" w:rsidRDefault="00BA64E8">
      <w:pPr>
        <w:rPr>
          <w:rFonts w:ascii="Calibri" w:hAnsi="Calibri" w:cs="Calibri"/>
        </w:rPr>
      </w:pPr>
      <w:r>
        <w:rPr>
          <w:rFonts w:ascii="Calibri" w:hAnsi="Calibri" w:cs="Calibri"/>
        </w:rPr>
        <w:t>Legislation.gov.uk</w:t>
      </w:r>
      <w:r w:rsidR="00B13045">
        <w:rPr>
          <w:rFonts w:ascii="Calibri" w:hAnsi="Calibri" w:cs="Calibri"/>
        </w:rPr>
        <w:t xml:space="preserve"> (2021). Trustee Act 2000. Available at: </w:t>
      </w:r>
      <w:hyperlink r:id="rId20" w:history="1">
        <w:r w:rsidR="00B13045" w:rsidRPr="00657BFE">
          <w:rPr>
            <w:rStyle w:val="Hyperlink"/>
            <w:rFonts w:ascii="Calibri" w:hAnsi="Calibri" w:cs="Calibri"/>
          </w:rPr>
          <w:t>https://www.legislation.gov.uk/ukpga/2000/29/contents</w:t>
        </w:r>
      </w:hyperlink>
      <w:r w:rsidR="00B13045">
        <w:rPr>
          <w:rFonts w:ascii="Calibri" w:hAnsi="Calibri" w:cs="Calibri"/>
        </w:rPr>
        <w:t xml:space="preserve"> (accessed: 12.03.2026).</w:t>
      </w:r>
    </w:p>
    <w:p w14:paraId="08339B95" w14:textId="58154EAF" w:rsidR="006D5B98" w:rsidRDefault="006D5B98">
      <w:pPr>
        <w:rPr>
          <w:rFonts w:ascii="Calibri" w:hAnsi="Calibri" w:cs="Calibri"/>
        </w:rPr>
      </w:pPr>
      <w:r>
        <w:rPr>
          <w:rFonts w:ascii="Calibri" w:hAnsi="Calibri" w:cs="Calibri"/>
        </w:rPr>
        <w:t>LexisNexis (2017). Administration of trusts</w:t>
      </w:r>
      <w:r w:rsidR="00056247">
        <w:rPr>
          <w:rFonts w:ascii="Calibri" w:hAnsi="Calibri" w:cs="Calibri"/>
        </w:rPr>
        <w:t>|Trust|Private Client Law| LexisNexis. Available at:</w:t>
      </w:r>
      <w:r w:rsidR="00D81F1A" w:rsidRPr="00D81F1A">
        <w:t xml:space="preserve"> </w:t>
      </w:r>
      <w:hyperlink r:id="rId21" w:history="1">
        <w:r w:rsidR="00D81F1A" w:rsidRPr="002234E0">
          <w:rPr>
            <w:rStyle w:val="Hyperlink"/>
            <w:rFonts w:ascii="Calibri" w:hAnsi="Calibri" w:cs="Calibri"/>
          </w:rPr>
          <w:t>https://www.lexisnexis.co.uk/legal/private-client-law/trusts/administration-of-trusts</w:t>
        </w:r>
      </w:hyperlink>
      <w:r w:rsidR="00D81F1A">
        <w:rPr>
          <w:rFonts w:ascii="Calibri" w:hAnsi="Calibri" w:cs="Calibri"/>
        </w:rPr>
        <w:t xml:space="preserve"> (accessed: 02.03.2026).</w:t>
      </w:r>
    </w:p>
    <w:p w14:paraId="127444C0" w14:textId="6FFFF1FF" w:rsidR="00BC3CE5" w:rsidRDefault="00BC3CE5">
      <w:pPr>
        <w:rPr>
          <w:rFonts w:ascii="Calibri" w:hAnsi="Calibri" w:cs="Calibri"/>
        </w:rPr>
      </w:pPr>
      <w:r>
        <w:rPr>
          <w:rFonts w:ascii="Calibri" w:hAnsi="Calibri" w:cs="Calibri"/>
        </w:rPr>
        <w:t>LexisNexis (2020)</w:t>
      </w:r>
      <w:r w:rsidR="004D4CB0">
        <w:rPr>
          <w:rFonts w:ascii="Calibri" w:hAnsi="Calibri" w:cs="Calibri"/>
        </w:rPr>
        <w:t>. Trust disputes- beneficiaries’ rights to information. Available at:</w:t>
      </w:r>
      <w:r w:rsidR="00D72BF3">
        <w:rPr>
          <w:rFonts w:ascii="Calibri" w:hAnsi="Calibri" w:cs="Calibri"/>
        </w:rPr>
        <w:t xml:space="preserve"> </w:t>
      </w:r>
      <w:hyperlink r:id="rId22" w:history="1">
        <w:r w:rsidR="00D72BF3" w:rsidRPr="00657BFE">
          <w:rPr>
            <w:rStyle w:val="Hyperlink"/>
            <w:rFonts w:ascii="Calibri" w:hAnsi="Calibri" w:cs="Calibri"/>
          </w:rPr>
          <w:t>https://www.lexisnexis.co.uk/legal/guidance/trust-disputes-beneficiaries-rights-to-information</w:t>
        </w:r>
      </w:hyperlink>
      <w:r w:rsidR="00D72BF3">
        <w:rPr>
          <w:rFonts w:ascii="Calibri" w:hAnsi="Calibri" w:cs="Calibri"/>
        </w:rPr>
        <w:t xml:space="preserve"> (accessed: 12.03.2026).</w:t>
      </w:r>
    </w:p>
    <w:p w14:paraId="3463840B" w14:textId="6E845606" w:rsidR="002C5447" w:rsidRDefault="002E6D6A">
      <w:pPr>
        <w:rPr>
          <w:rFonts w:ascii="Calibri" w:hAnsi="Calibri" w:cs="Calibri"/>
        </w:rPr>
      </w:pPr>
      <w:r>
        <w:rPr>
          <w:rFonts w:ascii="Calibri" w:hAnsi="Calibri" w:cs="Calibri"/>
        </w:rPr>
        <w:t>LexisNexis (2025).</w:t>
      </w:r>
      <w:r w:rsidR="000D20E5">
        <w:rPr>
          <w:rFonts w:ascii="Calibri" w:hAnsi="Calibri" w:cs="Calibri"/>
        </w:rPr>
        <w:t xml:space="preserve"> Equitable remedies in contractual disputes.| Legal Guidance | LexisNexis. </w:t>
      </w:r>
      <w:r w:rsidR="006B6C51">
        <w:rPr>
          <w:rFonts w:ascii="Calibri" w:hAnsi="Calibri" w:cs="Calibri"/>
        </w:rPr>
        <w:t>A</w:t>
      </w:r>
      <w:r w:rsidR="000D20E5">
        <w:rPr>
          <w:rFonts w:ascii="Calibri" w:hAnsi="Calibri" w:cs="Calibri"/>
        </w:rPr>
        <w:t>vai</w:t>
      </w:r>
      <w:r w:rsidR="006B6C51">
        <w:rPr>
          <w:rFonts w:ascii="Calibri" w:hAnsi="Calibri" w:cs="Calibri"/>
        </w:rPr>
        <w:t xml:space="preserve">lable at: </w:t>
      </w:r>
      <w:hyperlink r:id="rId23" w:history="1">
        <w:r w:rsidR="006B6C51" w:rsidRPr="002234E0">
          <w:rPr>
            <w:rStyle w:val="Hyperlink"/>
            <w:rFonts w:ascii="Calibri" w:hAnsi="Calibri" w:cs="Calibri"/>
          </w:rPr>
          <w:t>https://www.lexisnexis.co.uk/legal/guidance/equitable-remedies-in-contractual-disputes</w:t>
        </w:r>
      </w:hyperlink>
      <w:r w:rsidR="006B6C51">
        <w:rPr>
          <w:rFonts w:ascii="Calibri" w:hAnsi="Calibri" w:cs="Calibri"/>
        </w:rPr>
        <w:t xml:space="preserve"> (accessed: 02.03.2026)</w:t>
      </w:r>
    </w:p>
    <w:p w14:paraId="5C66D070" w14:textId="26259382" w:rsidR="00561B5F" w:rsidRDefault="00561B5F">
      <w:pPr>
        <w:rPr>
          <w:rFonts w:ascii="Calibri" w:hAnsi="Calibri" w:cs="Calibri"/>
        </w:rPr>
      </w:pPr>
      <w:r>
        <w:rPr>
          <w:rFonts w:ascii="Calibri" w:hAnsi="Calibri" w:cs="Calibri"/>
        </w:rPr>
        <w:t>LexisNexis (2026). Shib</w:t>
      </w:r>
      <w:r w:rsidR="005645C9">
        <w:rPr>
          <w:rFonts w:ascii="Calibri" w:hAnsi="Calibri" w:cs="Calibri"/>
        </w:rPr>
        <w:t>boleth Authentication Request – Halsey v Milton Keynes General NHS Trust and Conjoined cases [2004] EWCA Civ 576</w:t>
      </w:r>
      <w:r w:rsidR="006451A1">
        <w:rPr>
          <w:rFonts w:ascii="Calibri" w:hAnsi="Calibri" w:cs="Calibri"/>
        </w:rPr>
        <w:t>. Available at:</w:t>
      </w:r>
      <w:r w:rsidR="006451A1" w:rsidRPr="006451A1">
        <w:t xml:space="preserve"> </w:t>
      </w:r>
      <w:hyperlink r:id="rId24" w:history="1">
        <w:r w:rsidR="006451A1" w:rsidRPr="00657BFE">
          <w:rPr>
            <w:rStyle w:val="Hyperlink"/>
            <w:rFonts w:ascii="Calibri" w:hAnsi="Calibri" w:cs="Calibri"/>
          </w:rPr>
          <w:t>https://plus-lexis-com.uwtsd.idm.oclc.org/uk/cases-uk/halsey-v-milton-keynes-general-nhs-trust-and/?crid=bb6585c6-e71b-497e-824f-184271a10f9c&amp;pddocumentnumber=1</w:t>
        </w:r>
      </w:hyperlink>
      <w:r w:rsidR="006451A1">
        <w:rPr>
          <w:rFonts w:ascii="Calibri" w:hAnsi="Calibri" w:cs="Calibri"/>
        </w:rPr>
        <w:t xml:space="preserve"> (accessed: 12.03.2026)</w:t>
      </w:r>
    </w:p>
    <w:p w14:paraId="13BF5EE2" w14:textId="1F813BF2" w:rsidR="008D3D12" w:rsidRDefault="006C2961">
      <w:pPr>
        <w:rPr>
          <w:rFonts w:ascii="Calibri" w:hAnsi="Calibri" w:cs="Calibri"/>
        </w:rPr>
      </w:pPr>
      <w:r>
        <w:rPr>
          <w:rFonts w:ascii="Calibri" w:hAnsi="Calibri" w:cs="Calibri"/>
        </w:rPr>
        <w:t>Oppenheimer, H., Nathan and Vandyk, P. R. and Kimber</w:t>
      </w:r>
      <w:r w:rsidR="00FF0B67">
        <w:rPr>
          <w:rFonts w:ascii="Calibri" w:hAnsi="Calibri" w:cs="Calibri"/>
        </w:rPr>
        <w:t>. (2026) Re Londonderry’s Settlement (1965). The Law Reports</w:t>
      </w:r>
      <w:r w:rsidR="00D21FF3">
        <w:rPr>
          <w:rFonts w:ascii="Calibri" w:hAnsi="Calibri" w:cs="Calibri"/>
        </w:rPr>
        <w:t xml:space="preserve">. Available at: </w:t>
      </w:r>
      <w:hyperlink r:id="rId25" w:history="1">
        <w:r w:rsidR="00D21FF3" w:rsidRPr="00D0637E">
          <w:rPr>
            <w:rStyle w:val="Hyperlink"/>
            <w:rFonts w:ascii="Calibri" w:hAnsi="Calibri" w:cs="Calibri"/>
          </w:rPr>
          <w:t>https://plus-lexis-com.uwtsd.idm.oclc.org/uk/cases-uk/in-re-londonderrys-settlement-peat-and-others/?crid=45f5e8a9-1af8-40bc-a031-04b44d1e579e&amp;pdproductcontenttypeid=urn:pct:285&amp;pdiskwicview=false&amp;pdpinpoint=</w:t>
        </w:r>
      </w:hyperlink>
      <w:r w:rsidR="00D21FF3">
        <w:rPr>
          <w:rFonts w:ascii="Calibri" w:hAnsi="Calibri" w:cs="Calibri"/>
        </w:rPr>
        <w:t xml:space="preserve"> (accessed: 26.02.2026)</w:t>
      </w:r>
    </w:p>
    <w:p w14:paraId="2AED4C56" w14:textId="58C35E0F" w:rsidR="00442459" w:rsidRDefault="00442459">
      <w:pPr>
        <w:rPr>
          <w:rFonts w:ascii="Calibri" w:hAnsi="Calibri" w:cs="Calibri"/>
        </w:rPr>
      </w:pPr>
      <w:r>
        <w:rPr>
          <w:rFonts w:ascii="Calibri" w:hAnsi="Calibri" w:cs="Calibri"/>
        </w:rPr>
        <w:lastRenderedPageBreak/>
        <w:t>Rees, K. (2023). IN THE COURT OF APPEAL (CIVIL DIVISION) ON APPEAL FROM THE COUNTY COURT AT MERTHYR TYDFIL Deputy</w:t>
      </w:r>
      <w:r w:rsidR="00632EA9">
        <w:rPr>
          <w:rFonts w:ascii="Calibri" w:hAnsi="Calibri" w:cs="Calibri"/>
        </w:rPr>
        <w:t xml:space="preserve"> District. Available at:</w:t>
      </w:r>
      <w:r w:rsidR="00632EA9" w:rsidRPr="00632EA9">
        <w:t xml:space="preserve"> </w:t>
      </w:r>
      <w:hyperlink r:id="rId26" w:history="1">
        <w:r w:rsidR="00632EA9" w:rsidRPr="00657BFE">
          <w:rPr>
            <w:rStyle w:val="Hyperlink"/>
            <w:rFonts w:ascii="Calibri" w:hAnsi="Calibri" w:cs="Calibri"/>
          </w:rPr>
          <w:t>https://www.judiciary.uk/wp-content/uploads/2023/11/Churchill.APPROVED-JUDGMENTS-2.pdf</w:t>
        </w:r>
      </w:hyperlink>
      <w:r w:rsidR="00632EA9">
        <w:rPr>
          <w:rFonts w:ascii="Calibri" w:hAnsi="Calibri" w:cs="Calibri"/>
        </w:rPr>
        <w:t xml:space="preserve"> (accessed: 12.03.2026)</w:t>
      </w:r>
    </w:p>
    <w:p w14:paraId="3EB2CD17" w14:textId="7F3991A1" w:rsidR="00417BE9" w:rsidRDefault="00417BE9" w:rsidP="00417BE9">
      <w:pPr>
        <w:pStyle w:val="NormalWeb"/>
        <w:spacing w:line="276" w:lineRule="auto"/>
        <w:rPr>
          <w:rFonts w:ascii="Calibri" w:hAnsi="Calibri" w:cs="Calibri"/>
          <w:color w:val="000000"/>
        </w:rPr>
      </w:pPr>
      <w:r>
        <w:rPr>
          <w:rFonts w:ascii="Calibri" w:hAnsi="Calibri" w:cs="Calibri"/>
          <w:color w:val="000000"/>
        </w:rPr>
        <w:t xml:space="preserve">Simmonds, M. (2023). Navigating Estate Dispute: Understanding Challenges &amp; Solutions. WBW Solicitors. Available at: </w:t>
      </w:r>
      <w:hyperlink r:id="rId27" w:history="1">
        <w:r w:rsidRPr="00D0637E">
          <w:rPr>
            <w:rStyle w:val="Hyperlink"/>
            <w:rFonts w:ascii="Calibri" w:hAnsi="Calibri" w:cs="Calibri"/>
          </w:rPr>
          <w:t>https://www.wbw.co.uk/news/general-news/navigating-estate-disputes-amy-read-insights/</w:t>
        </w:r>
      </w:hyperlink>
      <w:r>
        <w:rPr>
          <w:rFonts w:ascii="Calibri" w:hAnsi="Calibri" w:cs="Calibri"/>
          <w:color w:val="000000"/>
        </w:rPr>
        <w:t xml:space="preserve"> (Accessed: 25.02.2026)</w:t>
      </w:r>
    </w:p>
    <w:p w14:paraId="3DF65ED3" w14:textId="1A4E3A80" w:rsidR="00E03B27" w:rsidRPr="00417BE9" w:rsidRDefault="00E03B27" w:rsidP="00417BE9">
      <w:pPr>
        <w:pStyle w:val="NormalWeb"/>
        <w:spacing w:line="276" w:lineRule="auto"/>
        <w:rPr>
          <w:rFonts w:ascii="Calibri" w:hAnsi="Calibri" w:cs="Calibri"/>
          <w:color w:val="000000"/>
        </w:rPr>
      </w:pPr>
      <w:r>
        <w:rPr>
          <w:rFonts w:ascii="Calibri" w:hAnsi="Calibri" w:cs="Calibri"/>
          <w:color w:val="000000"/>
        </w:rPr>
        <w:t>Vlex (2019).</w:t>
      </w:r>
      <w:r w:rsidR="00683C5F">
        <w:rPr>
          <w:rFonts w:ascii="Calibri" w:hAnsi="Calibri" w:cs="Calibri"/>
          <w:color w:val="000000"/>
        </w:rPr>
        <w:t xml:space="preserve"> Breakspear and Others v Ackland and another. Available at: </w:t>
      </w:r>
      <w:hyperlink r:id="rId28" w:history="1">
        <w:r w:rsidR="004C6446" w:rsidRPr="00476300">
          <w:rPr>
            <w:rStyle w:val="Hyperlink"/>
            <w:rFonts w:ascii="Calibri" w:hAnsi="Calibri" w:cs="Calibri"/>
          </w:rPr>
          <w:t>https://vlex.co.uk/vid/breakspear-and-others-v-793273165</w:t>
        </w:r>
      </w:hyperlink>
      <w:r w:rsidR="004C6446">
        <w:rPr>
          <w:rFonts w:ascii="Calibri" w:hAnsi="Calibri" w:cs="Calibri"/>
          <w:color w:val="000000"/>
        </w:rPr>
        <w:t xml:space="preserve"> (accessed: 04.03.2026).</w:t>
      </w:r>
    </w:p>
    <w:p w14:paraId="6924ADFF" w14:textId="54485972" w:rsidR="00D4555F" w:rsidRDefault="00BB316B">
      <w:pPr>
        <w:rPr>
          <w:rFonts w:ascii="Calibri" w:hAnsi="Calibri" w:cs="Calibri"/>
        </w:rPr>
      </w:pPr>
      <w:r>
        <w:rPr>
          <w:rFonts w:ascii="Calibri" w:hAnsi="Calibri" w:cs="Calibri"/>
        </w:rPr>
        <w:t>Vlex</w:t>
      </w:r>
      <w:r w:rsidR="007E47B4">
        <w:rPr>
          <w:rFonts w:ascii="Calibri" w:hAnsi="Calibri" w:cs="Calibri"/>
        </w:rPr>
        <w:t xml:space="preserve"> (2020). Schmidt v Rosewood Trust </w:t>
      </w:r>
      <w:r w:rsidR="003A40D9">
        <w:rPr>
          <w:rFonts w:ascii="Calibri" w:hAnsi="Calibri" w:cs="Calibri"/>
        </w:rPr>
        <w:t>(2003) UKPC 26. Available at</w:t>
      </w:r>
      <w:r w:rsidR="002D7320">
        <w:rPr>
          <w:rFonts w:ascii="Calibri" w:hAnsi="Calibri" w:cs="Calibri"/>
        </w:rPr>
        <w:t>:</w:t>
      </w:r>
      <w:r w:rsidR="00D4555F">
        <w:rPr>
          <w:rFonts w:ascii="Calibri" w:hAnsi="Calibri" w:cs="Calibri"/>
        </w:rPr>
        <w:t xml:space="preserve"> </w:t>
      </w:r>
      <w:hyperlink r:id="rId29" w:history="1">
        <w:r w:rsidR="00D4555F" w:rsidRPr="0049307D">
          <w:rPr>
            <w:rStyle w:val="Hyperlink"/>
            <w:rFonts w:ascii="Calibri" w:hAnsi="Calibri" w:cs="Calibri"/>
          </w:rPr>
          <w:t>https://vlex.co.uk/vid/schmidt-v-rosewood-trust-805725389</w:t>
        </w:r>
      </w:hyperlink>
      <w:r w:rsidR="00D4555F">
        <w:rPr>
          <w:rFonts w:ascii="Calibri" w:hAnsi="Calibri" w:cs="Calibri"/>
        </w:rPr>
        <w:t xml:space="preserve"> (accessed: 27.02.2026)</w:t>
      </w:r>
    </w:p>
    <w:p w14:paraId="7CE1467E" w14:textId="148ACA11" w:rsidR="009836D3" w:rsidRDefault="00FC25D1">
      <w:pPr>
        <w:rPr>
          <w:rFonts w:ascii="Calibri" w:hAnsi="Calibri" w:cs="Calibri"/>
        </w:rPr>
      </w:pPr>
      <w:r>
        <w:rPr>
          <w:rFonts w:ascii="Calibri" w:hAnsi="Calibri" w:cs="Calibri"/>
        </w:rPr>
        <w:t xml:space="preserve">Wong, B. (2022). Do Beneficiaries Have </w:t>
      </w:r>
      <w:r w:rsidR="005222F7">
        <w:rPr>
          <w:rFonts w:ascii="Calibri" w:hAnsi="Calibri" w:cs="Calibri"/>
        </w:rPr>
        <w:t>a</w:t>
      </w:r>
      <w:r>
        <w:rPr>
          <w:rFonts w:ascii="Calibri" w:hAnsi="Calibri" w:cs="Calibri"/>
        </w:rPr>
        <w:t xml:space="preserve"> Right </w:t>
      </w:r>
      <w:r w:rsidR="005222F7">
        <w:rPr>
          <w:rFonts w:ascii="Calibri" w:hAnsi="Calibri" w:cs="Calibri"/>
        </w:rPr>
        <w:t>to</w:t>
      </w:r>
      <w:r>
        <w:rPr>
          <w:rFonts w:ascii="Calibri" w:hAnsi="Calibri" w:cs="Calibri"/>
        </w:rPr>
        <w:t xml:space="preserve"> Trust Information? My</w:t>
      </w:r>
      <w:r w:rsidR="007545E8">
        <w:rPr>
          <w:rFonts w:ascii="Calibri" w:hAnsi="Calibri" w:cs="Calibri"/>
        </w:rPr>
        <w:t xml:space="preserve">erson Solicitors. Available at: </w:t>
      </w:r>
      <w:hyperlink r:id="rId30" w:history="1">
        <w:r w:rsidR="007545E8" w:rsidRPr="00D0637E">
          <w:rPr>
            <w:rStyle w:val="Hyperlink"/>
            <w:rFonts w:ascii="Calibri" w:hAnsi="Calibri" w:cs="Calibri"/>
          </w:rPr>
          <w:t>https://www.myerson.co.uk/news-insights-and-events/do-beneficiaries-have-a-right-to-trust-information</w:t>
        </w:r>
      </w:hyperlink>
      <w:r w:rsidR="007545E8">
        <w:rPr>
          <w:rFonts w:ascii="Calibri" w:hAnsi="Calibri" w:cs="Calibri"/>
        </w:rPr>
        <w:t xml:space="preserve"> (accessed</w:t>
      </w:r>
      <w:r w:rsidR="006F21F5">
        <w:rPr>
          <w:rFonts w:ascii="Calibri" w:hAnsi="Calibri" w:cs="Calibri"/>
        </w:rPr>
        <w:t>: 26.02.2026)</w:t>
      </w:r>
    </w:p>
    <w:p w14:paraId="158DB5A2" w14:textId="77777777" w:rsidR="007545E8" w:rsidRDefault="007545E8">
      <w:pPr>
        <w:rPr>
          <w:rFonts w:ascii="Calibri" w:hAnsi="Calibri" w:cs="Calibri"/>
        </w:rPr>
      </w:pPr>
    </w:p>
    <w:p w14:paraId="325DC3BA" w14:textId="23E8DC37" w:rsidR="004B3A7A" w:rsidRPr="008C3BBD" w:rsidRDefault="004B3A7A">
      <w:pPr>
        <w:rPr>
          <w:rFonts w:ascii="Calibri" w:hAnsi="Calibri" w:cs="Calibri"/>
        </w:rPr>
      </w:pPr>
    </w:p>
    <w:sectPr w:rsidR="004B3A7A" w:rsidRPr="008C3BBD">
      <w:headerReference w:type="default" r:id="rId3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7B3C2DC" w14:textId="77777777" w:rsidR="003B2D05" w:rsidRDefault="003B2D05" w:rsidP="00FF2D12">
      <w:pPr>
        <w:spacing w:after="0" w:line="240" w:lineRule="auto"/>
      </w:pPr>
      <w:r>
        <w:separator/>
      </w:r>
    </w:p>
  </w:endnote>
  <w:endnote w:type="continuationSeparator" w:id="0">
    <w:p w14:paraId="29E455FC" w14:textId="77777777" w:rsidR="003B2D05" w:rsidRDefault="003B2D05" w:rsidP="00FF2D1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B2B6221" w14:textId="77777777" w:rsidR="003B2D05" w:rsidRDefault="003B2D05" w:rsidP="00FF2D12">
      <w:pPr>
        <w:spacing w:after="0" w:line="240" w:lineRule="auto"/>
      </w:pPr>
      <w:r>
        <w:separator/>
      </w:r>
    </w:p>
  </w:footnote>
  <w:footnote w:type="continuationSeparator" w:id="0">
    <w:p w14:paraId="3EDBEB70" w14:textId="77777777" w:rsidR="003B2D05" w:rsidRDefault="003B2D05" w:rsidP="00FF2D1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6E8170" w14:textId="3A278F1A" w:rsidR="00FF2D12" w:rsidRDefault="00FF2D12">
    <w:pPr>
      <w:pStyle w:val="Header"/>
      <w:rPr>
        <w:rFonts w:ascii="Calibri" w:hAnsi="Calibri" w:cs="Calibri"/>
      </w:rPr>
    </w:pPr>
    <w:r>
      <w:rPr>
        <w:rFonts w:ascii="Calibri" w:hAnsi="Calibri" w:cs="Calibri"/>
      </w:rPr>
      <w:t>Diana Demeterova                                                                           Equity and Trust – Assignment 1</w:t>
    </w:r>
  </w:p>
  <w:p w14:paraId="783E0DD0" w14:textId="6CDA69CD" w:rsidR="00FF2D12" w:rsidRPr="00FF2D12" w:rsidRDefault="00FF2D12">
    <w:pPr>
      <w:pStyle w:val="Header"/>
      <w:rPr>
        <w:rFonts w:ascii="Calibri" w:hAnsi="Calibri" w:cs="Calibri"/>
      </w:rPr>
    </w:pPr>
    <w:r>
      <w:rPr>
        <w:rFonts w:ascii="Calibri" w:hAnsi="Calibri" w:cs="Calibri"/>
      </w:rPr>
      <w:t xml:space="preserve">     2314066                                                                                               Law Reform Project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596EA2"/>
    <w:multiLevelType w:val="hybridMultilevel"/>
    <w:tmpl w:val="CB367716"/>
    <w:lvl w:ilvl="0" w:tplc="FFFFFFFF">
      <w:start w:val="1"/>
      <w:numFmt w:val="upp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031733BD"/>
    <w:multiLevelType w:val="hybridMultilevel"/>
    <w:tmpl w:val="676619BC"/>
    <w:lvl w:ilvl="0" w:tplc="08090015">
      <w:start w:val="1"/>
      <w:numFmt w:val="upp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9CA3F27"/>
    <w:multiLevelType w:val="multilevel"/>
    <w:tmpl w:val="1AA0F3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19A4563E"/>
    <w:multiLevelType w:val="hybridMultilevel"/>
    <w:tmpl w:val="FB9C42B8"/>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1C07723C"/>
    <w:multiLevelType w:val="hybridMultilevel"/>
    <w:tmpl w:val="8D4C0A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D0C1DF1"/>
    <w:multiLevelType w:val="hybridMultilevel"/>
    <w:tmpl w:val="FB9C42B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46C039C"/>
    <w:multiLevelType w:val="hybridMultilevel"/>
    <w:tmpl w:val="60BC73C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B25C46"/>
    <w:multiLevelType w:val="multilevel"/>
    <w:tmpl w:val="4FAAB3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36EE7BD1"/>
    <w:multiLevelType w:val="multilevel"/>
    <w:tmpl w:val="89AC18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387C2193"/>
    <w:multiLevelType w:val="multilevel"/>
    <w:tmpl w:val="70C81C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3B4D2AC1"/>
    <w:multiLevelType w:val="multilevel"/>
    <w:tmpl w:val="E01E5B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3F62577B"/>
    <w:multiLevelType w:val="multilevel"/>
    <w:tmpl w:val="CA0CEB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44DB40FA"/>
    <w:multiLevelType w:val="multilevel"/>
    <w:tmpl w:val="DE2CBD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47567921"/>
    <w:multiLevelType w:val="multilevel"/>
    <w:tmpl w:val="6046E9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5CEF7EDB"/>
    <w:multiLevelType w:val="multilevel"/>
    <w:tmpl w:val="DED421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635A50AE"/>
    <w:multiLevelType w:val="multilevel"/>
    <w:tmpl w:val="D9D451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649E3B02"/>
    <w:multiLevelType w:val="hybridMultilevel"/>
    <w:tmpl w:val="676619BC"/>
    <w:lvl w:ilvl="0" w:tplc="FFFFFFFF">
      <w:start w:val="1"/>
      <w:numFmt w:val="upp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7" w15:restartNumberingAfterBreak="0">
    <w:nsid w:val="6636748E"/>
    <w:multiLevelType w:val="multilevel"/>
    <w:tmpl w:val="699E39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73B66F73"/>
    <w:multiLevelType w:val="hybridMultilevel"/>
    <w:tmpl w:val="929CE520"/>
    <w:lvl w:ilvl="0" w:tplc="FFFFFFFF">
      <w:start w:val="1"/>
      <w:numFmt w:val="upp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9" w15:restartNumberingAfterBreak="0">
    <w:nsid w:val="766F5D2A"/>
    <w:multiLevelType w:val="hybridMultilevel"/>
    <w:tmpl w:val="9CF04C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688286089">
    <w:abstractNumId w:val="9"/>
  </w:num>
  <w:num w:numId="2" w16cid:durableId="1922643088">
    <w:abstractNumId w:val="14"/>
  </w:num>
  <w:num w:numId="3" w16cid:durableId="121462794">
    <w:abstractNumId w:val="10"/>
  </w:num>
  <w:num w:numId="4" w16cid:durableId="1692026866">
    <w:abstractNumId w:val="7"/>
  </w:num>
  <w:num w:numId="5" w16cid:durableId="1416512457">
    <w:abstractNumId w:val="13"/>
  </w:num>
  <w:num w:numId="6" w16cid:durableId="659966647">
    <w:abstractNumId w:val="12"/>
  </w:num>
  <w:num w:numId="7" w16cid:durableId="1257859987">
    <w:abstractNumId w:val="2"/>
  </w:num>
  <w:num w:numId="8" w16cid:durableId="1260721435">
    <w:abstractNumId w:val="11"/>
  </w:num>
  <w:num w:numId="9" w16cid:durableId="32586366">
    <w:abstractNumId w:val="15"/>
  </w:num>
  <w:num w:numId="10" w16cid:durableId="1025444269">
    <w:abstractNumId w:val="8"/>
  </w:num>
  <w:num w:numId="11" w16cid:durableId="446579939">
    <w:abstractNumId w:val="17"/>
  </w:num>
  <w:num w:numId="12" w16cid:durableId="1541626465">
    <w:abstractNumId w:val="19"/>
  </w:num>
  <w:num w:numId="13" w16cid:durableId="932863939">
    <w:abstractNumId w:val="1"/>
  </w:num>
  <w:num w:numId="14" w16cid:durableId="2068064038">
    <w:abstractNumId w:val="4"/>
  </w:num>
  <w:num w:numId="15" w16cid:durableId="2063020041">
    <w:abstractNumId w:val="0"/>
  </w:num>
  <w:num w:numId="16" w16cid:durableId="348530747">
    <w:abstractNumId w:val="6"/>
  </w:num>
  <w:num w:numId="17" w16cid:durableId="380132021">
    <w:abstractNumId w:val="5"/>
  </w:num>
  <w:num w:numId="18" w16cid:durableId="1305501700">
    <w:abstractNumId w:val="3"/>
  </w:num>
  <w:num w:numId="19" w16cid:durableId="1327435529">
    <w:abstractNumId w:val="18"/>
  </w:num>
  <w:num w:numId="20" w16cid:durableId="213590212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6"/>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F2D12"/>
    <w:rsid w:val="00000517"/>
    <w:rsid w:val="00015DF7"/>
    <w:rsid w:val="00016656"/>
    <w:rsid w:val="00021AF3"/>
    <w:rsid w:val="00023E88"/>
    <w:rsid w:val="00031D25"/>
    <w:rsid w:val="00032C55"/>
    <w:rsid w:val="000415B8"/>
    <w:rsid w:val="00056247"/>
    <w:rsid w:val="000661F2"/>
    <w:rsid w:val="0008122A"/>
    <w:rsid w:val="00083534"/>
    <w:rsid w:val="00087AB0"/>
    <w:rsid w:val="000937AD"/>
    <w:rsid w:val="00094329"/>
    <w:rsid w:val="00094592"/>
    <w:rsid w:val="000963CB"/>
    <w:rsid w:val="000972D7"/>
    <w:rsid w:val="00097AA6"/>
    <w:rsid w:val="000A124D"/>
    <w:rsid w:val="000A6AF2"/>
    <w:rsid w:val="000B0A3A"/>
    <w:rsid w:val="000B184A"/>
    <w:rsid w:val="000B211E"/>
    <w:rsid w:val="000B464C"/>
    <w:rsid w:val="000B5EF8"/>
    <w:rsid w:val="000B6750"/>
    <w:rsid w:val="000B6842"/>
    <w:rsid w:val="000D20E5"/>
    <w:rsid w:val="000D23A5"/>
    <w:rsid w:val="000D5870"/>
    <w:rsid w:val="000D64B1"/>
    <w:rsid w:val="000D6D8F"/>
    <w:rsid w:val="000E5766"/>
    <w:rsid w:val="000E7C1F"/>
    <w:rsid w:val="000F13EC"/>
    <w:rsid w:val="000F1F08"/>
    <w:rsid w:val="001009F7"/>
    <w:rsid w:val="00100E79"/>
    <w:rsid w:val="00105B7E"/>
    <w:rsid w:val="00106BD2"/>
    <w:rsid w:val="00110594"/>
    <w:rsid w:val="001145F2"/>
    <w:rsid w:val="001152F5"/>
    <w:rsid w:val="00120C1F"/>
    <w:rsid w:val="00122213"/>
    <w:rsid w:val="00127B0E"/>
    <w:rsid w:val="00130806"/>
    <w:rsid w:val="001332BE"/>
    <w:rsid w:val="00134699"/>
    <w:rsid w:val="00134942"/>
    <w:rsid w:val="00135ACF"/>
    <w:rsid w:val="0013679D"/>
    <w:rsid w:val="001407AA"/>
    <w:rsid w:val="001415C7"/>
    <w:rsid w:val="00144A5D"/>
    <w:rsid w:val="00155720"/>
    <w:rsid w:val="001629E9"/>
    <w:rsid w:val="001714FA"/>
    <w:rsid w:val="00176AD3"/>
    <w:rsid w:val="0018374D"/>
    <w:rsid w:val="00183C82"/>
    <w:rsid w:val="00187CCD"/>
    <w:rsid w:val="001913A0"/>
    <w:rsid w:val="001954C0"/>
    <w:rsid w:val="001959A0"/>
    <w:rsid w:val="001A1E87"/>
    <w:rsid w:val="001A5B6F"/>
    <w:rsid w:val="001A7D2A"/>
    <w:rsid w:val="001B2904"/>
    <w:rsid w:val="001B549C"/>
    <w:rsid w:val="001B56B6"/>
    <w:rsid w:val="001C48F1"/>
    <w:rsid w:val="001C7AFE"/>
    <w:rsid w:val="001D10CE"/>
    <w:rsid w:val="001D1BB1"/>
    <w:rsid w:val="001D2AE4"/>
    <w:rsid w:val="001D432F"/>
    <w:rsid w:val="001D6409"/>
    <w:rsid w:val="001D7623"/>
    <w:rsid w:val="001E2C7B"/>
    <w:rsid w:val="001E4242"/>
    <w:rsid w:val="001E461A"/>
    <w:rsid w:val="001F01B5"/>
    <w:rsid w:val="001F11DB"/>
    <w:rsid w:val="001F1D1B"/>
    <w:rsid w:val="001F2933"/>
    <w:rsid w:val="001F37DB"/>
    <w:rsid w:val="001F396B"/>
    <w:rsid w:val="002012AF"/>
    <w:rsid w:val="00206903"/>
    <w:rsid w:val="00206A19"/>
    <w:rsid w:val="00212FA3"/>
    <w:rsid w:val="00215C5D"/>
    <w:rsid w:val="0022359C"/>
    <w:rsid w:val="0022359F"/>
    <w:rsid w:val="00225C89"/>
    <w:rsid w:val="00227113"/>
    <w:rsid w:val="00227190"/>
    <w:rsid w:val="002416FA"/>
    <w:rsid w:val="00241723"/>
    <w:rsid w:val="00246772"/>
    <w:rsid w:val="002506B2"/>
    <w:rsid w:val="00256847"/>
    <w:rsid w:val="00260A46"/>
    <w:rsid w:val="002641E1"/>
    <w:rsid w:val="002644A3"/>
    <w:rsid w:val="00266527"/>
    <w:rsid w:val="0026762A"/>
    <w:rsid w:val="00267919"/>
    <w:rsid w:val="002739ED"/>
    <w:rsid w:val="00273DA8"/>
    <w:rsid w:val="00276FFA"/>
    <w:rsid w:val="0028025B"/>
    <w:rsid w:val="00287F1D"/>
    <w:rsid w:val="002A1F03"/>
    <w:rsid w:val="002A470C"/>
    <w:rsid w:val="002A54AF"/>
    <w:rsid w:val="002B6FCA"/>
    <w:rsid w:val="002C3C36"/>
    <w:rsid w:val="002C5447"/>
    <w:rsid w:val="002C6538"/>
    <w:rsid w:val="002D0155"/>
    <w:rsid w:val="002D2B86"/>
    <w:rsid w:val="002D2F73"/>
    <w:rsid w:val="002D71AE"/>
    <w:rsid w:val="002D7320"/>
    <w:rsid w:val="002E1741"/>
    <w:rsid w:val="002E177A"/>
    <w:rsid w:val="002E6D6A"/>
    <w:rsid w:val="002F2BB5"/>
    <w:rsid w:val="002F6323"/>
    <w:rsid w:val="00302C37"/>
    <w:rsid w:val="003065F3"/>
    <w:rsid w:val="00313014"/>
    <w:rsid w:val="00313A6D"/>
    <w:rsid w:val="00313B24"/>
    <w:rsid w:val="00315078"/>
    <w:rsid w:val="0032667E"/>
    <w:rsid w:val="00330D48"/>
    <w:rsid w:val="003326B7"/>
    <w:rsid w:val="003373A3"/>
    <w:rsid w:val="0034220E"/>
    <w:rsid w:val="0034460F"/>
    <w:rsid w:val="00346561"/>
    <w:rsid w:val="00346C34"/>
    <w:rsid w:val="0035640C"/>
    <w:rsid w:val="00367184"/>
    <w:rsid w:val="003702DF"/>
    <w:rsid w:val="00373D5B"/>
    <w:rsid w:val="00381C26"/>
    <w:rsid w:val="003824BB"/>
    <w:rsid w:val="003873B6"/>
    <w:rsid w:val="00393E24"/>
    <w:rsid w:val="003965C4"/>
    <w:rsid w:val="00397119"/>
    <w:rsid w:val="003A124A"/>
    <w:rsid w:val="003A40D9"/>
    <w:rsid w:val="003B25C6"/>
    <w:rsid w:val="003B2835"/>
    <w:rsid w:val="003B2D05"/>
    <w:rsid w:val="003B427E"/>
    <w:rsid w:val="003B47C2"/>
    <w:rsid w:val="003B67E5"/>
    <w:rsid w:val="003B6CD8"/>
    <w:rsid w:val="003C540D"/>
    <w:rsid w:val="003C77E1"/>
    <w:rsid w:val="003D395D"/>
    <w:rsid w:val="003E23FE"/>
    <w:rsid w:val="003E4245"/>
    <w:rsid w:val="003E56DC"/>
    <w:rsid w:val="003E645A"/>
    <w:rsid w:val="003F08C7"/>
    <w:rsid w:val="003F140F"/>
    <w:rsid w:val="003F164F"/>
    <w:rsid w:val="00406E0C"/>
    <w:rsid w:val="00411A15"/>
    <w:rsid w:val="00415B91"/>
    <w:rsid w:val="004174BC"/>
    <w:rsid w:val="00417BE9"/>
    <w:rsid w:val="00417F05"/>
    <w:rsid w:val="00420433"/>
    <w:rsid w:val="00423198"/>
    <w:rsid w:val="00426F2B"/>
    <w:rsid w:val="00431EE8"/>
    <w:rsid w:val="00433C30"/>
    <w:rsid w:val="00437F30"/>
    <w:rsid w:val="00442459"/>
    <w:rsid w:val="0045375C"/>
    <w:rsid w:val="00453A6B"/>
    <w:rsid w:val="00453FC0"/>
    <w:rsid w:val="004612E5"/>
    <w:rsid w:val="004613A4"/>
    <w:rsid w:val="00462764"/>
    <w:rsid w:val="00465FA7"/>
    <w:rsid w:val="00467358"/>
    <w:rsid w:val="004677AD"/>
    <w:rsid w:val="0047016F"/>
    <w:rsid w:val="00472E7D"/>
    <w:rsid w:val="00481F46"/>
    <w:rsid w:val="00482EBE"/>
    <w:rsid w:val="0048555F"/>
    <w:rsid w:val="00487F06"/>
    <w:rsid w:val="00494357"/>
    <w:rsid w:val="004943FC"/>
    <w:rsid w:val="0049535C"/>
    <w:rsid w:val="004A1ED7"/>
    <w:rsid w:val="004A624D"/>
    <w:rsid w:val="004B08D9"/>
    <w:rsid w:val="004B1C3C"/>
    <w:rsid w:val="004B3A7A"/>
    <w:rsid w:val="004C6446"/>
    <w:rsid w:val="004C663C"/>
    <w:rsid w:val="004C7F8E"/>
    <w:rsid w:val="004D1322"/>
    <w:rsid w:val="004D4CB0"/>
    <w:rsid w:val="004E0078"/>
    <w:rsid w:val="004E0627"/>
    <w:rsid w:val="004E5C2F"/>
    <w:rsid w:val="004F19C2"/>
    <w:rsid w:val="004F27C2"/>
    <w:rsid w:val="005114BF"/>
    <w:rsid w:val="00516EBF"/>
    <w:rsid w:val="005222F7"/>
    <w:rsid w:val="0052731A"/>
    <w:rsid w:val="005302B2"/>
    <w:rsid w:val="005333EF"/>
    <w:rsid w:val="00533FBC"/>
    <w:rsid w:val="00536860"/>
    <w:rsid w:val="00550325"/>
    <w:rsid w:val="00551EC9"/>
    <w:rsid w:val="00556D40"/>
    <w:rsid w:val="00560C7A"/>
    <w:rsid w:val="00561B5F"/>
    <w:rsid w:val="005645C9"/>
    <w:rsid w:val="00565450"/>
    <w:rsid w:val="0056583F"/>
    <w:rsid w:val="00573140"/>
    <w:rsid w:val="0057619A"/>
    <w:rsid w:val="005762AC"/>
    <w:rsid w:val="00580C4B"/>
    <w:rsid w:val="00582023"/>
    <w:rsid w:val="00585385"/>
    <w:rsid w:val="005870C7"/>
    <w:rsid w:val="00587DD1"/>
    <w:rsid w:val="00587E85"/>
    <w:rsid w:val="0059501B"/>
    <w:rsid w:val="005A07CD"/>
    <w:rsid w:val="005A0D53"/>
    <w:rsid w:val="005A2729"/>
    <w:rsid w:val="005B5060"/>
    <w:rsid w:val="005B749E"/>
    <w:rsid w:val="005C6224"/>
    <w:rsid w:val="005C759D"/>
    <w:rsid w:val="005D40EF"/>
    <w:rsid w:val="005D61A1"/>
    <w:rsid w:val="005D7154"/>
    <w:rsid w:val="005E1CA5"/>
    <w:rsid w:val="005F0279"/>
    <w:rsid w:val="005F6710"/>
    <w:rsid w:val="005F6E0F"/>
    <w:rsid w:val="00603147"/>
    <w:rsid w:val="00603860"/>
    <w:rsid w:val="006105D0"/>
    <w:rsid w:val="0061294D"/>
    <w:rsid w:val="0061393F"/>
    <w:rsid w:val="006142A4"/>
    <w:rsid w:val="0061473C"/>
    <w:rsid w:val="006266FF"/>
    <w:rsid w:val="006272F8"/>
    <w:rsid w:val="00632EA9"/>
    <w:rsid w:val="006344D3"/>
    <w:rsid w:val="00636B40"/>
    <w:rsid w:val="00637C5D"/>
    <w:rsid w:val="006418B4"/>
    <w:rsid w:val="00644E76"/>
    <w:rsid w:val="006451A1"/>
    <w:rsid w:val="00645636"/>
    <w:rsid w:val="00650035"/>
    <w:rsid w:val="006536D6"/>
    <w:rsid w:val="00655C0B"/>
    <w:rsid w:val="00681C54"/>
    <w:rsid w:val="0068248E"/>
    <w:rsid w:val="00683C5F"/>
    <w:rsid w:val="00687ACC"/>
    <w:rsid w:val="006955AA"/>
    <w:rsid w:val="006A2B4D"/>
    <w:rsid w:val="006A3E8A"/>
    <w:rsid w:val="006A5604"/>
    <w:rsid w:val="006A6D1B"/>
    <w:rsid w:val="006B42C5"/>
    <w:rsid w:val="006B6C51"/>
    <w:rsid w:val="006C2961"/>
    <w:rsid w:val="006C2BD7"/>
    <w:rsid w:val="006C2E03"/>
    <w:rsid w:val="006D2729"/>
    <w:rsid w:val="006D5B98"/>
    <w:rsid w:val="006D6D23"/>
    <w:rsid w:val="006D7CD9"/>
    <w:rsid w:val="006E217A"/>
    <w:rsid w:val="006F21F5"/>
    <w:rsid w:val="006F3679"/>
    <w:rsid w:val="006F7914"/>
    <w:rsid w:val="00702D0E"/>
    <w:rsid w:val="0071222F"/>
    <w:rsid w:val="00715242"/>
    <w:rsid w:val="00716E3A"/>
    <w:rsid w:val="00720388"/>
    <w:rsid w:val="0072245F"/>
    <w:rsid w:val="00724E13"/>
    <w:rsid w:val="0073401F"/>
    <w:rsid w:val="007359C3"/>
    <w:rsid w:val="00742668"/>
    <w:rsid w:val="00743D77"/>
    <w:rsid w:val="00744003"/>
    <w:rsid w:val="00744862"/>
    <w:rsid w:val="00745744"/>
    <w:rsid w:val="0075232D"/>
    <w:rsid w:val="007527C6"/>
    <w:rsid w:val="00753646"/>
    <w:rsid w:val="007545E8"/>
    <w:rsid w:val="00755061"/>
    <w:rsid w:val="00755BD7"/>
    <w:rsid w:val="00757216"/>
    <w:rsid w:val="007637B5"/>
    <w:rsid w:val="00766281"/>
    <w:rsid w:val="0076678E"/>
    <w:rsid w:val="00767607"/>
    <w:rsid w:val="007716C7"/>
    <w:rsid w:val="00776643"/>
    <w:rsid w:val="0077719D"/>
    <w:rsid w:val="007A2B2A"/>
    <w:rsid w:val="007B0EDF"/>
    <w:rsid w:val="007C00F9"/>
    <w:rsid w:val="007D525F"/>
    <w:rsid w:val="007D5BB1"/>
    <w:rsid w:val="007E0DBE"/>
    <w:rsid w:val="007E47B4"/>
    <w:rsid w:val="007F0A56"/>
    <w:rsid w:val="007F394C"/>
    <w:rsid w:val="007F7257"/>
    <w:rsid w:val="007F7E0E"/>
    <w:rsid w:val="00800F63"/>
    <w:rsid w:val="00804F94"/>
    <w:rsid w:val="00805690"/>
    <w:rsid w:val="00807EF8"/>
    <w:rsid w:val="008163F2"/>
    <w:rsid w:val="00820860"/>
    <w:rsid w:val="00825073"/>
    <w:rsid w:val="008253B9"/>
    <w:rsid w:val="0082694F"/>
    <w:rsid w:val="00834496"/>
    <w:rsid w:val="00835321"/>
    <w:rsid w:val="00840024"/>
    <w:rsid w:val="008406AA"/>
    <w:rsid w:val="00842488"/>
    <w:rsid w:val="00847995"/>
    <w:rsid w:val="00851C0A"/>
    <w:rsid w:val="008551CA"/>
    <w:rsid w:val="00855517"/>
    <w:rsid w:val="00856578"/>
    <w:rsid w:val="00861311"/>
    <w:rsid w:val="00865F89"/>
    <w:rsid w:val="00865FB2"/>
    <w:rsid w:val="00865FC5"/>
    <w:rsid w:val="008747E6"/>
    <w:rsid w:val="00877C1B"/>
    <w:rsid w:val="00881D1E"/>
    <w:rsid w:val="008927D7"/>
    <w:rsid w:val="008943F0"/>
    <w:rsid w:val="00894832"/>
    <w:rsid w:val="008A3268"/>
    <w:rsid w:val="008A3CCF"/>
    <w:rsid w:val="008A4BF4"/>
    <w:rsid w:val="008B0BCC"/>
    <w:rsid w:val="008B3FB8"/>
    <w:rsid w:val="008C1A23"/>
    <w:rsid w:val="008C3BBD"/>
    <w:rsid w:val="008C5DD7"/>
    <w:rsid w:val="008C6914"/>
    <w:rsid w:val="008C7DF1"/>
    <w:rsid w:val="008D1671"/>
    <w:rsid w:val="008D3D12"/>
    <w:rsid w:val="008D5F2A"/>
    <w:rsid w:val="008D69F5"/>
    <w:rsid w:val="008E0FA0"/>
    <w:rsid w:val="008E11A5"/>
    <w:rsid w:val="008E1AEA"/>
    <w:rsid w:val="008E1B33"/>
    <w:rsid w:val="008E7528"/>
    <w:rsid w:val="008F1B95"/>
    <w:rsid w:val="0090339C"/>
    <w:rsid w:val="00911B44"/>
    <w:rsid w:val="00914926"/>
    <w:rsid w:val="00917409"/>
    <w:rsid w:val="00926CBB"/>
    <w:rsid w:val="009302E6"/>
    <w:rsid w:val="0093772B"/>
    <w:rsid w:val="00952C5D"/>
    <w:rsid w:val="00962292"/>
    <w:rsid w:val="009670BE"/>
    <w:rsid w:val="0097464E"/>
    <w:rsid w:val="0097742E"/>
    <w:rsid w:val="0098128C"/>
    <w:rsid w:val="009836D3"/>
    <w:rsid w:val="009850B0"/>
    <w:rsid w:val="00991BBA"/>
    <w:rsid w:val="0099258A"/>
    <w:rsid w:val="00993C38"/>
    <w:rsid w:val="00996D4A"/>
    <w:rsid w:val="009A2A8E"/>
    <w:rsid w:val="009A5436"/>
    <w:rsid w:val="009A7712"/>
    <w:rsid w:val="009B114C"/>
    <w:rsid w:val="009B4032"/>
    <w:rsid w:val="009C4F54"/>
    <w:rsid w:val="009D21D8"/>
    <w:rsid w:val="009D52AC"/>
    <w:rsid w:val="009E31A8"/>
    <w:rsid w:val="009E3696"/>
    <w:rsid w:val="009E512D"/>
    <w:rsid w:val="009F6187"/>
    <w:rsid w:val="009F75CA"/>
    <w:rsid w:val="00A0038E"/>
    <w:rsid w:val="00A14E5E"/>
    <w:rsid w:val="00A20AB7"/>
    <w:rsid w:val="00A25334"/>
    <w:rsid w:val="00A35AC5"/>
    <w:rsid w:val="00A360C2"/>
    <w:rsid w:val="00A462BF"/>
    <w:rsid w:val="00A47873"/>
    <w:rsid w:val="00A55941"/>
    <w:rsid w:val="00A62933"/>
    <w:rsid w:val="00A639AE"/>
    <w:rsid w:val="00A702D1"/>
    <w:rsid w:val="00A71121"/>
    <w:rsid w:val="00A75A03"/>
    <w:rsid w:val="00A779EA"/>
    <w:rsid w:val="00A812A0"/>
    <w:rsid w:val="00A8364A"/>
    <w:rsid w:val="00A93C69"/>
    <w:rsid w:val="00AB0F2F"/>
    <w:rsid w:val="00AB7245"/>
    <w:rsid w:val="00AC00E2"/>
    <w:rsid w:val="00AC13B4"/>
    <w:rsid w:val="00AC24F9"/>
    <w:rsid w:val="00AD03C7"/>
    <w:rsid w:val="00AD7ABC"/>
    <w:rsid w:val="00AD7BAB"/>
    <w:rsid w:val="00AE19AC"/>
    <w:rsid w:val="00AF0A31"/>
    <w:rsid w:val="00AF4C5B"/>
    <w:rsid w:val="00B03FD5"/>
    <w:rsid w:val="00B04A45"/>
    <w:rsid w:val="00B10404"/>
    <w:rsid w:val="00B13045"/>
    <w:rsid w:val="00B15D0F"/>
    <w:rsid w:val="00B1611C"/>
    <w:rsid w:val="00B17E41"/>
    <w:rsid w:val="00B21779"/>
    <w:rsid w:val="00B221F5"/>
    <w:rsid w:val="00B227C5"/>
    <w:rsid w:val="00B242A1"/>
    <w:rsid w:val="00B275A9"/>
    <w:rsid w:val="00B275CA"/>
    <w:rsid w:val="00B32B18"/>
    <w:rsid w:val="00B44EB9"/>
    <w:rsid w:val="00B46806"/>
    <w:rsid w:val="00B56F02"/>
    <w:rsid w:val="00B62FB0"/>
    <w:rsid w:val="00B6714E"/>
    <w:rsid w:val="00B67727"/>
    <w:rsid w:val="00B72331"/>
    <w:rsid w:val="00B737AC"/>
    <w:rsid w:val="00B7463B"/>
    <w:rsid w:val="00B749D0"/>
    <w:rsid w:val="00B810C4"/>
    <w:rsid w:val="00B835F0"/>
    <w:rsid w:val="00B845BC"/>
    <w:rsid w:val="00B8523A"/>
    <w:rsid w:val="00B86DF3"/>
    <w:rsid w:val="00B9053D"/>
    <w:rsid w:val="00B93C37"/>
    <w:rsid w:val="00B94168"/>
    <w:rsid w:val="00B94643"/>
    <w:rsid w:val="00BA04DD"/>
    <w:rsid w:val="00BA1275"/>
    <w:rsid w:val="00BA37D8"/>
    <w:rsid w:val="00BA57FA"/>
    <w:rsid w:val="00BA64E8"/>
    <w:rsid w:val="00BA6B27"/>
    <w:rsid w:val="00BB2778"/>
    <w:rsid w:val="00BB316B"/>
    <w:rsid w:val="00BB3E03"/>
    <w:rsid w:val="00BB46DE"/>
    <w:rsid w:val="00BB49B6"/>
    <w:rsid w:val="00BB5B62"/>
    <w:rsid w:val="00BC3CE5"/>
    <w:rsid w:val="00BC5558"/>
    <w:rsid w:val="00BC5629"/>
    <w:rsid w:val="00BC7853"/>
    <w:rsid w:val="00BC7C19"/>
    <w:rsid w:val="00BD3500"/>
    <w:rsid w:val="00BD3C2C"/>
    <w:rsid w:val="00BD47DD"/>
    <w:rsid w:val="00BE6B78"/>
    <w:rsid w:val="00BF252D"/>
    <w:rsid w:val="00BF4F57"/>
    <w:rsid w:val="00BF5179"/>
    <w:rsid w:val="00C0158E"/>
    <w:rsid w:val="00C019E6"/>
    <w:rsid w:val="00C01C00"/>
    <w:rsid w:val="00C06280"/>
    <w:rsid w:val="00C107A9"/>
    <w:rsid w:val="00C16CA1"/>
    <w:rsid w:val="00C17AC5"/>
    <w:rsid w:val="00C205BD"/>
    <w:rsid w:val="00C232B4"/>
    <w:rsid w:val="00C26D11"/>
    <w:rsid w:val="00C26F57"/>
    <w:rsid w:val="00C26FC0"/>
    <w:rsid w:val="00C304F6"/>
    <w:rsid w:val="00C32D3D"/>
    <w:rsid w:val="00C365AD"/>
    <w:rsid w:val="00C371FE"/>
    <w:rsid w:val="00C44000"/>
    <w:rsid w:val="00C5321D"/>
    <w:rsid w:val="00C565EA"/>
    <w:rsid w:val="00C654B9"/>
    <w:rsid w:val="00C73039"/>
    <w:rsid w:val="00C80EB1"/>
    <w:rsid w:val="00C842E5"/>
    <w:rsid w:val="00C92388"/>
    <w:rsid w:val="00C94054"/>
    <w:rsid w:val="00C9733E"/>
    <w:rsid w:val="00CA2933"/>
    <w:rsid w:val="00CA37EE"/>
    <w:rsid w:val="00CB1B9B"/>
    <w:rsid w:val="00CB5C5A"/>
    <w:rsid w:val="00CB6170"/>
    <w:rsid w:val="00CB6565"/>
    <w:rsid w:val="00CE0C66"/>
    <w:rsid w:val="00CE257E"/>
    <w:rsid w:val="00CE4AC6"/>
    <w:rsid w:val="00CF578A"/>
    <w:rsid w:val="00CF6A17"/>
    <w:rsid w:val="00CF7729"/>
    <w:rsid w:val="00D01BC9"/>
    <w:rsid w:val="00D05CFF"/>
    <w:rsid w:val="00D0761B"/>
    <w:rsid w:val="00D2057A"/>
    <w:rsid w:val="00D21227"/>
    <w:rsid w:val="00D21FF3"/>
    <w:rsid w:val="00D250EB"/>
    <w:rsid w:val="00D34849"/>
    <w:rsid w:val="00D36308"/>
    <w:rsid w:val="00D376CD"/>
    <w:rsid w:val="00D40390"/>
    <w:rsid w:val="00D42181"/>
    <w:rsid w:val="00D4555F"/>
    <w:rsid w:val="00D47327"/>
    <w:rsid w:val="00D509D9"/>
    <w:rsid w:val="00D51C7B"/>
    <w:rsid w:val="00D5272D"/>
    <w:rsid w:val="00D54633"/>
    <w:rsid w:val="00D572C1"/>
    <w:rsid w:val="00D64A04"/>
    <w:rsid w:val="00D71DBD"/>
    <w:rsid w:val="00D72BF3"/>
    <w:rsid w:val="00D7798B"/>
    <w:rsid w:val="00D81F1A"/>
    <w:rsid w:val="00D92BF2"/>
    <w:rsid w:val="00D9595E"/>
    <w:rsid w:val="00D95DC9"/>
    <w:rsid w:val="00DA12F1"/>
    <w:rsid w:val="00DA5C49"/>
    <w:rsid w:val="00DB3E51"/>
    <w:rsid w:val="00DC07D6"/>
    <w:rsid w:val="00DC52AB"/>
    <w:rsid w:val="00DD39DB"/>
    <w:rsid w:val="00DD6070"/>
    <w:rsid w:val="00DD62FC"/>
    <w:rsid w:val="00DE4407"/>
    <w:rsid w:val="00DE6793"/>
    <w:rsid w:val="00DF0CAC"/>
    <w:rsid w:val="00DF39B2"/>
    <w:rsid w:val="00DF4EC6"/>
    <w:rsid w:val="00DF6827"/>
    <w:rsid w:val="00DF7511"/>
    <w:rsid w:val="00E03B27"/>
    <w:rsid w:val="00E062EC"/>
    <w:rsid w:val="00E0688F"/>
    <w:rsid w:val="00E102C2"/>
    <w:rsid w:val="00E11649"/>
    <w:rsid w:val="00E11676"/>
    <w:rsid w:val="00E1649A"/>
    <w:rsid w:val="00E16E68"/>
    <w:rsid w:val="00E20232"/>
    <w:rsid w:val="00E2028F"/>
    <w:rsid w:val="00E20ACB"/>
    <w:rsid w:val="00E20CD9"/>
    <w:rsid w:val="00E22B96"/>
    <w:rsid w:val="00E34ABC"/>
    <w:rsid w:val="00E35704"/>
    <w:rsid w:val="00E40A0B"/>
    <w:rsid w:val="00E41DB7"/>
    <w:rsid w:val="00E438A4"/>
    <w:rsid w:val="00E67567"/>
    <w:rsid w:val="00E67B2D"/>
    <w:rsid w:val="00E70606"/>
    <w:rsid w:val="00E70D02"/>
    <w:rsid w:val="00E71C00"/>
    <w:rsid w:val="00E746D1"/>
    <w:rsid w:val="00E832A7"/>
    <w:rsid w:val="00E9098F"/>
    <w:rsid w:val="00E91D43"/>
    <w:rsid w:val="00EA4764"/>
    <w:rsid w:val="00EA5F4E"/>
    <w:rsid w:val="00EB4C6C"/>
    <w:rsid w:val="00EB72D8"/>
    <w:rsid w:val="00EC04C4"/>
    <w:rsid w:val="00EC2CAE"/>
    <w:rsid w:val="00EC6262"/>
    <w:rsid w:val="00ED449F"/>
    <w:rsid w:val="00EE06A0"/>
    <w:rsid w:val="00EE080F"/>
    <w:rsid w:val="00EE11BA"/>
    <w:rsid w:val="00EE4761"/>
    <w:rsid w:val="00EE7585"/>
    <w:rsid w:val="00EF2A6A"/>
    <w:rsid w:val="00F004D2"/>
    <w:rsid w:val="00F01EE5"/>
    <w:rsid w:val="00F03FBC"/>
    <w:rsid w:val="00F07C15"/>
    <w:rsid w:val="00F11629"/>
    <w:rsid w:val="00F1169E"/>
    <w:rsid w:val="00F129CA"/>
    <w:rsid w:val="00F16600"/>
    <w:rsid w:val="00F16C75"/>
    <w:rsid w:val="00F26C98"/>
    <w:rsid w:val="00F27DB6"/>
    <w:rsid w:val="00F304C7"/>
    <w:rsid w:val="00F41876"/>
    <w:rsid w:val="00F50A32"/>
    <w:rsid w:val="00F55369"/>
    <w:rsid w:val="00F6521D"/>
    <w:rsid w:val="00F67FB9"/>
    <w:rsid w:val="00F71A50"/>
    <w:rsid w:val="00F7789E"/>
    <w:rsid w:val="00F8471A"/>
    <w:rsid w:val="00F87100"/>
    <w:rsid w:val="00F875F4"/>
    <w:rsid w:val="00FA18E4"/>
    <w:rsid w:val="00FA1AFC"/>
    <w:rsid w:val="00FA6959"/>
    <w:rsid w:val="00FA7A7A"/>
    <w:rsid w:val="00FB0405"/>
    <w:rsid w:val="00FB415B"/>
    <w:rsid w:val="00FB4EDE"/>
    <w:rsid w:val="00FB698B"/>
    <w:rsid w:val="00FC1867"/>
    <w:rsid w:val="00FC25D1"/>
    <w:rsid w:val="00FC4FCE"/>
    <w:rsid w:val="00FC75D4"/>
    <w:rsid w:val="00FD11B7"/>
    <w:rsid w:val="00FD193B"/>
    <w:rsid w:val="00FD7511"/>
    <w:rsid w:val="00FF0B67"/>
    <w:rsid w:val="00FF2D12"/>
    <w:rsid w:val="00FF6043"/>
    <w:rsid w:val="00FF731B"/>
    <w:rsid w:val="00FF756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355954DD"/>
  <w15:chartTrackingRefBased/>
  <w15:docId w15:val="{7E80EF4C-2527-B847-92BB-25873EBE9A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32C55"/>
    <w:pPr>
      <w:spacing w:after="160" w:line="278" w:lineRule="auto"/>
    </w:pPr>
  </w:style>
  <w:style w:type="paragraph" w:styleId="Heading1">
    <w:name w:val="heading 1"/>
    <w:basedOn w:val="Normal"/>
    <w:next w:val="Normal"/>
    <w:link w:val="Heading1Char"/>
    <w:uiPriority w:val="9"/>
    <w:qFormat/>
    <w:rsid w:val="00FF2D1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FF2D1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FF2D1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FF2D1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F2D1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F2D12"/>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F2D12"/>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F2D12"/>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F2D12"/>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F2D1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FF2D1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FF2D1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FF2D1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F2D1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F2D1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F2D1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F2D1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F2D12"/>
    <w:rPr>
      <w:rFonts w:eastAsiaTheme="majorEastAsia" w:cstheme="majorBidi"/>
      <w:color w:val="272727" w:themeColor="text1" w:themeTint="D8"/>
    </w:rPr>
  </w:style>
  <w:style w:type="paragraph" w:styleId="Title">
    <w:name w:val="Title"/>
    <w:basedOn w:val="Normal"/>
    <w:next w:val="Normal"/>
    <w:link w:val="TitleChar"/>
    <w:uiPriority w:val="10"/>
    <w:qFormat/>
    <w:rsid w:val="00FF2D12"/>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F2D1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F2D1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F2D1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F2D12"/>
    <w:pPr>
      <w:spacing w:before="160"/>
      <w:jc w:val="center"/>
    </w:pPr>
    <w:rPr>
      <w:i/>
      <w:iCs/>
      <w:color w:val="404040" w:themeColor="text1" w:themeTint="BF"/>
    </w:rPr>
  </w:style>
  <w:style w:type="character" w:customStyle="1" w:styleId="QuoteChar">
    <w:name w:val="Quote Char"/>
    <w:basedOn w:val="DefaultParagraphFont"/>
    <w:link w:val="Quote"/>
    <w:uiPriority w:val="29"/>
    <w:rsid w:val="00FF2D12"/>
    <w:rPr>
      <w:i/>
      <w:iCs/>
      <w:color w:val="404040" w:themeColor="text1" w:themeTint="BF"/>
    </w:rPr>
  </w:style>
  <w:style w:type="paragraph" w:styleId="ListParagraph">
    <w:name w:val="List Paragraph"/>
    <w:basedOn w:val="Normal"/>
    <w:uiPriority w:val="34"/>
    <w:qFormat/>
    <w:rsid w:val="00FF2D12"/>
    <w:pPr>
      <w:ind w:left="720"/>
      <w:contextualSpacing/>
    </w:pPr>
  </w:style>
  <w:style w:type="character" w:styleId="IntenseEmphasis">
    <w:name w:val="Intense Emphasis"/>
    <w:basedOn w:val="DefaultParagraphFont"/>
    <w:uiPriority w:val="21"/>
    <w:qFormat/>
    <w:rsid w:val="00FF2D12"/>
    <w:rPr>
      <w:i/>
      <w:iCs/>
      <w:color w:val="0F4761" w:themeColor="accent1" w:themeShade="BF"/>
    </w:rPr>
  </w:style>
  <w:style w:type="paragraph" w:styleId="IntenseQuote">
    <w:name w:val="Intense Quote"/>
    <w:basedOn w:val="Normal"/>
    <w:next w:val="Normal"/>
    <w:link w:val="IntenseQuoteChar"/>
    <w:uiPriority w:val="30"/>
    <w:qFormat/>
    <w:rsid w:val="00FF2D1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F2D12"/>
    <w:rPr>
      <w:i/>
      <w:iCs/>
      <w:color w:val="0F4761" w:themeColor="accent1" w:themeShade="BF"/>
    </w:rPr>
  </w:style>
  <w:style w:type="character" w:styleId="IntenseReference">
    <w:name w:val="Intense Reference"/>
    <w:basedOn w:val="DefaultParagraphFont"/>
    <w:uiPriority w:val="32"/>
    <w:qFormat/>
    <w:rsid w:val="00FF2D12"/>
    <w:rPr>
      <w:b/>
      <w:bCs/>
      <w:smallCaps/>
      <w:color w:val="0F4761" w:themeColor="accent1" w:themeShade="BF"/>
      <w:spacing w:val="5"/>
    </w:rPr>
  </w:style>
  <w:style w:type="paragraph" w:styleId="Header">
    <w:name w:val="header"/>
    <w:basedOn w:val="Normal"/>
    <w:link w:val="HeaderChar"/>
    <w:uiPriority w:val="99"/>
    <w:unhideWhenUsed/>
    <w:rsid w:val="00FF2D12"/>
    <w:pPr>
      <w:tabs>
        <w:tab w:val="center" w:pos="4513"/>
        <w:tab w:val="right" w:pos="9026"/>
      </w:tabs>
    </w:pPr>
  </w:style>
  <w:style w:type="character" w:customStyle="1" w:styleId="HeaderChar">
    <w:name w:val="Header Char"/>
    <w:basedOn w:val="DefaultParagraphFont"/>
    <w:link w:val="Header"/>
    <w:uiPriority w:val="99"/>
    <w:rsid w:val="00FF2D12"/>
  </w:style>
  <w:style w:type="paragraph" w:styleId="Footer">
    <w:name w:val="footer"/>
    <w:basedOn w:val="Normal"/>
    <w:link w:val="FooterChar"/>
    <w:uiPriority w:val="99"/>
    <w:unhideWhenUsed/>
    <w:rsid w:val="00FF2D12"/>
    <w:pPr>
      <w:tabs>
        <w:tab w:val="center" w:pos="4513"/>
        <w:tab w:val="right" w:pos="9026"/>
      </w:tabs>
    </w:pPr>
  </w:style>
  <w:style w:type="character" w:customStyle="1" w:styleId="FooterChar">
    <w:name w:val="Footer Char"/>
    <w:basedOn w:val="DefaultParagraphFont"/>
    <w:link w:val="Footer"/>
    <w:uiPriority w:val="99"/>
    <w:rsid w:val="00FF2D12"/>
  </w:style>
  <w:style w:type="paragraph" w:styleId="NormalWeb">
    <w:name w:val="Normal (Web)"/>
    <w:basedOn w:val="Normal"/>
    <w:uiPriority w:val="99"/>
    <w:unhideWhenUsed/>
    <w:rsid w:val="000D23A5"/>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customStyle="1" w:styleId="apple-converted-space">
    <w:name w:val="apple-converted-space"/>
    <w:basedOn w:val="DefaultParagraphFont"/>
    <w:rsid w:val="009836D3"/>
  </w:style>
  <w:style w:type="character" w:styleId="Hyperlink">
    <w:name w:val="Hyperlink"/>
    <w:basedOn w:val="DefaultParagraphFont"/>
    <w:uiPriority w:val="99"/>
    <w:unhideWhenUsed/>
    <w:rsid w:val="007545E8"/>
    <w:rPr>
      <w:color w:val="467886" w:themeColor="hyperlink"/>
      <w:u w:val="single"/>
    </w:rPr>
  </w:style>
  <w:style w:type="character" w:styleId="UnresolvedMention">
    <w:name w:val="Unresolved Mention"/>
    <w:basedOn w:val="DefaultParagraphFont"/>
    <w:uiPriority w:val="99"/>
    <w:semiHidden/>
    <w:unhideWhenUsed/>
    <w:rsid w:val="007545E8"/>
    <w:rPr>
      <w:color w:val="605E5C"/>
      <w:shd w:val="clear" w:color="auto" w:fill="E1DFDD"/>
    </w:rPr>
  </w:style>
  <w:style w:type="character" w:styleId="Strong">
    <w:name w:val="Strong"/>
    <w:basedOn w:val="DefaultParagraphFont"/>
    <w:uiPriority w:val="22"/>
    <w:qFormat/>
    <w:rsid w:val="005F6710"/>
    <w:rPr>
      <w:b/>
      <w:bCs/>
    </w:rPr>
  </w:style>
  <w:style w:type="character" w:styleId="Emphasis">
    <w:name w:val="Emphasis"/>
    <w:basedOn w:val="DefaultParagraphFont"/>
    <w:uiPriority w:val="20"/>
    <w:qFormat/>
    <w:rsid w:val="005F6710"/>
    <w:rPr>
      <w:i/>
      <w:iCs/>
    </w:rPr>
  </w:style>
  <w:style w:type="paragraph" w:customStyle="1" w:styleId="paragraph">
    <w:name w:val="paragraph"/>
    <w:basedOn w:val="Normal"/>
    <w:rsid w:val="008A4BF4"/>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customStyle="1" w:styleId="normaltextrun">
    <w:name w:val="normaltextrun"/>
    <w:basedOn w:val="DefaultParagraphFont"/>
    <w:rsid w:val="008A4BF4"/>
  </w:style>
  <w:style w:type="character" w:customStyle="1" w:styleId="eop">
    <w:name w:val="eop"/>
    <w:basedOn w:val="DefaultParagraphFont"/>
    <w:rsid w:val="008A4BF4"/>
  </w:style>
  <w:style w:type="character" w:customStyle="1" w:styleId="scxw195928839">
    <w:name w:val="scxw195928839"/>
    <w:basedOn w:val="DefaultParagraphFont"/>
    <w:rsid w:val="008A4BF4"/>
  </w:style>
  <w:style w:type="character" w:styleId="FollowedHyperlink">
    <w:name w:val="FollowedHyperlink"/>
    <w:basedOn w:val="DefaultParagraphFont"/>
    <w:uiPriority w:val="99"/>
    <w:semiHidden/>
    <w:unhideWhenUsed/>
    <w:rsid w:val="00580C4B"/>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thepfs.org/news-insight/news/articles/trustees-duties-and-beneficiaries-rights-under-trusts/01db6bfc-9b2e-4105-b071-9905a3142654" TargetMode="External"/><Relationship Id="rId18" Type="http://schemas.openxmlformats.org/officeDocument/2006/relationships/hyperlink" Target="https://www.irwinmitchell.com/personal/guides/probate-guide/beneficiary-rights" TargetMode="External"/><Relationship Id="rId26" Type="http://schemas.openxmlformats.org/officeDocument/2006/relationships/hyperlink" Target="https://www.judiciary.uk/wp-content/uploads/2023/11/Churchill.APPROVED-JUDGMENTS-2.pdf" TargetMode="External"/><Relationship Id="rId3" Type="http://schemas.openxmlformats.org/officeDocument/2006/relationships/settings" Target="settings.xml"/><Relationship Id="rId21" Type="http://schemas.openxmlformats.org/officeDocument/2006/relationships/hyperlink" Target="https://www.lexisnexis.co.uk/legal/private-client-law/trusts/administration-of-trusts" TargetMode="External"/><Relationship Id="rId7" Type="http://schemas.openxmlformats.org/officeDocument/2006/relationships/hyperlink" Target="https://www.thegazette.co.uk/all-notices/content/103984" TargetMode="External"/><Relationship Id="rId12" Type="http://schemas.openxmlformats.org/officeDocument/2006/relationships/hyperlink" Target="https://www.ashurst.com/en/insights/mandate-to-mediate-compelled-alternative-dispute-resolution-in-england/" TargetMode="External"/><Relationship Id="rId17" Type="http://schemas.openxmlformats.org/officeDocument/2006/relationships/hyperlink" Target="https://holbech.co.uk/trustees-duties-to-provide-documents/" TargetMode="External"/><Relationship Id="rId25" Type="http://schemas.openxmlformats.org/officeDocument/2006/relationships/hyperlink" Target="https://plus-lexis-com.uwtsd.idm.oclc.org/uk/cases-uk/in-re-londonderrys-settlement-peat-and-others/?crid=45f5e8a9-1af8-40bc-a031-04b44d1e579e&amp;pdproductcontenttypeid=urn:pct:285&amp;pdiskwicview=false&amp;pdpinpoint=" TargetMode="External"/><Relationship Id="rId33"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s://www.thepfs.org/news-insight/news/articles/trustees-duties-and-beneficiaries-rights-under-trusts/01db6bfc-9b2e-4105-b071-9905a3142654?utm_source=chatgpt.com" TargetMode="External"/><Relationship Id="rId20" Type="http://schemas.openxmlformats.org/officeDocument/2006/relationships/hyperlink" Target="https://www.legislation.gov.uk/ukpga/2000/29/contents" TargetMode="External"/><Relationship Id="rId29" Type="http://schemas.openxmlformats.org/officeDocument/2006/relationships/hyperlink" Target="https://vlex.co.uk/vid/schmidt-v-rosewood-trust-805725389"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mondaq.com/uk/civil-law/1552378/new-rules-allow-courts-in-england-and-wales-to-order-use-of-alternative-dispute-resolution" TargetMode="External"/><Relationship Id="rId24" Type="http://schemas.openxmlformats.org/officeDocument/2006/relationships/hyperlink" Target="https://plus-lexis-com.uwtsd.idm.oclc.org/uk/cases-uk/halsey-v-milton-keynes-general-nhs-trust-and/?crid=bb6585c6-e71b-497e-824f-184271a10f9c&amp;pddocumentnumber=1" TargetMode="External"/><Relationship Id="rId32"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https://www.hsfkramer.com/notes/pwtd/2018-06/english-high-court-considers-scope-of-beneficiaries-right-to-request-information-from-trustees" TargetMode="External"/><Relationship Id="rId23" Type="http://schemas.openxmlformats.org/officeDocument/2006/relationships/hyperlink" Target="https://www.lexisnexis.co.uk/legal/guidance/equitable-remedies-in-contractual-disputes" TargetMode="External"/><Relationship Id="rId28" Type="http://schemas.openxmlformats.org/officeDocument/2006/relationships/hyperlink" Target="https://vlex.co.uk/vid/breakspear-and-others-v-793273165" TargetMode="External"/><Relationship Id="rId10" Type="http://schemas.openxmlformats.org/officeDocument/2006/relationships/hyperlink" Target="https://plus-lexis-com.uwtsd.idm.oclc.org/uk/cases-uk/breakspear-and-others-v-ackland-and-another-_6/?crid=8e994d10-dada-4f92-b072-e395e084cf3f&amp;pddocumentnumber=5" TargetMode="External"/><Relationship Id="rId19" Type="http://schemas.openxmlformats.org/officeDocument/2006/relationships/hyperlink" Target="https://www.kingsleynapley.co.uk/services/department/dispute-resolution/trust-and-estate-disputes/trustees/provision-of-information-by-trustees-to-beneficiaries" TargetMode="External"/><Relationship Id="rId31"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s://commonslibrary.parliament.uk/legislative-consent-what-why-and-how/" TargetMode="External"/><Relationship Id="rId14" Type="http://schemas.openxmlformats.org/officeDocument/2006/relationships/hyperlink" Target="https://clermonttrust.com/modern-trust-administration/" TargetMode="External"/><Relationship Id="rId22" Type="http://schemas.openxmlformats.org/officeDocument/2006/relationships/hyperlink" Target="https://www.lexisnexis.co.uk/legal/guidance/trust-disputes-beneficiaries-rights-to-information" TargetMode="External"/><Relationship Id="rId27" Type="http://schemas.openxmlformats.org/officeDocument/2006/relationships/hyperlink" Target="https://www.wbw.co.uk/news/general-news/navigating-estate-disputes-amy-read-insights/" TargetMode="External"/><Relationship Id="rId30" Type="http://schemas.openxmlformats.org/officeDocument/2006/relationships/hyperlink" Target="https://www.myerson.co.uk/news-insights-and-events/do-beneficiaries-have-a-right-to-trust-information" TargetMode="External"/><Relationship Id="rId8" Type="http://schemas.openxmlformats.org/officeDocument/2006/relationships/hyperlink" Target="https://www.bakerandpartners.com/insights/round-2-transparency-v-right-to-confidentialit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639</TotalTime>
  <Pages>13</Pages>
  <Words>4798</Words>
  <Characters>27349</Characters>
  <Application>Microsoft Office Word</Application>
  <DocSecurity>0</DocSecurity>
  <Lines>227</Lines>
  <Paragraphs>64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32083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diana demeterova</dc:creator>
  <cp:keywords/>
  <dc:description/>
  <cp:lastModifiedBy>diana demeterova</cp:lastModifiedBy>
  <cp:revision>649</cp:revision>
  <dcterms:created xsi:type="dcterms:W3CDTF">2026-02-26T14:27:00Z</dcterms:created>
  <dcterms:modified xsi:type="dcterms:W3CDTF">2026-03-13T19:24:00Z</dcterms:modified>
</cp:coreProperties>
</file>