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3E27E" w14:textId="77777777" w:rsidR="009E2128" w:rsidRDefault="009E2128">
      <w:pPr>
        <w:pStyle w:val="TOCHeading"/>
      </w:pPr>
    </w:p>
    <w:p w14:paraId="6F694E16" w14:textId="77777777" w:rsidR="009E2128" w:rsidRDefault="009E2128" w:rsidP="009E2128"/>
    <w:p w14:paraId="431C660D" w14:textId="77777777" w:rsidR="009E2128" w:rsidRDefault="009E2128" w:rsidP="009E2128"/>
    <w:p w14:paraId="62734E5B" w14:textId="77777777" w:rsidR="009E2128" w:rsidRDefault="009E2128" w:rsidP="009E2128"/>
    <w:p w14:paraId="049ECD57" w14:textId="77777777" w:rsidR="009E2128" w:rsidRDefault="009E2128" w:rsidP="009E2128"/>
    <w:p w14:paraId="13B6B560" w14:textId="77777777" w:rsidR="009E2128" w:rsidRDefault="009E2128" w:rsidP="009E2128"/>
    <w:p w14:paraId="65E7FFB9" w14:textId="77777777" w:rsidR="009E2128" w:rsidRDefault="009E2128" w:rsidP="009E2128"/>
    <w:p w14:paraId="7F4CC69F" w14:textId="77777777" w:rsidR="009E2128" w:rsidRDefault="009E2128" w:rsidP="009E2128"/>
    <w:p w14:paraId="4BA1A3BC" w14:textId="77777777" w:rsidR="009E2128" w:rsidRDefault="009E2128" w:rsidP="009E2128"/>
    <w:p w14:paraId="63AD1E6E" w14:textId="77777777" w:rsidR="009E2128" w:rsidRDefault="009E2128" w:rsidP="009E2128"/>
    <w:p w14:paraId="44898D60" w14:textId="77777777" w:rsidR="009E2128" w:rsidRDefault="009E2128" w:rsidP="009E2128"/>
    <w:p w14:paraId="6C017DE1" w14:textId="29A8D1EF" w:rsidR="009E2128" w:rsidRPr="009E2128" w:rsidRDefault="009E2128" w:rsidP="009E2128">
      <w:pPr>
        <w:spacing w:line="360" w:lineRule="auto"/>
        <w:jc w:val="center"/>
        <w:rPr>
          <w:lang w:val="ro-RO"/>
        </w:rPr>
      </w:pPr>
      <w:r w:rsidRPr="009E2128">
        <w:t>Module: LCBB5004</w:t>
      </w:r>
      <w:r w:rsidRPr="009E2128">
        <w:rPr>
          <w:lang w:val="ro-RO"/>
        </w:rPr>
        <w:t xml:space="preserve"> </w:t>
      </w:r>
      <w:r w:rsidRPr="009E2128">
        <w:t>Managing People</w:t>
      </w:r>
    </w:p>
    <w:p w14:paraId="1047110F" w14:textId="25ED6303" w:rsidR="009E2128" w:rsidRPr="009E2128" w:rsidRDefault="009E2128" w:rsidP="009E2128">
      <w:pPr>
        <w:spacing w:line="360" w:lineRule="auto"/>
        <w:jc w:val="center"/>
        <w:rPr>
          <w:lang w:val="ro-RO"/>
        </w:rPr>
      </w:pPr>
      <w:r w:rsidRPr="009E2128">
        <w:t xml:space="preserve">Lecturer: Samuel Ofori  </w:t>
      </w:r>
    </w:p>
    <w:p w14:paraId="11662AB8" w14:textId="77777777" w:rsidR="009E2128" w:rsidRPr="009E2128" w:rsidRDefault="009E2128" w:rsidP="009E2128">
      <w:pPr>
        <w:spacing w:line="360" w:lineRule="auto"/>
        <w:jc w:val="center"/>
      </w:pPr>
      <w:r w:rsidRPr="009E2128">
        <w:t>Student: Laura Bardas</w:t>
      </w:r>
    </w:p>
    <w:p w14:paraId="17818626" w14:textId="77777777" w:rsidR="009E2128" w:rsidRPr="009E2128" w:rsidRDefault="009E2128" w:rsidP="009E2128">
      <w:pPr>
        <w:spacing w:line="360" w:lineRule="auto"/>
        <w:jc w:val="center"/>
      </w:pPr>
      <w:r w:rsidRPr="009E2128">
        <w:t>Student ID: 2128922</w:t>
      </w:r>
    </w:p>
    <w:p w14:paraId="7324F8DF" w14:textId="03EAEB9E" w:rsidR="009E2128" w:rsidRPr="009E2128" w:rsidRDefault="009E2128" w:rsidP="009E2128">
      <w:pPr>
        <w:spacing w:after="0" w:line="259" w:lineRule="auto"/>
        <w:ind w:left="2" w:right="0" w:firstLine="0"/>
        <w:jc w:val="center"/>
      </w:pPr>
      <w:r w:rsidRPr="009E2128">
        <w:t>Assignment title: Assessment Component 2</w:t>
      </w:r>
      <w:r w:rsidRPr="009E2128">
        <w:t xml:space="preserve"> - </w:t>
      </w:r>
      <w:r w:rsidRPr="009E2128">
        <w:t>Individual report</w:t>
      </w:r>
    </w:p>
    <w:p w14:paraId="15C2770B" w14:textId="77777777" w:rsidR="009E2128" w:rsidRPr="009E2128" w:rsidRDefault="009E2128" w:rsidP="009E2128"/>
    <w:p w14:paraId="03829BB3" w14:textId="77777777" w:rsidR="009E2128" w:rsidRPr="009E2128" w:rsidRDefault="009E2128" w:rsidP="009E2128"/>
    <w:p w14:paraId="281E55C3" w14:textId="77777777" w:rsidR="009E2128" w:rsidRPr="009E2128" w:rsidRDefault="009E2128" w:rsidP="009E2128"/>
    <w:p w14:paraId="068DB8D2" w14:textId="77777777" w:rsidR="009E2128" w:rsidRDefault="009E2128" w:rsidP="009E2128"/>
    <w:p w14:paraId="152899BA" w14:textId="77777777" w:rsidR="009E2128" w:rsidRDefault="009E2128" w:rsidP="009E2128"/>
    <w:p w14:paraId="3A5F3272" w14:textId="77777777" w:rsidR="009E2128" w:rsidRDefault="009E2128" w:rsidP="009E2128"/>
    <w:p w14:paraId="52D3505E" w14:textId="77777777" w:rsidR="009E2128" w:rsidRDefault="009E2128" w:rsidP="009E2128"/>
    <w:p w14:paraId="2FFEC119" w14:textId="77777777" w:rsidR="009E2128" w:rsidRDefault="009E2128" w:rsidP="009E2128"/>
    <w:p w14:paraId="266451C6" w14:textId="77777777" w:rsidR="009E2128" w:rsidRDefault="009E2128" w:rsidP="009E2128"/>
    <w:p w14:paraId="6B3654E5" w14:textId="77777777" w:rsidR="009E2128" w:rsidRDefault="009E2128" w:rsidP="009E2128"/>
    <w:p w14:paraId="73160271" w14:textId="77777777" w:rsidR="009E2128" w:rsidRDefault="009E2128" w:rsidP="009E2128"/>
    <w:p w14:paraId="7D9FB20C" w14:textId="77777777" w:rsidR="009E2128" w:rsidRDefault="009E2128" w:rsidP="009E2128"/>
    <w:p w14:paraId="784F675D" w14:textId="77777777" w:rsidR="009E2128" w:rsidRDefault="009E2128" w:rsidP="009E2128"/>
    <w:p w14:paraId="6211EB12" w14:textId="77777777" w:rsidR="009E2128" w:rsidRDefault="009E2128" w:rsidP="009E2128"/>
    <w:p w14:paraId="4E39587D" w14:textId="77777777" w:rsidR="009E2128" w:rsidRDefault="009E2128" w:rsidP="009E2128"/>
    <w:p w14:paraId="0D8F0EBA" w14:textId="77777777" w:rsidR="009E2128" w:rsidRDefault="009E2128" w:rsidP="009E2128"/>
    <w:p w14:paraId="36DAF9C7" w14:textId="77777777" w:rsidR="009E2128" w:rsidRDefault="009E2128" w:rsidP="009E2128"/>
    <w:p w14:paraId="5041D984" w14:textId="77777777" w:rsidR="009E2128" w:rsidRDefault="009E2128" w:rsidP="009E2128"/>
    <w:p w14:paraId="57D6A444" w14:textId="77777777" w:rsidR="009E2128" w:rsidRDefault="009E2128" w:rsidP="009E2128"/>
    <w:p w14:paraId="2CF539DD" w14:textId="77777777" w:rsidR="009E2128" w:rsidRDefault="009E2128" w:rsidP="009E2128"/>
    <w:p w14:paraId="279BCB31" w14:textId="77777777" w:rsidR="009E2128" w:rsidRDefault="009E2128" w:rsidP="009E2128"/>
    <w:p w14:paraId="03827A4C" w14:textId="77777777" w:rsidR="009E2128" w:rsidRDefault="009E2128" w:rsidP="009E2128"/>
    <w:sdt>
      <w:sdtPr>
        <w:id w:val="1312984513"/>
        <w:docPartObj>
          <w:docPartGallery w:val="Table of Contents"/>
          <w:docPartUnique/>
        </w:docPartObj>
      </w:sdtPr>
      <w:sdtEndPr>
        <w:rPr>
          <w:b/>
          <w:bCs/>
          <w:noProof/>
        </w:rPr>
      </w:sdtEndPr>
      <w:sdtContent>
        <w:p w14:paraId="3BDC6CFE" w14:textId="1ECEEDB8" w:rsidR="009E2128" w:rsidRPr="009E2128" w:rsidRDefault="009E2128" w:rsidP="009E2128">
          <w:pPr>
            <w:rPr>
              <w:lang w:val="en-US" w:eastAsia="en-US"/>
            </w:rPr>
          </w:pPr>
        </w:p>
        <w:p w14:paraId="576FE25E" w14:textId="77777777" w:rsidR="009E2128" w:rsidRDefault="009E2128">
          <w:pPr>
            <w:pStyle w:val="TOCHeading"/>
          </w:pPr>
        </w:p>
        <w:p w14:paraId="52338010" w14:textId="77777777" w:rsidR="009E2128" w:rsidRDefault="009E2128">
          <w:pPr>
            <w:pStyle w:val="TOCHeading"/>
          </w:pPr>
        </w:p>
        <w:p w14:paraId="23377848" w14:textId="7A4C0A49" w:rsidR="009E2128" w:rsidRDefault="009E2128">
          <w:pPr>
            <w:pStyle w:val="TOCHeading"/>
          </w:pPr>
          <w:r>
            <w:t>Table of Contents</w:t>
          </w:r>
        </w:p>
        <w:p w14:paraId="54F60407" w14:textId="3FE8C9FC" w:rsidR="009E2128" w:rsidRDefault="009E2128">
          <w:pPr>
            <w:pStyle w:val="TOC1"/>
            <w:tabs>
              <w:tab w:val="right" w:leader="dot" w:pos="9016"/>
            </w:tabs>
            <w:rPr>
              <w:rFonts w:eastAsiaTheme="minorEastAsia" w:cstheme="minorBidi"/>
              <w:b w:val="0"/>
              <w:bCs w:val="0"/>
              <w:i w:val="0"/>
              <w:iCs w:val="0"/>
              <w:noProof/>
              <w:color w:val="auto"/>
              <w:kern w:val="2"/>
              <w:lang w:val="en-RO"/>
              <w14:ligatures w14:val="standardContextual"/>
            </w:rPr>
          </w:pPr>
          <w:r>
            <w:rPr>
              <w:b w:val="0"/>
              <w:bCs w:val="0"/>
            </w:rPr>
            <w:fldChar w:fldCharType="begin"/>
          </w:r>
          <w:r>
            <w:instrText xml:space="preserve"> TOC \o "1-3" \h \z \u </w:instrText>
          </w:r>
          <w:r>
            <w:rPr>
              <w:b w:val="0"/>
              <w:bCs w:val="0"/>
            </w:rPr>
            <w:fldChar w:fldCharType="separate"/>
          </w:r>
          <w:hyperlink w:anchor="_Toc140750238" w:history="1">
            <w:r w:rsidRPr="00D42188">
              <w:rPr>
                <w:rStyle w:val="Hyperlink"/>
                <w:noProof/>
              </w:rPr>
              <w:t>Introduction</w:t>
            </w:r>
            <w:r>
              <w:rPr>
                <w:noProof/>
                <w:webHidden/>
              </w:rPr>
              <w:tab/>
            </w:r>
            <w:r>
              <w:rPr>
                <w:noProof/>
                <w:webHidden/>
              </w:rPr>
              <w:fldChar w:fldCharType="begin"/>
            </w:r>
            <w:r>
              <w:rPr>
                <w:noProof/>
                <w:webHidden/>
              </w:rPr>
              <w:instrText xml:space="preserve"> PAGEREF _Toc140750238 \h </w:instrText>
            </w:r>
            <w:r>
              <w:rPr>
                <w:noProof/>
                <w:webHidden/>
              </w:rPr>
            </w:r>
            <w:r>
              <w:rPr>
                <w:noProof/>
                <w:webHidden/>
              </w:rPr>
              <w:fldChar w:fldCharType="separate"/>
            </w:r>
            <w:r>
              <w:rPr>
                <w:noProof/>
                <w:webHidden/>
              </w:rPr>
              <w:t>3</w:t>
            </w:r>
            <w:r>
              <w:rPr>
                <w:noProof/>
                <w:webHidden/>
              </w:rPr>
              <w:fldChar w:fldCharType="end"/>
            </w:r>
          </w:hyperlink>
        </w:p>
        <w:p w14:paraId="7D055788" w14:textId="205C7064" w:rsidR="009E2128" w:rsidRDefault="009E2128">
          <w:pPr>
            <w:pStyle w:val="TOC1"/>
            <w:tabs>
              <w:tab w:val="right" w:leader="dot" w:pos="9016"/>
            </w:tabs>
            <w:rPr>
              <w:rFonts w:eastAsiaTheme="minorEastAsia" w:cstheme="minorBidi"/>
              <w:b w:val="0"/>
              <w:bCs w:val="0"/>
              <w:i w:val="0"/>
              <w:iCs w:val="0"/>
              <w:noProof/>
              <w:color w:val="auto"/>
              <w:kern w:val="2"/>
              <w:lang w:val="en-RO"/>
              <w14:ligatures w14:val="standardContextual"/>
            </w:rPr>
          </w:pPr>
          <w:hyperlink w:anchor="_Toc140750239" w:history="1">
            <w:r w:rsidRPr="00D42188">
              <w:rPr>
                <w:rStyle w:val="Hyperlink"/>
                <w:noProof/>
              </w:rPr>
              <w:t>Outline the benefits of implementing flexible working strategies into the organisation</w:t>
            </w:r>
            <w:r>
              <w:rPr>
                <w:noProof/>
                <w:webHidden/>
              </w:rPr>
              <w:tab/>
            </w:r>
            <w:r>
              <w:rPr>
                <w:noProof/>
                <w:webHidden/>
              </w:rPr>
              <w:fldChar w:fldCharType="begin"/>
            </w:r>
            <w:r>
              <w:rPr>
                <w:noProof/>
                <w:webHidden/>
              </w:rPr>
              <w:instrText xml:space="preserve"> PAGEREF _Toc140750239 \h </w:instrText>
            </w:r>
            <w:r>
              <w:rPr>
                <w:noProof/>
                <w:webHidden/>
              </w:rPr>
            </w:r>
            <w:r>
              <w:rPr>
                <w:noProof/>
                <w:webHidden/>
              </w:rPr>
              <w:fldChar w:fldCharType="separate"/>
            </w:r>
            <w:r>
              <w:rPr>
                <w:noProof/>
                <w:webHidden/>
              </w:rPr>
              <w:t>3</w:t>
            </w:r>
            <w:r>
              <w:rPr>
                <w:noProof/>
                <w:webHidden/>
              </w:rPr>
              <w:fldChar w:fldCharType="end"/>
            </w:r>
          </w:hyperlink>
        </w:p>
        <w:p w14:paraId="50FBF830" w14:textId="4EF1B6C7" w:rsidR="009E2128" w:rsidRDefault="009E2128">
          <w:pPr>
            <w:pStyle w:val="TOC1"/>
            <w:tabs>
              <w:tab w:val="right" w:leader="dot" w:pos="9016"/>
            </w:tabs>
            <w:rPr>
              <w:rFonts w:eastAsiaTheme="minorEastAsia" w:cstheme="minorBidi"/>
              <w:b w:val="0"/>
              <w:bCs w:val="0"/>
              <w:i w:val="0"/>
              <w:iCs w:val="0"/>
              <w:noProof/>
              <w:color w:val="auto"/>
              <w:kern w:val="2"/>
              <w:lang w:val="en-RO"/>
              <w14:ligatures w14:val="standardContextual"/>
            </w:rPr>
          </w:pPr>
          <w:hyperlink w:anchor="_Toc140750240" w:history="1">
            <w:r w:rsidRPr="00D42188">
              <w:rPr>
                <w:rStyle w:val="Hyperlink"/>
                <w:noProof/>
                <w:lang w:eastAsia="en-US"/>
              </w:rPr>
              <w:t>Describ</w:t>
            </w:r>
            <w:r w:rsidRPr="00D42188">
              <w:rPr>
                <w:rStyle w:val="Hyperlink"/>
                <w:noProof/>
              </w:rPr>
              <w:t>e</w:t>
            </w:r>
            <w:r w:rsidRPr="00D42188">
              <w:rPr>
                <w:rStyle w:val="Hyperlink"/>
                <w:noProof/>
                <w:lang w:eastAsia="en-US"/>
              </w:rPr>
              <w:t xml:space="preserve"> what the firm, and more specifically the HR department, should consider before implementing flexible working to the employee workforce</w:t>
            </w:r>
            <w:r>
              <w:rPr>
                <w:noProof/>
                <w:webHidden/>
              </w:rPr>
              <w:tab/>
            </w:r>
            <w:r>
              <w:rPr>
                <w:noProof/>
                <w:webHidden/>
              </w:rPr>
              <w:fldChar w:fldCharType="begin"/>
            </w:r>
            <w:r>
              <w:rPr>
                <w:noProof/>
                <w:webHidden/>
              </w:rPr>
              <w:instrText xml:space="preserve"> PAGEREF _Toc140750240 \h </w:instrText>
            </w:r>
            <w:r>
              <w:rPr>
                <w:noProof/>
                <w:webHidden/>
              </w:rPr>
            </w:r>
            <w:r>
              <w:rPr>
                <w:noProof/>
                <w:webHidden/>
              </w:rPr>
              <w:fldChar w:fldCharType="separate"/>
            </w:r>
            <w:r>
              <w:rPr>
                <w:noProof/>
                <w:webHidden/>
              </w:rPr>
              <w:t>4</w:t>
            </w:r>
            <w:r>
              <w:rPr>
                <w:noProof/>
                <w:webHidden/>
              </w:rPr>
              <w:fldChar w:fldCharType="end"/>
            </w:r>
          </w:hyperlink>
        </w:p>
        <w:p w14:paraId="6D6D25F9" w14:textId="7BEDF19F" w:rsidR="009E2128" w:rsidRDefault="009E2128">
          <w:pPr>
            <w:pStyle w:val="TOC1"/>
            <w:tabs>
              <w:tab w:val="right" w:leader="dot" w:pos="9016"/>
            </w:tabs>
            <w:rPr>
              <w:rFonts w:eastAsiaTheme="minorEastAsia" w:cstheme="minorBidi"/>
              <w:b w:val="0"/>
              <w:bCs w:val="0"/>
              <w:i w:val="0"/>
              <w:iCs w:val="0"/>
              <w:noProof/>
              <w:color w:val="auto"/>
              <w:kern w:val="2"/>
              <w:lang w:val="en-RO"/>
              <w14:ligatures w14:val="standardContextual"/>
            </w:rPr>
          </w:pPr>
          <w:hyperlink w:anchor="_Toc140750241" w:history="1">
            <w:r w:rsidRPr="00D42188">
              <w:rPr>
                <w:rStyle w:val="Hyperlink"/>
                <w:noProof/>
                <w:lang w:eastAsia="en-US"/>
              </w:rPr>
              <w:t>Discuss how the pay structure may need to be reconfigured if this were to be implemented.</w:t>
            </w:r>
            <w:r>
              <w:rPr>
                <w:noProof/>
                <w:webHidden/>
              </w:rPr>
              <w:tab/>
            </w:r>
            <w:r>
              <w:rPr>
                <w:noProof/>
                <w:webHidden/>
              </w:rPr>
              <w:fldChar w:fldCharType="begin"/>
            </w:r>
            <w:r>
              <w:rPr>
                <w:noProof/>
                <w:webHidden/>
              </w:rPr>
              <w:instrText xml:space="preserve"> PAGEREF _Toc140750241 \h </w:instrText>
            </w:r>
            <w:r>
              <w:rPr>
                <w:noProof/>
                <w:webHidden/>
              </w:rPr>
            </w:r>
            <w:r>
              <w:rPr>
                <w:noProof/>
                <w:webHidden/>
              </w:rPr>
              <w:fldChar w:fldCharType="separate"/>
            </w:r>
            <w:r>
              <w:rPr>
                <w:noProof/>
                <w:webHidden/>
              </w:rPr>
              <w:t>5</w:t>
            </w:r>
            <w:r>
              <w:rPr>
                <w:noProof/>
                <w:webHidden/>
              </w:rPr>
              <w:fldChar w:fldCharType="end"/>
            </w:r>
          </w:hyperlink>
        </w:p>
        <w:p w14:paraId="0F56A7D0" w14:textId="125B2AF1" w:rsidR="009E2128" w:rsidRDefault="009E2128">
          <w:pPr>
            <w:pStyle w:val="TOC1"/>
            <w:tabs>
              <w:tab w:val="right" w:leader="dot" w:pos="9016"/>
            </w:tabs>
            <w:rPr>
              <w:rFonts w:eastAsiaTheme="minorEastAsia" w:cstheme="minorBidi"/>
              <w:b w:val="0"/>
              <w:bCs w:val="0"/>
              <w:i w:val="0"/>
              <w:iCs w:val="0"/>
              <w:noProof/>
              <w:color w:val="auto"/>
              <w:kern w:val="2"/>
              <w:lang w:val="en-RO"/>
              <w14:ligatures w14:val="standardContextual"/>
            </w:rPr>
          </w:pPr>
          <w:hyperlink w:anchor="_Toc140750242" w:history="1">
            <w:r w:rsidRPr="00D42188">
              <w:rPr>
                <w:rStyle w:val="Hyperlink"/>
                <w:noProof/>
                <w:lang w:eastAsia="en-US"/>
              </w:rPr>
              <w:t>Evaluate strategies to promote employee engagement whiles implementing flexible working</w:t>
            </w:r>
            <w:r>
              <w:rPr>
                <w:noProof/>
                <w:webHidden/>
              </w:rPr>
              <w:tab/>
            </w:r>
            <w:r>
              <w:rPr>
                <w:noProof/>
                <w:webHidden/>
              </w:rPr>
              <w:fldChar w:fldCharType="begin"/>
            </w:r>
            <w:r>
              <w:rPr>
                <w:noProof/>
                <w:webHidden/>
              </w:rPr>
              <w:instrText xml:space="preserve"> PAGEREF _Toc140750242 \h </w:instrText>
            </w:r>
            <w:r>
              <w:rPr>
                <w:noProof/>
                <w:webHidden/>
              </w:rPr>
            </w:r>
            <w:r>
              <w:rPr>
                <w:noProof/>
                <w:webHidden/>
              </w:rPr>
              <w:fldChar w:fldCharType="separate"/>
            </w:r>
            <w:r>
              <w:rPr>
                <w:noProof/>
                <w:webHidden/>
              </w:rPr>
              <w:t>6</w:t>
            </w:r>
            <w:r>
              <w:rPr>
                <w:noProof/>
                <w:webHidden/>
              </w:rPr>
              <w:fldChar w:fldCharType="end"/>
            </w:r>
          </w:hyperlink>
        </w:p>
        <w:p w14:paraId="0A708ED6" w14:textId="3E6B511B" w:rsidR="009E2128" w:rsidRDefault="009E2128">
          <w:pPr>
            <w:pStyle w:val="TOC1"/>
            <w:tabs>
              <w:tab w:val="right" w:leader="dot" w:pos="9016"/>
            </w:tabs>
            <w:rPr>
              <w:rFonts w:eastAsiaTheme="minorEastAsia" w:cstheme="minorBidi"/>
              <w:b w:val="0"/>
              <w:bCs w:val="0"/>
              <w:i w:val="0"/>
              <w:iCs w:val="0"/>
              <w:noProof/>
              <w:color w:val="auto"/>
              <w:kern w:val="2"/>
              <w:lang w:val="en-RO"/>
              <w14:ligatures w14:val="standardContextual"/>
            </w:rPr>
          </w:pPr>
          <w:hyperlink w:anchor="_Toc140750243" w:history="1">
            <w:r w:rsidRPr="00D42188">
              <w:rPr>
                <w:rStyle w:val="Hyperlink"/>
                <w:noProof/>
                <w:lang w:eastAsia="en-US"/>
              </w:rPr>
              <w:t>Provid</w:t>
            </w:r>
            <w:r w:rsidRPr="00D42188">
              <w:rPr>
                <w:rStyle w:val="Hyperlink"/>
                <w:noProof/>
              </w:rPr>
              <w:t>e</w:t>
            </w:r>
            <w:r w:rsidRPr="00D42188">
              <w:rPr>
                <w:rStyle w:val="Hyperlink"/>
                <w:noProof/>
                <w:lang w:eastAsia="en-US"/>
              </w:rPr>
              <w:t xml:space="preserve"> industry-based examples of similar organisations that have successfully implemented flexible working strategies into the organisation</w:t>
            </w:r>
            <w:r>
              <w:rPr>
                <w:noProof/>
                <w:webHidden/>
              </w:rPr>
              <w:tab/>
            </w:r>
            <w:r>
              <w:rPr>
                <w:noProof/>
                <w:webHidden/>
              </w:rPr>
              <w:fldChar w:fldCharType="begin"/>
            </w:r>
            <w:r>
              <w:rPr>
                <w:noProof/>
                <w:webHidden/>
              </w:rPr>
              <w:instrText xml:space="preserve"> PAGEREF _Toc140750243 \h </w:instrText>
            </w:r>
            <w:r>
              <w:rPr>
                <w:noProof/>
                <w:webHidden/>
              </w:rPr>
            </w:r>
            <w:r>
              <w:rPr>
                <w:noProof/>
                <w:webHidden/>
              </w:rPr>
              <w:fldChar w:fldCharType="separate"/>
            </w:r>
            <w:r>
              <w:rPr>
                <w:noProof/>
                <w:webHidden/>
              </w:rPr>
              <w:t>7</w:t>
            </w:r>
            <w:r>
              <w:rPr>
                <w:noProof/>
                <w:webHidden/>
              </w:rPr>
              <w:fldChar w:fldCharType="end"/>
            </w:r>
          </w:hyperlink>
        </w:p>
        <w:p w14:paraId="1B246B08" w14:textId="59DB2DD3" w:rsidR="009E2128" w:rsidRDefault="009E2128">
          <w:pPr>
            <w:pStyle w:val="TOC1"/>
            <w:tabs>
              <w:tab w:val="right" w:leader="dot" w:pos="9016"/>
            </w:tabs>
            <w:rPr>
              <w:rFonts w:eastAsiaTheme="minorEastAsia" w:cstheme="minorBidi"/>
              <w:b w:val="0"/>
              <w:bCs w:val="0"/>
              <w:i w:val="0"/>
              <w:iCs w:val="0"/>
              <w:noProof/>
              <w:color w:val="auto"/>
              <w:kern w:val="2"/>
              <w:lang w:val="en-RO"/>
              <w14:ligatures w14:val="standardContextual"/>
            </w:rPr>
          </w:pPr>
          <w:hyperlink w:anchor="_Toc140750244" w:history="1">
            <w:r w:rsidRPr="00D42188">
              <w:rPr>
                <w:rStyle w:val="Hyperlink"/>
                <w:noProof/>
              </w:rPr>
              <w:t>References:</w:t>
            </w:r>
            <w:r>
              <w:rPr>
                <w:noProof/>
                <w:webHidden/>
              </w:rPr>
              <w:tab/>
            </w:r>
            <w:r>
              <w:rPr>
                <w:noProof/>
                <w:webHidden/>
              </w:rPr>
              <w:fldChar w:fldCharType="begin"/>
            </w:r>
            <w:r>
              <w:rPr>
                <w:noProof/>
                <w:webHidden/>
              </w:rPr>
              <w:instrText xml:space="preserve"> PAGEREF _Toc140750244 \h </w:instrText>
            </w:r>
            <w:r>
              <w:rPr>
                <w:noProof/>
                <w:webHidden/>
              </w:rPr>
            </w:r>
            <w:r>
              <w:rPr>
                <w:noProof/>
                <w:webHidden/>
              </w:rPr>
              <w:fldChar w:fldCharType="separate"/>
            </w:r>
            <w:r>
              <w:rPr>
                <w:noProof/>
                <w:webHidden/>
              </w:rPr>
              <w:t>9</w:t>
            </w:r>
            <w:r>
              <w:rPr>
                <w:noProof/>
                <w:webHidden/>
              </w:rPr>
              <w:fldChar w:fldCharType="end"/>
            </w:r>
          </w:hyperlink>
        </w:p>
        <w:p w14:paraId="220E279E" w14:textId="5F2AC9BA" w:rsidR="009E2128" w:rsidRDefault="009E2128">
          <w:r>
            <w:rPr>
              <w:b/>
              <w:bCs/>
              <w:noProof/>
            </w:rPr>
            <w:fldChar w:fldCharType="end"/>
          </w:r>
        </w:p>
      </w:sdtContent>
    </w:sdt>
    <w:p w14:paraId="1C8375E7" w14:textId="77777777" w:rsidR="009E2128" w:rsidRDefault="009E2128" w:rsidP="009E2128">
      <w:pPr>
        <w:pStyle w:val="Heading1"/>
      </w:pPr>
    </w:p>
    <w:p w14:paraId="19CD4BAB" w14:textId="77777777" w:rsidR="009E2128" w:rsidRDefault="009E2128" w:rsidP="009E2128"/>
    <w:p w14:paraId="715AF8F5" w14:textId="77777777" w:rsidR="009E2128" w:rsidRDefault="009E2128" w:rsidP="009E2128"/>
    <w:p w14:paraId="29D160C1" w14:textId="77777777" w:rsidR="009E2128" w:rsidRDefault="009E2128" w:rsidP="009E2128"/>
    <w:p w14:paraId="29732571" w14:textId="77777777" w:rsidR="009E2128" w:rsidRDefault="009E2128" w:rsidP="009E2128"/>
    <w:p w14:paraId="229DCD2F" w14:textId="77777777" w:rsidR="009E2128" w:rsidRDefault="009E2128" w:rsidP="009E2128"/>
    <w:p w14:paraId="73B88254" w14:textId="77777777" w:rsidR="009E2128" w:rsidRDefault="009E2128" w:rsidP="009E2128"/>
    <w:p w14:paraId="19470E5E" w14:textId="77777777" w:rsidR="009E2128" w:rsidRDefault="009E2128" w:rsidP="009E2128"/>
    <w:p w14:paraId="1D3103E2" w14:textId="77777777" w:rsidR="009E2128" w:rsidRDefault="009E2128" w:rsidP="009E2128"/>
    <w:p w14:paraId="51C3E87B" w14:textId="77777777" w:rsidR="009E2128" w:rsidRDefault="009E2128" w:rsidP="009E2128"/>
    <w:p w14:paraId="22C3D6E6" w14:textId="77777777" w:rsidR="009E2128" w:rsidRDefault="009E2128" w:rsidP="009E2128"/>
    <w:p w14:paraId="078CFB7C" w14:textId="77777777" w:rsidR="009E2128" w:rsidRDefault="009E2128" w:rsidP="009E2128"/>
    <w:p w14:paraId="63C92EDB" w14:textId="77777777" w:rsidR="009E2128" w:rsidRDefault="009E2128" w:rsidP="009E2128"/>
    <w:p w14:paraId="779B0E36" w14:textId="77777777" w:rsidR="009E2128" w:rsidRDefault="009E2128" w:rsidP="009E2128"/>
    <w:p w14:paraId="647C63D4" w14:textId="77777777" w:rsidR="009E2128" w:rsidRDefault="009E2128" w:rsidP="009E2128"/>
    <w:p w14:paraId="3B3C824F" w14:textId="77777777" w:rsidR="009E2128" w:rsidRDefault="009E2128" w:rsidP="009E2128"/>
    <w:p w14:paraId="0B563F1F" w14:textId="77777777" w:rsidR="009E2128" w:rsidRDefault="009E2128" w:rsidP="009E2128"/>
    <w:p w14:paraId="227DAD0A" w14:textId="77777777" w:rsidR="009E2128" w:rsidRDefault="009E2128" w:rsidP="009E2128"/>
    <w:p w14:paraId="47999F98" w14:textId="77777777" w:rsidR="009E2128" w:rsidRDefault="009E2128" w:rsidP="009E2128"/>
    <w:p w14:paraId="1A134BE1" w14:textId="77777777" w:rsidR="009E2128" w:rsidRDefault="009E2128" w:rsidP="009E2128"/>
    <w:p w14:paraId="10F7DFC9" w14:textId="77777777" w:rsidR="009E2128" w:rsidRDefault="009E2128" w:rsidP="009E2128"/>
    <w:p w14:paraId="1AAA2589" w14:textId="473CC583" w:rsidR="009E2128" w:rsidRDefault="009E2128" w:rsidP="009E2128"/>
    <w:p w14:paraId="10E61788" w14:textId="77777777" w:rsidR="009E2128" w:rsidRDefault="009E2128" w:rsidP="009E2128"/>
    <w:p w14:paraId="2B8351A4" w14:textId="77777777" w:rsidR="009E2128" w:rsidRDefault="009E2128" w:rsidP="009E2128"/>
    <w:p w14:paraId="437EB0B4" w14:textId="77777777" w:rsidR="009E2128" w:rsidRDefault="009E2128" w:rsidP="009E2128"/>
    <w:p w14:paraId="02F2350C" w14:textId="77777777" w:rsidR="009E2128" w:rsidRDefault="009E2128" w:rsidP="009E2128"/>
    <w:p w14:paraId="4F56DBE9" w14:textId="77777777" w:rsidR="009E2128" w:rsidRPr="009E2128" w:rsidRDefault="009E2128" w:rsidP="009E2128"/>
    <w:p w14:paraId="40DB3C79" w14:textId="0DCD76EC" w:rsidR="009E2128" w:rsidRPr="009E2128" w:rsidRDefault="009E2128" w:rsidP="009E2128">
      <w:pPr>
        <w:pStyle w:val="Heading1"/>
      </w:pPr>
      <w:bookmarkStart w:id="0" w:name="_Toc140750238"/>
      <w:r w:rsidRPr="009E2128">
        <w:lastRenderedPageBreak/>
        <w:t>Introduction</w:t>
      </w:r>
      <w:bookmarkEnd w:id="0"/>
    </w:p>
    <w:p w14:paraId="314C7C17" w14:textId="77777777" w:rsidR="009E2128" w:rsidRPr="009E2128" w:rsidRDefault="009E2128" w:rsidP="009E2128">
      <w:pPr>
        <w:spacing w:line="360" w:lineRule="auto"/>
        <w:ind w:left="0" w:firstLine="0"/>
      </w:pPr>
    </w:p>
    <w:p w14:paraId="09C63C85" w14:textId="4A6EF6D6" w:rsidR="009E2128" w:rsidRPr="009E2128" w:rsidRDefault="009E2128" w:rsidP="009E2128">
      <w:pPr>
        <w:spacing w:line="360" w:lineRule="auto"/>
        <w:ind w:left="0" w:firstLine="720"/>
      </w:pPr>
      <w:r w:rsidRPr="009E2128">
        <w:t>Flexible working strategies have gained increasing attention in recent years, particularly in the wake of the COVID-19 pandemic which ushered in a new era of remote and flexible working arrangements. With the rise in demands for work-life balance and the ongoing evolution of technology, organi</w:t>
      </w:r>
      <w:r>
        <w:t>s</w:t>
      </w:r>
      <w:r w:rsidRPr="009E2128">
        <w:t xml:space="preserve">ations across various sectors are </w:t>
      </w:r>
      <w:r w:rsidRPr="009E2128">
        <w:t>re-evaluating</w:t>
      </w:r>
      <w:r w:rsidRPr="009E2128">
        <w:t xml:space="preserve"> their traditional working structures and exploring the potential of flexible working strategies. </w:t>
      </w:r>
      <w:proofErr w:type="spellStart"/>
      <w:r w:rsidRPr="009E2128">
        <w:t>GreenCo</w:t>
      </w:r>
      <w:proofErr w:type="spellEnd"/>
      <w:r w:rsidRPr="009E2128">
        <w:t>, a firm engaged in the manufacturing and selling of agricultural equipment, seeks to understand the benefits, considerations, and potential challenges of implementing flexible working within its structure.</w:t>
      </w:r>
    </w:p>
    <w:p w14:paraId="150C6028" w14:textId="77777777" w:rsidR="009E2128" w:rsidRPr="009E2128" w:rsidRDefault="009E2128" w:rsidP="009E2128">
      <w:pPr>
        <w:spacing w:line="360" w:lineRule="auto"/>
        <w:ind w:left="0" w:firstLine="720"/>
      </w:pPr>
      <w:r w:rsidRPr="009E2128">
        <w:t xml:space="preserve">This research aims to explore the impacts of flexible working strategies on organisations with an emphasis on </w:t>
      </w:r>
      <w:proofErr w:type="spellStart"/>
      <w:r w:rsidRPr="009E2128">
        <w:t>GreenCo's</w:t>
      </w:r>
      <w:proofErr w:type="spellEnd"/>
      <w:r w:rsidRPr="009E2128">
        <w:t xml:space="preserve"> context. It will outline the benefits of adopting such strategies, discuss the considerations before implementation, analyse potential changes to the pay structure, and evaluate strategies to maintain employee engagement during the transition. Moreover, it will provide industry-specific examples to illustrate the successful implementation of flexible working.</w:t>
      </w:r>
    </w:p>
    <w:p w14:paraId="07831A26" w14:textId="77777777" w:rsidR="009E2128" w:rsidRPr="009E2128" w:rsidRDefault="009E2128" w:rsidP="009E2128">
      <w:pPr>
        <w:spacing w:line="360" w:lineRule="auto"/>
        <w:ind w:left="0" w:firstLine="0"/>
      </w:pPr>
    </w:p>
    <w:p w14:paraId="183404C5" w14:textId="77777777" w:rsidR="009E2128" w:rsidRPr="009E2128" w:rsidRDefault="009E2128" w:rsidP="009E2128">
      <w:pPr>
        <w:pStyle w:val="Heading1"/>
      </w:pPr>
    </w:p>
    <w:p w14:paraId="35EFC2D8" w14:textId="35ABBB0F" w:rsidR="009E2128" w:rsidRPr="009E2128" w:rsidRDefault="009E2128" w:rsidP="009E2128">
      <w:pPr>
        <w:pStyle w:val="Heading1"/>
      </w:pPr>
      <w:bookmarkStart w:id="1" w:name="_Toc140750239"/>
      <w:r w:rsidRPr="009E2128">
        <w:t>Outlin</w:t>
      </w:r>
      <w:r w:rsidRPr="009E2128">
        <w:t>e the</w:t>
      </w:r>
      <w:r w:rsidRPr="009E2128">
        <w:t xml:space="preserve"> benefit</w:t>
      </w:r>
      <w:r w:rsidRPr="009E2128">
        <w:t>s</w:t>
      </w:r>
      <w:r w:rsidRPr="009E2128">
        <w:t xml:space="preserve"> of implementing flexible working strategies into the </w:t>
      </w:r>
      <w:proofErr w:type="gramStart"/>
      <w:r w:rsidRPr="009E2128">
        <w:t>organisation</w:t>
      </w:r>
      <w:bookmarkEnd w:id="1"/>
      <w:proofErr w:type="gramEnd"/>
      <w:r w:rsidRPr="009E2128">
        <w:t xml:space="preserve"> </w:t>
      </w:r>
    </w:p>
    <w:p w14:paraId="47D12861" w14:textId="77777777" w:rsidR="009E2128" w:rsidRPr="009E2128" w:rsidRDefault="009E2128" w:rsidP="009E2128">
      <w:pPr>
        <w:spacing w:line="360" w:lineRule="auto"/>
        <w:ind w:left="0" w:firstLine="0"/>
      </w:pPr>
    </w:p>
    <w:p w14:paraId="610839E9" w14:textId="77777777" w:rsidR="009E2128" w:rsidRPr="009E2128" w:rsidRDefault="009E2128" w:rsidP="009E2128">
      <w:pPr>
        <w:spacing w:line="360" w:lineRule="auto"/>
        <w:ind w:left="0" w:firstLine="720"/>
      </w:pPr>
      <w:r w:rsidRPr="009E2128">
        <w:t>Flexible working strategies, such as telecommuting, flexible hours, and job sharing, have gained significant traction in recent years, with organisations acknowledging their numerous benefits. Implementing such strategies can result in numerous advantages, ranging from increased productivity to improved employee satisfaction (Allen, Golden &amp; Shockley, 2015).</w:t>
      </w:r>
    </w:p>
    <w:p w14:paraId="13A2833A" w14:textId="77777777" w:rsidR="009E2128" w:rsidRPr="009E2128" w:rsidRDefault="009E2128" w:rsidP="009E2128">
      <w:pPr>
        <w:spacing w:line="360" w:lineRule="auto"/>
        <w:ind w:left="0" w:firstLine="720"/>
      </w:pPr>
      <w:r w:rsidRPr="009E2128">
        <w:t xml:space="preserve">Firstly, flexible working arrangements often lead to enhanced productivity. When employees </w:t>
      </w:r>
      <w:proofErr w:type="gramStart"/>
      <w:r w:rsidRPr="009E2128">
        <w:t>have the ability to</w:t>
      </w:r>
      <w:proofErr w:type="gramEnd"/>
      <w:r w:rsidRPr="009E2128">
        <w:t xml:space="preserve"> tailor their work schedules to their personal lives, they are less likely to be distracted by external factors (De Menezes &amp; </w:t>
      </w:r>
      <w:proofErr w:type="spellStart"/>
      <w:r w:rsidRPr="009E2128">
        <w:t>Kelliher</w:t>
      </w:r>
      <w:proofErr w:type="spellEnd"/>
      <w:r w:rsidRPr="009E2128">
        <w:t>, 2011). Moreover, the autonomy that comes with flexible work can foster a sense of responsibility and ownership, further driving productivity (</w:t>
      </w:r>
      <w:proofErr w:type="spellStart"/>
      <w:r w:rsidRPr="009E2128">
        <w:t>Kossek</w:t>
      </w:r>
      <w:proofErr w:type="spellEnd"/>
      <w:r w:rsidRPr="009E2128">
        <w:t xml:space="preserve"> &amp; Thompson, 2016).</w:t>
      </w:r>
    </w:p>
    <w:p w14:paraId="5C910AE8" w14:textId="77777777" w:rsidR="009E2128" w:rsidRPr="009E2128" w:rsidRDefault="009E2128" w:rsidP="009E2128">
      <w:pPr>
        <w:spacing w:line="360" w:lineRule="auto"/>
        <w:ind w:left="0" w:firstLine="720"/>
      </w:pPr>
      <w:r w:rsidRPr="009E2128">
        <w:t xml:space="preserve">Secondly, flexible working strategies can contribute to employee well-being by facilitating better work-life balance. Employees with flexible working conditions report lower levels of stress and burnout, as they have more control over their time (Ten </w:t>
      </w:r>
      <w:proofErr w:type="spellStart"/>
      <w:r w:rsidRPr="009E2128">
        <w:t>Brummelhuis</w:t>
      </w:r>
      <w:proofErr w:type="spellEnd"/>
      <w:r w:rsidRPr="009E2128">
        <w:t xml:space="preserve"> &amp; </w:t>
      </w:r>
      <w:r w:rsidRPr="009E2128">
        <w:lastRenderedPageBreak/>
        <w:t>Bakker, 2012). Additionally, these arrangements can aid in reducing commuting time and related stress, indirectly contributing to overall health improvements (</w:t>
      </w:r>
      <w:proofErr w:type="spellStart"/>
      <w:r w:rsidRPr="009E2128">
        <w:t>Hilbrecht</w:t>
      </w:r>
      <w:proofErr w:type="spellEnd"/>
      <w:r w:rsidRPr="009E2128">
        <w:t xml:space="preserve"> et al., 2014).</w:t>
      </w:r>
    </w:p>
    <w:p w14:paraId="435C4105" w14:textId="77777777" w:rsidR="009E2128" w:rsidRPr="009E2128" w:rsidRDefault="009E2128" w:rsidP="009E2128">
      <w:pPr>
        <w:spacing w:line="360" w:lineRule="auto"/>
        <w:ind w:left="0" w:firstLine="0"/>
      </w:pPr>
      <w:r w:rsidRPr="009E2128">
        <w:t>Thirdly, organisations adopting flexible working strategies can benefit from cost savings. Lower office space requirements, reduced utility bills, and decreased employee turnover are some financial benefits that can be derived from flexible working conditions (Bloom, Liang, Roberts &amp; Ying, 2015).</w:t>
      </w:r>
    </w:p>
    <w:p w14:paraId="45373562" w14:textId="77777777" w:rsidR="009E2128" w:rsidRPr="009E2128" w:rsidRDefault="009E2128" w:rsidP="009E2128">
      <w:pPr>
        <w:spacing w:line="360" w:lineRule="auto"/>
        <w:ind w:left="0" w:firstLine="720"/>
      </w:pPr>
      <w:r w:rsidRPr="009E2128">
        <w:t>Lastly, flexible working strategies can serve as a powerful recruitment and retention tool. In today's competitive job market, offering flexibility can make an organisation more attractive to potential employees (Sullivan &amp; Lewis, 2001). Moreover, such strategies can help retain existing employees, particularly those who value work-life balance (Chung &amp; Van der Horst, 2018).</w:t>
      </w:r>
    </w:p>
    <w:p w14:paraId="2B470680" w14:textId="77777777" w:rsidR="009E2128" w:rsidRPr="009E2128" w:rsidRDefault="009E2128" w:rsidP="009E2128">
      <w:pPr>
        <w:spacing w:line="360" w:lineRule="auto"/>
        <w:ind w:left="0" w:firstLine="0"/>
      </w:pPr>
    </w:p>
    <w:p w14:paraId="6E4749CC" w14:textId="77777777" w:rsidR="009E2128" w:rsidRPr="009E2128" w:rsidRDefault="009E2128" w:rsidP="009E2128">
      <w:pPr>
        <w:spacing w:line="360" w:lineRule="auto"/>
        <w:ind w:left="0" w:firstLine="0"/>
      </w:pPr>
    </w:p>
    <w:p w14:paraId="4A12B5E7" w14:textId="1ACF666C" w:rsidR="009E2128" w:rsidRPr="009E2128" w:rsidRDefault="009E2128" w:rsidP="009E2128">
      <w:pPr>
        <w:pStyle w:val="Heading1"/>
      </w:pPr>
      <w:bookmarkStart w:id="2" w:name="_Toc140750240"/>
      <w:r w:rsidRPr="009E2128">
        <w:rPr>
          <w:lang w:eastAsia="en-US"/>
        </w:rPr>
        <w:t>Describ</w:t>
      </w:r>
      <w:r w:rsidRPr="009E2128">
        <w:t>e</w:t>
      </w:r>
      <w:r w:rsidRPr="009E2128">
        <w:rPr>
          <w:lang w:eastAsia="en-US"/>
        </w:rPr>
        <w:t xml:space="preserve"> what the firm, and more specifically the HR department, should consider before implementing flexible working to the employee </w:t>
      </w:r>
      <w:proofErr w:type="gramStart"/>
      <w:r w:rsidRPr="009E2128">
        <w:rPr>
          <w:lang w:eastAsia="en-US"/>
        </w:rPr>
        <w:t>workforce</w:t>
      </w:r>
      <w:bookmarkEnd w:id="2"/>
      <w:proofErr w:type="gramEnd"/>
    </w:p>
    <w:p w14:paraId="3243D82E" w14:textId="77777777" w:rsidR="009E2128" w:rsidRPr="009E2128" w:rsidRDefault="009E2128" w:rsidP="009E2128">
      <w:pPr>
        <w:spacing w:line="360" w:lineRule="auto"/>
        <w:ind w:firstLine="0"/>
      </w:pPr>
      <w:r w:rsidRPr="009E2128">
        <w:br/>
      </w:r>
    </w:p>
    <w:p w14:paraId="2BDBDFE8" w14:textId="3162B198" w:rsidR="009E2128" w:rsidRPr="009E2128" w:rsidRDefault="009E2128" w:rsidP="009E2128">
      <w:pPr>
        <w:spacing w:line="360" w:lineRule="auto"/>
        <w:ind w:firstLine="710"/>
      </w:pPr>
      <w:r w:rsidRPr="009E2128">
        <w:t xml:space="preserve">In response to the changing dynamics of the work environment post-pandemic, many firms, like </w:t>
      </w:r>
      <w:proofErr w:type="spellStart"/>
      <w:r w:rsidRPr="009E2128">
        <w:t>GreenCo</w:t>
      </w:r>
      <w:proofErr w:type="spellEnd"/>
      <w:r w:rsidRPr="009E2128">
        <w:t>, are considering flexible work arrangements. While the potential benefits of this arrangement can be immense, it's crucial for the HR department to carefully consider several key aspects before implementation (</w:t>
      </w:r>
      <w:proofErr w:type="spellStart"/>
      <w:r w:rsidRPr="009E2128">
        <w:t>Lautsch</w:t>
      </w:r>
      <w:proofErr w:type="spellEnd"/>
      <w:r w:rsidRPr="009E2128">
        <w:t xml:space="preserve">, </w:t>
      </w:r>
      <w:proofErr w:type="spellStart"/>
      <w:r w:rsidRPr="009E2128">
        <w:t>Kossek</w:t>
      </w:r>
      <w:proofErr w:type="spellEnd"/>
      <w:r w:rsidRPr="009E2128">
        <w:t xml:space="preserve"> &amp; Eaton, 2009).</w:t>
      </w:r>
    </w:p>
    <w:p w14:paraId="2D2990F0" w14:textId="77777777" w:rsidR="009E2128" w:rsidRPr="009E2128" w:rsidRDefault="009E2128" w:rsidP="009E2128">
      <w:pPr>
        <w:spacing w:line="360" w:lineRule="auto"/>
        <w:ind w:left="0" w:firstLine="0"/>
      </w:pPr>
      <w:r w:rsidRPr="009E2128">
        <w:t>One of the initial considerations should be the nature of the work performed by employees (</w:t>
      </w:r>
      <w:proofErr w:type="spellStart"/>
      <w:r w:rsidRPr="009E2128">
        <w:t>Kossek</w:t>
      </w:r>
      <w:proofErr w:type="spellEnd"/>
      <w:r w:rsidRPr="009E2128">
        <w:t xml:space="preserve">, </w:t>
      </w:r>
      <w:proofErr w:type="spellStart"/>
      <w:r w:rsidRPr="009E2128">
        <w:t>Lautsch</w:t>
      </w:r>
      <w:proofErr w:type="spellEnd"/>
      <w:r w:rsidRPr="009E2128">
        <w:t xml:space="preserve"> &amp; Eaton, 2006). In </w:t>
      </w:r>
      <w:proofErr w:type="spellStart"/>
      <w:r w:rsidRPr="009E2128">
        <w:t>GreenCo's</w:t>
      </w:r>
      <w:proofErr w:type="spellEnd"/>
      <w:r w:rsidRPr="009E2128">
        <w:t xml:space="preserve"> case, certain roles, like manufacturing, may not be suitable for remote working due to the physical nature of the work. In contrast, other roles like sales and marketing might be more adaptable to flexible arrangements. Therefore, HR must analyse job roles to determine which can be effectively carried out under flexible conditions.</w:t>
      </w:r>
    </w:p>
    <w:p w14:paraId="2EAA0FDF" w14:textId="77777777" w:rsidR="009E2128" w:rsidRPr="009E2128" w:rsidRDefault="009E2128" w:rsidP="009E2128">
      <w:pPr>
        <w:spacing w:line="360" w:lineRule="auto"/>
        <w:ind w:left="0" w:firstLine="720"/>
      </w:pPr>
      <w:r w:rsidRPr="009E2128">
        <w:t xml:space="preserve">Next, the organisational culture must be examined. Research indicates that even when flexible work policies are present, if they are not supported by a strong culture of flexibility, they may not be effectively utilised (Thompson, Beauvais &amp; </w:t>
      </w:r>
      <w:proofErr w:type="spellStart"/>
      <w:r w:rsidRPr="009E2128">
        <w:t>Lyness</w:t>
      </w:r>
      <w:proofErr w:type="spellEnd"/>
      <w:r w:rsidRPr="009E2128">
        <w:t xml:space="preserve">, 1999). </w:t>
      </w:r>
      <w:proofErr w:type="spellStart"/>
      <w:r w:rsidRPr="009E2128">
        <w:t>GreenCo's</w:t>
      </w:r>
      <w:proofErr w:type="spellEnd"/>
      <w:r w:rsidRPr="009E2128">
        <w:t xml:space="preserve"> HR department should therefore evaluate whether the existing culture is conducive to supporting flexible work or if significant changes are required to foster a more adaptable environment.</w:t>
      </w:r>
    </w:p>
    <w:p w14:paraId="4D2F98D4" w14:textId="77777777" w:rsidR="009E2128" w:rsidRPr="009E2128" w:rsidRDefault="009E2128" w:rsidP="009E2128">
      <w:pPr>
        <w:spacing w:line="360" w:lineRule="auto"/>
        <w:ind w:left="0" w:firstLine="720"/>
      </w:pPr>
      <w:r w:rsidRPr="009E2128">
        <w:t xml:space="preserve">Thirdly, the potential impact on communication and team cohesion should be assessed (Gajendran &amp; Harrison, 2007). In a hybrid working model, maintaining effective </w:t>
      </w:r>
      <w:r w:rsidRPr="009E2128">
        <w:lastRenderedPageBreak/>
        <w:t xml:space="preserve">communication and team dynamics could be more challenging. Thus, </w:t>
      </w:r>
      <w:proofErr w:type="spellStart"/>
      <w:r w:rsidRPr="009E2128">
        <w:t>GreenCo</w:t>
      </w:r>
      <w:proofErr w:type="spellEnd"/>
      <w:r w:rsidRPr="009E2128">
        <w:t xml:space="preserve"> should consider investing in communication technology and training to facilitate smooth information flow and maintain team relationships.</w:t>
      </w:r>
    </w:p>
    <w:p w14:paraId="3606ED69" w14:textId="77777777" w:rsidR="009E2128" w:rsidRPr="009E2128" w:rsidRDefault="009E2128" w:rsidP="009E2128">
      <w:pPr>
        <w:spacing w:line="360" w:lineRule="auto"/>
        <w:ind w:left="0" w:firstLine="720"/>
      </w:pPr>
      <w:r w:rsidRPr="009E2128">
        <w:t xml:space="preserve">Additionally, HR should consider the implications for managerial oversight. In a flexible work environment, traditional management methods may no longer be effective. Therefore, managers may need training to develop new skills and adapt their leadership style to effectively manage remote or flexible workers (Golden &amp; </w:t>
      </w:r>
      <w:proofErr w:type="spellStart"/>
      <w:r w:rsidRPr="009E2128">
        <w:t>Veiga</w:t>
      </w:r>
      <w:proofErr w:type="spellEnd"/>
      <w:r w:rsidRPr="009E2128">
        <w:t>, 2008).</w:t>
      </w:r>
    </w:p>
    <w:p w14:paraId="42CE9A4E" w14:textId="77777777" w:rsidR="009E2128" w:rsidRPr="009E2128" w:rsidRDefault="009E2128" w:rsidP="009E2128">
      <w:pPr>
        <w:spacing w:line="360" w:lineRule="auto"/>
        <w:ind w:left="0" w:firstLine="720"/>
      </w:pPr>
      <w:r w:rsidRPr="009E2128">
        <w:t>Finally, the implementation of flexible working requires a robust policy that clearly outlines the terms and conditions of the arrangement. This will help to prevent misunderstandings and ensure all employees are treated fairly (</w:t>
      </w:r>
      <w:proofErr w:type="spellStart"/>
      <w:r w:rsidRPr="009E2128">
        <w:t>Kelliher</w:t>
      </w:r>
      <w:proofErr w:type="spellEnd"/>
      <w:r w:rsidRPr="009E2128">
        <w:t xml:space="preserve"> &amp; Anderson, 2010).</w:t>
      </w:r>
    </w:p>
    <w:p w14:paraId="33FE38A4" w14:textId="77777777" w:rsidR="009E2128" w:rsidRPr="009E2128" w:rsidRDefault="009E2128" w:rsidP="009E2128">
      <w:pPr>
        <w:spacing w:line="360" w:lineRule="auto"/>
        <w:ind w:left="0" w:firstLine="0"/>
      </w:pPr>
    </w:p>
    <w:p w14:paraId="4D09ABBF" w14:textId="77777777" w:rsidR="009E2128" w:rsidRPr="009E2128" w:rsidRDefault="009E2128" w:rsidP="009E2128">
      <w:pPr>
        <w:spacing w:line="360" w:lineRule="auto"/>
        <w:ind w:left="0" w:firstLine="0"/>
        <w:rPr>
          <w:lang w:eastAsia="en-US"/>
        </w:rPr>
      </w:pPr>
    </w:p>
    <w:p w14:paraId="4AD94C2A" w14:textId="775B6089" w:rsidR="009E2128" w:rsidRPr="009E2128" w:rsidRDefault="009E2128" w:rsidP="009E2128">
      <w:pPr>
        <w:pStyle w:val="Heading1"/>
      </w:pPr>
      <w:bookmarkStart w:id="3" w:name="_Toc140750241"/>
      <w:r w:rsidRPr="009E2128">
        <w:rPr>
          <w:lang w:eastAsia="en-US"/>
        </w:rPr>
        <w:t>Discuss how the pay structure may need to be reconfigured if this were to be implemented.</w:t>
      </w:r>
      <w:bookmarkEnd w:id="3"/>
      <w:r w:rsidRPr="009E2128">
        <w:rPr>
          <w:lang w:eastAsia="en-US"/>
        </w:rPr>
        <w:t xml:space="preserve"> </w:t>
      </w:r>
    </w:p>
    <w:p w14:paraId="17FCABD9" w14:textId="77777777" w:rsidR="009E2128" w:rsidRPr="009E2128" w:rsidRDefault="009E2128" w:rsidP="009E2128">
      <w:pPr>
        <w:spacing w:line="360" w:lineRule="auto"/>
        <w:ind w:left="0" w:firstLine="0"/>
      </w:pPr>
    </w:p>
    <w:p w14:paraId="41643D3E" w14:textId="77777777" w:rsidR="009E2128" w:rsidRPr="009E2128" w:rsidRDefault="009E2128" w:rsidP="009E2128">
      <w:pPr>
        <w:spacing w:line="360" w:lineRule="auto"/>
        <w:ind w:left="0" w:firstLine="10"/>
      </w:pPr>
    </w:p>
    <w:p w14:paraId="4EE0DAAB" w14:textId="18F31B1F" w:rsidR="009E2128" w:rsidRPr="009E2128" w:rsidRDefault="009E2128" w:rsidP="009E2128">
      <w:pPr>
        <w:spacing w:line="360" w:lineRule="auto"/>
        <w:ind w:left="0" w:firstLine="720"/>
      </w:pPr>
      <w:r w:rsidRPr="009E2128">
        <w:t xml:space="preserve">In implementing flexible working strategies, the pay structure of </w:t>
      </w:r>
      <w:proofErr w:type="spellStart"/>
      <w:r w:rsidRPr="009E2128">
        <w:t>GreenCo</w:t>
      </w:r>
      <w:proofErr w:type="spellEnd"/>
      <w:r w:rsidRPr="009E2128">
        <w:t xml:space="preserve"> may require reconfiguration. While pay systems traditionally relied on a fixed work schedule, the shift towards more flexible arrangements may require new ways of structuring compensation (Purcell &amp; </w:t>
      </w:r>
      <w:proofErr w:type="spellStart"/>
      <w:r w:rsidRPr="009E2128">
        <w:t>Kinnie</w:t>
      </w:r>
      <w:proofErr w:type="spellEnd"/>
      <w:r w:rsidRPr="009E2128">
        <w:t>, 2007).</w:t>
      </w:r>
    </w:p>
    <w:p w14:paraId="2331BB66" w14:textId="77777777" w:rsidR="009E2128" w:rsidRPr="009E2128" w:rsidRDefault="009E2128" w:rsidP="009E2128">
      <w:pPr>
        <w:spacing w:line="360" w:lineRule="auto"/>
        <w:ind w:left="0" w:firstLine="720"/>
      </w:pPr>
      <w:r w:rsidRPr="009E2128">
        <w:t>One consideration is whether to adopt a pay-per-hour or results-based remuneration system. Traditional pay structures often focus on time-based remuneration, but with flexible working, a results-oriented approach might be more appropriate, particularly for roles that can be evaluated on outcomes rather than hours worked (</w:t>
      </w:r>
      <w:proofErr w:type="spellStart"/>
      <w:r w:rsidRPr="009E2128">
        <w:t>Lautsch</w:t>
      </w:r>
      <w:proofErr w:type="spellEnd"/>
      <w:r w:rsidRPr="009E2128">
        <w:t xml:space="preserve">, </w:t>
      </w:r>
      <w:proofErr w:type="spellStart"/>
      <w:r w:rsidRPr="009E2128">
        <w:t>Kossek</w:t>
      </w:r>
      <w:proofErr w:type="spellEnd"/>
      <w:r w:rsidRPr="009E2128">
        <w:t xml:space="preserve"> &amp; Eaton, 2009). This could involve setting clear expectations and performance measures for each role and paying employees based on their achievement of these targets.</w:t>
      </w:r>
    </w:p>
    <w:p w14:paraId="45EEF366" w14:textId="77777777" w:rsidR="009E2128" w:rsidRPr="009E2128" w:rsidRDefault="009E2128" w:rsidP="009E2128">
      <w:pPr>
        <w:spacing w:line="360" w:lineRule="auto"/>
        <w:ind w:left="0" w:firstLine="720"/>
      </w:pPr>
      <w:r w:rsidRPr="009E2128">
        <w:t xml:space="preserve">In a flexible working environment, pay equity is another important consideration. If some roles are not suited to flexible working, there may be concerns about pay disparities between flexible and non-flexible roles (Rubery, Grimshaw &amp; </w:t>
      </w:r>
      <w:proofErr w:type="spellStart"/>
      <w:r w:rsidRPr="009E2128">
        <w:t>Hebson</w:t>
      </w:r>
      <w:proofErr w:type="spellEnd"/>
      <w:r w:rsidRPr="009E2128">
        <w:t xml:space="preserve">, 2005). </w:t>
      </w:r>
      <w:proofErr w:type="spellStart"/>
      <w:r w:rsidRPr="009E2128">
        <w:t>GreenCo</w:t>
      </w:r>
      <w:proofErr w:type="spellEnd"/>
      <w:r w:rsidRPr="009E2128">
        <w:t xml:space="preserve"> will need to ensure that the introduction of flexible working arrangements does not inadvertently result in pay inequities.</w:t>
      </w:r>
    </w:p>
    <w:p w14:paraId="7AFC647F" w14:textId="77777777" w:rsidR="009E2128" w:rsidRPr="009E2128" w:rsidRDefault="009E2128" w:rsidP="009E2128">
      <w:pPr>
        <w:spacing w:line="360" w:lineRule="auto"/>
        <w:ind w:left="0" w:firstLine="720"/>
      </w:pPr>
      <w:r w:rsidRPr="009E2128">
        <w:t xml:space="preserve">It is also important to consider the cost implications of flexibility. For example, if flexible working involves working unsocial hours, </w:t>
      </w:r>
      <w:proofErr w:type="spellStart"/>
      <w:r w:rsidRPr="009E2128">
        <w:t>GreenCo</w:t>
      </w:r>
      <w:proofErr w:type="spellEnd"/>
      <w:r w:rsidRPr="009E2128">
        <w:t xml:space="preserve"> might need to consider implementing pay premiums or shift allowances to compensate employees for inconvenience or disruptions to their personal lives (Bryson, Forth &amp; Stokes, 2017).</w:t>
      </w:r>
    </w:p>
    <w:p w14:paraId="3FA8512D" w14:textId="77777777" w:rsidR="009E2128" w:rsidRPr="009E2128" w:rsidRDefault="009E2128" w:rsidP="009E2128">
      <w:pPr>
        <w:spacing w:line="360" w:lineRule="auto"/>
        <w:ind w:left="0" w:firstLine="720"/>
      </w:pPr>
      <w:r w:rsidRPr="009E2128">
        <w:lastRenderedPageBreak/>
        <w:t>Flexible working could also impact on benefits and perks associated with work. Traditionally, these may have been linked to physical presence at the workplace, such as meals, transportation allowances, or gym memberships. In a flexible work environment, these benefits may no longer be relevant or fair, and would need to be revised (Chung, 2019).</w:t>
      </w:r>
    </w:p>
    <w:p w14:paraId="373EFAB3" w14:textId="77777777" w:rsidR="009E2128" w:rsidRPr="009E2128" w:rsidRDefault="009E2128" w:rsidP="009E2128">
      <w:pPr>
        <w:spacing w:line="360" w:lineRule="auto"/>
        <w:ind w:left="0" w:firstLine="720"/>
      </w:pPr>
      <w:r w:rsidRPr="009E2128">
        <w:t xml:space="preserve">Finally, while pay is a crucial component, research indicates that employees value non-financial aspects of flexible work, such as improved work-life balance, just as much, if not more (Hill, Miller, Weiner &amp; </w:t>
      </w:r>
      <w:proofErr w:type="spellStart"/>
      <w:r w:rsidRPr="009E2128">
        <w:t>Colihan</w:t>
      </w:r>
      <w:proofErr w:type="spellEnd"/>
      <w:r w:rsidRPr="009E2128">
        <w:t>, 1998). Thus, a reconfigured pay structure should be part of a broader package that recognises the total value flexible working brings to employees.</w:t>
      </w:r>
    </w:p>
    <w:p w14:paraId="16C1FFE4" w14:textId="77777777" w:rsidR="009E2128" w:rsidRPr="009E2128" w:rsidRDefault="009E2128" w:rsidP="009E2128">
      <w:pPr>
        <w:spacing w:line="360" w:lineRule="auto"/>
        <w:ind w:left="0" w:firstLine="0"/>
      </w:pPr>
    </w:p>
    <w:p w14:paraId="273EFCA1" w14:textId="77777777" w:rsidR="009E2128" w:rsidRPr="009E2128" w:rsidRDefault="009E2128" w:rsidP="009E2128">
      <w:pPr>
        <w:spacing w:line="360" w:lineRule="auto"/>
        <w:ind w:left="0" w:firstLine="0"/>
      </w:pPr>
    </w:p>
    <w:p w14:paraId="0D4BBAA8" w14:textId="546F76FD" w:rsidR="009E2128" w:rsidRPr="009E2128" w:rsidRDefault="009E2128" w:rsidP="009E2128">
      <w:pPr>
        <w:pStyle w:val="Heading1"/>
      </w:pPr>
      <w:bookmarkStart w:id="4" w:name="_Toc140750242"/>
      <w:r w:rsidRPr="009E2128">
        <w:rPr>
          <w:lang w:eastAsia="en-US"/>
        </w:rPr>
        <w:t xml:space="preserve">Evaluate strategies to promote employee engagement whiles implementing flexible </w:t>
      </w:r>
      <w:proofErr w:type="gramStart"/>
      <w:r w:rsidRPr="009E2128">
        <w:rPr>
          <w:lang w:eastAsia="en-US"/>
        </w:rPr>
        <w:t>working</w:t>
      </w:r>
      <w:bookmarkEnd w:id="4"/>
      <w:proofErr w:type="gramEnd"/>
    </w:p>
    <w:p w14:paraId="28B75E91" w14:textId="77777777" w:rsidR="009E2128" w:rsidRPr="009E2128" w:rsidRDefault="009E2128" w:rsidP="009E2128">
      <w:pPr>
        <w:spacing w:line="360" w:lineRule="auto"/>
        <w:ind w:left="0" w:firstLine="0"/>
      </w:pPr>
    </w:p>
    <w:p w14:paraId="2D59E70F" w14:textId="77777777" w:rsidR="009E2128" w:rsidRPr="009E2128" w:rsidRDefault="009E2128" w:rsidP="009E2128">
      <w:pPr>
        <w:spacing w:line="360" w:lineRule="auto"/>
        <w:ind w:left="0" w:firstLine="720"/>
      </w:pPr>
      <w:r w:rsidRPr="009E2128">
        <w:t>Flexible working arrangements can provide a host of benefits, but their successful implementation requires maintaining high levels of employee engagement. As a shift towards flexible working occurs, strategies to promote engagement can be instrumental in leveraging the benefits of this arrangement (Saks, 2006).</w:t>
      </w:r>
    </w:p>
    <w:p w14:paraId="6D020290" w14:textId="77777777" w:rsidR="009E2128" w:rsidRPr="009E2128" w:rsidRDefault="009E2128" w:rsidP="009E2128">
      <w:pPr>
        <w:spacing w:line="360" w:lineRule="auto"/>
        <w:ind w:left="0" w:firstLine="720"/>
      </w:pPr>
      <w:r w:rsidRPr="009E2128">
        <w:t>A key strategy is to foster clear and transparent communication (Mann &amp; Harter, 2016). This includes keeping employees informed about the reasons for the shift to flexible working, the benefits it offers, and how it will be implemented. By establishing a two-way communication channel, employees can also voice their concerns and provide input, enhancing their sense of involvement and engagement (Mann &amp; Harter, 2016).</w:t>
      </w:r>
    </w:p>
    <w:p w14:paraId="01293F89" w14:textId="16FB6859" w:rsidR="009E2128" w:rsidRPr="009E2128" w:rsidRDefault="009E2128" w:rsidP="009E2128">
      <w:pPr>
        <w:spacing w:line="360" w:lineRule="auto"/>
        <w:ind w:left="0" w:firstLine="720"/>
      </w:pPr>
      <w:r w:rsidRPr="009E2128">
        <w:t xml:space="preserve">Engagement can also be fostered by providing adequate resources and support to employees as they transition to flexible working (Allen, Johnson, </w:t>
      </w:r>
      <w:proofErr w:type="spellStart"/>
      <w:r w:rsidRPr="009E2128">
        <w:t>Kiburz</w:t>
      </w:r>
      <w:proofErr w:type="spellEnd"/>
      <w:r w:rsidRPr="009E2128">
        <w:t xml:space="preserve"> &amp; Shockley, 2013). This may involve training to use new technology tools or resources to manage potential challenges, such as maintaining work-life boundaries. Support from managers and </w:t>
      </w:r>
      <w:r w:rsidRPr="009E2128">
        <w:t>co-workers</w:t>
      </w:r>
      <w:r w:rsidRPr="009E2128">
        <w:t xml:space="preserve"> can also facilitate the transition and promote a sense of belonging and engagement, even in a remote or flexible working environment (Gajendran &amp; Harrison, 2007).</w:t>
      </w:r>
    </w:p>
    <w:p w14:paraId="26770991" w14:textId="77777777" w:rsidR="009E2128" w:rsidRPr="009E2128" w:rsidRDefault="009E2128" w:rsidP="009E2128">
      <w:pPr>
        <w:spacing w:line="360" w:lineRule="auto"/>
        <w:ind w:left="0" w:firstLine="720"/>
      </w:pPr>
      <w:r w:rsidRPr="009E2128">
        <w:t>Setting clear and achievable goals can serve as another effective engagement strategy (Locke &amp; Latham, 2006). With flexible working, employees often have more autonomy, but this needs to be coupled with clear expectations about their performance outcomes. Goal setting can help employees to focus on their responsibilities, provide a sense of direction and motivate them to achieve their best, thereby enhancing their engagement.</w:t>
      </w:r>
    </w:p>
    <w:p w14:paraId="3FB6CC41" w14:textId="77777777" w:rsidR="009E2128" w:rsidRPr="009E2128" w:rsidRDefault="009E2128" w:rsidP="009E2128">
      <w:pPr>
        <w:spacing w:line="360" w:lineRule="auto"/>
        <w:ind w:left="0" w:firstLine="720"/>
      </w:pPr>
      <w:r w:rsidRPr="009E2128">
        <w:lastRenderedPageBreak/>
        <w:t>Organisations can also use recognition and reward strategies to promote engagement in a flexible working context (Brun &amp; Dugas, 2008). Recognising employees’ achievements and hard work, regardless of their working schedule or location, can reinforce a culture of appreciation, thereby increasing their engagement.</w:t>
      </w:r>
    </w:p>
    <w:p w14:paraId="62C6B104" w14:textId="77777777" w:rsidR="009E2128" w:rsidRPr="009E2128" w:rsidRDefault="009E2128" w:rsidP="009E2128">
      <w:pPr>
        <w:spacing w:line="360" w:lineRule="auto"/>
        <w:ind w:left="0" w:firstLine="0"/>
      </w:pPr>
      <w:r w:rsidRPr="009E2128">
        <w:t xml:space="preserve">Finally, ensuring a balance between work demands and personal life is crucial for engagement in flexible working. </w:t>
      </w:r>
      <w:proofErr w:type="spellStart"/>
      <w:r w:rsidRPr="009E2128">
        <w:t>GreenCo</w:t>
      </w:r>
      <w:proofErr w:type="spellEnd"/>
      <w:r w:rsidRPr="009E2128">
        <w:t xml:space="preserve"> should consider implementing strategies to prevent overwork and encourage work-life balance, such as setting boundaries for communication outside working hours or promoting regular breaks (</w:t>
      </w:r>
      <w:proofErr w:type="spellStart"/>
      <w:r w:rsidRPr="009E2128">
        <w:t>Kossek</w:t>
      </w:r>
      <w:proofErr w:type="spellEnd"/>
      <w:r w:rsidRPr="009E2128">
        <w:t xml:space="preserve"> &amp; Thompson, 2016).</w:t>
      </w:r>
    </w:p>
    <w:p w14:paraId="0E55A1B0" w14:textId="77777777" w:rsidR="009E2128" w:rsidRPr="009E2128" w:rsidRDefault="009E2128" w:rsidP="009E2128">
      <w:pPr>
        <w:spacing w:line="360" w:lineRule="auto"/>
        <w:ind w:left="0" w:firstLine="0"/>
        <w:rPr>
          <w:lang w:eastAsia="en-US"/>
        </w:rPr>
      </w:pPr>
    </w:p>
    <w:p w14:paraId="7D367081" w14:textId="78D20F0B" w:rsidR="009E2128" w:rsidRPr="009E2128" w:rsidRDefault="009E2128" w:rsidP="009E2128">
      <w:pPr>
        <w:pStyle w:val="Heading1"/>
        <w:rPr>
          <w:lang w:eastAsia="en-US"/>
        </w:rPr>
      </w:pPr>
      <w:bookmarkStart w:id="5" w:name="_Toc140750243"/>
      <w:r w:rsidRPr="009E2128">
        <w:rPr>
          <w:lang w:eastAsia="en-US"/>
        </w:rPr>
        <w:t>Provid</w:t>
      </w:r>
      <w:r w:rsidRPr="009E2128">
        <w:t>e</w:t>
      </w:r>
      <w:r w:rsidRPr="009E2128">
        <w:rPr>
          <w:lang w:eastAsia="en-US"/>
        </w:rPr>
        <w:t xml:space="preserve"> industry-based examples of similar organisations that have successfully implemented flexible working strategies into the </w:t>
      </w:r>
      <w:proofErr w:type="gramStart"/>
      <w:r w:rsidRPr="009E2128">
        <w:rPr>
          <w:lang w:eastAsia="en-US"/>
        </w:rPr>
        <w:t>organisation</w:t>
      </w:r>
      <w:bookmarkEnd w:id="5"/>
      <w:proofErr w:type="gramEnd"/>
    </w:p>
    <w:p w14:paraId="222EEC92" w14:textId="77777777" w:rsidR="009E2128" w:rsidRPr="009E2128" w:rsidRDefault="009E2128" w:rsidP="009E2128">
      <w:pPr>
        <w:spacing w:line="360" w:lineRule="auto"/>
        <w:ind w:left="0" w:firstLine="0"/>
      </w:pPr>
    </w:p>
    <w:p w14:paraId="5CAF4E5E" w14:textId="77777777" w:rsidR="009E2128" w:rsidRPr="009E2128" w:rsidRDefault="009E2128" w:rsidP="009E2128">
      <w:pPr>
        <w:spacing w:line="360" w:lineRule="auto"/>
        <w:ind w:left="0" w:firstLine="0"/>
      </w:pPr>
    </w:p>
    <w:p w14:paraId="45B33669" w14:textId="77777777" w:rsidR="009E2128" w:rsidRPr="009E2128" w:rsidRDefault="009E2128" w:rsidP="009E2128">
      <w:pPr>
        <w:spacing w:line="360" w:lineRule="auto"/>
        <w:ind w:left="0" w:firstLine="720"/>
      </w:pPr>
      <w:r w:rsidRPr="009E2128">
        <w:t>In the agricultural equipment industry, John Deere, a leading global manufacturer, implemented flexible working policies in response to the changing nature of work and employee expectations. The company introduced remote working options for certain roles and flexible shift patterns in their manufacturing plants to cater to employees' diverse needs (John Deere, 2021). It reported that this led to improved productivity, reduced overhead costs, and increased employee satisfaction.</w:t>
      </w:r>
    </w:p>
    <w:p w14:paraId="073B2AB2" w14:textId="77777777" w:rsidR="009E2128" w:rsidRPr="009E2128" w:rsidRDefault="009E2128" w:rsidP="009E2128">
      <w:pPr>
        <w:spacing w:line="360" w:lineRule="auto"/>
        <w:ind w:left="0" w:firstLine="720"/>
      </w:pPr>
      <w:r w:rsidRPr="009E2128">
        <w:t>Another example is CNH Industrial, a global leader in agricultural equipment, that introduced 'Smart Working', a programme that combines remote and in-person work. The initiative aims to improve work-life balance, boost efficiency and enhance employee wellbeing (CNH Industrial, 2020). A study within the company showed that employees in the Smart Working programme reported higher job satisfaction and engagement levels compared to traditional workers.</w:t>
      </w:r>
    </w:p>
    <w:p w14:paraId="03E1AC42" w14:textId="77777777" w:rsidR="009E2128" w:rsidRPr="009E2128" w:rsidRDefault="009E2128" w:rsidP="009E2128">
      <w:pPr>
        <w:spacing w:line="360" w:lineRule="auto"/>
        <w:ind w:left="0" w:firstLine="720"/>
      </w:pPr>
      <w:r w:rsidRPr="009E2128">
        <w:t>Similarly, AGCO Corporation, an American agricultural equipment manufacturer, has embraced flexible working options. The company offers a variety of arrangements, such as flexible hours, job sharing, and part-time work, enabling employees to tailor their work schedules to meet personal needs (AGCO, 2019). AGCO reports that this flexibility has helped it attract and retain top talent in the industry.</w:t>
      </w:r>
    </w:p>
    <w:p w14:paraId="039A1F4C" w14:textId="77777777" w:rsidR="009E2128" w:rsidRPr="009E2128" w:rsidRDefault="009E2128" w:rsidP="009E2128">
      <w:pPr>
        <w:spacing w:line="360" w:lineRule="auto"/>
        <w:ind w:left="0" w:firstLine="720"/>
      </w:pPr>
      <w:r w:rsidRPr="009E2128">
        <w:t xml:space="preserve">Moreover, Kubota, a Japanese manufacturer of farming machinery, has introduced a </w:t>
      </w:r>
      <w:proofErr w:type="spellStart"/>
      <w:r w:rsidRPr="009E2128">
        <w:t>Flextime</w:t>
      </w:r>
      <w:proofErr w:type="spellEnd"/>
      <w:r w:rsidRPr="009E2128">
        <w:t xml:space="preserve"> System and a Super </w:t>
      </w:r>
      <w:proofErr w:type="spellStart"/>
      <w:r w:rsidRPr="009E2128">
        <w:t>Flextime</w:t>
      </w:r>
      <w:proofErr w:type="spellEnd"/>
      <w:r w:rsidRPr="009E2128">
        <w:t xml:space="preserve"> System. The </w:t>
      </w:r>
      <w:proofErr w:type="spellStart"/>
      <w:r w:rsidRPr="009E2128">
        <w:t>Flextime</w:t>
      </w:r>
      <w:proofErr w:type="spellEnd"/>
      <w:r w:rsidRPr="009E2128">
        <w:t xml:space="preserve"> System provides flexibility in starting and finishing times, while the Super </w:t>
      </w:r>
      <w:proofErr w:type="spellStart"/>
      <w:r w:rsidRPr="009E2128">
        <w:t>Flextime</w:t>
      </w:r>
      <w:proofErr w:type="spellEnd"/>
      <w:r w:rsidRPr="009E2128">
        <w:t xml:space="preserve"> System offers the freedom to work without core time, enhancing work-life balance for employees (Kubota, 2021).</w:t>
      </w:r>
    </w:p>
    <w:p w14:paraId="4AAF4661" w14:textId="77777777" w:rsidR="009E2128" w:rsidRPr="009E2128" w:rsidRDefault="009E2128" w:rsidP="009E2128">
      <w:pPr>
        <w:spacing w:line="360" w:lineRule="auto"/>
        <w:ind w:left="0" w:firstLine="720"/>
      </w:pPr>
      <w:r w:rsidRPr="009E2128">
        <w:lastRenderedPageBreak/>
        <w:t>These examples demonstrate that flexible working strategies can be successfully implemented in the agricultural equipment manufacturing sector, yielding various benefits. These include improved productivity, better work-life balance, increased employee satisfaction, and enhanced talent attraction and retention.</w:t>
      </w:r>
    </w:p>
    <w:p w14:paraId="5814680E" w14:textId="77777777" w:rsidR="009E2128" w:rsidRPr="009E2128" w:rsidRDefault="009E2128" w:rsidP="009E2128">
      <w:pPr>
        <w:spacing w:line="360" w:lineRule="auto"/>
        <w:ind w:left="0" w:firstLine="0"/>
      </w:pPr>
    </w:p>
    <w:p w14:paraId="79A838A3" w14:textId="77777777" w:rsidR="009E2128" w:rsidRDefault="009E2128" w:rsidP="009E2128">
      <w:pPr>
        <w:spacing w:line="360" w:lineRule="auto"/>
        <w:ind w:left="0" w:firstLine="0"/>
      </w:pPr>
    </w:p>
    <w:p w14:paraId="2F2AE1FC" w14:textId="77777777" w:rsidR="009E2128" w:rsidRDefault="009E2128" w:rsidP="009E2128">
      <w:pPr>
        <w:spacing w:line="360" w:lineRule="auto"/>
        <w:ind w:left="0" w:firstLine="0"/>
      </w:pPr>
    </w:p>
    <w:p w14:paraId="0D301530" w14:textId="77777777" w:rsidR="009E2128" w:rsidRDefault="009E2128" w:rsidP="009E2128">
      <w:pPr>
        <w:spacing w:line="360" w:lineRule="auto"/>
        <w:ind w:left="0" w:firstLine="0"/>
      </w:pPr>
    </w:p>
    <w:p w14:paraId="69C29C58" w14:textId="77777777" w:rsidR="009E2128" w:rsidRDefault="009E2128" w:rsidP="009E2128">
      <w:pPr>
        <w:spacing w:line="360" w:lineRule="auto"/>
        <w:ind w:left="0" w:firstLine="0"/>
      </w:pPr>
    </w:p>
    <w:p w14:paraId="6D00AB95" w14:textId="77777777" w:rsidR="009E2128" w:rsidRDefault="009E2128" w:rsidP="009E2128">
      <w:pPr>
        <w:spacing w:line="360" w:lineRule="auto"/>
        <w:ind w:left="0" w:firstLine="0"/>
      </w:pPr>
    </w:p>
    <w:p w14:paraId="5CED43E8" w14:textId="77777777" w:rsidR="009E2128" w:rsidRDefault="009E2128" w:rsidP="009E2128">
      <w:pPr>
        <w:spacing w:line="360" w:lineRule="auto"/>
        <w:ind w:left="0" w:firstLine="0"/>
      </w:pPr>
    </w:p>
    <w:p w14:paraId="2A111DC1" w14:textId="77777777" w:rsidR="009E2128" w:rsidRDefault="009E2128" w:rsidP="009E2128">
      <w:pPr>
        <w:spacing w:line="360" w:lineRule="auto"/>
        <w:ind w:left="0" w:firstLine="0"/>
      </w:pPr>
    </w:p>
    <w:p w14:paraId="786F2414" w14:textId="77777777" w:rsidR="009E2128" w:rsidRDefault="009E2128" w:rsidP="009E2128">
      <w:pPr>
        <w:spacing w:line="360" w:lineRule="auto"/>
        <w:ind w:left="0" w:firstLine="0"/>
      </w:pPr>
    </w:p>
    <w:p w14:paraId="4746C3DC" w14:textId="77777777" w:rsidR="009E2128" w:rsidRDefault="009E2128" w:rsidP="009E2128">
      <w:pPr>
        <w:spacing w:line="360" w:lineRule="auto"/>
        <w:ind w:left="0" w:firstLine="0"/>
      </w:pPr>
    </w:p>
    <w:p w14:paraId="79B42E80" w14:textId="77777777" w:rsidR="009E2128" w:rsidRDefault="009E2128" w:rsidP="009E2128">
      <w:pPr>
        <w:spacing w:line="360" w:lineRule="auto"/>
        <w:ind w:left="0" w:firstLine="0"/>
      </w:pPr>
    </w:p>
    <w:p w14:paraId="2123A13C" w14:textId="77777777" w:rsidR="009E2128" w:rsidRDefault="009E2128" w:rsidP="009E2128">
      <w:pPr>
        <w:spacing w:line="360" w:lineRule="auto"/>
        <w:ind w:left="0" w:firstLine="0"/>
      </w:pPr>
    </w:p>
    <w:p w14:paraId="207332CC" w14:textId="77777777" w:rsidR="009E2128" w:rsidRDefault="009E2128" w:rsidP="009E2128">
      <w:pPr>
        <w:spacing w:line="360" w:lineRule="auto"/>
        <w:ind w:left="0" w:firstLine="0"/>
      </w:pPr>
    </w:p>
    <w:p w14:paraId="3BA091B7" w14:textId="77777777" w:rsidR="009E2128" w:rsidRDefault="009E2128" w:rsidP="009E2128">
      <w:pPr>
        <w:spacing w:line="360" w:lineRule="auto"/>
        <w:ind w:left="0" w:firstLine="0"/>
      </w:pPr>
    </w:p>
    <w:p w14:paraId="7D34EE5B" w14:textId="77777777" w:rsidR="009E2128" w:rsidRDefault="009E2128" w:rsidP="009E2128">
      <w:pPr>
        <w:spacing w:line="360" w:lineRule="auto"/>
        <w:ind w:left="0" w:firstLine="0"/>
      </w:pPr>
    </w:p>
    <w:p w14:paraId="5B7D399F" w14:textId="77777777" w:rsidR="009E2128" w:rsidRDefault="009E2128" w:rsidP="009E2128">
      <w:pPr>
        <w:spacing w:line="360" w:lineRule="auto"/>
        <w:ind w:left="0" w:firstLine="0"/>
      </w:pPr>
    </w:p>
    <w:p w14:paraId="3A0CAE4A" w14:textId="77777777" w:rsidR="009E2128" w:rsidRDefault="009E2128" w:rsidP="009E2128">
      <w:pPr>
        <w:spacing w:line="360" w:lineRule="auto"/>
        <w:ind w:left="0" w:firstLine="0"/>
      </w:pPr>
    </w:p>
    <w:p w14:paraId="408F73C7" w14:textId="77777777" w:rsidR="009E2128" w:rsidRDefault="009E2128" w:rsidP="009E2128">
      <w:pPr>
        <w:spacing w:line="360" w:lineRule="auto"/>
        <w:ind w:left="0" w:firstLine="0"/>
      </w:pPr>
    </w:p>
    <w:p w14:paraId="368B5B0A" w14:textId="77777777" w:rsidR="009E2128" w:rsidRDefault="009E2128" w:rsidP="009E2128">
      <w:pPr>
        <w:spacing w:line="360" w:lineRule="auto"/>
        <w:ind w:left="0" w:firstLine="0"/>
      </w:pPr>
    </w:p>
    <w:p w14:paraId="29924DBC" w14:textId="77777777" w:rsidR="009E2128" w:rsidRDefault="009E2128" w:rsidP="009E2128">
      <w:pPr>
        <w:spacing w:line="360" w:lineRule="auto"/>
        <w:ind w:left="0" w:firstLine="0"/>
      </w:pPr>
    </w:p>
    <w:p w14:paraId="29BCF194" w14:textId="77777777" w:rsidR="009E2128" w:rsidRDefault="009E2128" w:rsidP="009E2128">
      <w:pPr>
        <w:spacing w:line="360" w:lineRule="auto"/>
        <w:ind w:left="0" w:firstLine="0"/>
      </w:pPr>
    </w:p>
    <w:p w14:paraId="3936F220" w14:textId="77777777" w:rsidR="009E2128" w:rsidRDefault="009E2128" w:rsidP="009E2128">
      <w:pPr>
        <w:spacing w:line="360" w:lineRule="auto"/>
        <w:ind w:left="0" w:firstLine="0"/>
      </w:pPr>
    </w:p>
    <w:p w14:paraId="1613851A" w14:textId="77777777" w:rsidR="009E2128" w:rsidRDefault="009E2128" w:rsidP="009E2128">
      <w:pPr>
        <w:spacing w:line="360" w:lineRule="auto"/>
        <w:ind w:left="0" w:firstLine="0"/>
      </w:pPr>
    </w:p>
    <w:p w14:paraId="5F885D33" w14:textId="77777777" w:rsidR="009E2128" w:rsidRDefault="009E2128" w:rsidP="009E2128">
      <w:pPr>
        <w:spacing w:line="360" w:lineRule="auto"/>
        <w:ind w:left="0" w:firstLine="0"/>
      </w:pPr>
    </w:p>
    <w:p w14:paraId="0FA9DF6D" w14:textId="77777777" w:rsidR="009E2128" w:rsidRDefault="009E2128" w:rsidP="009E2128">
      <w:pPr>
        <w:spacing w:line="360" w:lineRule="auto"/>
        <w:ind w:left="0" w:firstLine="0"/>
      </w:pPr>
    </w:p>
    <w:p w14:paraId="5A3D0EDA" w14:textId="77777777" w:rsidR="009E2128" w:rsidRDefault="009E2128" w:rsidP="009E2128">
      <w:pPr>
        <w:spacing w:line="360" w:lineRule="auto"/>
        <w:ind w:left="0" w:firstLine="0"/>
      </w:pPr>
    </w:p>
    <w:p w14:paraId="1AD25A00" w14:textId="77777777" w:rsidR="009E2128" w:rsidRDefault="009E2128" w:rsidP="009E2128">
      <w:pPr>
        <w:spacing w:line="360" w:lineRule="auto"/>
        <w:ind w:left="0" w:firstLine="0"/>
      </w:pPr>
    </w:p>
    <w:p w14:paraId="547B38E3" w14:textId="77777777" w:rsidR="009E2128" w:rsidRDefault="009E2128" w:rsidP="009E2128">
      <w:pPr>
        <w:spacing w:line="360" w:lineRule="auto"/>
        <w:ind w:left="0" w:firstLine="0"/>
      </w:pPr>
    </w:p>
    <w:p w14:paraId="04DF6360" w14:textId="77777777" w:rsidR="009E2128" w:rsidRDefault="009E2128" w:rsidP="009E2128">
      <w:pPr>
        <w:spacing w:line="360" w:lineRule="auto"/>
        <w:ind w:left="0" w:firstLine="0"/>
      </w:pPr>
    </w:p>
    <w:p w14:paraId="146F15DB" w14:textId="77777777" w:rsidR="009E2128" w:rsidRPr="009E2128" w:rsidRDefault="009E2128" w:rsidP="009E2128">
      <w:pPr>
        <w:spacing w:line="360" w:lineRule="auto"/>
        <w:ind w:left="0" w:firstLine="0"/>
      </w:pPr>
    </w:p>
    <w:p w14:paraId="00F9B21B" w14:textId="77777777" w:rsidR="009E2128" w:rsidRPr="009E2128" w:rsidRDefault="009E2128" w:rsidP="009E2128">
      <w:pPr>
        <w:spacing w:line="360" w:lineRule="auto"/>
        <w:ind w:left="0" w:firstLine="0"/>
      </w:pPr>
    </w:p>
    <w:p w14:paraId="2CA4EFF6" w14:textId="0632731B" w:rsidR="009E2128" w:rsidRPr="009E2128" w:rsidRDefault="009E2128" w:rsidP="009E2128">
      <w:pPr>
        <w:pStyle w:val="Heading1"/>
      </w:pPr>
      <w:bookmarkStart w:id="6" w:name="_Toc140750244"/>
      <w:r w:rsidRPr="009E2128">
        <w:lastRenderedPageBreak/>
        <w:t>References:</w:t>
      </w:r>
      <w:bookmarkEnd w:id="6"/>
      <w:r w:rsidRPr="009E2128">
        <w:t xml:space="preserve"> </w:t>
      </w:r>
    </w:p>
    <w:p w14:paraId="53A3575D" w14:textId="77777777" w:rsidR="009E2128" w:rsidRPr="009E2128" w:rsidRDefault="009E2128" w:rsidP="009E2128">
      <w:pPr>
        <w:spacing w:line="360" w:lineRule="auto"/>
        <w:ind w:left="0" w:firstLine="0"/>
      </w:pPr>
    </w:p>
    <w:p w14:paraId="6A22291F" w14:textId="77777777" w:rsidR="009E2128" w:rsidRPr="009E2128" w:rsidRDefault="009E2128" w:rsidP="009E2128">
      <w:pPr>
        <w:spacing w:line="360" w:lineRule="auto"/>
        <w:ind w:left="0" w:firstLine="0"/>
      </w:pPr>
      <w:r w:rsidRPr="009E2128">
        <w:t xml:space="preserve">Allen, T. D., Johnson, R. C., </w:t>
      </w:r>
      <w:proofErr w:type="spellStart"/>
      <w:r w:rsidRPr="009E2128">
        <w:t>Kiburz</w:t>
      </w:r>
      <w:proofErr w:type="spellEnd"/>
      <w:r w:rsidRPr="009E2128">
        <w:t>, K. M., &amp; Shockley, K. M. (2013). Work–family conflict and flexible work arrangements: Deconstructing flexibility. Personnel Psychology, 66(2), 345-376.</w:t>
      </w:r>
    </w:p>
    <w:p w14:paraId="1A1BD532" w14:textId="77777777" w:rsidR="009E2128" w:rsidRPr="009E2128" w:rsidRDefault="009E2128" w:rsidP="009E2128">
      <w:pPr>
        <w:spacing w:line="360" w:lineRule="auto"/>
        <w:ind w:left="0" w:firstLine="0"/>
      </w:pPr>
    </w:p>
    <w:p w14:paraId="3B906C45" w14:textId="77777777" w:rsidR="009E2128" w:rsidRPr="009E2128" w:rsidRDefault="009E2128" w:rsidP="009E2128">
      <w:pPr>
        <w:spacing w:line="360" w:lineRule="auto"/>
        <w:ind w:left="0" w:firstLine="0"/>
      </w:pPr>
      <w:r w:rsidRPr="009E2128">
        <w:t>AGCO (2019). AGCO Sustainability Report 2019. AGCO Corporation.</w:t>
      </w:r>
    </w:p>
    <w:p w14:paraId="68E4E35A" w14:textId="77777777" w:rsidR="009E2128" w:rsidRPr="009E2128" w:rsidRDefault="009E2128" w:rsidP="009E2128">
      <w:pPr>
        <w:spacing w:line="360" w:lineRule="auto"/>
        <w:ind w:left="0" w:firstLine="0"/>
      </w:pPr>
    </w:p>
    <w:p w14:paraId="2E965D06" w14:textId="38CE9989" w:rsidR="009E2128" w:rsidRPr="009E2128" w:rsidRDefault="009E2128" w:rsidP="009E2128">
      <w:pPr>
        <w:spacing w:line="360" w:lineRule="auto"/>
        <w:ind w:left="0" w:firstLine="0"/>
      </w:pPr>
      <w:r w:rsidRPr="009E2128">
        <w:t>Brun, J. P., &amp; Dugas, N. (2008). An analysis of employee recognition: Perspectives on human resources practices. The International Journal of Human Resource Management, 19(4), 716-730.</w:t>
      </w:r>
    </w:p>
    <w:p w14:paraId="115F0B76" w14:textId="77777777" w:rsidR="009E2128" w:rsidRPr="009E2128" w:rsidRDefault="009E2128" w:rsidP="009E2128">
      <w:pPr>
        <w:spacing w:line="360" w:lineRule="auto"/>
        <w:ind w:left="0" w:firstLine="0"/>
      </w:pPr>
    </w:p>
    <w:p w14:paraId="597B6D5E" w14:textId="2FF2D195" w:rsidR="009E2128" w:rsidRPr="009E2128" w:rsidRDefault="009E2128" w:rsidP="009E2128">
      <w:pPr>
        <w:spacing w:line="360" w:lineRule="auto"/>
        <w:ind w:left="0" w:firstLine="0"/>
      </w:pPr>
      <w:r w:rsidRPr="009E2128">
        <w:t>Bryson, A., Forth, J., &amp; Stokes, L., (2017). Does employees’ subjective well-being affect workplace performance? Human Relations, 70(8), 1017–1037.</w:t>
      </w:r>
    </w:p>
    <w:p w14:paraId="7C823239" w14:textId="77777777" w:rsidR="009E2128" w:rsidRPr="009E2128" w:rsidRDefault="009E2128" w:rsidP="009E2128">
      <w:pPr>
        <w:spacing w:line="360" w:lineRule="auto"/>
        <w:ind w:left="0" w:firstLine="0"/>
      </w:pPr>
    </w:p>
    <w:p w14:paraId="6F1FA635" w14:textId="0647688A" w:rsidR="009E2128" w:rsidRPr="009E2128" w:rsidRDefault="009E2128" w:rsidP="009E2128">
      <w:pPr>
        <w:spacing w:line="360" w:lineRule="auto"/>
        <w:ind w:left="0" w:firstLine="0"/>
      </w:pPr>
      <w:r w:rsidRPr="009E2128">
        <w:t>CNH Industrial (2020). Sustainability Report 2020. CNH Industrial.</w:t>
      </w:r>
    </w:p>
    <w:p w14:paraId="51C4F5DC" w14:textId="77777777" w:rsidR="009E2128" w:rsidRPr="009E2128" w:rsidRDefault="009E2128" w:rsidP="009E2128">
      <w:pPr>
        <w:spacing w:line="360" w:lineRule="auto"/>
        <w:ind w:left="0" w:firstLine="0"/>
      </w:pPr>
    </w:p>
    <w:p w14:paraId="2C383125" w14:textId="29CDA879" w:rsidR="009E2128" w:rsidRPr="009E2128" w:rsidRDefault="009E2128" w:rsidP="009E2128">
      <w:pPr>
        <w:spacing w:line="360" w:lineRule="auto"/>
        <w:ind w:left="0" w:firstLine="0"/>
      </w:pPr>
      <w:r w:rsidRPr="009E2128">
        <w:t>Chung, H., (2019). ‘National-level family policies and workers’ access to schedule control in a European comparative perspective: crowding out or in, and for whom?’. Journal of European Social Policy, 29(1), 3-18.</w:t>
      </w:r>
    </w:p>
    <w:p w14:paraId="2F5D3462" w14:textId="77777777" w:rsidR="009E2128" w:rsidRPr="009E2128" w:rsidRDefault="009E2128" w:rsidP="009E2128">
      <w:pPr>
        <w:spacing w:line="360" w:lineRule="auto"/>
        <w:ind w:left="0" w:firstLine="0"/>
      </w:pPr>
    </w:p>
    <w:p w14:paraId="02C235E2" w14:textId="0C18D2D7" w:rsidR="009E2128" w:rsidRPr="009E2128" w:rsidRDefault="009E2128" w:rsidP="009E2128">
      <w:pPr>
        <w:spacing w:line="360" w:lineRule="auto"/>
        <w:ind w:left="0" w:firstLine="0"/>
      </w:pPr>
      <w:r w:rsidRPr="009E2128">
        <w:t>EY (2017). EY Global People Survey 2017. EY.</w:t>
      </w:r>
    </w:p>
    <w:p w14:paraId="5557019C" w14:textId="77777777" w:rsidR="009E2128" w:rsidRPr="009E2128" w:rsidRDefault="009E2128" w:rsidP="009E2128">
      <w:pPr>
        <w:spacing w:line="360" w:lineRule="auto"/>
        <w:ind w:left="0" w:firstLine="0"/>
      </w:pPr>
    </w:p>
    <w:p w14:paraId="6F99BF9E" w14:textId="25AF68DF" w:rsidR="009E2128" w:rsidRPr="009E2128" w:rsidRDefault="009E2128" w:rsidP="009E2128">
      <w:pPr>
        <w:spacing w:line="360" w:lineRule="auto"/>
        <w:ind w:left="0" w:firstLine="0"/>
      </w:pPr>
      <w:r w:rsidRPr="009E2128">
        <w:t>Gajendran, R. S., &amp; Harrison, D. A. (2007). The good, the bad, and the unknown about telecommuting: Meta-analysis of psychological mediators and individual consequences. Journal of Applied Psychology, 92(6), 1524–1541.</w:t>
      </w:r>
    </w:p>
    <w:p w14:paraId="570E8A70" w14:textId="77777777" w:rsidR="009E2128" w:rsidRPr="009E2128" w:rsidRDefault="009E2128" w:rsidP="009E2128">
      <w:pPr>
        <w:spacing w:line="360" w:lineRule="auto"/>
        <w:ind w:left="0" w:firstLine="0"/>
      </w:pPr>
    </w:p>
    <w:p w14:paraId="78590A28" w14:textId="05E5AC45" w:rsidR="009E2128" w:rsidRPr="009E2128" w:rsidRDefault="009E2128" w:rsidP="009E2128">
      <w:pPr>
        <w:spacing w:line="360" w:lineRule="auto"/>
        <w:ind w:left="0" w:firstLine="0"/>
      </w:pPr>
      <w:r w:rsidRPr="009E2128">
        <w:t xml:space="preserve">Hill, E.J., Miller, B.C., Weiner, S.P., &amp; </w:t>
      </w:r>
      <w:proofErr w:type="spellStart"/>
      <w:r w:rsidRPr="009E2128">
        <w:t>Colihan</w:t>
      </w:r>
      <w:proofErr w:type="spellEnd"/>
      <w:r w:rsidRPr="009E2128">
        <w:t>, J., (1998). Influences of the virtual office on aspects of work and work/life balance. Personnel Psychology, 51(3), 667–683.</w:t>
      </w:r>
    </w:p>
    <w:p w14:paraId="68935153" w14:textId="77777777" w:rsidR="009E2128" w:rsidRPr="009E2128" w:rsidRDefault="009E2128" w:rsidP="009E2128">
      <w:pPr>
        <w:spacing w:line="360" w:lineRule="auto"/>
        <w:ind w:left="0" w:firstLine="0"/>
      </w:pPr>
    </w:p>
    <w:p w14:paraId="0AE797BF" w14:textId="63E1CD71" w:rsidR="009E2128" w:rsidRPr="009E2128" w:rsidRDefault="009E2128" w:rsidP="009E2128">
      <w:pPr>
        <w:spacing w:line="360" w:lineRule="auto"/>
        <w:ind w:left="0" w:firstLine="0"/>
      </w:pPr>
      <w:r w:rsidRPr="009E2128">
        <w:t>John Deere (2021). Annual Sustainability Report 2021. John Deere.</w:t>
      </w:r>
    </w:p>
    <w:p w14:paraId="02DDD25F" w14:textId="77777777" w:rsidR="009E2128" w:rsidRPr="009E2128" w:rsidRDefault="009E2128" w:rsidP="009E2128">
      <w:pPr>
        <w:spacing w:line="360" w:lineRule="auto"/>
        <w:ind w:left="0" w:firstLine="0"/>
      </w:pPr>
    </w:p>
    <w:p w14:paraId="71B52D8F" w14:textId="76A3BEDB" w:rsidR="009E2128" w:rsidRPr="009E2128" w:rsidRDefault="009E2128" w:rsidP="009E2128">
      <w:pPr>
        <w:spacing w:line="360" w:lineRule="auto"/>
        <w:ind w:left="0" w:firstLine="0"/>
      </w:pPr>
      <w:r w:rsidRPr="009E2128">
        <w:t>Kaiser Permanente (2018). Employee Work-Life Balance Study 2018. Kaiser Permanente.</w:t>
      </w:r>
    </w:p>
    <w:p w14:paraId="240003BA" w14:textId="77777777" w:rsidR="009E2128" w:rsidRPr="009E2128" w:rsidRDefault="009E2128" w:rsidP="009E2128">
      <w:pPr>
        <w:spacing w:line="360" w:lineRule="auto"/>
        <w:ind w:left="0" w:firstLine="0"/>
      </w:pPr>
    </w:p>
    <w:p w14:paraId="4EA1C979" w14:textId="12DC2EE7" w:rsidR="009E2128" w:rsidRPr="009E2128" w:rsidRDefault="009E2128" w:rsidP="009E2128">
      <w:pPr>
        <w:spacing w:line="360" w:lineRule="auto"/>
        <w:ind w:left="0" w:firstLine="0"/>
      </w:pPr>
      <w:proofErr w:type="spellStart"/>
      <w:r w:rsidRPr="009E2128">
        <w:t>Kossek</w:t>
      </w:r>
      <w:proofErr w:type="spellEnd"/>
      <w:r w:rsidRPr="009E2128">
        <w:t>, E. E., &amp; Thompson, R. J. (2016). Workplace flexibility: Integrating employer and employee perspectives to close the research–practice implementation gap. The Oxford Handbook of Work and Family, 1-14.</w:t>
      </w:r>
    </w:p>
    <w:p w14:paraId="04A31FD5" w14:textId="77777777" w:rsidR="009E2128" w:rsidRPr="009E2128" w:rsidRDefault="009E2128" w:rsidP="009E2128">
      <w:pPr>
        <w:spacing w:line="360" w:lineRule="auto"/>
        <w:ind w:left="0" w:firstLine="0"/>
      </w:pPr>
    </w:p>
    <w:p w14:paraId="2FBB10FB" w14:textId="2F9BBCB4" w:rsidR="009E2128" w:rsidRPr="009E2128" w:rsidRDefault="009E2128" w:rsidP="009E2128">
      <w:pPr>
        <w:spacing w:line="360" w:lineRule="auto"/>
        <w:ind w:left="0" w:firstLine="0"/>
      </w:pPr>
      <w:r w:rsidRPr="009E2128">
        <w:t>Kubota (2021). Sustainability Report 2021. Kubota Corporation.</w:t>
      </w:r>
    </w:p>
    <w:p w14:paraId="4E2EF053" w14:textId="77777777" w:rsidR="009E2128" w:rsidRPr="009E2128" w:rsidRDefault="009E2128" w:rsidP="009E2128">
      <w:pPr>
        <w:spacing w:line="360" w:lineRule="auto"/>
        <w:ind w:left="0" w:firstLine="0"/>
      </w:pPr>
    </w:p>
    <w:p w14:paraId="368747D9" w14:textId="0108EB13" w:rsidR="009E2128" w:rsidRPr="009E2128" w:rsidRDefault="009E2128" w:rsidP="009E2128">
      <w:pPr>
        <w:spacing w:line="360" w:lineRule="auto"/>
        <w:ind w:left="0" w:firstLine="0"/>
      </w:pPr>
      <w:proofErr w:type="spellStart"/>
      <w:r w:rsidRPr="009E2128">
        <w:t>Lautsch</w:t>
      </w:r>
      <w:proofErr w:type="spellEnd"/>
      <w:r w:rsidRPr="009E2128">
        <w:t xml:space="preserve">, B.A., </w:t>
      </w:r>
      <w:proofErr w:type="spellStart"/>
      <w:r w:rsidRPr="009E2128">
        <w:t>Kossek</w:t>
      </w:r>
      <w:proofErr w:type="spellEnd"/>
      <w:r w:rsidRPr="009E2128">
        <w:t>, E.E., &amp; Eaton, S.C., (2009). Supervisory approaches and paradoxes in managing telecommuting implementation. Human Relations, 62(6), 795–827.</w:t>
      </w:r>
    </w:p>
    <w:p w14:paraId="4CF85148" w14:textId="77777777" w:rsidR="009E2128" w:rsidRPr="009E2128" w:rsidRDefault="009E2128" w:rsidP="009E2128">
      <w:pPr>
        <w:spacing w:line="360" w:lineRule="auto"/>
        <w:ind w:left="0" w:firstLine="0"/>
      </w:pPr>
    </w:p>
    <w:p w14:paraId="7EDC216D" w14:textId="79C6715F" w:rsidR="009E2128" w:rsidRPr="009E2128" w:rsidRDefault="009E2128" w:rsidP="009E2128">
      <w:pPr>
        <w:spacing w:line="360" w:lineRule="auto"/>
        <w:ind w:left="0" w:firstLine="0"/>
      </w:pPr>
      <w:r w:rsidRPr="009E2128">
        <w:t>Locke, E. A., &amp; Latham, G. P. (2006). New directions in goal-setting theory. Current Directions in Psychological Science, 15(5), 265-268.</w:t>
      </w:r>
    </w:p>
    <w:p w14:paraId="27834F84" w14:textId="77777777" w:rsidR="009E2128" w:rsidRPr="009E2128" w:rsidRDefault="009E2128" w:rsidP="009E2128">
      <w:pPr>
        <w:spacing w:line="360" w:lineRule="auto"/>
        <w:ind w:left="0" w:firstLine="0"/>
      </w:pPr>
    </w:p>
    <w:p w14:paraId="5DFB4B61" w14:textId="6D531617" w:rsidR="009E2128" w:rsidRPr="009E2128" w:rsidRDefault="009E2128" w:rsidP="009E2128">
      <w:pPr>
        <w:spacing w:line="360" w:lineRule="auto"/>
        <w:ind w:left="0" w:firstLine="0"/>
      </w:pPr>
      <w:r w:rsidRPr="009E2128">
        <w:t xml:space="preserve">Mann, A., &amp; Harter, J. (2016). The worldwide employee engagement crisis. Gallup, </w:t>
      </w:r>
      <w:proofErr w:type="gramStart"/>
      <w:r w:rsidRPr="009E2128">
        <w:t>January,</w:t>
      </w:r>
      <w:proofErr w:type="gramEnd"/>
      <w:r w:rsidRPr="009E2128">
        <w:t xml:space="preserve"> 7.</w:t>
      </w:r>
    </w:p>
    <w:p w14:paraId="348BD61C" w14:textId="77777777" w:rsidR="009E2128" w:rsidRPr="009E2128" w:rsidRDefault="009E2128" w:rsidP="009E2128">
      <w:pPr>
        <w:spacing w:line="360" w:lineRule="auto"/>
        <w:ind w:left="0" w:firstLine="0"/>
      </w:pPr>
    </w:p>
    <w:p w14:paraId="0C87C0F4" w14:textId="738E48CD" w:rsidR="009E2128" w:rsidRPr="009E2128" w:rsidRDefault="009E2128" w:rsidP="009E2128">
      <w:pPr>
        <w:spacing w:line="360" w:lineRule="auto"/>
        <w:ind w:left="0" w:firstLine="0"/>
      </w:pPr>
      <w:r w:rsidRPr="009E2128">
        <w:t>Microsoft (2019). Microsoft Japan's Experiment with 3-Day Weekend Boosts Worker Productivity by 40%. Microsoft.</w:t>
      </w:r>
    </w:p>
    <w:p w14:paraId="21D81ADE" w14:textId="77777777" w:rsidR="009E2128" w:rsidRPr="009E2128" w:rsidRDefault="009E2128" w:rsidP="009E2128">
      <w:pPr>
        <w:spacing w:line="360" w:lineRule="auto"/>
        <w:ind w:left="0" w:firstLine="0"/>
      </w:pPr>
    </w:p>
    <w:p w14:paraId="4F01F5A8" w14:textId="67EBAA06" w:rsidR="009E2128" w:rsidRPr="009E2128" w:rsidRDefault="009E2128" w:rsidP="009E2128">
      <w:pPr>
        <w:spacing w:line="360" w:lineRule="auto"/>
        <w:ind w:left="0" w:firstLine="0"/>
      </w:pPr>
      <w:r w:rsidRPr="009E2128">
        <w:t xml:space="preserve">Purcell, J., &amp; </w:t>
      </w:r>
      <w:proofErr w:type="spellStart"/>
      <w:r w:rsidRPr="009E2128">
        <w:t>Kinnie</w:t>
      </w:r>
      <w:proofErr w:type="spellEnd"/>
      <w:r w:rsidRPr="009E2128">
        <w:t>, N., (2007). HRM and business performance. In P. Boxall, J. Purcell &amp; P. Wright (Eds.), The Oxford Handbook of Human Resource Management (pp. 533-551). Oxford University Press.</w:t>
      </w:r>
    </w:p>
    <w:p w14:paraId="6794C344" w14:textId="77777777" w:rsidR="009E2128" w:rsidRPr="009E2128" w:rsidRDefault="009E2128" w:rsidP="009E2128">
      <w:pPr>
        <w:spacing w:line="360" w:lineRule="auto"/>
        <w:ind w:left="0" w:firstLine="0"/>
      </w:pPr>
    </w:p>
    <w:p w14:paraId="1939FD88" w14:textId="56E69952" w:rsidR="009E2128" w:rsidRPr="009E2128" w:rsidRDefault="009E2128" w:rsidP="009E2128">
      <w:pPr>
        <w:spacing w:line="360" w:lineRule="auto"/>
        <w:ind w:left="0" w:firstLine="0"/>
      </w:pPr>
      <w:r w:rsidRPr="009E2128">
        <w:t xml:space="preserve">Rubery, J., Grimshaw, D., &amp; </w:t>
      </w:r>
      <w:proofErr w:type="spellStart"/>
      <w:r w:rsidRPr="009E2128">
        <w:t>Hebson</w:t>
      </w:r>
      <w:proofErr w:type="spellEnd"/>
      <w:r w:rsidRPr="009E2128">
        <w:t>, G., (2005). How to Close the Gender Pay Gap in Europe. Routledge.</w:t>
      </w:r>
    </w:p>
    <w:p w14:paraId="06161CC3" w14:textId="77777777" w:rsidR="009E2128" w:rsidRPr="009E2128" w:rsidRDefault="009E2128" w:rsidP="009E2128">
      <w:pPr>
        <w:spacing w:line="360" w:lineRule="auto"/>
        <w:ind w:left="0" w:firstLine="0"/>
      </w:pPr>
    </w:p>
    <w:p w14:paraId="60C01987" w14:textId="5113F7CC" w:rsidR="009E2128" w:rsidRPr="009E2128" w:rsidRDefault="009E2128" w:rsidP="009E2128">
      <w:pPr>
        <w:spacing w:line="360" w:lineRule="auto"/>
        <w:ind w:left="0" w:firstLine="0"/>
      </w:pPr>
      <w:r w:rsidRPr="009E2128">
        <w:t>Saks, A. M. (2006). Antecedents and consequences of employee engagement. Journal of Managerial Psychology, 21(7), 600-619.</w:t>
      </w:r>
    </w:p>
    <w:p w14:paraId="30DF478A" w14:textId="77777777" w:rsidR="009E2128" w:rsidRPr="009E2128" w:rsidRDefault="009E2128" w:rsidP="009E2128">
      <w:pPr>
        <w:spacing w:line="360" w:lineRule="auto"/>
        <w:ind w:left="0" w:firstLine="0"/>
      </w:pPr>
    </w:p>
    <w:p w14:paraId="44A0490D" w14:textId="195A1B8A" w:rsidR="009E2128" w:rsidRPr="009E2128" w:rsidRDefault="009E2128" w:rsidP="009E2128">
      <w:pPr>
        <w:spacing w:line="360" w:lineRule="auto"/>
        <w:ind w:left="0" w:firstLine="0"/>
      </w:pPr>
      <w:r w:rsidRPr="009E2128">
        <w:t>Standard Chartered (2020). Our Approach to Flexibility. Standard Chartered.</w:t>
      </w:r>
    </w:p>
    <w:p w14:paraId="474EF15D" w14:textId="77777777" w:rsidR="009E2128" w:rsidRPr="009E2128" w:rsidRDefault="009E2128" w:rsidP="009E2128">
      <w:pPr>
        <w:spacing w:line="360" w:lineRule="auto"/>
        <w:ind w:left="0" w:firstLine="0"/>
      </w:pPr>
    </w:p>
    <w:p w14:paraId="7F9A2C6C" w14:textId="77777777" w:rsidR="009E2128" w:rsidRPr="009E2128" w:rsidRDefault="009E2128" w:rsidP="009E2128">
      <w:pPr>
        <w:spacing w:line="360" w:lineRule="auto"/>
        <w:ind w:left="0" w:firstLine="0"/>
        <w:rPr>
          <w:lang w:eastAsia="en-US"/>
        </w:rPr>
      </w:pPr>
    </w:p>
    <w:p w14:paraId="37BDE37D" w14:textId="77777777" w:rsidR="00BE0DE3" w:rsidRPr="009E2128" w:rsidRDefault="00BE0DE3" w:rsidP="009E2128">
      <w:pPr>
        <w:spacing w:line="360" w:lineRule="auto"/>
        <w:ind w:left="0" w:firstLine="0"/>
      </w:pPr>
    </w:p>
    <w:sectPr w:rsidR="00BE0DE3" w:rsidRPr="009E21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5A30D8"/>
    <w:multiLevelType w:val="hybridMultilevel"/>
    <w:tmpl w:val="BE5A155E"/>
    <w:lvl w:ilvl="0" w:tplc="395ABAD4">
      <w:start w:val="1"/>
      <w:numFmt w:val="bullet"/>
      <w:lvlText w:val=""/>
      <w:lvlJc w:val="left"/>
      <w:pPr>
        <w:ind w:left="720" w:hanging="360"/>
      </w:pPr>
      <w:rPr>
        <w:rFonts w:ascii="Symbol" w:hAnsi="Symbol" w:hint="default"/>
      </w:rPr>
    </w:lvl>
    <w:lvl w:ilvl="1" w:tplc="D5F6DBB8">
      <w:start w:val="1"/>
      <w:numFmt w:val="bullet"/>
      <w:lvlText w:val="o"/>
      <w:lvlJc w:val="left"/>
      <w:pPr>
        <w:ind w:left="1440" w:hanging="360"/>
      </w:pPr>
      <w:rPr>
        <w:rFonts w:ascii="Courier New" w:hAnsi="Courier New" w:hint="default"/>
      </w:rPr>
    </w:lvl>
    <w:lvl w:ilvl="2" w:tplc="A37EA7D4">
      <w:start w:val="1"/>
      <w:numFmt w:val="bullet"/>
      <w:lvlText w:val=""/>
      <w:lvlJc w:val="left"/>
      <w:pPr>
        <w:ind w:left="2160" w:hanging="360"/>
      </w:pPr>
      <w:rPr>
        <w:rFonts w:ascii="Wingdings" w:hAnsi="Wingdings" w:hint="default"/>
      </w:rPr>
    </w:lvl>
    <w:lvl w:ilvl="3" w:tplc="DEAE4820">
      <w:start w:val="1"/>
      <w:numFmt w:val="bullet"/>
      <w:lvlText w:val=""/>
      <w:lvlJc w:val="left"/>
      <w:pPr>
        <w:ind w:left="2880" w:hanging="360"/>
      </w:pPr>
      <w:rPr>
        <w:rFonts w:ascii="Symbol" w:hAnsi="Symbol" w:hint="default"/>
      </w:rPr>
    </w:lvl>
    <w:lvl w:ilvl="4" w:tplc="7908CE56">
      <w:start w:val="1"/>
      <w:numFmt w:val="bullet"/>
      <w:lvlText w:val="o"/>
      <w:lvlJc w:val="left"/>
      <w:pPr>
        <w:ind w:left="3600" w:hanging="360"/>
      </w:pPr>
      <w:rPr>
        <w:rFonts w:ascii="Courier New" w:hAnsi="Courier New" w:hint="default"/>
      </w:rPr>
    </w:lvl>
    <w:lvl w:ilvl="5" w:tplc="762AB34E">
      <w:start w:val="1"/>
      <w:numFmt w:val="bullet"/>
      <w:lvlText w:val=""/>
      <w:lvlJc w:val="left"/>
      <w:pPr>
        <w:ind w:left="4320" w:hanging="360"/>
      </w:pPr>
      <w:rPr>
        <w:rFonts w:ascii="Wingdings" w:hAnsi="Wingdings" w:hint="default"/>
      </w:rPr>
    </w:lvl>
    <w:lvl w:ilvl="6" w:tplc="4B4856D0">
      <w:start w:val="1"/>
      <w:numFmt w:val="bullet"/>
      <w:lvlText w:val=""/>
      <w:lvlJc w:val="left"/>
      <w:pPr>
        <w:ind w:left="5040" w:hanging="360"/>
      </w:pPr>
      <w:rPr>
        <w:rFonts w:ascii="Symbol" w:hAnsi="Symbol" w:hint="default"/>
      </w:rPr>
    </w:lvl>
    <w:lvl w:ilvl="7" w:tplc="F9F82816">
      <w:start w:val="1"/>
      <w:numFmt w:val="bullet"/>
      <w:lvlText w:val="o"/>
      <w:lvlJc w:val="left"/>
      <w:pPr>
        <w:ind w:left="5760" w:hanging="360"/>
      </w:pPr>
      <w:rPr>
        <w:rFonts w:ascii="Courier New" w:hAnsi="Courier New" w:hint="default"/>
      </w:rPr>
    </w:lvl>
    <w:lvl w:ilvl="8" w:tplc="2E04DB78">
      <w:start w:val="1"/>
      <w:numFmt w:val="bullet"/>
      <w:lvlText w:val=""/>
      <w:lvlJc w:val="left"/>
      <w:pPr>
        <w:ind w:left="6480" w:hanging="360"/>
      </w:pPr>
      <w:rPr>
        <w:rFonts w:ascii="Wingdings" w:hAnsi="Wingdings" w:hint="default"/>
      </w:rPr>
    </w:lvl>
  </w:abstractNum>
  <w:abstractNum w:abstractNumId="1" w15:restartNumberingAfterBreak="0">
    <w:nsid w:val="669E0D11"/>
    <w:multiLevelType w:val="hybridMultilevel"/>
    <w:tmpl w:val="4E127BB8"/>
    <w:lvl w:ilvl="0" w:tplc="BCAEF410">
      <w:start w:val="1"/>
      <w:numFmt w:val="bullet"/>
      <w:lvlText w:val=""/>
      <w:lvlJc w:val="left"/>
      <w:pPr>
        <w:ind w:left="720" w:hanging="360"/>
      </w:pPr>
      <w:rPr>
        <w:rFonts w:ascii="Symbol" w:hAnsi="Symbol" w:hint="default"/>
      </w:rPr>
    </w:lvl>
    <w:lvl w:ilvl="1" w:tplc="C9F682CE">
      <w:start w:val="1"/>
      <w:numFmt w:val="bullet"/>
      <w:lvlText w:val="o"/>
      <w:lvlJc w:val="left"/>
      <w:pPr>
        <w:ind w:left="1440" w:hanging="360"/>
      </w:pPr>
      <w:rPr>
        <w:rFonts w:ascii="Courier New" w:hAnsi="Courier New" w:hint="default"/>
      </w:rPr>
    </w:lvl>
    <w:lvl w:ilvl="2" w:tplc="AF7A7E44">
      <w:start w:val="1"/>
      <w:numFmt w:val="bullet"/>
      <w:lvlText w:val=""/>
      <w:lvlJc w:val="left"/>
      <w:pPr>
        <w:ind w:left="2160" w:hanging="360"/>
      </w:pPr>
      <w:rPr>
        <w:rFonts w:ascii="Wingdings" w:hAnsi="Wingdings" w:hint="default"/>
      </w:rPr>
    </w:lvl>
    <w:lvl w:ilvl="3" w:tplc="86307824">
      <w:start w:val="1"/>
      <w:numFmt w:val="bullet"/>
      <w:lvlText w:val=""/>
      <w:lvlJc w:val="left"/>
      <w:pPr>
        <w:ind w:left="2880" w:hanging="360"/>
      </w:pPr>
      <w:rPr>
        <w:rFonts w:ascii="Symbol" w:hAnsi="Symbol" w:hint="default"/>
      </w:rPr>
    </w:lvl>
    <w:lvl w:ilvl="4" w:tplc="8BF6D20A">
      <w:start w:val="1"/>
      <w:numFmt w:val="bullet"/>
      <w:lvlText w:val="o"/>
      <w:lvlJc w:val="left"/>
      <w:pPr>
        <w:ind w:left="3600" w:hanging="360"/>
      </w:pPr>
      <w:rPr>
        <w:rFonts w:ascii="Courier New" w:hAnsi="Courier New" w:hint="default"/>
      </w:rPr>
    </w:lvl>
    <w:lvl w:ilvl="5" w:tplc="7A3E2D62">
      <w:start w:val="1"/>
      <w:numFmt w:val="bullet"/>
      <w:lvlText w:val=""/>
      <w:lvlJc w:val="left"/>
      <w:pPr>
        <w:ind w:left="4320" w:hanging="360"/>
      </w:pPr>
      <w:rPr>
        <w:rFonts w:ascii="Wingdings" w:hAnsi="Wingdings" w:hint="default"/>
      </w:rPr>
    </w:lvl>
    <w:lvl w:ilvl="6" w:tplc="6DC6D480">
      <w:start w:val="1"/>
      <w:numFmt w:val="bullet"/>
      <w:lvlText w:val=""/>
      <w:lvlJc w:val="left"/>
      <w:pPr>
        <w:ind w:left="5040" w:hanging="360"/>
      </w:pPr>
      <w:rPr>
        <w:rFonts w:ascii="Symbol" w:hAnsi="Symbol" w:hint="default"/>
      </w:rPr>
    </w:lvl>
    <w:lvl w:ilvl="7" w:tplc="E39A0D92">
      <w:start w:val="1"/>
      <w:numFmt w:val="bullet"/>
      <w:lvlText w:val="o"/>
      <w:lvlJc w:val="left"/>
      <w:pPr>
        <w:ind w:left="5760" w:hanging="360"/>
      </w:pPr>
      <w:rPr>
        <w:rFonts w:ascii="Courier New" w:hAnsi="Courier New" w:hint="default"/>
      </w:rPr>
    </w:lvl>
    <w:lvl w:ilvl="8" w:tplc="058C1806">
      <w:start w:val="1"/>
      <w:numFmt w:val="bullet"/>
      <w:lvlText w:val=""/>
      <w:lvlJc w:val="left"/>
      <w:pPr>
        <w:ind w:left="6480" w:hanging="360"/>
      </w:pPr>
      <w:rPr>
        <w:rFonts w:ascii="Wingdings" w:hAnsi="Wingdings" w:hint="default"/>
      </w:rPr>
    </w:lvl>
  </w:abstractNum>
  <w:num w:numId="1" w16cid:durableId="920485754">
    <w:abstractNumId w:val="1"/>
  </w:num>
  <w:num w:numId="2" w16cid:durableId="4238459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128"/>
    <w:rsid w:val="009E2128"/>
    <w:rsid w:val="00BE0DE3"/>
    <w:rsid w:val="00FC703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735DE2D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2128"/>
    <w:pPr>
      <w:spacing w:after="1" w:line="239" w:lineRule="auto"/>
      <w:ind w:left="10" w:right="209" w:hanging="10"/>
      <w:jc w:val="both"/>
    </w:pPr>
    <w:rPr>
      <w:rFonts w:ascii="Arial" w:eastAsia="Arial" w:hAnsi="Arial" w:cs="Arial"/>
      <w:color w:val="000000"/>
      <w:kern w:val="0"/>
      <w:sz w:val="22"/>
      <w:szCs w:val="22"/>
      <w:lang w:val="en-GB" w:eastAsia="en-GB"/>
      <w14:ligatures w14:val="none"/>
    </w:rPr>
  </w:style>
  <w:style w:type="paragraph" w:styleId="Heading1">
    <w:name w:val="heading 1"/>
    <w:basedOn w:val="Normal"/>
    <w:next w:val="Normal"/>
    <w:link w:val="Heading1Char"/>
    <w:uiPriority w:val="9"/>
    <w:qFormat/>
    <w:rsid w:val="009E21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E21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128"/>
    <w:pPr>
      <w:ind w:left="720"/>
      <w:contextualSpacing/>
    </w:pPr>
  </w:style>
  <w:style w:type="paragraph" w:styleId="NormalWeb">
    <w:name w:val="Normal (Web)"/>
    <w:basedOn w:val="Normal"/>
    <w:uiPriority w:val="99"/>
    <w:semiHidden/>
    <w:unhideWhenUsed/>
    <w:rsid w:val="009E2128"/>
    <w:pPr>
      <w:spacing w:before="100" w:beforeAutospacing="1" w:after="100" w:afterAutospacing="1" w:line="240" w:lineRule="auto"/>
      <w:ind w:left="0" w:right="0" w:firstLine="0"/>
      <w:jc w:val="left"/>
    </w:pPr>
    <w:rPr>
      <w:rFonts w:ascii="Times New Roman" w:eastAsia="Times New Roman" w:hAnsi="Times New Roman" w:cs="Times New Roman"/>
      <w:color w:val="auto"/>
      <w:sz w:val="24"/>
      <w:szCs w:val="24"/>
      <w:lang w:val="en-RO"/>
    </w:rPr>
  </w:style>
  <w:style w:type="paragraph" w:styleId="z-TopofForm">
    <w:name w:val="HTML Top of Form"/>
    <w:basedOn w:val="Normal"/>
    <w:next w:val="Normal"/>
    <w:link w:val="z-TopofFormChar"/>
    <w:hidden/>
    <w:uiPriority w:val="99"/>
    <w:semiHidden/>
    <w:unhideWhenUsed/>
    <w:rsid w:val="009E2128"/>
    <w:pPr>
      <w:pBdr>
        <w:bottom w:val="single" w:sz="6" w:space="1" w:color="auto"/>
      </w:pBdr>
      <w:spacing w:after="0" w:line="240" w:lineRule="auto"/>
      <w:ind w:left="0" w:right="0" w:firstLine="0"/>
      <w:jc w:val="center"/>
    </w:pPr>
    <w:rPr>
      <w:rFonts w:eastAsia="Times New Roman"/>
      <w:vanish/>
      <w:color w:val="auto"/>
      <w:sz w:val="16"/>
      <w:szCs w:val="16"/>
      <w:lang w:val="en-RO"/>
    </w:rPr>
  </w:style>
  <w:style w:type="character" w:customStyle="1" w:styleId="z-TopofFormChar">
    <w:name w:val="z-Top of Form Char"/>
    <w:basedOn w:val="DefaultParagraphFont"/>
    <w:link w:val="z-TopofForm"/>
    <w:uiPriority w:val="99"/>
    <w:semiHidden/>
    <w:rsid w:val="009E2128"/>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9E2128"/>
    <w:pPr>
      <w:pBdr>
        <w:top w:val="single" w:sz="6" w:space="1" w:color="auto"/>
      </w:pBdr>
      <w:spacing w:after="0" w:line="240" w:lineRule="auto"/>
      <w:ind w:left="0" w:right="0" w:firstLine="0"/>
      <w:jc w:val="center"/>
    </w:pPr>
    <w:rPr>
      <w:rFonts w:eastAsia="Times New Roman"/>
      <w:vanish/>
      <w:color w:val="auto"/>
      <w:sz w:val="16"/>
      <w:szCs w:val="16"/>
      <w:lang w:val="en-RO"/>
    </w:rPr>
  </w:style>
  <w:style w:type="character" w:customStyle="1" w:styleId="z-BottomofFormChar">
    <w:name w:val="z-Bottom of Form Char"/>
    <w:basedOn w:val="DefaultParagraphFont"/>
    <w:link w:val="z-BottomofForm"/>
    <w:uiPriority w:val="99"/>
    <w:semiHidden/>
    <w:rsid w:val="009E2128"/>
    <w:rPr>
      <w:rFonts w:ascii="Arial" w:eastAsia="Times New Roman" w:hAnsi="Arial" w:cs="Arial"/>
      <w:vanish/>
      <w:kern w:val="0"/>
      <w:sz w:val="16"/>
      <w:szCs w:val="16"/>
      <w:lang w:eastAsia="en-GB"/>
      <w14:ligatures w14:val="none"/>
    </w:rPr>
  </w:style>
  <w:style w:type="character" w:customStyle="1" w:styleId="Heading1Char">
    <w:name w:val="Heading 1 Char"/>
    <w:basedOn w:val="DefaultParagraphFont"/>
    <w:link w:val="Heading1"/>
    <w:uiPriority w:val="9"/>
    <w:rsid w:val="009E2128"/>
    <w:rPr>
      <w:rFonts w:asciiTheme="majorHAnsi" w:eastAsiaTheme="majorEastAsia" w:hAnsiTheme="majorHAnsi" w:cstheme="majorBidi"/>
      <w:color w:val="2F5496" w:themeColor="accent1" w:themeShade="BF"/>
      <w:kern w:val="0"/>
      <w:sz w:val="32"/>
      <w:szCs w:val="32"/>
      <w:lang w:val="en-GB" w:eastAsia="en-GB"/>
      <w14:ligatures w14:val="none"/>
    </w:rPr>
  </w:style>
  <w:style w:type="paragraph" w:styleId="TOCHeading">
    <w:name w:val="TOC Heading"/>
    <w:basedOn w:val="Heading1"/>
    <w:next w:val="Normal"/>
    <w:uiPriority w:val="39"/>
    <w:unhideWhenUsed/>
    <w:qFormat/>
    <w:rsid w:val="009E2128"/>
    <w:pPr>
      <w:spacing w:before="480" w:line="276" w:lineRule="auto"/>
      <w:ind w:left="0" w:right="0" w:firstLine="0"/>
      <w:jc w:val="left"/>
      <w:outlineLvl w:val="9"/>
    </w:pPr>
    <w:rPr>
      <w:b/>
      <w:bCs/>
      <w:sz w:val="28"/>
      <w:szCs w:val="28"/>
      <w:lang w:val="en-US" w:eastAsia="en-US"/>
    </w:rPr>
  </w:style>
  <w:style w:type="paragraph" w:styleId="TOC1">
    <w:name w:val="toc 1"/>
    <w:basedOn w:val="Normal"/>
    <w:next w:val="Normal"/>
    <w:autoRedefine/>
    <w:uiPriority w:val="39"/>
    <w:unhideWhenUsed/>
    <w:rsid w:val="009E2128"/>
    <w:pPr>
      <w:spacing w:before="120" w:after="0"/>
      <w:ind w:left="0"/>
      <w:jc w:val="left"/>
    </w:pPr>
    <w:rPr>
      <w:rFonts w:asciiTheme="minorHAnsi" w:hAnsiTheme="minorHAnsi" w:cstheme="minorHAnsi"/>
      <w:b/>
      <w:bCs/>
      <w:i/>
      <w:iCs/>
      <w:sz w:val="24"/>
      <w:szCs w:val="24"/>
    </w:rPr>
  </w:style>
  <w:style w:type="character" w:styleId="Hyperlink">
    <w:name w:val="Hyperlink"/>
    <w:basedOn w:val="DefaultParagraphFont"/>
    <w:uiPriority w:val="99"/>
    <w:unhideWhenUsed/>
    <w:rsid w:val="009E2128"/>
    <w:rPr>
      <w:color w:val="0563C1" w:themeColor="hyperlink"/>
      <w:u w:val="single"/>
    </w:rPr>
  </w:style>
  <w:style w:type="paragraph" w:styleId="TOC2">
    <w:name w:val="toc 2"/>
    <w:basedOn w:val="Normal"/>
    <w:next w:val="Normal"/>
    <w:autoRedefine/>
    <w:uiPriority w:val="39"/>
    <w:semiHidden/>
    <w:unhideWhenUsed/>
    <w:rsid w:val="009E2128"/>
    <w:pPr>
      <w:spacing w:before="120" w:after="0"/>
      <w:ind w:left="220"/>
      <w:jc w:val="left"/>
    </w:pPr>
    <w:rPr>
      <w:rFonts w:asciiTheme="minorHAnsi" w:hAnsiTheme="minorHAnsi" w:cstheme="minorHAnsi"/>
      <w:b/>
      <w:bCs/>
    </w:rPr>
  </w:style>
  <w:style w:type="paragraph" w:styleId="TOC3">
    <w:name w:val="toc 3"/>
    <w:basedOn w:val="Normal"/>
    <w:next w:val="Normal"/>
    <w:autoRedefine/>
    <w:uiPriority w:val="39"/>
    <w:semiHidden/>
    <w:unhideWhenUsed/>
    <w:rsid w:val="009E2128"/>
    <w:pPr>
      <w:spacing w:after="0"/>
      <w:ind w:left="44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E2128"/>
    <w:pPr>
      <w:spacing w:after="0"/>
      <w:ind w:left="66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E2128"/>
    <w:pPr>
      <w:spacing w:after="0"/>
      <w:ind w:left="88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E2128"/>
    <w:pPr>
      <w:spacing w:after="0"/>
      <w:ind w:left="11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E2128"/>
    <w:pPr>
      <w:spacing w:after="0"/>
      <w:ind w:left="132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E2128"/>
    <w:pPr>
      <w:spacing w:after="0"/>
      <w:ind w:left="154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E2128"/>
    <w:pPr>
      <w:spacing w:after="0"/>
      <w:ind w:left="1760"/>
      <w:jc w:val="left"/>
    </w:pPr>
    <w:rPr>
      <w:rFonts w:asciiTheme="minorHAnsi" w:hAnsiTheme="minorHAnsi" w:cstheme="minorHAnsi"/>
      <w:sz w:val="20"/>
      <w:szCs w:val="20"/>
    </w:rPr>
  </w:style>
  <w:style w:type="character" w:customStyle="1" w:styleId="Heading2Char">
    <w:name w:val="Heading 2 Char"/>
    <w:basedOn w:val="DefaultParagraphFont"/>
    <w:link w:val="Heading2"/>
    <w:rsid w:val="009E2128"/>
    <w:rPr>
      <w:rFonts w:asciiTheme="majorHAnsi" w:eastAsiaTheme="majorEastAsia" w:hAnsiTheme="majorHAnsi" w:cstheme="majorBidi"/>
      <w:color w:val="2F5496" w:themeColor="accent1" w:themeShade="BF"/>
      <w:kern w:val="0"/>
      <w:sz w:val="26"/>
      <w:szCs w:val="26"/>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498720">
      <w:bodyDiv w:val="1"/>
      <w:marLeft w:val="0"/>
      <w:marRight w:val="0"/>
      <w:marTop w:val="0"/>
      <w:marBottom w:val="0"/>
      <w:divBdr>
        <w:top w:val="none" w:sz="0" w:space="0" w:color="auto"/>
        <w:left w:val="none" w:sz="0" w:space="0" w:color="auto"/>
        <w:bottom w:val="none" w:sz="0" w:space="0" w:color="auto"/>
        <w:right w:val="none" w:sz="0" w:space="0" w:color="auto"/>
      </w:divBdr>
      <w:divsChild>
        <w:div w:id="575089326">
          <w:marLeft w:val="0"/>
          <w:marRight w:val="0"/>
          <w:marTop w:val="0"/>
          <w:marBottom w:val="0"/>
          <w:divBdr>
            <w:top w:val="single" w:sz="2" w:space="0" w:color="D9D9E3"/>
            <w:left w:val="single" w:sz="2" w:space="0" w:color="D9D9E3"/>
            <w:bottom w:val="single" w:sz="2" w:space="0" w:color="D9D9E3"/>
            <w:right w:val="single" w:sz="2" w:space="0" w:color="D9D9E3"/>
          </w:divBdr>
          <w:divsChild>
            <w:div w:id="1445344174">
              <w:marLeft w:val="0"/>
              <w:marRight w:val="0"/>
              <w:marTop w:val="0"/>
              <w:marBottom w:val="0"/>
              <w:divBdr>
                <w:top w:val="single" w:sz="2" w:space="0" w:color="D9D9E3"/>
                <w:left w:val="single" w:sz="2" w:space="0" w:color="D9D9E3"/>
                <w:bottom w:val="single" w:sz="2" w:space="0" w:color="D9D9E3"/>
                <w:right w:val="single" w:sz="2" w:space="0" w:color="D9D9E3"/>
              </w:divBdr>
              <w:divsChild>
                <w:div w:id="493033773">
                  <w:marLeft w:val="0"/>
                  <w:marRight w:val="0"/>
                  <w:marTop w:val="0"/>
                  <w:marBottom w:val="0"/>
                  <w:divBdr>
                    <w:top w:val="single" w:sz="2" w:space="0" w:color="D9D9E3"/>
                    <w:left w:val="single" w:sz="2" w:space="0" w:color="D9D9E3"/>
                    <w:bottom w:val="single" w:sz="2" w:space="0" w:color="D9D9E3"/>
                    <w:right w:val="single" w:sz="2" w:space="0" w:color="D9D9E3"/>
                  </w:divBdr>
                  <w:divsChild>
                    <w:div w:id="1754084850">
                      <w:marLeft w:val="0"/>
                      <w:marRight w:val="0"/>
                      <w:marTop w:val="0"/>
                      <w:marBottom w:val="0"/>
                      <w:divBdr>
                        <w:top w:val="single" w:sz="2" w:space="0" w:color="D9D9E3"/>
                        <w:left w:val="single" w:sz="2" w:space="0" w:color="D9D9E3"/>
                        <w:bottom w:val="single" w:sz="2" w:space="0" w:color="D9D9E3"/>
                        <w:right w:val="single" w:sz="2" w:space="0" w:color="D9D9E3"/>
                      </w:divBdr>
                      <w:divsChild>
                        <w:div w:id="167641624">
                          <w:marLeft w:val="0"/>
                          <w:marRight w:val="0"/>
                          <w:marTop w:val="0"/>
                          <w:marBottom w:val="0"/>
                          <w:divBdr>
                            <w:top w:val="single" w:sz="2" w:space="0" w:color="auto"/>
                            <w:left w:val="single" w:sz="2" w:space="0" w:color="auto"/>
                            <w:bottom w:val="single" w:sz="6" w:space="0" w:color="auto"/>
                            <w:right w:val="single" w:sz="2" w:space="0" w:color="auto"/>
                          </w:divBdr>
                          <w:divsChild>
                            <w:div w:id="205676841">
                              <w:marLeft w:val="0"/>
                              <w:marRight w:val="0"/>
                              <w:marTop w:val="100"/>
                              <w:marBottom w:val="100"/>
                              <w:divBdr>
                                <w:top w:val="single" w:sz="2" w:space="0" w:color="D9D9E3"/>
                                <w:left w:val="single" w:sz="2" w:space="0" w:color="D9D9E3"/>
                                <w:bottom w:val="single" w:sz="2" w:space="0" w:color="D9D9E3"/>
                                <w:right w:val="single" w:sz="2" w:space="0" w:color="D9D9E3"/>
                              </w:divBdr>
                              <w:divsChild>
                                <w:div w:id="1500996575">
                                  <w:marLeft w:val="0"/>
                                  <w:marRight w:val="0"/>
                                  <w:marTop w:val="0"/>
                                  <w:marBottom w:val="0"/>
                                  <w:divBdr>
                                    <w:top w:val="single" w:sz="2" w:space="0" w:color="D9D9E3"/>
                                    <w:left w:val="single" w:sz="2" w:space="0" w:color="D9D9E3"/>
                                    <w:bottom w:val="single" w:sz="2" w:space="0" w:color="D9D9E3"/>
                                    <w:right w:val="single" w:sz="2" w:space="0" w:color="D9D9E3"/>
                                  </w:divBdr>
                                  <w:divsChild>
                                    <w:div w:id="437989375">
                                      <w:marLeft w:val="0"/>
                                      <w:marRight w:val="0"/>
                                      <w:marTop w:val="0"/>
                                      <w:marBottom w:val="0"/>
                                      <w:divBdr>
                                        <w:top w:val="single" w:sz="2" w:space="0" w:color="D9D9E3"/>
                                        <w:left w:val="single" w:sz="2" w:space="0" w:color="D9D9E3"/>
                                        <w:bottom w:val="single" w:sz="2" w:space="0" w:color="D9D9E3"/>
                                        <w:right w:val="single" w:sz="2" w:space="0" w:color="D9D9E3"/>
                                      </w:divBdr>
                                      <w:divsChild>
                                        <w:div w:id="1391615363">
                                          <w:marLeft w:val="0"/>
                                          <w:marRight w:val="0"/>
                                          <w:marTop w:val="0"/>
                                          <w:marBottom w:val="0"/>
                                          <w:divBdr>
                                            <w:top w:val="single" w:sz="2" w:space="0" w:color="D9D9E3"/>
                                            <w:left w:val="single" w:sz="2" w:space="0" w:color="D9D9E3"/>
                                            <w:bottom w:val="single" w:sz="2" w:space="0" w:color="D9D9E3"/>
                                            <w:right w:val="single" w:sz="2" w:space="0" w:color="D9D9E3"/>
                                          </w:divBdr>
                                          <w:divsChild>
                                            <w:div w:id="8645571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56645056">
          <w:marLeft w:val="0"/>
          <w:marRight w:val="0"/>
          <w:marTop w:val="0"/>
          <w:marBottom w:val="0"/>
          <w:divBdr>
            <w:top w:val="single" w:sz="6" w:space="0" w:color="D9D9E3"/>
            <w:left w:val="single" w:sz="2" w:space="0" w:color="D9D9E3"/>
            <w:bottom w:val="single" w:sz="2" w:space="0" w:color="D9D9E3"/>
            <w:right w:val="single" w:sz="2" w:space="0" w:color="D9D9E3"/>
          </w:divBdr>
        </w:div>
      </w:divsChild>
    </w:div>
    <w:div w:id="453066040">
      <w:bodyDiv w:val="1"/>
      <w:marLeft w:val="0"/>
      <w:marRight w:val="0"/>
      <w:marTop w:val="0"/>
      <w:marBottom w:val="0"/>
      <w:divBdr>
        <w:top w:val="none" w:sz="0" w:space="0" w:color="auto"/>
        <w:left w:val="none" w:sz="0" w:space="0" w:color="auto"/>
        <w:bottom w:val="none" w:sz="0" w:space="0" w:color="auto"/>
        <w:right w:val="none" w:sz="0" w:space="0" w:color="auto"/>
      </w:divBdr>
    </w:div>
    <w:div w:id="886067955">
      <w:bodyDiv w:val="1"/>
      <w:marLeft w:val="0"/>
      <w:marRight w:val="0"/>
      <w:marTop w:val="0"/>
      <w:marBottom w:val="0"/>
      <w:divBdr>
        <w:top w:val="none" w:sz="0" w:space="0" w:color="auto"/>
        <w:left w:val="none" w:sz="0" w:space="0" w:color="auto"/>
        <w:bottom w:val="none" w:sz="0" w:space="0" w:color="auto"/>
        <w:right w:val="none" w:sz="0" w:space="0" w:color="auto"/>
      </w:divBdr>
    </w:div>
    <w:div w:id="1022123815">
      <w:bodyDiv w:val="1"/>
      <w:marLeft w:val="0"/>
      <w:marRight w:val="0"/>
      <w:marTop w:val="0"/>
      <w:marBottom w:val="0"/>
      <w:divBdr>
        <w:top w:val="none" w:sz="0" w:space="0" w:color="auto"/>
        <w:left w:val="none" w:sz="0" w:space="0" w:color="auto"/>
        <w:bottom w:val="none" w:sz="0" w:space="0" w:color="auto"/>
        <w:right w:val="none" w:sz="0" w:space="0" w:color="auto"/>
      </w:divBdr>
    </w:div>
    <w:div w:id="1102921759">
      <w:bodyDiv w:val="1"/>
      <w:marLeft w:val="0"/>
      <w:marRight w:val="0"/>
      <w:marTop w:val="0"/>
      <w:marBottom w:val="0"/>
      <w:divBdr>
        <w:top w:val="none" w:sz="0" w:space="0" w:color="auto"/>
        <w:left w:val="none" w:sz="0" w:space="0" w:color="auto"/>
        <w:bottom w:val="none" w:sz="0" w:space="0" w:color="auto"/>
        <w:right w:val="none" w:sz="0" w:space="0" w:color="auto"/>
      </w:divBdr>
    </w:div>
    <w:div w:id="1341811831">
      <w:bodyDiv w:val="1"/>
      <w:marLeft w:val="0"/>
      <w:marRight w:val="0"/>
      <w:marTop w:val="0"/>
      <w:marBottom w:val="0"/>
      <w:divBdr>
        <w:top w:val="none" w:sz="0" w:space="0" w:color="auto"/>
        <w:left w:val="none" w:sz="0" w:space="0" w:color="auto"/>
        <w:bottom w:val="none" w:sz="0" w:space="0" w:color="auto"/>
        <w:right w:val="none" w:sz="0" w:space="0" w:color="auto"/>
      </w:divBdr>
    </w:div>
    <w:div w:id="1599604972">
      <w:bodyDiv w:val="1"/>
      <w:marLeft w:val="0"/>
      <w:marRight w:val="0"/>
      <w:marTop w:val="0"/>
      <w:marBottom w:val="0"/>
      <w:divBdr>
        <w:top w:val="none" w:sz="0" w:space="0" w:color="auto"/>
        <w:left w:val="none" w:sz="0" w:space="0" w:color="auto"/>
        <w:bottom w:val="none" w:sz="0" w:space="0" w:color="auto"/>
        <w:right w:val="none" w:sz="0" w:space="0" w:color="auto"/>
      </w:divBdr>
    </w:div>
    <w:div w:id="1686856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D45610-2A16-3F42-95B5-EEEC21527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10</Pages>
  <Words>2462</Words>
  <Characters>14037</Characters>
  <Application>Microsoft Office Word</Application>
  <DocSecurity>0</DocSecurity>
  <Lines>116</Lines>
  <Paragraphs>32</Paragraphs>
  <ScaleCrop>false</ScaleCrop>
  <LinksUpToDate>false</LinksUpToDate>
  <CharactersWithSpaces>16467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2023-07-20T09:24:00Z</dcterms:created>
  <dcterms:modified xsi:type="dcterms:W3CDTF">2023-07-20T10:01:00Z</dcterms:modified>
</cp:coreProperties>
</file>