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EE3144" w14:textId="42ACC1A0" w:rsidR="009D16CC" w:rsidRPr="009D16CC" w:rsidRDefault="009D16CC" w:rsidP="009D16CC">
      <w:r w:rsidRPr="009D16CC">
        <w:rPr>
          <w:noProof/>
        </w:rPr>
        <w:drawing>
          <wp:inline distT="0" distB="0" distL="0" distR="0" wp14:anchorId="31120247" wp14:editId="635EB0AD">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3EE4BE84" w14:textId="77777777" w:rsidR="009D16CC" w:rsidRPr="009D16CC" w:rsidRDefault="009D16CC" w:rsidP="009D16CC"/>
    <w:p w14:paraId="686DAC5C" w14:textId="77777777" w:rsidR="009D16CC" w:rsidRPr="009D16CC" w:rsidRDefault="009D16CC" w:rsidP="009D16CC"/>
    <w:p w14:paraId="527A4087" w14:textId="77777777" w:rsidR="009D16CC" w:rsidRPr="009D16CC" w:rsidRDefault="009D16CC" w:rsidP="009D16CC">
      <w:pPr>
        <w:rPr>
          <w:b/>
          <w:lang w:val="cy-GB"/>
        </w:rPr>
      </w:pPr>
      <w:r w:rsidRPr="009D16CC">
        <w:rPr>
          <w:b/>
          <w:lang w:val="cy-GB"/>
        </w:rPr>
        <w:t xml:space="preserve">Postgraduate/Distance Learning </w:t>
      </w:r>
    </w:p>
    <w:p w14:paraId="370A6598" w14:textId="77777777" w:rsidR="009D16CC" w:rsidRPr="009D16CC" w:rsidRDefault="009D16CC" w:rsidP="009D16CC">
      <w:pPr>
        <w:rPr>
          <w:b/>
        </w:rPr>
      </w:pPr>
      <w:r w:rsidRPr="009D16CC">
        <w:rPr>
          <w:b/>
          <w:lang w:val="cy-GB"/>
        </w:rPr>
        <w:t>Assignment coversheet &amp; feedback form</w:t>
      </w:r>
    </w:p>
    <w:p w14:paraId="24E836F0" w14:textId="77777777" w:rsidR="009D16CC" w:rsidRPr="009D16CC" w:rsidRDefault="009D16CC" w:rsidP="009D16CC">
      <w:pPr>
        <w:rPr>
          <w:lang w:val="cy-GB"/>
        </w:rPr>
      </w:pPr>
    </w:p>
    <w:p w14:paraId="7B9049EF" w14:textId="77777777" w:rsidR="009D16CC" w:rsidRPr="009D16CC" w:rsidRDefault="009D16CC" w:rsidP="009D16CC">
      <w:pPr>
        <w:rPr>
          <w:b/>
          <w:bCs/>
          <w:lang w:val="cy-GB"/>
        </w:rPr>
      </w:pPr>
      <w:r w:rsidRPr="009D16CC">
        <w:rPr>
          <w:b/>
          <w:bCs/>
          <w:lang w:val="cy-GB"/>
        </w:rPr>
        <w:t>THIS SHEET MUST BE THE FIRST PAGE OF THE ASSIGNMENT YOU ARE SUBMITTING  (DO NOT SEND AS A SEPARATE FILE)</w:t>
      </w:r>
    </w:p>
    <w:p w14:paraId="6971513B" w14:textId="77777777" w:rsidR="009D16CC" w:rsidRPr="009D16CC" w:rsidRDefault="009D16CC" w:rsidP="009D16CC">
      <w:pPr>
        <w:rPr>
          <w:b/>
          <w:bC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9D16CC" w:rsidRPr="009D16CC" w14:paraId="0CF5AA3E" w14:textId="77777777" w:rsidTr="00C262BD">
        <w:trPr>
          <w:trHeight w:val="614"/>
        </w:trPr>
        <w:tc>
          <w:tcPr>
            <w:tcW w:w="8856" w:type="dxa"/>
            <w:gridSpan w:val="5"/>
          </w:tcPr>
          <w:p w14:paraId="3B462491" w14:textId="77777777" w:rsidR="009D16CC" w:rsidRPr="009D16CC" w:rsidRDefault="009D16CC" w:rsidP="009D16CC">
            <w:r w:rsidRPr="009D16CC">
              <w:rPr>
                <w:b/>
              </w:rPr>
              <w:t>For completion by the student</w:t>
            </w:r>
            <w:r w:rsidRPr="009D16CC">
              <w:t>:</w:t>
            </w:r>
          </w:p>
        </w:tc>
      </w:tr>
      <w:tr w:rsidR="009D16CC" w:rsidRPr="009D16CC" w14:paraId="56A357F3" w14:textId="77777777" w:rsidTr="00C262BD">
        <w:trPr>
          <w:trHeight w:val="718"/>
        </w:trPr>
        <w:tc>
          <w:tcPr>
            <w:tcW w:w="8856" w:type="dxa"/>
            <w:gridSpan w:val="5"/>
          </w:tcPr>
          <w:p w14:paraId="4790BEA6" w14:textId="77777777" w:rsidR="009D16CC" w:rsidRPr="009D16CC" w:rsidRDefault="009D16CC" w:rsidP="009D16CC">
            <w:r w:rsidRPr="009D16CC">
              <w:t>Student Name:  Nick Pike</w:t>
            </w:r>
          </w:p>
          <w:p w14:paraId="16EED401" w14:textId="77777777" w:rsidR="009D16CC" w:rsidRPr="009D16CC" w:rsidRDefault="009D16CC" w:rsidP="009D16CC"/>
          <w:p w14:paraId="6347DAD7" w14:textId="77777777" w:rsidR="009D16CC" w:rsidRPr="009D16CC" w:rsidRDefault="009D16CC" w:rsidP="009D16CC">
            <w:r w:rsidRPr="009D16CC">
              <w:t xml:space="preserve">Student </w:t>
            </w:r>
            <w:r w:rsidRPr="009D16CC">
              <w:rPr>
                <w:b/>
                <w:bCs/>
                <w:u w:val="single"/>
              </w:rPr>
              <w:t>University</w:t>
            </w:r>
            <w:r w:rsidRPr="009D16CC">
              <w:rPr>
                <w:u w:val="single"/>
              </w:rPr>
              <w:t xml:space="preserve"> </w:t>
            </w:r>
            <w:r w:rsidRPr="009D16CC">
              <w:t>Email: 1705258@uwtsd.sc.uk</w:t>
            </w:r>
          </w:p>
        </w:tc>
      </w:tr>
      <w:tr w:rsidR="009D16CC" w:rsidRPr="009D16CC" w14:paraId="743A220A" w14:textId="77777777" w:rsidTr="00C262BD">
        <w:trPr>
          <w:trHeight w:val="849"/>
        </w:trPr>
        <w:tc>
          <w:tcPr>
            <w:tcW w:w="4788" w:type="dxa"/>
          </w:tcPr>
          <w:p w14:paraId="5371EA0E" w14:textId="30F5D669" w:rsidR="009D16CC" w:rsidRPr="009D16CC" w:rsidRDefault="009D16CC" w:rsidP="009D16CC">
            <w:r w:rsidRPr="009D16CC">
              <w:t xml:space="preserve">Module code: </w:t>
            </w:r>
            <w:r w:rsidR="00044EE4">
              <w:t>CYCS7015</w:t>
            </w:r>
          </w:p>
          <w:p w14:paraId="542D00B0" w14:textId="77777777" w:rsidR="009D16CC" w:rsidRPr="009D16CC" w:rsidRDefault="009D16CC" w:rsidP="009D16CC"/>
          <w:p w14:paraId="5D804577" w14:textId="79F0F4A1" w:rsidR="009D16CC" w:rsidRPr="009D16CC" w:rsidRDefault="009D16CC" w:rsidP="009D16CC">
            <w:r w:rsidRPr="009D16CC">
              <w:t xml:space="preserve">Module title:  </w:t>
            </w:r>
            <w:r w:rsidR="00044EE4">
              <w:t>Y Mabinogi</w:t>
            </w:r>
          </w:p>
          <w:p w14:paraId="1CF5C4CB" w14:textId="77777777" w:rsidR="009D16CC" w:rsidRPr="009D16CC" w:rsidRDefault="009D16CC" w:rsidP="009D16CC"/>
          <w:p w14:paraId="1B8B5C11" w14:textId="77777777" w:rsidR="009D16CC" w:rsidRPr="009D16CC" w:rsidRDefault="009D16CC" w:rsidP="009D16CC"/>
        </w:tc>
        <w:tc>
          <w:tcPr>
            <w:tcW w:w="2266" w:type="dxa"/>
            <w:gridSpan w:val="3"/>
          </w:tcPr>
          <w:p w14:paraId="4C57B41E" w14:textId="77777777" w:rsidR="009D16CC" w:rsidRPr="009D16CC" w:rsidRDefault="009D16CC" w:rsidP="009D16CC">
            <w:r w:rsidRPr="009D16CC">
              <w:t>Student ID number:</w:t>
            </w:r>
          </w:p>
          <w:p w14:paraId="5BA5C8BA" w14:textId="77777777" w:rsidR="009D16CC" w:rsidRPr="009D16CC" w:rsidRDefault="009D16CC" w:rsidP="009D16CC"/>
          <w:p w14:paraId="02125BA5" w14:textId="77777777" w:rsidR="009D16CC" w:rsidRPr="009D16CC" w:rsidRDefault="009D16CC" w:rsidP="009D16CC">
            <w:r w:rsidRPr="009D16CC">
              <w:t>1705258</w:t>
            </w:r>
          </w:p>
        </w:tc>
        <w:tc>
          <w:tcPr>
            <w:tcW w:w="1802" w:type="dxa"/>
          </w:tcPr>
          <w:p w14:paraId="155274C7" w14:textId="77777777" w:rsidR="009D16CC" w:rsidRPr="009D16CC" w:rsidRDefault="009D16CC" w:rsidP="009D16CC">
            <w:r w:rsidRPr="009D16CC">
              <w:t>Educational support needs:</w:t>
            </w:r>
          </w:p>
          <w:p w14:paraId="1756B3BD" w14:textId="77777777" w:rsidR="009D16CC" w:rsidRPr="009D16CC" w:rsidRDefault="009D16CC" w:rsidP="009D16CC">
            <w:r w:rsidRPr="009D16CC">
              <w:t>No</w:t>
            </w:r>
          </w:p>
        </w:tc>
      </w:tr>
      <w:tr w:rsidR="009D16CC" w:rsidRPr="009D16CC" w14:paraId="428F7766" w14:textId="77777777" w:rsidTr="00C262BD">
        <w:trPr>
          <w:trHeight w:val="1139"/>
        </w:trPr>
        <w:tc>
          <w:tcPr>
            <w:tcW w:w="8856" w:type="dxa"/>
            <w:gridSpan w:val="5"/>
          </w:tcPr>
          <w:p w14:paraId="4C5E2EBA" w14:textId="77777777" w:rsidR="00044EE4" w:rsidRPr="00CF3869" w:rsidRDefault="009D16CC" w:rsidP="00044EE4">
            <w:r w:rsidRPr="009D16CC">
              <w:t xml:space="preserve">Assignment title: </w:t>
            </w:r>
            <w:r w:rsidR="00044EE4" w:rsidRPr="00CF3869">
              <w:t>Analyse the following passage from the Mabinogi (in approximately 1,000 words). In your commentary you should consider a range of factors, such as the particular significance of this passage, its context within the tale, style, characterization, themes, literary motifs etc.</w:t>
            </w:r>
          </w:p>
          <w:p w14:paraId="059A1DCE" w14:textId="77777777" w:rsidR="009D16CC" w:rsidRPr="009D16CC" w:rsidRDefault="009D16CC" w:rsidP="009D16CC"/>
          <w:p w14:paraId="04761EFD" w14:textId="5CE9A9E0" w:rsidR="009D16CC" w:rsidRPr="009D16CC" w:rsidRDefault="009D16CC" w:rsidP="009D16CC">
            <w:r w:rsidRPr="009D16CC">
              <w:t xml:space="preserve">Assignment due date:  </w:t>
            </w:r>
            <w:r w:rsidR="00044EE4">
              <w:t>11</w:t>
            </w:r>
            <w:r w:rsidR="00044EE4" w:rsidRPr="00044EE4">
              <w:rPr>
                <w:vertAlign w:val="superscript"/>
              </w:rPr>
              <w:t>th</w:t>
            </w:r>
            <w:r w:rsidR="00044EE4">
              <w:t xml:space="preserve"> November</w:t>
            </w:r>
            <w:r w:rsidR="001B4022">
              <w:t xml:space="preserve"> 2019</w:t>
            </w:r>
          </w:p>
        </w:tc>
      </w:tr>
      <w:tr w:rsidR="009D16CC" w:rsidRPr="009D16CC" w14:paraId="165D9E1A" w14:textId="77777777" w:rsidTr="00C262BD">
        <w:trPr>
          <w:trHeight w:val="978"/>
        </w:trPr>
        <w:tc>
          <w:tcPr>
            <w:tcW w:w="8856" w:type="dxa"/>
            <w:gridSpan w:val="5"/>
            <w:tcBorders>
              <w:bottom w:val="single" w:sz="4" w:space="0" w:color="000000"/>
            </w:tcBorders>
          </w:tcPr>
          <w:p w14:paraId="14E45355" w14:textId="019B25C1" w:rsidR="009D16CC" w:rsidRPr="009D16CC" w:rsidRDefault="009D16CC" w:rsidP="009D16CC">
            <w:r w:rsidRPr="009D16CC">
              <w:t>This assignment is for the    1</w:t>
            </w:r>
            <w:r w:rsidRPr="009D16CC">
              <w:rPr>
                <w:vertAlign w:val="superscript"/>
              </w:rPr>
              <w:t xml:space="preserve">st </w:t>
            </w:r>
            <w:r w:rsidR="001B4022">
              <w:rPr>
                <w:vertAlign w:val="superscript"/>
              </w:rPr>
              <w:t xml:space="preserve"> </w:t>
            </w:r>
            <w:r w:rsidRPr="009D16CC">
              <w:rPr>
                <w:vertAlign w:val="superscript"/>
              </w:rPr>
              <w:t xml:space="preserve"> </w:t>
            </w:r>
            <w:r w:rsidR="001B4022" w:rsidRPr="001B4022">
              <w:rPr>
                <w:vertAlign w:val="superscript"/>
              </w:rPr>
              <w:fldChar w:fldCharType="begin">
                <w:ffData>
                  <w:name w:val="Check15"/>
                  <w:enabled/>
                  <w:calcOnExit w:val="0"/>
                  <w:checkBox>
                    <w:sizeAuto/>
                    <w:default w:val="0"/>
                  </w:checkBox>
                </w:ffData>
              </w:fldChar>
            </w:r>
            <w:bookmarkStart w:id="0" w:name="Check15"/>
            <w:r w:rsidR="001B4022" w:rsidRPr="001B4022">
              <w:rPr>
                <w:vertAlign w:val="superscript"/>
              </w:rPr>
              <w:instrText xml:space="preserve"> FORMCHECKBOX </w:instrText>
            </w:r>
            <w:r w:rsidR="008F7588">
              <w:rPr>
                <w:vertAlign w:val="superscript"/>
              </w:rPr>
            </w:r>
            <w:r w:rsidR="008F7588">
              <w:rPr>
                <w:vertAlign w:val="superscript"/>
              </w:rPr>
              <w:fldChar w:fldCharType="separate"/>
            </w:r>
            <w:r w:rsidR="001B4022" w:rsidRPr="001B4022">
              <w:rPr>
                <w:vertAlign w:val="superscript"/>
              </w:rPr>
              <w:fldChar w:fldCharType="end"/>
            </w:r>
            <w:bookmarkEnd w:id="0"/>
            <w:r w:rsidR="001B4022" w:rsidRPr="001B4022">
              <w:rPr>
                <w:vertAlign w:val="superscript"/>
              </w:rPr>
              <w:t xml:space="preserve"> </w:t>
            </w:r>
            <w:r w:rsidRPr="009D16CC">
              <w:t xml:space="preserve">  2</w:t>
            </w:r>
            <w:r w:rsidRPr="009D16CC">
              <w:rPr>
                <w:vertAlign w:val="superscript"/>
              </w:rPr>
              <w:t>nd</w:t>
            </w:r>
            <w:r w:rsidRPr="009D16CC">
              <w:t xml:space="preserve">  </w:t>
            </w:r>
            <w:r w:rsidRPr="009D16CC">
              <w:fldChar w:fldCharType="begin">
                <w:ffData>
                  <w:name w:val="Check14"/>
                  <w:enabled/>
                  <w:calcOnExit w:val="0"/>
                  <w:checkBox>
                    <w:sizeAuto/>
                    <w:default w:val="0"/>
                  </w:checkBox>
                </w:ffData>
              </w:fldChar>
            </w:r>
            <w:bookmarkStart w:id="1" w:name="Check14"/>
            <w:r w:rsidRPr="009D16CC">
              <w:instrText xml:space="preserve"> FORMCHECKBOX </w:instrText>
            </w:r>
            <w:r w:rsidR="008F7588">
              <w:fldChar w:fldCharType="separate"/>
            </w:r>
            <w:r w:rsidRPr="009D16CC">
              <w:fldChar w:fldCharType="end"/>
            </w:r>
            <w:bookmarkEnd w:id="1"/>
            <w:r w:rsidRPr="009D16CC">
              <w:t xml:space="preserve">     3</w:t>
            </w:r>
            <w:r w:rsidRPr="009D16CC">
              <w:rPr>
                <w:vertAlign w:val="superscript"/>
              </w:rPr>
              <w:t>rd</w:t>
            </w:r>
            <w:r w:rsidRPr="009D16CC">
              <w:t xml:space="preserve">   </w:t>
            </w:r>
            <w:r w:rsidR="00044EE4" w:rsidRPr="00044EE4">
              <w:fldChar w:fldCharType="begin">
                <w:ffData>
                  <w:name w:val="Check16"/>
                  <w:enabled/>
                  <w:calcOnExit w:val="0"/>
                  <w:checkBox>
                    <w:sizeAuto/>
                    <w:default w:val="0"/>
                  </w:checkBox>
                </w:ffData>
              </w:fldChar>
            </w:r>
            <w:r w:rsidR="00044EE4" w:rsidRPr="00044EE4">
              <w:instrText xml:space="preserve"> FORMCHECKBOX </w:instrText>
            </w:r>
            <w:r w:rsidR="008F7588">
              <w:fldChar w:fldCharType="separate"/>
            </w:r>
            <w:r w:rsidR="00044EE4" w:rsidRPr="00044EE4">
              <w:fldChar w:fldCharType="end"/>
            </w:r>
            <w:r w:rsidRPr="009D16CC">
              <w:t xml:space="preserve">    4</w:t>
            </w:r>
            <w:r w:rsidRPr="009D16CC">
              <w:rPr>
                <w:vertAlign w:val="superscript"/>
              </w:rPr>
              <w:t>th</w:t>
            </w:r>
            <w:r w:rsidRPr="009D16CC">
              <w:t xml:space="preserve"> </w:t>
            </w:r>
            <w:r w:rsidR="00044EE4">
              <w:t xml:space="preserve"> X</w:t>
            </w:r>
            <w:r w:rsidRPr="009D16CC">
              <w:t xml:space="preserve">     5</w:t>
            </w:r>
            <w:r w:rsidRPr="009D16CC">
              <w:rPr>
                <w:vertAlign w:val="superscript"/>
              </w:rPr>
              <w:t>th</w:t>
            </w:r>
            <w:r w:rsidRPr="009D16CC">
              <w:t xml:space="preserve"> </w:t>
            </w:r>
            <w:r w:rsidRPr="009D16CC">
              <w:fldChar w:fldCharType="begin">
                <w:ffData>
                  <w:name w:val="Check17"/>
                  <w:enabled/>
                  <w:calcOnExit w:val="0"/>
                  <w:checkBox>
                    <w:sizeAuto/>
                    <w:default w:val="0"/>
                  </w:checkBox>
                </w:ffData>
              </w:fldChar>
            </w:r>
            <w:bookmarkStart w:id="2" w:name="Check17"/>
            <w:r w:rsidRPr="009D16CC">
              <w:instrText xml:space="preserve"> FORMCHECKBOX </w:instrText>
            </w:r>
            <w:r w:rsidR="008F7588">
              <w:fldChar w:fldCharType="separate"/>
            </w:r>
            <w:r w:rsidRPr="009D16CC">
              <w:fldChar w:fldCharType="end"/>
            </w:r>
            <w:bookmarkEnd w:id="2"/>
            <w:r w:rsidRPr="009D16CC">
              <w:t xml:space="preserve">      6</w:t>
            </w:r>
            <w:r w:rsidRPr="009D16CC">
              <w:rPr>
                <w:vertAlign w:val="superscript"/>
              </w:rPr>
              <w:t>th</w:t>
            </w:r>
            <w:r w:rsidRPr="009D16CC">
              <w:t xml:space="preserve"> </w:t>
            </w:r>
            <w:r w:rsidRPr="009D16CC">
              <w:fldChar w:fldCharType="begin">
                <w:ffData>
                  <w:name w:val="Check18"/>
                  <w:enabled/>
                  <w:calcOnExit w:val="0"/>
                  <w:checkBox>
                    <w:sizeAuto/>
                    <w:default w:val="0"/>
                  </w:checkBox>
                </w:ffData>
              </w:fldChar>
            </w:r>
            <w:bookmarkStart w:id="3" w:name="Check18"/>
            <w:r w:rsidRPr="009D16CC">
              <w:instrText xml:space="preserve"> FORMCHECKBOX </w:instrText>
            </w:r>
            <w:r w:rsidR="008F7588">
              <w:fldChar w:fldCharType="separate"/>
            </w:r>
            <w:r w:rsidRPr="009D16CC">
              <w:fldChar w:fldCharType="end"/>
            </w:r>
            <w:bookmarkEnd w:id="3"/>
            <w:r w:rsidRPr="009D16CC">
              <w:rPr>
                <w:b/>
              </w:rPr>
              <w:t xml:space="preserve">   </w:t>
            </w:r>
            <w:r w:rsidRPr="009D16CC">
              <w:t>module of the degree</w:t>
            </w:r>
          </w:p>
        </w:tc>
      </w:tr>
      <w:tr w:rsidR="009D16CC" w:rsidRPr="009D16CC" w14:paraId="11157AA1" w14:textId="77777777" w:rsidTr="00C262BD">
        <w:trPr>
          <w:trHeight w:val="978"/>
        </w:trPr>
        <w:tc>
          <w:tcPr>
            <w:tcW w:w="8856" w:type="dxa"/>
            <w:gridSpan w:val="5"/>
            <w:shd w:val="clear" w:color="auto" w:fill="D9D9D9"/>
          </w:tcPr>
          <w:p w14:paraId="20870418" w14:textId="77777777" w:rsidR="009D16CC" w:rsidRPr="009D16CC" w:rsidRDefault="009D16CC" w:rsidP="009D16CC">
            <w:r w:rsidRPr="009D16CC">
              <w:t>I confirm that this is my original work and that I have adhered to the University policy on plagiarism.</w:t>
            </w:r>
          </w:p>
          <w:p w14:paraId="76B4CC7B" w14:textId="77777777" w:rsidR="009D16CC" w:rsidRPr="009D16CC" w:rsidRDefault="009D16CC" w:rsidP="009D16CC">
            <w:r w:rsidRPr="009D16CC">
              <w:t>Signed    N K Pike</w:t>
            </w:r>
          </w:p>
        </w:tc>
      </w:tr>
      <w:tr w:rsidR="009D16CC" w:rsidRPr="009D16CC" w14:paraId="24F1C054" w14:textId="77777777" w:rsidTr="00C262BD">
        <w:trPr>
          <w:trHeight w:val="3972"/>
        </w:trPr>
        <w:tc>
          <w:tcPr>
            <w:tcW w:w="8856" w:type="dxa"/>
            <w:gridSpan w:val="5"/>
          </w:tcPr>
          <w:p w14:paraId="3BEE25FE" w14:textId="77777777" w:rsidR="009D16CC" w:rsidRPr="009D16CC" w:rsidRDefault="009D16CC" w:rsidP="009D16CC">
            <w:r w:rsidRPr="009D16CC">
              <w:rPr>
                <w:b/>
              </w:rPr>
              <w:lastRenderedPageBreak/>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9D16CC" w:rsidRPr="009D16CC" w14:paraId="456B5210" w14:textId="77777777" w:rsidTr="00C262BD">
              <w:tc>
                <w:tcPr>
                  <w:tcW w:w="6970" w:type="dxa"/>
                </w:tcPr>
                <w:p w14:paraId="3A345DA9" w14:textId="77777777" w:rsidR="009D16CC" w:rsidRPr="009D16CC" w:rsidRDefault="009D16CC" w:rsidP="009D16CC"/>
                <w:p w14:paraId="05F9F4D0" w14:textId="77777777" w:rsidR="009D16CC" w:rsidRPr="009D16CC" w:rsidRDefault="009D16CC" w:rsidP="009D16CC">
                  <w:r w:rsidRPr="009D16CC">
                    <w:t>1</w:t>
                  </w:r>
                  <w:r w:rsidRPr="009D16CC">
                    <w:rPr>
                      <w:vertAlign w:val="superscript"/>
                    </w:rPr>
                    <w:t>st</w:t>
                  </w:r>
                  <w:r w:rsidRPr="009D16CC">
                    <w:t xml:space="preserve"> Marker’s Provisional mark</w:t>
                  </w:r>
                </w:p>
              </w:tc>
              <w:tc>
                <w:tcPr>
                  <w:tcW w:w="1660" w:type="dxa"/>
                </w:tcPr>
                <w:p w14:paraId="61318FED" w14:textId="77777777" w:rsidR="009D16CC" w:rsidRPr="009D16CC" w:rsidRDefault="009D16CC" w:rsidP="009D16CC"/>
              </w:tc>
            </w:tr>
            <w:tr w:rsidR="009D16CC" w:rsidRPr="009D16CC" w14:paraId="73EE912B" w14:textId="77777777" w:rsidTr="00C262BD">
              <w:tc>
                <w:tcPr>
                  <w:tcW w:w="6970" w:type="dxa"/>
                </w:tcPr>
                <w:p w14:paraId="4137F6EB" w14:textId="77777777" w:rsidR="009D16CC" w:rsidRPr="009D16CC" w:rsidRDefault="009D16CC" w:rsidP="009D16CC"/>
                <w:p w14:paraId="1B087DAD" w14:textId="77777777" w:rsidR="009D16CC" w:rsidRPr="009D16CC" w:rsidRDefault="009D16CC" w:rsidP="009D16CC">
                  <w:r w:rsidRPr="009D16CC">
                    <w:t>2</w:t>
                  </w:r>
                  <w:r w:rsidRPr="009D16CC">
                    <w:rPr>
                      <w:vertAlign w:val="superscript"/>
                    </w:rPr>
                    <w:t>nd</w:t>
                  </w:r>
                  <w:r w:rsidRPr="009D16CC">
                    <w:t xml:space="preserve"> Marker’s/Moderator’s provisional mark</w:t>
                  </w:r>
                </w:p>
              </w:tc>
              <w:tc>
                <w:tcPr>
                  <w:tcW w:w="1660" w:type="dxa"/>
                </w:tcPr>
                <w:p w14:paraId="2FCA0355" w14:textId="77777777" w:rsidR="009D16CC" w:rsidRPr="009D16CC" w:rsidRDefault="009D16CC" w:rsidP="009D16CC"/>
              </w:tc>
            </w:tr>
            <w:tr w:rsidR="009D16CC" w:rsidRPr="009D16CC" w14:paraId="31FB0C39" w14:textId="77777777" w:rsidTr="00C262BD">
              <w:tc>
                <w:tcPr>
                  <w:tcW w:w="6970" w:type="dxa"/>
                </w:tcPr>
                <w:p w14:paraId="22440ECA" w14:textId="77777777" w:rsidR="009D16CC" w:rsidRPr="009D16CC" w:rsidRDefault="009D16CC" w:rsidP="009D16CC"/>
                <w:p w14:paraId="27F83214" w14:textId="77777777" w:rsidR="009D16CC" w:rsidRPr="009D16CC" w:rsidRDefault="009D16CC" w:rsidP="009D16CC">
                  <w:r w:rsidRPr="009D16CC">
                    <w:t>External Examiner’s mark (if relevant)</w:t>
                  </w:r>
                </w:p>
              </w:tc>
              <w:tc>
                <w:tcPr>
                  <w:tcW w:w="1660" w:type="dxa"/>
                </w:tcPr>
                <w:p w14:paraId="77A5E2CF" w14:textId="77777777" w:rsidR="009D16CC" w:rsidRPr="009D16CC" w:rsidRDefault="009D16CC" w:rsidP="009D16CC"/>
              </w:tc>
            </w:tr>
            <w:tr w:rsidR="009D16CC" w:rsidRPr="009D16CC" w14:paraId="2D479AAF" w14:textId="77777777" w:rsidTr="00C262BD">
              <w:tc>
                <w:tcPr>
                  <w:tcW w:w="6970" w:type="dxa"/>
                </w:tcPr>
                <w:p w14:paraId="0710A547" w14:textId="77777777" w:rsidR="009D16CC" w:rsidRPr="009D16CC" w:rsidRDefault="009D16CC" w:rsidP="009D16CC"/>
                <w:p w14:paraId="24A13B9C" w14:textId="77777777" w:rsidR="009D16CC" w:rsidRPr="009D16CC" w:rsidRDefault="009D16CC" w:rsidP="009D16CC">
                  <w:pPr>
                    <w:rPr>
                      <w:b/>
                    </w:rPr>
                  </w:pPr>
                  <w:r w:rsidRPr="009D16CC">
                    <w:rPr>
                      <w:b/>
                    </w:rPr>
                    <w:t>Final Mark</w:t>
                  </w:r>
                </w:p>
                <w:p w14:paraId="58788698" w14:textId="77777777" w:rsidR="009D16CC" w:rsidRPr="009D16CC" w:rsidRDefault="009D16CC" w:rsidP="009D16CC"/>
              </w:tc>
              <w:tc>
                <w:tcPr>
                  <w:tcW w:w="1660" w:type="dxa"/>
                </w:tcPr>
                <w:p w14:paraId="22D05488" w14:textId="77777777" w:rsidR="009D16CC" w:rsidRPr="009D16CC" w:rsidRDefault="009D16CC" w:rsidP="009D16CC"/>
              </w:tc>
            </w:tr>
          </w:tbl>
          <w:p w14:paraId="2F05E4AC" w14:textId="77777777" w:rsidR="009D16CC" w:rsidRPr="009D16CC" w:rsidRDefault="009D16CC" w:rsidP="009D16CC">
            <w:pPr>
              <w:rPr>
                <w:b/>
              </w:rPr>
            </w:pPr>
          </w:p>
          <w:p w14:paraId="10225DB3" w14:textId="77777777" w:rsidR="009D16CC" w:rsidRPr="009D16CC" w:rsidRDefault="009D16CC" w:rsidP="009D16CC">
            <w:r w:rsidRPr="009D16CC">
              <w:rPr>
                <w:b/>
              </w:rPr>
              <w:t>NB.</w:t>
            </w:r>
            <w:r w:rsidRPr="009D16CC">
              <w:t xml:space="preserve">  All marks are provisional until confirmed by the Final Examination Board.</w:t>
            </w:r>
          </w:p>
          <w:p w14:paraId="11714CE2" w14:textId="77777777" w:rsidR="009D16CC" w:rsidRPr="009D16CC" w:rsidRDefault="009D16CC" w:rsidP="009D16CC">
            <w:pPr>
              <w:rPr>
                <w:b/>
              </w:rPr>
            </w:pPr>
          </w:p>
          <w:p w14:paraId="429F3E10" w14:textId="77777777" w:rsidR="009D16CC" w:rsidRPr="009D16CC" w:rsidRDefault="009D16CC" w:rsidP="009D16CC">
            <w:pPr>
              <w:rPr>
                <w:b/>
              </w:rPr>
            </w:pPr>
          </w:p>
          <w:p w14:paraId="721CBBFC" w14:textId="77777777" w:rsidR="009D16CC" w:rsidRPr="009D16CC" w:rsidRDefault="009D16CC" w:rsidP="009D16CC">
            <w:pPr>
              <w:rPr>
                <w:b/>
              </w:rPr>
            </w:pPr>
          </w:p>
          <w:p w14:paraId="53649A06" w14:textId="77777777" w:rsidR="009D16CC" w:rsidRPr="009D16CC" w:rsidRDefault="009D16CC" w:rsidP="009D16CC">
            <w:pPr>
              <w:rPr>
                <w:b/>
              </w:rPr>
            </w:pPr>
            <w:r w:rsidRPr="009D16CC">
              <w:rPr>
                <w:b/>
              </w:rPr>
              <w:t>For completion by Marker 1 :</w:t>
            </w:r>
          </w:p>
          <w:p w14:paraId="5575AC2C" w14:textId="77777777" w:rsidR="009D16CC" w:rsidRPr="009D16CC" w:rsidRDefault="009D16CC" w:rsidP="009D16CC">
            <w:r w:rsidRPr="009D16CC">
              <w:t>Comments:</w:t>
            </w:r>
          </w:p>
          <w:p w14:paraId="649C604C" w14:textId="77777777" w:rsidR="009D16CC" w:rsidRDefault="009D16CC" w:rsidP="009D16CC"/>
          <w:p w14:paraId="591E94DE" w14:textId="77777777" w:rsidR="009D16CC" w:rsidRDefault="009D16CC" w:rsidP="009D16CC"/>
          <w:p w14:paraId="3ACD282A" w14:textId="77777777" w:rsidR="009D16CC" w:rsidRDefault="009D16CC" w:rsidP="009D16CC"/>
          <w:p w14:paraId="7CEF6FF2" w14:textId="77777777" w:rsidR="009D16CC" w:rsidRDefault="009D16CC" w:rsidP="009D16CC"/>
          <w:p w14:paraId="065C184C" w14:textId="77777777" w:rsidR="009D16CC" w:rsidRDefault="009D16CC" w:rsidP="009D16CC"/>
          <w:p w14:paraId="05B0BE43" w14:textId="77777777" w:rsidR="009D16CC" w:rsidRDefault="009D16CC" w:rsidP="009D16CC"/>
          <w:p w14:paraId="278E2B93" w14:textId="77777777" w:rsidR="009D16CC" w:rsidRDefault="009D16CC" w:rsidP="009D16CC"/>
          <w:p w14:paraId="47CF548E" w14:textId="77777777" w:rsidR="009D16CC" w:rsidRDefault="009D16CC" w:rsidP="009D16CC"/>
          <w:p w14:paraId="163BF6CA" w14:textId="77777777" w:rsidR="009D16CC" w:rsidRDefault="009D16CC" w:rsidP="009D16CC"/>
          <w:p w14:paraId="0F48F41F" w14:textId="77777777" w:rsidR="009D16CC" w:rsidRDefault="009D16CC" w:rsidP="009D16CC"/>
          <w:p w14:paraId="2DFDE014" w14:textId="77777777" w:rsidR="009D16CC" w:rsidRDefault="009D16CC" w:rsidP="009D16CC"/>
          <w:p w14:paraId="1E3EDABC" w14:textId="77777777" w:rsidR="009D16CC" w:rsidRDefault="009D16CC" w:rsidP="009D16CC"/>
          <w:p w14:paraId="1E5B0594" w14:textId="2EA5807C" w:rsidR="009D16CC" w:rsidRPr="009D16CC" w:rsidRDefault="009D16CC" w:rsidP="009D16CC"/>
        </w:tc>
      </w:tr>
      <w:tr w:rsidR="009D16CC" w:rsidRPr="009D16CC" w14:paraId="1F4B0CEF" w14:textId="77777777" w:rsidTr="00C262BD">
        <w:trPr>
          <w:trHeight w:val="492"/>
        </w:trPr>
        <w:tc>
          <w:tcPr>
            <w:tcW w:w="6768" w:type="dxa"/>
            <w:gridSpan w:val="3"/>
          </w:tcPr>
          <w:p w14:paraId="696C2DE1" w14:textId="77777777" w:rsidR="009D16CC" w:rsidRPr="009D16CC" w:rsidRDefault="009D16CC" w:rsidP="009D16CC">
            <w:r w:rsidRPr="009D16CC">
              <w:t>Marker’s signature:</w:t>
            </w:r>
          </w:p>
        </w:tc>
        <w:tc>
          <w:tcPr>
            <w:tcW w:w="2088" w:type="dxa"/>
            <w:gridSpan w:val="2"/>
          </w:tcPr>
          <w:p w14:paraId="762908FF" w14:textId="77777777" w:rsidR="009D16CC" w:rsidRPr="009D16CC" w:rsidRDefault="009D16CC" w:rsidP="009D16CC">
            <w:r w:rsidRPr="009D16CC">
              <w:t>Date:</w:t>
            </w:r>
          </w:p>
        </w:tc>
      </w:tr>
      <w:tr w:rsidR="009D16CC" w:rsidRPr="009D16CC" w14:paraId="2B5F256B" w14:textId="77777777" w:rsidTr="00C262BD">
        <w:tc>
          <w:tcPr>
            <w:tcW w:w="8856" w:type="dxa"/>
            <w:gridSpan w:val="5"/>
          </w:tcPr>
          <w:p w14:paraId="1D3BEEB0" w14:textId="77777777" w:rsidR="009D16CC" w:rsidRPr="009D16CC" w:rsidRDefault="009D16CC" w:rsidP="009D16CC">
            <w:pPr>
              <w:rPr>
                <w:bCs/>
                <w:i/>
              </w:rPr>
            </w:pPr>
          </w:p>
          <w:p w14:paraId="1F40A2D1" w14:textId="77777777" w:rsidR="009D16CC" w:rsidRPr="009D16CC" w:rsidRDefault="009D16CC" w:rsidP="009D16CC">
            <w:pPr>
              <w:rPr>
                <w:b/>
                <w:bCs/>
              </w:rPr>
            </w:pPr>
            <w:r w:rsidRPr="009D16CC">
              <w:rPr>
                <w:b/>
                <w:bCs/>
              </w:rPr>
              <w:t>For completion by Marker 2/Moderator:</w:t>
            </w:r>
          </w:p>
          <w:p w14:paraId="0DB2ED57" w14:textId="77777777" w:rsidR="009D16CC" w:rsidRPr="009D16CC" w:rsidRDefault="009D16CC" w:rsidP="009D16CC">
            <w:pPr>
              <w:rPr>
                <w:b/>
                <w:bCs/>
              </w:rPr>
            </w:pPr>
          </w:p>
          <w:p w14:paraId="2447EC0A" w14:textId="77777777" w:rsidR="009D16CC" w:rsidRPr="009D16CC" w:rsidRDefault="009D16CC" w:rsidP="009D16CC">
            <w:pPr>
              <w:rPr>
                <w:bCs/>
              </w:rPr>
            </w:pPr>
            <w:r w:rsidRPr="009D16CC">
              <w:rPr>
                <w:bCs/>
              </w:rPr>
              <w:t>Comments:</w:t>
            </w:r>
          </w:p>
          <w:p w14:paraId="7636EF68" w14:textId="77777777" w:rsidR="009D16CC" w:rsidRPr="009D16CC" w:rsidRDefault="009D16CC" w:rsidP="009D16CC">
            <w:pPr>
              <w:rPr>
                <w:bCs/>
              </w:rPr>
            </w:pPr>
          </w:p>
          <w:p w14:paraId="348B5654" w14:textId="77777777" w:rsidR="009D16CC" w:rsidRPr="009D16CC" w:rsidRDefault="009D16CC" w:rsidP="009D16CC">
            <w:pPr>
              <w:rPr>
                <w:bCs/>
              </w:rPr>
            </w:pPr>
          </w:p>
          <w:p w14:paraId="607B9D92" w14:textId="77777777" w:rsidR="009D16CC" w:rsidRPr="009D16CC" w:rsidRDefault="009D16CC" w:rsidP="009D16CC">
            <w:pPr>
              <w:rPr>
                <w:bCs/>
              </w:rPr>
            </w:pPr>
          </w:p>
          <w:p w14:paraId="0158C7B4" w14:textId="77777777" w:rsidR="009D16CC" w:rsidRPr="009D16CC" w:rsidRDefault="009D16CC" w:rsidP="009D16CC">
            <w:pPr>
              <w:rPr>
                <w:bCs/>
              </w:rPr>
            </w:pPr>
          </w:p>
          <w:p w14:paraId="45F1F9D1" w14:textId="77777777" w:rsidR="009D16CC" w:rsidRPr="009D16CC" w:rsidRDefault="009D16CC" w:rsidP="009D16CC">
            <w:pPr>
              <w:rPr>
                <w:bCs/>
              </w:rPr>
            </w:pPr>
          </w:p>
          <w:p w14:paraId="6F098DF5" w14:textId="77777777" w:rsidR="009D16CC" w:rsidRPr="009D16CC" w:rsidRDefault="009D16CC" w:rsidP="009D16CC">
            <w:pPr>
              <w:rPr>
                <w:bCs/>
              </w:rPr>
            </w:pPr>
          </w:p>
          <w:p w14:paraId="5C97DCCC" w14:textId="77777777" w:rsidR="009D16CC" w:rsidRPr="009D16CC" w:rsidRDefault="009D16CC" w:rsidP="009D16CC">
            <w:pPr>
              <w:rPr>
                <w:bCs/>
              </w:rPr>
            </w:pPr>
          </w:p>
          <w:p w14:paraId="48FE746C" w14:textId="77777777" w:rsidR="009D16CC" w:rsidRPr="009D16CC" w:rsidRDefault="009D16CC" w:rsidP="009D16CC">
            <w:pPr>
              <w:rPr>
                <w:bCs/>
              </w:rPr>
            </w:pPr>
          </w:p>
          <w:p w14:paraId="64C525CE" w14:textId="77777777" w:rsidR="009D16CC" w:rsidRPr="009D16CC" w:rsidRDefault="009D16CC" w:rsidP="009D16CC">
            <w:pPr>
              <w:rPr>
                <w:bCs/>
              </w:rPr>
            </w:pPr>
          </w:p>
          <w:p w14:paraId="7A48301E" w14:textId="77777777" w:rsidR="009D16CC" w:rsidRPr="009D16CC" w:rsidRDefault="009D16CC" w:rsidP="009D16CC">
            <w:pPr>
              <w:rPr>
                <w:bCs/>
              </w:rPr>
            </w:pPr>
          </w:p>
          <w:p w14:paraId="3E6AD866" w14:textId="77777777" w:rsidR="009D16CC" w:rsidRPr="009D16CC" w:rsidRDefault="009D16CC" w:rsidP="009D16CC">
            <w:pPr>
              <w:rPr>
                <w:bCs/>
              </w:rPr>
            </w:pPr>
          </w:p>
          <w:p w14:paraId="23FC914E" w14:textId="77777777" w:rsidR="009D16CC" w:rsidRPr="009D16CC" w:rsidRDefault="009D16CC" w:rsidP="009D16CC">
            <w:pPr>
              <w:rPr>
                <w:bCs/>
              </w:rPr>
            </w:pPr>
          </w:p>
        </w:tc>
      </w:tr>
      <w:tr w:rsidR="009D16CC" w:rsidRPr="009D16CC" w14:paraId="1A95376D" w14:textId="77777777" w:rsidTr="00C262BD">
        <w:trPr>
          <w:trHeight w:val="720"/>
        </w:trPr>
        <w:tc>
          <w:tcPr>
            <w:tcW w:w="5211" w:type="dxa"/>
            <w:gridSpan w:val="2"/>
          </w:tcPr>
          <w:p w14:paraId="7C2B49AB" w14:textId="77777777" w:rsidR="009D16CC" w:rsidRPr="009D16CC" w:rsidRDefault="009D16CC" w:rsidP="009D16CC">
            <w:pPr>
              <w:rPr>
                <w:bCs/>
              </w:rPr>
            </w:pPr>
            <w:r w:rsidRPr="009D16CC">
              <w:rPr>
                <w:bCs/>
              </w:rPr>
              <w:t>Marker’s Signature:</w:t>
            </w:r>
          </w:p>
        </w:tc>
        <w:tc>
          <w:tcPr>
            <w:tcW w:w="3645" w:type="dxa"/>
            <w:gridSpan w:val="3"/>
          </w:tcPr>
          <w:p w14:paraId="23B6101F" w14:textId="77777777" w:rsidR="009D16CC" w:rsidRPr="009D16CC" w:rsidRDefault="009D16CC" w:rsidP="009D16CC">
            <w:pPr>
              <w:rPr>
                <w:bCs/>
              </w:rPr>
            </w:pPr>
            <w:r w:rsidRPr="009D16CC">
              <w:rPr>
                <w:bCs/>
              </w:rPr>
              <w:t>Date:</w:t>
            </w:r>
          </w:p>
        </w:tc>
      </w:tr>
      <w:tr w:rsidR="009D16CC" w:rsidRPr="009D16CC" w14:paraId="083460E0" w14:textId="77777777" w:rsidTr="00C262BD">
        <w:trPr>
          <w:trHeight w:val="720"/>
        </w:trPr>
        <w:tc>
          <w:tcPr>
            <w:tcW w:w="8856" w:type="dxa"/>
            <w:gridSpan w:val="5"/>
          </w:tcPr>
          <w:p w14:paraId="697C12FB" w14:textId="77777777" w:rsidR="009D16CC" w:rsidRPr="009D16CC" w:rsidRDefault="009D16CC" w:rsidP="009D16CC">
            <w:pPr>
              <w:rPr>
                <w:b/>
              </w:rPr>
            </w:pPr>
            <w:r w:rsidRPr="009D16CC">
              <w:rPr>
                <w:b/>
              </w:rPr>
              <w:t>External Examiner’s comments (if relevant)</w:t>
            </w:r>
          </w:p>
          <w:p w14:paraId="57F124D6" w14:textId="77777777" w:rsidR="009D16CC" w:rsidRPr="009D16CC" w:rsidRDefault="009D16CC" w:rsidP="009D16CC">
            <w:pPr>
              <w:rPr>
                <w:bCs/>
              </w:rPr>
            </w:pPr>
          </w:p>
          <w:p w14:paraId="591F1708" w14:textId="77777777" w:rsidR="009D16CC" w:rsidRPr="009D16CC" w:rsidRDefault="009D16CC" w:rsidP="009D16CC">
            <w:pPr>
              <w:rPr>
                <w:bCs/>
              </w:rPr>
            </w:pPr>
          </w:p>
          <w:p w14:paraId="18C38053" w14:textId="77777777" w:rsidR="009D16CC" w:rsidRPr="009D16CC" w:rsidRDefault="009D16CC" w:rsidP="009D16CC">
            <w:pPr>
              <w:rPr>
                <w:bCs/>
              </w:rPr>
            </w:pPr>
          </w:p>
          <w:p w14:paraId="1F1EB1A4" w14:textId="77777777" w:rsidR="009D16CC" w:rsidRPr="009D16CC" w:rsidRDefault="009D16CC" w:rsidP="009D16CC">
            <w:pPr>
              <w:rPr>
                <w:bCs/>
              </w:rPr>
            </w:pPr>
          </w:p>
          <w:p w14:paraId="7791B0F9" w14:textId="77777777" w:rsidR="009D16CC" w:rsidRPr="009D16CC" w:rsidRDefault="009D16CC" w:rsidP="009D16CC">
            <w:pPr>
              <w:rPr>
                <w:bCs/>
              </w:rPr>
            </w:pPr>
          </w:p>
          <w:p w14:paraId="2B3F3CD7" w14:textId="77777777" w:rsidR="009D16CC" w:rsidRPr="009D16CC" w:rsidRDefault="009D16CC" w:rsidP="009D16CC">
            <w:pPr>
              <w:rPr>
                <w:bCs/>
              </w:rPr>
            </w:pPr>
          </w:p>
          <w:p w14:paraId="340DCBAA" w14:textId="77777777" w:rsidR="009D16CC" w:rsidRPr="009D16CC" w:rsidRDefault="009D16CC" w:rsidP="009D16CC">
            <w:pPr>
              <w:rPr>
                <w:bCs/>
              </w:rPr>
            </w:pPr>
          </w:p>
          <w:p w14:paraId="104AFE25" w14:textId="77777777" w:rsidR="009D16CC" w:rsidRPr="009D16CC" w:rsidRDefault="009D16CC" w:rsidP="009D16CC">
            <w:pPr>
              <w:rPr>
                <w:bCs/>
              </w:rPr>
            </w:pPr>
          </w:p>
          <w:p w14:paraId="28048C90" w14:textId="77777777" w:rsidR="009D16CC" w:rsidRPr="009D16CC" w:rsidRDefault="009D16CC" w:rsidP="009D16CC">
            <w:pPr>
              <w:rPr>
                <w:bCs/>
              </w:rPr>
            </w:pPr>
          </w:p>
          <w:p w14:paraId="51912FDA" w14:textId="77777777" w:rsidR="009D16CC" w:rsidRPr="009D16CC" w:rsidRDefault="009D16CC" w:rsidP="009D16CC">
            <w:pPr>
              <w:rPr>
                <w:bCs/>
              </w:rPr>
            </w:pPr>
          </w:p>
          <w:p w14:paraId="49E5993C" w14:textId="77777777" w:rsidR="009D16CC" w:rsidRPr="009D16CC" w:rsidRDefault="009D16CC" w:rsidP="009D16CC">
            <w:pPr>
              <w:rPr>
                <w:bCs/>
              </w:rPr>
            </w:pPr>
          </w:p>
        </w:tc>
      </w:tr>
      <w:tr w:rsidR="009D16CC" w:rsidRPr="009D16CC" w14:paraId="1C9E82F4" w14:textId="77777777" w:rsidTr="00C262BD">
        <w:trPr>
          <w:trHeight w:val="720"/>
        </w:trPr>
        <w:tc>
          <w:tcPr>
            <w:tcW w:w="5211" w:type="dxa"/>
            <w:gridSpan w:val="2"/>
          </w:tcPr>
          <w:p w14:paraId="5C752F30" w14:textId="77777777" w:rsidR="009D16CC" w:rsidRPr="009D16CC" w:rsidRDefault="009D16CC" w:rsidP="009D16CC">
            <w:r w:rsidRPr="009D16CC">
              <w:t>External Examiner’s Signature:</w:t>
            </w:r>
          </w:p>
        </w:tc>
        <w:tc>
          <w:tcPr>
            <w:tcW w:w="3645" w:type="dxa"/>
            <w:gridSpan w:val="3"/>
          </w:tcPr>
          <w:p w14:paraId="16A03F06" w14:textId="77777777" w:rsidR="009D16CC" w:rsidRPr="009D16CC" w:rsidRDefault="009D16CC" w:rsidP="009D16CC">
            <w:r w:rsidRPr="009D16CC">
              <w:t>Date:</w:t>
            </w:r>
          </w:p>
        </w:tc>
      </w:tr>
    </w:tbl>
    <w:p w14:paraId="08127FD8" w14:textId="77777777" w:rsidR="009D16CC" w:rsidRPr="009D16CC" w:rsidRDefault="009D16CC" w:rsidP="009D16CC">
      <w:pPr>
        <w:rPr>
          <w:bCs/>
        </w:rPr>
      </w:pPr>
    </w:p>
    <w:p w14:paraId="5022A287" w14:textId="77777777" w:rsidR="00044EE4" w:rsidRPr="00044EE4" w:rsidRDefault="00044EE4" w:rsidP="00044EE4">
      <w:pPr>
        <w:rPr>
          <w:b/>
        </w:rPr>
      </w:pPr>
      <w:r w:rsidRPr="00044EE4">
        <w:rPr>
          <w:b/>
          <w:bCs/>
        </w:rPr>
        <w:lastRenderedPageBreak/>
        <w:t>Analyse the following passage from the Mabinogi (in approximately 1,000 words). In your commentary you should consider a range of factors, such as the particular significance of this passage, its context within the tale, style, characterization, themes, literary motifs etc.</w:t>
      </w:r>
    </w:p>
    <w:p w14:paraId="5BC2025D" w14:textId="77777777" w:rsidR="00044EE4" w:rsidRPr="00044EE4" w:rsidRDefault="00044EE4" w:rsidP="00044EE4">
      <w:pPr>
        <w:rPr>
          <w:bCs/>
          <w:i/>
          <w:iCs/>
        </w:rPr>
      </w:pPr>
      <w:r w:rsidRPr="00044EE4">
        <w:rPr>
          <w:bCs/>
          <w:i/>
          <w:iCs/>
        </w:rPr>
        <w:t>‘My men,’ said Matholwch, ‘what is your advice?’</w:t>
      </w:r>
    </w:p>
    <w:p w14:paraId="61ED175C" w14:textId="13B9B326" w:rsidR="00044EE4" w:rsidRDefault="00044EE4" w:rsidP="00044EE4">
      <w:pPr>
        <w:rPr>
          <w:bCs/>
          <w:i/>
          <w:iCs/>
        </w:rPr>
      </w:pPr>
      <w:r w:rsidRPr="00044EE4">
        <w:rPr>
          <w:bCs/>
          <w:i/>
          <w:iCs/>
        </w:rPr>
        <w:t>‘Lord,’ they said, ‘there is only one thing to do. He has never been able to fit inside a house,’ they said. ‘Build a house in his honour, so that there is room for him and the men of the Island of the Mighty in one half of the house, and for you and your troops in the other. And place your kingship at his disposal and pay homage to him. And because of the honour in building the house (for he has never had one into which he could fit) he will make peace with you.’</w:t>
      </w:r>
    </w:p>
    <w:p w14:paraId="329781E5" w14:textId="4FC20956" w:rsidR="00044EE4" w:rsidRPr="00044EE4" w:rsidRDefault="00044EE4" w:rsidP="00044EE4">
      <w:pPr>
        <w:rPr>
          <w:bCs/>
          <w:i/>
          <w:iCs/>
        </w:rPr>
      </w:pPr>
      <w:r w:rsidRPr="00044EE4">
        <w:rPr>
          <w:bCs/>
          <w:i/>
          <w:iCs/>
        </w:rPr>
        <w:t xml:space="preserve">The messengers took the offer to </w:t>
      </w:r>
      <w:bookmarkStart w:id="4" w:name="_Hlk24105878"/>
      <w:r w:rsidRPr="00044EE4">
        <w:rPr>
          <w:bCs/>
          <w:i/>
          <w:iCs/>
        </w:rPr>
        <w:t>Bendigeidfran</w:t>
      </w:r>
      <w:bookmarkEnd w:id="4"/>
      <w:r w:rsidRPr="00044EE4">
        <w:rPr>
          <w:bCs/>
          <w:i/>
          <w:iCs/>
        </w:rPr>
        <w:t xml:space="preserve">; and he took advice. He decided to accept; and that was all done on Branwen’s advice </w:t>
      </w:r>
      <w:bookmarkStart w:id="5" w:name="_Hlk24116370"/>
      <w:r w:rsidRPr="00044EE4">
        <w:rPr>
          <w:bCs/>
          <w:i/>
          <w:iCs/>
        </w:rPr>
        <w:t>because she feared that the country would be laid waste.</w:t>
      </w:r>
    </w:p>
    <w:bookmarkEnd w:id="5"/>
    <w:p w14:paraId="795EEABB" w14:textId="509BC21A" w:rsidR="00044EE4" w:rsidRPr="00044EE4" w:rsidRDefault="00044EE4" w:rsidP="00044EE4">
      <w:pPr>
        <w:rPr>
          <w:bCs/>
          <w:i/>
          <w:iCs/>
        </w:rPr>
      </w:pPr>
      <w:r w:rsidRPr="00044EE4">
        <w:rPr>
          <w:bCs/>
          <w:i/>
          <w:iCs/>
        </w:rPr>
        <w:t>The terms of peace were arranged, and the house was built, large and spacious. But the Irish had a cunning plan. They placed a peg on either side of each column of the one hundred columns in the house and hung a hide bag on each peg with an armed man in each one of them. Efnysien entered the house ahead of the troops of the Island of the Mighty, and cast fierce, ruthless glances around the house. He caught sight of the hide bags along the pillars.</w:t>
      </w:r>
    </w:p>
    <w:p w14:paraId="495FFF25" w14:textId="77777777" w:rsidR="00044EE4" w:rsidRPr="00044EE4" w:rsidRDefault="00044EE4" w:rsidP="00044EE4">
      <w:pPr>
        <w:rPr>
          <w:bCs/>
          <w:i/>
          <w:iCs/>
        </w:rPr>
      </w:pPr>
      <w:r w:rsidRPr="00044EE4">
        <w:rPr>
          <w:bCs/>
          <w:i/>
          <w:iCs/>
        </w:rPr>
        <w:t>‘What is in this bag?’ he said to one of the Irishmen.</w:t>
      </w:r>
    </w:p>
    <w:p w14:paraId="02CC07FC" w14:textId="77777777" w:rsidR="00044EE4" w:rsidRPr="00044EE4" w:rsidRDefault="00044EE4" w:rsidP="00044EE4">
      <w:pPr>
        <w:rPr>
          <w:bCs/>
          <w:i/>
          <w:iCs/>
        </w:rPr>
      </w:pPr>
      <w:r w:rsidRPr="00044EE4">
        <w:rPr>
          <w:bCs/>
          <w:i/>
          <w:iCs/>
        </w:rPr>
        <w:t>‘Flour, friend,’ he answered.</w:t>
      </w:r>
    </w:p>
    <w:p w14:paraId="685B0458" w14:textId="77777777" w:rsidR="00044EE4" w:rsidRPr="00044EE4" w:rsidRDefault="00044EE4" w:rsidP="00044EE4">
      <w:pPr>
        <w:rPr>
          <w:bCs/>
          <w:i/>
          <w:iCs/>
        </w:rPr>
      </w:pPr>
      <w:r w:rsidRPr="00044EE4">
        <w:rPr>
          <w:bCs/>
          <w:i/>
          <w:iCs/>
        </w:rPr>
        <w:t>Efnysien prodded the bag until he found the man’s head, and he squeezed the head until he could feel his fingers sinking into the brain through the bone. He left that one, and put his hand on another bag and asked, ‘What have we here?’</w:t>
      </w:r>
    </w:p>
    <w:p w14:paraId="06C28DD9" w14:textId="72B63B12" w:rsidR="00044EE4" w:rsidRPr="00044EE4" w:rsidRDefault="00044EE4" w:rsidP="00044EE4">
      <w:pPr>
        <w:rPr>
          <w:bCs/>
          <w:i/>
          <w:iCs/>
        </w:rPr>
      </w:pPr>
      <w:r w:rsidRPr="00044EE4">
        <w:rPr>
          <w:bCs/>
          <w:i/>
          <w:iCs/>
        </w:rPr>
        <w:t>‘Flour, friend, said the Irishman. Efnysien played the same game with each of them, so that not a man was left alive of the entire two hundred, apart from one, and he came to that one, and asked, ‘What have we here?’</w:t>
      </w:r>
    </w:p>
    <w:p w14:paraId="70C87B32" w14:textId="76DAAD85" w:rsidR="00044EE4" w:rsidRPr="00044EE4" w:rsidRDefault="00044EE4" w:rsidP="00044EE4">
      <w:pPr>
        <w:rPr>
          <w:bCs/>
          <w:i/>
          <w:iCs/>
        </w:rPr>
      </w:pPr>
      <w:r w:rsidRPr="00044EE4">
        <w:rPr>
          <w:bCs/>
          <w:i/>
          <w:iCs/>
        </w:rPr>
        <w:t>‘Flour, friend,’ said the Irishman. Efnysien prodded the bag until he found the man’s head, and just as he had squeezed the heads of the others, so he squeezed this one. He could feel armour on the head of this one. He did not let him go until he had killed him. And then he sang an englyn:</w:t>
      </w:r>
    </w:p>
    <w:p w14:paraId="562B244D" w14:textId="77777777" w:rsidR="00044EE4" w:rsidRPr="00044EE4" w:rsidRDefault="00044EE4" w:rsidP="00044EE4">
      <w:pPr>
        <w:rPr>
          <w:bCs/>
          <w:i/>
          <w:iCs/>
        </w:rPr>
      </w:pPr>
      <w:r w:rsidRPr="00044EE4">
        <w:rPr>
          <w:bCs/>
          <w:i/>
          <w:iCs/>
        </w:rPr>
        <w:t>                        ‘There is in this bag a different kind of flour,</w:t>
      </w:r>
    </w:p>
    <w:p w14:paraId="501C709E" w14:textId="77777777" w:rsidR="00044EE4" w:rsidRPr="00044EE4" w:rsidRDefault="00044EE4" w:rsidP="00044EE4">
      <w:pPr>
        <w:rPr>
          <w:bCs/>
          <w:i/>
          <w:iCs/>
        </w:rPr>
      </w:pPr>
      <w:r w:rsidRPr="00044EE4">
        <w:rPr>
          <w:bCs/>
          <w:i/>
          <w:iCs/>
        </w:rPr>
        <w:t>                        Champions, warriors, attackers in battle,</w:t>
      </w:r>
    </w:p>
    <w:p w14:paraId="6E1944A6" w14:textId="77777777" w:rsidR="00044EE4" w:rsidRPr="00044EE4" w:rsidRDefault="00044EE4" w:rsidP="00044EE4">
      <w:pPr>
        <w:rPr>
          <w:bCs/>
          <w:i/>
          <w:iCs/>
        </w:rPr>
      </w:pPr>
      <w:r w:rsidRPr="00044EE4">
        <w:rPr>
          <w:bCs/>
          <w:i/>
          <w:iCs/>
        </w:rPr>
        <w:t>                        Against fighters, prepared for combat.’</w:t>
      </w:r>
    </w:p>
    <w:p w14:paraId="5A6B79AE" w14:textId="08ACB70F" w:rsidR="00044EE4" w:rsidRDefault="00044EE4" w:rsidP="00044EE4">
      <w:pPr>
        <w:rPr>
          <w:bCs/>
          <w:sz w:val="20"/>
          <w:szCs w:val="20"/>
        </w:rPr>
      </w:pPr>
      <w:r w:rsidRPr="00044EE4">
        <w:rPr>
          <w:bCs/>
          <w:sz w:val="20"/>
          <w:szCs w:val="20"/>
        </w:rPr>
        <w:t>(The Mabinogion, trans. Sioned Davies (Oxford: Oxford University Press, 2007), pp 30-31)</w:t>
      </w:r>
    </w:p>
    <w:p w14:paraId="64F76455" w14:textId="01D0FF54" w:rsidR="00D66F06" w:rsidRDefault="00D66F06" w:rsidP="00044EE4">
      <w:pPr>
        <w:rPr>
          <w:bCs/>
          <w:sz w:val="20"/>
          <w:szCs w:val="20"/>
        </w:rPr>
      </w:pPr>
    </w:p>
    <w:p w14:paraId="505C8F92" w14:textId="77777777" w:rsidR="00677AA1" w:rsidRDefault="00677AA1">
      <w:pPr>
        <w:rPr>
          <w:bCs/>
        </w:rPr>
      </w:pPr>
      <w:r>
        <w:rPr>
          <w:bCs/>
        </w:rPr>
        <w:br w:type="page"/>
      </w:r>
    </w:p>
    <w:p w14:paraId="37475FB7" w14:textId="528195CC" w:rsidR="00180B16" w:rsidRPr="0092507B" w:rsidRDefault="002145F8" w:rsidP="00044EE4">
      <w:pPr>
        <w:rPr>
          <w:rFonts w:ascii="Gill Sans MT" w:hAnsi="Gill Sans MT"/>
          <w:bCs/>
          <w:sz w:val="28"/>
          <w:szCs w:val="28"/>
        </w:rPr>
      </w:pPr>
      <w:r w:rsidRPr="0092507B">
        <w:rPr>
          <w:rFonts w:ascii="Gill Sans MT" w:hAnsi="Gill Sans MT"/>
          <w:bCs/>
          <w:sz w:val="28"/>
          <w:szCs w:val="28"/>
        </w:rPr>
        <w:lastRenderedPageBreak/>
        <w:t xml:space="preserve">This extract comes from the Second Branch of the Mabinogi which concerns Bendigeidfran, King of Britain, his sister, Branwen, and their relationship with Matholwch, King of Ireland. Briefly, Matholwch has sought, and obtained, the hand of Branwen in marriage, but the resulting alliance between the two kings is jeopardised by the malicious mutilation of </w:t>
      </w:r>
      <w:bookmarkStart w:id="6" w:name="_Hlk24115498"/>
      <w:r w:rsidRPr="0092507B">
        <w:rPr>
          <w:rFonts w:ascii="Gill Sans MT" w:hAnsi="Gill Sans MT"/>
          <w:bCs/>
          <w:sz w:val="28"/>
          <w:szCs w:val="28"/>
        </w:rPr>
        <w:t>Matholwch’s</w:t>
      </w:r>
      <w:bookmarkEnd w:id="6"/>
      <w:r w:rsidRPr="0092507B">
        <w:rPr>
          <w:rFonts w:ascii="Gill Sans MT" w:hAnsi="Gill Sans MT"/>
          <w:bCs/>
          <w:sz w:val="28"/>
          <w:szCs w:val="28"/>
        </w:rPr>
        <w:t xml:space="preserve"> horses by Bendigeidfran’s half – brother Efnysien. </w:t>
      </w:r>
      <w:r w:rsidR="00EF2DC4" w:rsidRPr="0092507B">
        <w:rPr>
          <w:rFonts w:ascii="Gill Sans MT" w:hAnsi="Gill Sans MT"/>
          <w:bCs/>
          <w:sz w:val="28"/>
          <w:szCs w:val="28"/>
        </w:rPr>
        <w:t>Extravagant</w:t>
      </w:r>
      <w:r w:rsidRPr="0092507B">
        <w:rPr>
          <w:rFonts w:ascii="Gill Sans MT" w:hAnsi="Gill Sans MT"/>
          <w:bCs/>
          <w:sz w:val="28"/>
          <w:szCs w:val="28"/>
        </w:rPr>
        <w:t xml:space="preserve"> compensation culminating in the gift of a magic cauldron temporarily restores the relationship, but after Matholwch’s return to Ireland, the old wounds are reopened and Branwen is isolated, physically humiliated, and resorts to getting a secret message to her brother, who invades Ireland in force. Th</w:t>
      </w:r>
      <w:r w:rsidR="00F929EB" w:rsidRPr="0092507B">
        <w:rPr>
          <w:rFonts w:ascii="Gill Sans MT" w:hAnsi="Gill Sans MT"/>
          <w:bCs/>
          <w:sz w:val="28"/>
          <w:szCs w:val="28"/>
        </w:rPr>
        <w:t>is</w:t>
      </w:r>
      <w:r w:rsidRPr="0092507B">
        <w:rPr>
          <w:rFonts w:ascii="Gill Sans MT" w:hAnsi="Gill Sans MT"/>
          <w:bCs/>
          <w:sz w:val="28"/>
          <w:szCs w:val="28"/>
        </w:rPr>
        <w:t xml:space="preserve"> extract immediately follows the withdrawal of the Irish warriors across</w:t>
      </w:r>
      <w:r w:rsidR="00180B16" w:rsidRPr="0092507B">
        <w:rPr>
          <w:rFonts w:ascii="Gill Sans MT" w:hAnsi="Gill Sans MT"/>
          <w:bCs/>
          <w:sz w:val="28"/>
          <w:szCs w:val="28"/>
        </w:rPr>
        <w:t xml:space="preserve"> the River Liffey only to be followed by </w:t>
      </w:r>
      <w:bookmarkStart w:id="7" w:name="_Hlk24116165"/>
      <w:r w:rsidR="00180B16" w:rsidRPr="0092507B">
        <w:rPr>
          <w:rFonts w:ascii="Gill Sans MT" w:hAnsi="Gill Sans MT"/>
          <w:bCs/>
          <w:sz w:val="28"/>
          <w:szCs w:val="28"/>
        </w:rPr>
        <w:t>Bendigeidfran</w:t>
      </w:r>
      <w:bookmarkEnd w:id="7"/>
      <w:r w:rsidR="00180B16" w:rsidRPr="0092507B">
        <w:rPr>
          <w:rFonts w:ascii="Gill Sans MT" w:hAnsi="Gill Sans MT"/>
          <w:bCs/>
          <w:sz w:val="28"/>
          <w:szCs w:val="28"/>
        </w:rPr>
        <w:t xml:space="preserve"> and his men, and describes how the Irish attempted, and failed, to neutralise the threat from the British, a failure that ultimately leads to wholesale slaughter on both sides. </w:t>
      </w:r>
    </w:p>
    <w:p w14:paraId="1112620A" w14:textId="77777777" w:rsidR="00F929EB" w:rsidRPr="0092507B" w:rsidRDefault="00180B16" w:rsidP="00691D3B">
      <w:pPr>
        <w:rPr>
          <w:rFonts w:ascii="Gill Sans MT" w:hAnsi="Gill Sans MT"/>
          <w:bCs/>
          <w:sz w:val="28"/>
          <w:szCs w:val="28"/>
        </w:rPr>
      </w:pPr>
      <w:r w:rsidRPr="0092507B">
        <w:rPr>
          <w:rFonts w:ascii="Gill Sans MT" w:hAnsi="Gill Sans MT"/>
          <w:bCs/>
          <w:sz w:val="28"/>
          <w:szCs w:val="28"/>
        </w:rPr>
        <w:t>Bollard and Parker</w:t>
      </w:r>
      <w:r w:rsidR="00F929EB" w:rsidRPr="0092507B">
        <w:rPr>
          <w:rStyle w:val="FootnoteReference"/>
          <w:rFonts w:ascii="Gill Sans MT" w:hAnsi="Gill Sans MT"/>
          <w:bCs/>
          <w:sz w:val="28"/>
          <w:szCs w:val="28"/>
        </w:rPr>
        <w:footnoteReference w:id="1"/>
      </w:r>
      <w:r w:rsidRPr="0092507B">
        <w:rPr>
          <w:rFonts w:ascii="Gill Sans MT" w:hAnsi="Gill Sans MT"/>
          <w:bCs/>
          <w:sz w:val="28"/>
          <w:szCs w:val="28"/>
        </w:rPr>
        <w:t>, amongst others, have argued that rather than telling a series of linked, linear, tales, the Four Branches of the Mabinogi, contain</w:t>
      </w:r>
      <w:r w:rsidR="00F929EB" w:rsidRPr="0092507B">
        <w:rPr>
          <w:rFonts w:ascii="Gill Sans MT" w:hAnsi="Gill Sans MT"/>
          <w:bCs/>
          <w:sz w:val="28"/>
          <w:szCs w:val="28"/>
        </w:rPr>
        <w:t>s</w:t>
      </w:r>
      <w:r w:rsidRPr="0092507B">
        <w:rPr>
          <w:rFonts w:ascii="Gill Sans MT" w:hAnsi="Gill Sans MT"/>
          <w:bCs/>
          <w:sz w:val="28"/>
          <w:szCs w:val="28"/>
        </w:rPr>
        <w:t xml:space="preserve"> a series of interlaced and interlocked themes and ideas and some of these are reflected in this passage. </w:t>
      </w:r>
    </w:p>
    <w:p w14:paraId="0BF66224" w14:textId="77CC553B" w:rsidR="00691D3B" w:rsidRPr="0092507B" w:rsidRDefault="00F929EB" w:rsidP="00691D3B">
      <w:pPr>
        <w:rPr>
          <w:rFonts w:ascii="Gill Sans MT" w:hAnsi="Gill Sans MT"/>
          <w:bCs/>
          <w:sz w:val="28"/>
          <w:szCs w:val="28"/>
        </w:rPr>
      </w:pPr>
      <w:r w:rsidRPr="0092507B">
        <w:rPr>
          <w:rFonts w:ascii="Gill Sans MT" w:hAnsi="Gill Sans MT"/>
          <w:bCs/>
          <w:sz w:val="28"/>
          <w:szCs w:val="28"/>
        </w:rPr>
        <w:t xml:space="preserve">An </w:t>
      </w:r>
      <w:r w:rsidR="00180B16" w:rsidRPr="0092507B">
        <w:rPr>
          <w:rFonts w:ascii="Gill Sans MT" w:hAnsi="Gill Sans MT"/>
          <w:bCs/>
          <w:sz w:val="28"/>
          <w:szCs w:val="28"/>
        </w:rPr>
        <w:t>example</w:t>
      </w:r>
      <w:r w:rsidRPr="0092507B">
        <w:rPr>
          <w:rFonts w:ascii="Gill Sans MT" w:hAnsi="Gill Sans MT"/>
          <w:bCs/>
          <w:sz w:val="28"/>
          <w:szCs w:val="28"/>
        </w:rPr>
        <w:t xml:space="preserve"> of this is the way</w:t>
      </w:r>
      <w:r w:rsidR="00180B16" w:rsidRPr="0092507B">
        <w:rPr>
          <w:rFonts w:ascii="Gill Sans MT" w:hAnsi="Gill Sans MT"/>
          <w:bCs/>
          <w:sz w:val="28"/>
          <w:szCs w:val="28"/>
        </w:rPr>
        <w:t xml:space="preserve"> the importance of ‘good counsel’ is highlighted. Matholwch takes counsel as to how to respond to Bendigeidfran’s advance, but the counsel that he receives is deceptive and destructive and leads to the slaughter of his hidden soldiers, and </w:t>
      </w:r>
      <w:r w:rsidR="00691D3B" w:rsidRPr="0092507B">
        <w:rPr>
          <w:rFonts w:ascii="Gill Sans MT" w:hAnsi="Gill Sans MT"/>
          <w:bCs/>
          <w:sz w:val="28"/>
          <w:szCs w:val="28"/>
        </w:rPr>
        <w:t xml:space="preserve">this is consistent with the negative tone and outcome of all the counsel that Matholwch seeks and receives throughout the Branch, a counsel that he seems to seek out of weakness rather than leadership. This is contrasted with the counsel of Branwen which is peace- seeking </w:t>
      </w:r>
      <w:r w:rsidR="00D81D0B" w:rsidRPr="0092507B">
        <w:rPr>
          <w:rFonts w:ascii="Gill Sans MT" w:hAnsi="Gill Sans MT"/>
          <w:bCs/>
          <w:sz w:val="28"/>
          <w:szCs w:val="28"/>
        </w:rPr>
        <w:t>(</w:t>
      </w:r>
      <w:r w:rsidR="00691D3B" w:rsidRPr="0092507B">
        <w:rPr>
          <w:rFonts w:ascii="Gill Sans MT" w:hAnsi="Gill Sans MT"/>
          <w:bCs/>
          <w:sz w:val="28"/>
          <w:szCs w:val="28"/>
        </w:rPr>
        <w:t>‘</w:t>
      </w:r>
      <w:r w:rsidR="00691D3B" w:rsidRPr="0092507B">
        <w:rPr>
          <w:rFonts w:ascii="Gill Sans MT" w:hAnsi="Gill Sans MT"/>
          <w:bCs/>
          <w:i/>
          <w:iCs/>
          <w:sz w:val="28"/>
          <w:szCs w:val="28"/>
        </w:rPr>
        <w:t>because she feared that the country would be laid waste’</w:t>
      </w:r>
      <w:r w:rsidR="00770464" w:rsidRPr="0092507B">
        <w:rPr>
          <w:rFonts w:ascii="Gill Sans MT" w:hAnsi="Gill Sans MT"/>
          <w:bCs/>
          <w:sz w:val="28"/>
          <w:szCs w:val="28"/>
        </w:rPr>
        <w:t>(p.30)</w:t>
      </w:r>
      <w:r w:rsidR="00770464" w:rsidRPr="0092507B">
        <w:rPr>
          <w:rStyle w:val="FootnoteReference"/>
          <w:rFonts w:ascii="Gill Sans MT" w:hAnsi="Gill Sans MT"/>
          <w:bCs/>
          <w:sz w:val="28"/>
          <w:szCs w:val="28"/>
        </w:rPr>
        <w:footnoteReference w:id="2"/>
      </w:r>
      <w:r w:rsidR="00D81D0B" w:rsidRPr="0092507B">
        <w:rPr>
          <w:rFonts w:ascii="Gill Sans MT" w:hAnsi="Gill Sans MT"/>
          <w:bCs/>
          <w:sz w:val="28"/>
          <w:szCs w:val="28"/>
        </w:rPr>
        <w:t>)</w:t>
      </w:r>
      <w:r w:rsidR="00691D3B" w:rsidRPr="0092507B">
        <w:rPr>
          <w:rFonts w:ascii="Gill Sans MT" w:hAnsi="Gill Sans MT"/>
          <w:bCs/>
          <w:i/>
          <w:iCs/>
          <w:sz w:val="28"/>
          <w:szCs w:val="28"/>
        </w:rPr>
        <w:t xml:space="preserve"> </w:t>
      </w:r>
      <w:r w:rsidR="00691D3B" w:rsidRPr="0092507B">
        <w:rPr>
          <w:rFonts w:ascii="Gill Sans MT" w:hAnsi="Gill Sans MT"/>
          <w:bCs/>
          <w:sz w:val="28"/>
          <w:szCs w:val="28"/>
        </w:rPr>
        <w:t xml:space="preserve">and this is not the first time that </w:t>
      </w:r>
      <w:bookmarkStart w:id="8" w:name="_Hlk24116671"/>
      <w:r w:rsidR="00691D3B" w:rsidRPr="0092507B">
        <w:rPr>
          <w:rFonts w:ascii="Gill Sans MT" w:hAnsi="Gill Sans MT"/>
          <w:bCs/>
          <w:sz w:val="28"/>
          <w:szCs w:val="28"/>
        </w:rPr>
        <w:t>Bendigeidfran</w:t>
      </w:r>
      <w:bookmarkEnd w:id="8"/>
      <w:r w:rsidR="00691D3B" w:rsidRPr="0092507B">
        <w:rPr>
          <w:rFonts w:ascii="Gill Sans MT" w:hAnsi="Gill Sans MT"/>
          <w:bCs/>
          <w:sz w:val="28"/>
          <w:szCs w:val="28"/>
        </w:rPr>
        <w:t xml:space="preserve"> seeks and takes counsel from his sister, whose counsel is always to build peace. Andrew Welsh calls her ‘a tragic </w:t>
      </w:r>
      <w:r w:rsidR="00EF2DC4" w:rsidRPr="0092507B">
        <w:rPr>
          <w:rFonts w:ascii="Gill Sans MT" w:hAnsi="Gill Sans MT"/>
          <w:bCs/>
          <w:sz w:val="28"/>
          <w:szCs w:val="28"/>
        </w:rPr>
        <w:t>peace weaver</w:t>
      </w:r>
      <w:r w:rsidR="00691D3B" w:rsidRPr="0092507B">
        <w:rPr>
          <w:rFonts w:ascii="Gill Sans MT" w:hAnsi="Gill Sans MT"/>
          <w:bCs/>
          <w:sz w:val="28"/>
          <w:szCs w:val="28"/>
        </w:rPr>
        <w:t>’</w:t>
      </w:r>
      <w:r w:rsidR="00D81D0B" w:rsidRPr="0092507B">
        <w:rPr>
          <w:rStyle w:val="FootnoteReference"/>
          <w:rFonts w:ascii="Gill Sans MT" w:hAnsi="Gill Sans MT"/>
          <w:bCs/>
          <w:sz w:val="28"/>
          <w:szCs w:val="28"/>
        </w:rPr>
        <w:footnoteReference w:id="3"/>
      </w:r>
      <w:r w:rsidR="00691D3B" w:rsidRPr="0092507B">
        <w:rPr>
          <w:rFonts w:ascii="Gill Sans MT" w:hAnsi="Gill Sans MT"/>
          <w:bCs/>
          <w:sz w:val="28"/>
          <w:szCs w:val="28"/>
        </w:rPr>
        <w:t xml:space="preserve">. </w:t>
      </w:r>
    </w:p>
    <w:p w14:paraId="7E170627" w14:textId="242ED2AD" w:rsidR="00691D3B" w:rsidRPr="0092507B" w:rsidRDefault="00691D3B" w:rsidP="00691D3B">
      <w:pPr>
        <w:rPr>
          <w:rFonts w:ascii="Gill Sans MT" w:hAnsi="Gill Sans MT"/>
          <w:bCs/>
          <w:sz w:val="28"/>
          <w:szCs w:val="28"/>
        </w:rPr>
      </w:pPr>
      <w:r w:rsidRPr="0092507B">
        <w:rPr>
          <w:rFonts w:ascii="Gill Sans MT" w:hAnsi="Gill Sans MT"/>
          <w:bCs/>
          <w:sz w:val="28"/>
          <w:szCs w:val="28"/>
        </w:rPr>
        <w:t>Another identifiable theme</w:t>
      </w:r>
      <w:r w:rsidR="00391585" w:rsidRPr="0092507B">
        <w:rPr>
          <w:rFonts w:ascii="Gill Sans MT" w:hAnsi="Gill Sans MT"/>
          <w:bCs/>
          <w:sz w:val="28"/>
          <w:szCs w:val="28"/>
        </w:rPr>
        <w:t xml:space="preserve"> here</w:t>
      </w:r>
      <w:r w:rsidRPr="0092507B">
        <w:rPr>
          <w:rFonts w:ascii="Gill Sans MT" w:hAnsi="Gill Sans MT"/>
          <w:bCs/>
          <w:sz w:val="28"/>
          <w:szCs w:val="28"/>
        </w:rPr>
        <w:t xml:space="preserve"> is one of containment. The Irish proposal to build Bendigeidfran an enormous house for himself and his warband appears to be an attempt to magically contain the power of the British king and his troops</w:t>
      </w:r>
      <w:r w:rsidR="00D81D0B" w:rsidRPr="0092507B">
        <w:rPr>
          <w:rStyle w:val="FootnoteReference"/>
          <w:rFonts w:ascii="Gill Sans MT" w:hAnsi="Gill Sans MT"/>
          <w:bCs/>
          <w:sz w:val="28"/>
          <w:szCs w:val="28"/>
        </w:rPr>
        <w:footnoteReference w:id="4"/>
      </w:r>
      <w:r w:rsidRPr="0092507B">
        <w:rPr>
          <w:rFonts w:ascii="Gill Sans MT" w:hAnsi="Gill Sans MT"/>
          <w:bCs/>
          <w:sz w:val="28"/>
          <w:szCs w:val="28"/>
        </w:rPr>
        <w:t xml:space="preserve"> (as well as lure him into an ambush) and this has clear resonances of </w:t>
      </w:r>
      <w:r w:rsidRPr="0092507B">
        <w:rPr>
          <w:rFonts w:ascii="Gill Sans MT" w:hAnsi="Gill Sans MT"/>
          <w:bCs/>
          <w:sz w:val="28"/>
          <w:szCs w:val="28"/>
        </w:rPr>
        <w:lastRenderedPageBreak/>
        <w:t xml:space="preserve">the Iron House strategy </w:t>
      </w:r>
      <w:r w:rsidR="008B0A99" w:rsidRPr="0092507B">
        <w:rPr>
          <w:rFonts w:ascii="Gill Sans MT" w:hAnsi="Gill Sans MT"/>
          <w:bCs/>
          <w:sz w:val="28"/>
          <w:szCs w:val="28"/>
        </w:rPr>
        <w:t xml:space="preserve">to contain </w:t>
      </w:r>
      <w:r w:rsidRPr="0092507B">
        <w:rPr>
          <w:rFonts w:ascii="Gill Sans MT" w:hAnsi="Gill Sans MT"/>
          <w:bCs/>
          <w:sz w:val="28"/>
          <w:szCs w:val="28"/>
        </w:rPr>
        <w:t>Llasar L</w:t>
      </w:r>
      <w:r w:rsidR="008B0A99" w:rsidRPr="0092507B">
        <w:rPr>
          <w:rFonts w:ascii="Gill Sans MT" w:hAnsi="Gill Sans MT"/>
          <w:bCs/>
          <w:sz w:val="28"/>
          <w:szCs w:val="28"/>
        </w:rPr>
        <w:t>l</w:t>
      </w:r>
      <w:r w:rsidRPr="0092507B">
        <w:rPr>
          <w:rFonts w:ascii="Gill Sans MT" w:hAnsi="Gill Sans MT"/>
          <w:bCs/>
          <w:sz w:val="28"/>
          <w:szCs w:val="28"/>
        </w:rPr>
        <w:t>aes</w:t>
      </w:r>
      <w:r w:rsidR="008B0A99" w:rsidRPr="0092507B">
        <w:rPr>
          <w:rFonts w:ascii="Gill Sans MT" w:hAnsi="Gill Sans MT"/>
          <w:bCs/>
          <w:sz w:val="28"/>
          <w:szCs w:val="28"/>
        </w:rPr>
        <w:t xml:space="preserve"> Gyfnewid and his family described earlier in the Branch</w:t>
      </w:r>
      <w:r w:rsidR="00391585" w:rsidRPr="0092507B">
        <w:rPr>
          <w:rFonts w:ascii="Gill Sans MT" w:hAnsi="Gill Sans MT"/>
          <w:bCs/>
          <w:sz w:val="28"/>
          <w:szCs w:val="28"/>
        </w:rPr>
        <w:t xml:space="preserve"> (pp.26 – 27)</w:t>
      </w:r>
      <w:r w:rsidR="008B0A99" w:rsidRPr="0092507B">
        <w:rPr>
          <w:rFonts w:ascii="Gill Sans MT" w:hAnsi="Gill Sans MT"/>
          <w:bCs/>
          <w:sz w:val="28"/>
          <w:szCs w:val="28"/>
        </w:rPr>
        <w:t>, the ‘badger-in-the-bag’ incident with Gwawl in the First Branch</w:t>
      </w:r>
      <w:r w:rsidR="00391585" w:rsidRPr="0092507B">
        <w:rPr>
          <w:rFonts w:ascii="Gill Sans MT" w:hAnsi="Gill Sans MT"/>
          <w:bCs/>
          <w:sz w:val="28"/>
          <w:szCs w:val="28"/>
        </w:rPr>
        <w:t xml:space="preserve"> (pp. 13 – 14)</w:t>
      </w:r>
      <w:r w:rsidR="008B0A99" w:rsidRPr="0092507B">
        <w:rPr>
          <w:rFonts w:ascii="Gill Sans MT" w:hAnsi="Gill Sans MT"/>
          <w:bCs/>
          <w:sz w:val="28"/>
          <w:szCs w:val="28"/>
        </w:rPr>
        <w:t xml:space="preserve"> and Efnysien’s own self – destructive attempt at containing his own violence by throwing himself into the magic cauldron</w:t>
      </w:r>
      <w:r w:rsidR="00391585" w:rsidRPr="0092507B">
        <w:rPr>
          <w:rFonts w:ascii="Gill Sans MT" w:hAnsi="Gill Sans MT"/>
          <w:bCs/>
          <w:sz w:val="28"/>
          <w:szCs w:val="28"/>
        </w:rPr>
        <w:t xml:space="preserve"> (p.32)</w:t>
      </w:r>
      <w:r w:rsidR="008B0A99" w:rsidRPr="0092507B">
        <w:rPr>
          <w:rFonts w:ascii="Gill Sans MT" w:hAnsi="Gill Sans MT"/>
          <w:bCs/>
          <w:sz w:val="28"/>
          <w:szCs w:val="28"/>
        </w:rPr>
        <w:t xml:space="preserve">. Whereas the theme of counsel seems to emphasise the importance of careful consideration of courses of action and the pursuit of peace, the theme of containment demonstrates the destructive nature of rage and violence and the near impossibility of putting boundaries around it. </w:t>
      </w:r>
    </w:p>
    <w:p w14:paraId="71BD9010" w14:textId="3418E1CE" w:rsidR="002145F8" w:rsidRPr="0092507B" w:rsidRDefault="00D05032" w:rsidP="00044EE4">
      <w:pPr>
        <w:rPr>
          <w:rFonts w:ascii="Gill Sans MT" w:hAnsi="Gill Sans MT"/>
          <w:bCs/>
          <w:sz w:val="28"/>
          <w:szCs w:val="28"/>
        </w:rPr>
      </w:pPr>
      <w:r w:rsidRPr="0092507B">
        <w:rPr>
          <w:rFonts w:ascii="Gill Sans MT" w:hAnsi="Gill Sans MT"/>
          <w:bCs/>
          <w:sz w:val="28"/>
          <w:szCs w:val="28"/>
        </w:rPr>
        <w:t xml:space="preserve">If attempted containment is one way of responding to overwhelming power, concealment is another. The Four Branches contain numerous examples of concealment, often magical in nature, but here we have two straightforward examples. The first lies in the deceptive counsel given to Matholwch by his counsellors with the advice to build a great house for the British King, when all along it was their intention to use the house as an ambush; and the second was the ambush itself which has echoes </w:t>
      </w:r>
      <w:r w:rsidR="00391585" w:rsidRPr="0092507B">
        <w:rPr>
          <w:rFonts w:ascii="Gill Sans MT" w:hAnsi="Gill Sans MT"/>
          <w:bCs/>
          <w:sz w:val="28"/>
          <w:szCs w:val="28"/>
        </w:rPr>
        <w:t xml:space="preserve">both of the </w:t>
      </w:r>
      <w:r w:rsidR="00391585" w:rsidRPr="0092507B">
        <w:rPr>
          <w:rFonts w:ascii="Gill Sans MT" w:hAnsi="Gill Sans MT"/>
          <w:bCs/>
          <w:i/>
          <w:iCs/>
          <w:sz w:val="28"/>
          <w:szCs w:val="28"/>
        </w:rPr>
        <w:t>Iliad</w:t>
      </w:r>
      <w:r w:rsidR="00391585" w:rsidRPr="0092507B">
        <w:rPr>
          <w:rFonts w:ascii="Gill Sans MT" w:hAnsi="Gill Sans MT"/>
          <w:bCs/>
          <w:sz w:val="28"/>
          <w:szCs w:val="28"/>
        </w:rPr>
        <w:t xml:space="preserve"> and </w:t>
      </w:r>
      <w:r w:rsidRPr="0092507B">
        <w:rPr>
          <w:rFonts w:ascii="Gill Sans MT" w:hAnsi="Gill Sans MT"/>
          <w:bCs/>
          <w:sz w:val="28"/>
          <w:szCs w:val="28"/>
        </w:rPr>
        <w:t xml:space="preserve">the account in the </w:t>
      </w:r>
      <w:r w:rsidRPr="0092507B">
        <w:rPr>
          <w:rFonts w:ascii="Gill Sans MT" w:hAnsi="Gill Sans MT"/>
          <w:bCs/>
          <w:i/>
          <w:iCs/>
          <w:sz w:val="28"/>
          <w:szCs w:val="28"/>
        </w:rPr>
        <w:t>Historia Brittonum</w:t>
      </w:r>
      <w:r w:rsidR="00D81D0B" w:rsidRPr="0092507B">
        <w:rPr>
          <w:rStyle w:val="FootnoteReference"/>
          <w:rFonts w:ascii="Gill Sans MT" w:hAnsi="Gill Sans MT"/>
          <w:bCs/>
          <w:i/>
          <w:iCs/>
          <w:sz w:val="28"/>
          <w:szCs w:val="28"/>
        </w:rPr>
        <w:footnoteReference w:id="5"/>
      </w:r>
      <w:r w:rsidRPr="0092507B">
        <w:rPr>
          <w:rFonts w:ascii="Gill Sans MT" w:hAnsi="Gill Sans MT"/>
          <w:bCs/>
          <w:sz w:val="28"/>
          <w:szCs w:val="28"/>
        </w:rPr>
        <w:t xml:space="preserve"> of the ‘Night of the Long Knives’ in which Hengest’s men ambush and kill the British elders at a feast in their honour. Concealment here is used in a wholly negative way, hidden motives and hidden ambushes aimed at disrupting peace and promoting discord. </w:t>
      </w:r>
    </w:p>
    <w:p w14:paraId="380D15F4" w14:textId="16032073" w:rsidR="00DF1E1D" w:rsidRPr="0092507B" w:rsidRDefault="00D05032" w:rsidP="00044EE4">
      <w:pPr>
        <w:rPr>
          <w:rFonts w:ascii="Gill Sans MT" w:hAnsi="Gill Sans MT"/>
          <w:bCs/>
          <w:sz w:val="28"/>
          <w:szCs w:val="28"/>
        </w:rPr>
      </w:pPr>
      <w:r w:rsidRPr="0092507B">
        <w:rPr>
          <w:rFonts w:ascii="Gill Sans MT" w:hAnsi="Gill Sans MT"/>
          <w:bCs/>
          <w:sz w:val="28"/>
          <w:szCs w:val="28"/>
        </w:rPr>
        <w:t>And that idea of concealment leading to discord is illustrated most fully in the character of Efnysien (whose very name means ‘enemy’ or ‘rival’</w:t>
      </w:r>
      <w:r w:rsidR="00391585" w:rsidRPr="0092507B">
        <w:rPr>
          <w:rStyle w:val="FootnoteReference"/>
          <w:rFonts w:ascii="Gill Sans MT" w:hAnsi="Gill Sans MT"/>
          <w:bCs/>
          <w:sz w:val="28"/>
          <w:szCs w:val="28"/>
        </w:rPr>
        <w:footnoteReference w:id="6"/>
      </w:r>
      <w:r w:rsidRPr="0092507B">
        <w:rPr>
          <w:rFonts w:ascii="Gill Sans MT" w:hAnsi="Gill Sans MT"/>
          <w:bCs/>
          <w:sz w:val="28"/>
          <w:szCs w:val="28"/>
        </w:rPr>
        <w:t xml:space="preserve">). He </w:t>
      </w:r>
      <w:r w:rsidR="00DF1E1D" w:rsidRPr="0092507B">
        <w:rPr>
          <w:rFonts w:ascii="Gill Sans MT" w:hAnsi="Gill Sans MT"/>
          <w:bCs/>
          <w:sz w:val="28"/>
          <w:szCs w:val="28"/>
        </w:rPr>
        <w:t>is a trickster character</w:t>
      </w:r>
      <w:r w:rsidR="00770464" w:rsidRPr="0092507B">
        <w:rPr>
          <w:rStyle w:val="FootnoteReference"/>
          <w:rFonts w:ascii="Gill Sans MT" w:hAnsi="Gill Sans MT"/>
          <w:bCs/>
          <w:sz w:val="28"/>
          <w:szCs w:val="28"/>
        </w:rPr>
        <w:footnoteReference w:id="7"/>
      </w:r>
      <w:r w:rsidR="00DF1E1D" w:rsidRPr="0092507B">
        <w:rPr>
          <w:rFonts w:ascii="Gill Sans MT" w:hAnsi="Gill Sans MT"/>
          <w:bCs/>
          <w:sz w:val="28"/>
          <w:szCs w:val="28"/>
        </w:rPr>
        <w:t>, somewhat in the mould of the Scandinavian god Loki, who not only spreads discord wherever he goes until his (literally) explosive ending, but characteristically conceals his motivation from all those around him, from his attempt to sabotage Branwen’s wedding by mutilating Matholwch’s horses</w:t>
      </w:r>
      <w:r w:rsidR="00391585" w:rsidRPr="0092507B">
        <w:rPr>
          <w:rFonts w:ascii="Gill Sans MT" w:hAnsi="Gill Sans MT"/>
          <w:bCs/>
          <w:sz w:val="28"/>
          <w:szCs w:val="28"/>
        </w:rPr>
        <w:t xml:space="preserve"> (pp.23 – 4)</w:t>
      </w:r>
      <w:r w:rsidR="00DF1E1D" w:rsidRPr="0092507B">
        <w:rPr>
          <w:rFonts w:ascii="Gill Sans MT" w:hAnsi="Gill Sans MT"/>
          <w:bCs/>
          <w:sz w:val="28"/>
          <w:szCs w:val="28"/>
        </w:rPr>
        <w:t>, through to his ghastly destruction of Gwern, Branwen’s son by Matholwch</w:t>
      </w:r>
      <w:r w:rsidR="00391585" w:rsidRPr="0092507B">
        <w:rPr>
          <w:rFonts w:ascii="Gill Sans MT" w:hAnsi="Gill Sans MT"/>
          <w:bCs/>
          <w:sz w:val="28"/>
          <w:szCs w:val="28"/>
        </w:rPr>
        <w:t xml:space="preserve"> (pp. 31 – 2)</w:t>
      </w:r>
      <w:r w:rsidR="00DF1E1D" w:rsidRPr="0092507B">
        <w:rPr>
          <w:rFonts w:ascii="Gill Sans MT" w:hAnsi="Gill Sans MT"/>
          <w:bCs/>
          <w:sz w:val="28"/>
          <w:szCs w:val="28"/>
        </w:rPr>
        <w:t xml:space="preserve">. The author of the Branch says of him </w:t>
      </w:r>
      <w:r w:rsidR="00DF1E1D" w:rsidRPr="0092507B">
        <w:rPr>
          <w:rFonts w:ascii="Gill Sans MT" w:hAnsi="Gill Sans MT"/>
          <w:bCs/>
          <w:i/>
          <w:iCs/>
          <w:sz w:val="28"/>
          <w:szCs w:val="28"/>
        </w:rPr>
        <w:t>‘he could cause two of the most loving brothers to fight’</w:t>
      </w:r>
      <w:r w:rsidR="00391585" w:rsidRPr="0092507B">
        <w:rPr>
          <w:rFonts w:ascii="Gill Sans MT" w:hAnsi="Gill Sans MT"/>
          <w:bCs/>
          <w:sz w:val="28"/>
          <w:szCs w:val="28"/>
        </w:rPr>
        <w:t>(p.22)</w:t>
      </w:r>
      <w:r w:rsidR="00DF1E1D" w:rsidRPr="0092507B">
        <w:rPr>
          <w:rFonts w:ascii="Gill Sans MT" w:hAnsi="Gill Sans MT"/>
          <w:bCs/>
          <w:i/>
          <w:iCs/>
          <w:sz w:val="28"/>
          <w:szCs w:val="28"/>
        </w:rPr>
        <w:t>.</w:t>
      </w:r>
      <w:r w:rsidR="00DF1E1D" w:rsidRPr="0092507B">
        <w:rPr>
          <w:rFonts w:ascii="Gill Sans MT" w:hAnsi="Gill Sans MT"/>
          <w:bCs/>
          <w:sz w:val="28"/>
          <w:szCs w:val="28"/>
        </w:rPr>
        <w:t xml:space="preserve"> </w:t>
      </w:r>
    </w:p>
    <w:p w14:paraId="6266A902" w14:textId="0E1EA62A" w:rsidR="00AA74C8" w:rsidRPr="0092507B" w:rsidRDefault="00DF1E1D" w:rsidP="00044EE4">
      <w:pPr>
        <w:rPr>
          <w:rFonts w:ascii="Gill Sans MT" w:hAnsi="Gill Sans MT"/>
          <w:bCs/>
          <w:sz w:val="28"/>
          <w:szCs w:val="28"/>
        </w:rPr>
      </w:pPr>
      <w:r w:rsidRPr="0092507B">
        <w:rPr>
          <w:rFonts w:ascii="Gill Sans MT" w:hAnsi="Gill Sans MT"/>
          <w:bCs/>
          <w:sz w:val="28"/>
          <w:szCs w:val="28"/>
        </w:rPr>
        <w:t xml:space="preserve">Efnysien’s destructive nature is not only highlighted by his concealment of his motives, but also by a series of vigorous contrasts with other key figures in the narrative. At the beginning of the Branch, he is sharply contrasted with his brother Nysien </w:t>
      </w:r>
      <w:r w:rsidR="00804C98" w:rsidRPr="0092507B">
        <w:rPr>
          <w:rFonts w:ascii="Gill Sans MT" w:hAnsi="Gill Sans MT"/>
          <w:bCs/>
          <w:sz w:val="28"/>
          <w:szCs w:val="28"/>
        </w:rPr>
        <w:t xml:space="preserve">who is described as a </w:t>
      </w:r>
      <w:r w:rsidR="00804C98" w:rsidRPr="0092507B">
        <w:rPr>
          <w:rFonts w:ascii="Gill Sans MT" w:hAnsi="Gill Sans MT"/>
          <w:bCs/>
          <w:i/>
          <w:iCs/>
          <w:sz w:val="28"/>
          <w:szCs w:val="28"/>
        </w:rPr>
        <w:t>‘good lad – he could make peace between two armies when they were most enraged’</w:t>
      </w:r>
      <w:r w:rsidR="00AA74C8" w:rsidRPr="0092507B">
        <w:rPr>
          <w:rFonts w:ascii="Gill Sans MT" w:hAnsi="Gill Sans MT"/>
          <w:bCs/>
          <w:i/>
          <w:iCs/>
          <w:sz w:val="28"/>
          <w:szCs w:val="28"/>
        </w:rPr>
        <w:t xml:space="preserve">’ </w:t>
      </w:r>
      <w:r w:rsidR="00391585" w:rsidRPr="0092507B">
        <w:rPr>
          <w:rFonts w:ascii="Gill Sans MT" w:hAnsi="Gill Sans MT"/>
          <w:bCs/>
          <w:sz w:val="28"/>
          <w:szCs w:val="28"/>
        </w:rPr>
        <w:t xml:space="preserve">(p.22) </w:t>
      </w:r>
      <w:r w:rsidR="00AA74C8" w:rsidRPr="0092507B">
        <w:rPr>
          <w:rFonts w:ascii="Gill Sans MT" w:hAnsi="Gill Sans MT"/>
          <w:bCs/>
          <w:sz w:val="28"/>
          <w:szCs w:val="28"/>
        </w:rPr>
        <w:t xml:space="preserve">and Nysien is still trying to </w:t>
      </w:r>
      <w:r w:rsidR="00AA74C8" w:rsidRPr="0092507B">
        <w:rPr>
          <w:rFonts w:ascii="Gill Sans MT" w:hAnsi="Gill Sans MT"/>
          <w:bCs/>
          <w:sz w:val="28"/>
          <w:szCs w:val="28"/>
        </w:rPr>
        <w:lastRenderedPageBreak/>
        <w:t>welcome Gwern into his British family when Efnysien kills him</w:t>
      </w:r>
      <w:r w:rsidR="00391585" w:rsidRPr="0092507B">
        <w:rPr>
          <w:rFonts w:ascii="Gill Sans MT" w:hAnsi="Gill Sans MT"/>
          <w:bCs/>
          <w:sz w:val="28"/>
          <w:szCs w:val="28"/>
        </w:rPr>
        <w:t xml:space="preserve"> (p.31)</w:t>
      </w:r>
      <w:r w:rsidR="00AA74C8" w:rsidRPr="0092507B">
        <w:rPr>
          <w:rFonts w:ascii="Gill Sans MT" w:hAnsi="Gill Sans MT"/>
          <w:bCs/>
          <w:sz w:val="28"/>
          <w:szCs w:val="28"/>
        </w:rPr>
        <w:t>. But that is not the only way in which Efynisien’s character is highlighted. It is sharply contrasted with the peace making of Branwen and wherever Branwen sows peace, Efynisien sows discord until both are dead. (Note that whereas the cauldron in which Efnysien meets his end splits into four pieces</w:t>
      </w:r>
      <w:r w:rsidR="002C5100" w:rsidRPr="0092507B">
        <w:rPr>
          <w:rFonts w:ascii="Gill Sans MT" w:hAnsi="Gill Sans MT"/>
          <w:bCs/>
          <w:sz w:val="28"/>
          <w:szCs w:val="28"/>
        </w:rPr>
        <w:t xml:space="preserve"> (p.32)</w:t>
      </w:r>
      <w:r w:rsidR="00AA74C8" w:rsidRPr="0092507B">
        <w:rPr>
          <w:rFonts w:ascii="Gill Sans MT" w:hAnsi="Gill Sans MT"/>
          <w:bCs/>
          <w:sz w:val="28"/>
          <w:szCs w:val="28"/>
        </w:rPr>
        <w:t xml:space="preserve">, Branwen is buried in a </w:t>
      </w:r>
      <w:r w:rsidR="00EF2DC4" w:rsidRPr="0092507B">
        <w:rPr>
          <w:rFonts w:ascii="Gill Sans MT" w:hAnsi="Gill Sans MT"/>
          <w:bCs/>
          <w:sz w:val="28"/>
          <w:szCs w:val="28"/>
        </w:rPr>
        <w:t>four-sided</w:t>
      </w:r>
      <w:r w:rsidR="00AA74C8" w:rsidRPr="0092507B">
        <w:rPr>
          <w:rFonts w:ascii="Gill Sans MT" w:hAnsi="Gill Sans MT"/>
          <w:bCs/>
          <w:sz w:val="28"/>
          <w:szCs w:val="28"/>
        </w:rPr>
        <w:t xml:space="preserve"> grave</w:t>
      </w:r>
      <w:r w:rsidR="002C5100" w:rsidRPr="0092507B">
        <w:rPr>
          <w:rFonts w:ascii="Gill Sans MT" w:hAnsi="Gill Sans MT"/>
          <w:bCs/>
          <w:sz w:val="28"/>
          <w:szCs w:val="28"/>
        </w:rPr>
        <w:t xml:space="preserve"> (p.33)</w:t>
      </w:r>
      <w:r w:rsidR="00AA74C8" w:rsidRPr="0092507B">
        <w:rPr>
          <w:rFonts w:ascii="Gill Sans MT" w:hAnsi="Gill Sans MT"/>
          <w:bCs/>
          <w:sz w:val="28"/>
          <w:szCs w:val="28"/>
        </w:rPr>
        <w:t xml:space="preserve"> suggesting a deliberate contrast). And whilst Efnysien is not the only character to be highlighted by sharp contrast (compare for example the purposeful and reflective leadership of Bendigeidfran with the weak and careless leadership of Matholwch), he is possibly the most vivid. </w:t>
      </w:r>
    </w:p>
    <w:p w14:paraId="66B3F8A8" w14:textId="21572132" w:rsidR="00AB5419" w:rsidRPr="0092507B" w:rsidRDefault="00AA74C8" w:rsidP="00044EE4">
      <w:pPr>
        <w:rPr>
          <w:rFonts w:ascii="Gill Sans MT" w:hAnsi="Gill Sans MT"/>
          <w:bCs/>
          <w:sz w:val="28"/>
          <w:szCs w:val="28"/>
        </w:rPr>
      </w:pPr>
      <w:r w:rsidRPr="0092507B">
        <w:rPr>
          <w:rFonts w:ascii="Gill Sans MT" w:hAnsi="Gill Sans MT"/>
          <w:bCs/>
          <w:sz w:val="28"/>
          <w:szCs w:val="28"/>
        </w:rPr>
        <w:t>The striking nature of his destructive character is starkly demonstrated by the incident of the men in bags</w:t>
      </w:r>
      <w:r w:rsidR="00AB5419" w:rsidRPr="0092507B">
        <w:rPr>
          <w:rFonts w:ascii="Gill Sans MT" w:hAnsi="Gill Sans MT"/>
          <w:bCs/>
          <w:sz w:val="28"/>
          <w:szCs w:val="28"/>
        </w:rPr>
        <w:t xml:space="preserve">. Here, an action that could be seen as positive (preventing an ambush) is marred by the cruelty of his killing, and his treatment of his enemies as less than human, triumphing with a cruel and sarcastic poem. However, as the ‘badger -in-the-bag’ incident in the First Branch already referred to illustrates, it is not only Efnysien who treats his enemies as less than human, and this may be picked up elsewhere in the Fourth Branch where Math’s enemies are turned into animals. </w:t>
      </w:r>
    </w:p>
    <w:p w14:paraId="26A13EAD" w14:textId="042C8DD0" w:rsidR="00AB5419" w:rsidRPr="0092507B" w:rsidRDefault="00AB5419" w:rsidP="00044EE4">
      <w:pPr>
        <w:rPr>
          <w:rFonts w:ascii="Gill Sans MT" w:hAnsi="Gill Sans MT"/>
          <w:bCs/>
          <w:sz w:val="28"/>
          <w:szCs w:val="28"/>
        </w:rPr>
      </w:pPr>
      <w:r w:rsidRPr="0092507B">
        <w:rPr>
          <w:rFonts w:ascii="Gill Sans MT" w:hAnsi="Gill Sans MT"/>
          <w:bCs/>
          <w:sz w:val="28"/>
          <w:szCs w:val="28"/>
        </w:rPr>
        <w:t xml:space="preserve">The values of good counsel, and of </w:t>
      </w:r>
      <w:r w:rsidR="00EF2DC4" w:rsidRPr="0092507B">
        <w:rPr>
          <w:rFonts w:ascii="Gill Sans MT" w:hAnsi="Gill Sans MT"/>
          <w:bCs/>
          <w:sz w:val="28"/>
          <w:szCs w:val="28"/>
        </w:rPr>
        <w:t>peace making</w:t>
      </w:r>
      <w:r w:rsidRPr="0092507B">
        <w:rPr>
          <w:rFonts w:ascii="Gill Sans MT" w:hAnsi="Gill Sans MT"/>
          <w:bCs/>
          <w:sz w:val="28"/>
          <w:szCs w:val="28"/>
        </w:rPr>
        <w:t xml:space="preserve"> then are demonstrated in this passage, </w:t>
      </w:r>
      <w:r w:rsidR="00EF2DC4" w:rsidRPr="0092507B">
        <w:rPr>
          <w:rFonts w:ascii="Gill Sans MT" w:hAnsi="Gill Sans MT"/>
          <w:bCs/>
          <w:sz w:val="28"/>
          <w:szCs w:val="28"/>
        </w:rPr>
        <w:t>both positively and by contrast with the perils of uncontained violence and</w:t>
      </w:r>
      <w:r w:rsidRPr="0092507B">
        <w:rPr>
          <w:rFonts w:ascii="Gill Sans MT" w:hAnsi="Gill Sans MT"/>
          <w:bCs/>
          <w:sz w:val="28"/>
          <w:szCs w:val="28"/>
        </w:rPr>
        <w:t xml:space="preserve"> illustrated both thematically and in the development of key characters.   </w:t>
      </w:r>
    </w:p>
    <w:p w14:paraId="1327C876" w14:textId="09FCB36D" w:rsidR="00042579" w:rsidRPr="0092507B" w:rsidRDefault="00AB5419" w:rsidP="00044EE4">
      <w:pPr>
        <w:rPr>
          <w:rFonts w:ascii="Gill Sans MT" w:hAnsi="Gill Sans MT"/>
          <w:b/>
          <w:sz w:val="28"/>
          <w:szCs w:val="28"/>
        </w:rPr>
      </w:pPr>
      <w:r w:rsidRPr="0092507B">
        <w:rPr>
          <w:rFonts w:ascii="Gill Sans MT" w:hAnsi="Gill Sans MT"/>
          <w:bCs/>
          <w:sz w:val="28"/>
          <w:szCs w:val="28"/>
        </w:rPr>
        <w:t xml:space="preserve"> </w:t>
      </w:r>
      <w:r w:rsidRPr="0092507B">
        <w:rPr>
          <w:rFonts w:ascii="Gill Sans MT" w:hAnsi="Gill Sans MT"/>
          <w:b/>
          <w:sz w:val="28"/>
          <w:szCs w:val="28"/>
        </w:rPr>
        <w:t>Word count: 1</w:t>
      </w:r>
      <w:r w:rsidR="002C5100" w:rsidRPr="0092507B">
        <w:rPr>
          <w:rFonts w:ascii="Gill Sans MT" w:hAnsi="Gill Sans MT"/>
          <w:b/>
          <w:sz w:val="28"/>
          <w:szCs w:val="28"/>
        </w:rPr>
        <w:t xml:space="preserve">163 </w:t>
      </w:r>
      <w:r w:rsidRPr="0092507B">
        <w:rPr>
          <w:rFonts w:ascii="Gill Sans MT" w:hAnsi="Gill Sans MT"/>
          <w:b/>
          <w:sz w:val="28"/>
          <w:szCs w:val="28"/>
        </w:rPr>
        <w:t>words</w:t>
      </w:r>
    </w:p>
    <w:p w14:paraId="3E7C18D7" w14:textId="77777777" w:rsidR="00677AA1" w:rsidRPr="00AB5419" w:rsidRDefault="00677AA1" w:rsidP="00044EE4">
      <w:pPr>
        <w:rPr>
          <w:b/>
        </w:rPr>
      </w:pPr>
    </w:p>
    <w:sectPr w:rsidR="00677AA1" w:rsidRPr="00AB541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796C2A" w14:textId="77777777" w:rsidR="008F7588" w:rsidRDefault="008F7588" w:rsidP="00042579">
      <w:pPr>
        <w:spacing w:after="0" w:line="240" w:lineRule="auto"/>
      </w:pPr>
      <w:r>
        <w:separator/>
      </w:r>
    </w:p>
  </w:endnote>
  <w:endnote w:type="continuationSeparator" w:id="0">
    <w:p w14:paraId="3FBCB500" w14:textId="77777777" w:rsidR="008F7588" w:rsidRDefault="008F7588" w:rsidP="000425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ill Sans MT">
    <w:panose1 w:val="020B0502020104020203"/>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22717710"/>
      <w:docPartObj>
        <w:docPartGallery w:val="Page Numbers (Bottom of Page)"/>
        <w:docPartUnique/>
      </w:docPartObj>
    </w:sdtPr>
    <w:sdtEndPr>
      <w:rPr>
        <w:color w:val="7F7F7F" w:themeColor="background1" w:themeShade="7F"/>
        <w:spacing w:val="60"/>
      </w:rPr>
    </w:sdtEndPr>
    <w:sdtContent>
      <w:p w14:paraId="4F18514D" w14:textId="0A76F8BA" w:rsidR="00304AD3" w:rsidRDefault="00304AD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9D16CC">
          <w:rPr>
            <w:b/>
            <w:bCs/>
            <w:noProof/>
          </w:rPr>
          <w:t>6</w:t>
        </w:r>
        <w:r>
          <w:rPr>
            <w:b/>
            <w:bCs/>
            <w:noProof/>
          </w:rPr>
          <w:fldChar w:fldCharType="end"/>
        </w:r>
        <w:r>
          <w:rPr>
            <w:b/>
            <w:bCs/>
          </w:rPr>
          <w:t xml:space="preserve"> | </w:t>
        </w:r>
        <w:r>
          <w:rPr>
            <w:color w:val="7F7F7F" w:themeColor="background1" w:themeShade="7F"/>
            <w:spacing w:val="60"/>
          </w:rPr>
          <w:t>Page</w:t>
        </w:r>
      </w:p>
    </w:sdtContent>
  </w:sdt>
  <w:p w14:paraId="26ABD66B" w14:textId="77777777" w:rsidR="00304AD3" w:rsidRDefault="00304A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113C10" w14:textId="77777777" w:rsidR="008F7588" w:rsidRDefault="008F7588" w:rsidP="00042579">
      <w:pPr>
        <w:spacing w:after="0" w:line="240" w:lineRule="auto"/>
      </w:pPr>
      <w:r>
        <w:separator/>
      </w:r>
    </w:p>
  </w:footnote>
  <w:footnote w:type="continuationSeparator" w:id="0">
    <w:p w14:paraId="353A813E" w14:textId="77777777" w:rsidR="008F7588" w:rsidRDefault="008F7588" w:rsidP="00042579">
      <w:pPr>
        <w:spacing w:after="0" w:line="240" w:lineRule="auto"/>
      </w:pPr>
      <w:r>
        <w:continuationSeparator/>
      </w:r>
    </w:p>
  </w:footnote>
  <w:footnote w:id="1">
    <w:p w14:paraId="2DAB51F8" w14:textId="573D2033" w:rsidR="00F929EB" w:rsidRPr="0092507B" w:rsidRDefault="00F929EB">
      <w:pPr>
        <w:pStyle w:val="FootnoteText"/>
        <w:rPr>
          <w:rFonts w:ascii="Gill Sans MT" w:hAnsi="Gill Sans MT"/>
          <w:sz w:val="22"/>
          <w:szCs w:val="22"/>
        </w:rPr>
      </w:pPr>
      <w:r w:rsidRPr="0092507B">
        <w:rPr>
          <w:rStyle w:val="FootnoteReference"/>
          <w:rFonts w:ascii="Gill Sans MT" w:hAnsi="Gill Sans MT"/>
          <w:sz w:val="22"/>
          <w:szCs w:val="22"/>
        </w:rPr>
        <w:footnoteRef/>
      </w:r>
      <w:r w:rsidRPr="0092507B">
        <w:rPr>
          <w:rFonts w:ascii="Gill Sans MT" w:hAnsi="Gill Sans MT"/>
          <w:sz w:val="22"/>
          <w:szCs w:val="22"/>
        </w:rPr>
        <w:t xml:space="preserve"> J. K. Bollard ‘The Structure of the Four Branches of the Mabinogi’ in C W Sullivan III (ed.) </w:t>
      </w:r>
      <w:r w:rsidRPr="0092507B">
        <w:rPr>
          <w:rFonts w:ascii="Gill Sans MT" w:hAnsi="Gill Sans MT"/>
          <w:i/>
          <w:iCs/>
          <w:sz w:val="22"/>
          <w:szCs w:val="22"/>
        </w:rPr>
        <w:t xml:space="preserve">The Mabinogi: A Book of Essays </w:t>
      </w:r>
      <w:r w:rsidRPr="0092507B">
        <w:rPr>
          <w:rFonts w:ascii="Gill Sans MT" w:hAnsi="Gill Sans MT"/>
          <w:sz w:val="22"/>
          <w:szCs w:val="22"/>
        </w:rPr>
        <w:t>(London: Routledge</w:t>
      </w:r>
      <w:r w:rsidR="002C5100" w:rsidRPr="0092507B">
        <w:rPr>
          <w:rFonts w:ascii="Gill Sans MT" w:hAnsi="Gill Sans MT"/>
          <w:sz w:val="22"/>
          <w:szCs w:val="22"/>
        </w:rPr>
        <w:t>,</w:t>
      </w:r>
      <w:r w:rsidRPr="0092507B">
        <w:rPr>
          <w:rFonts w:ascii="Gill Sans MT" w:hAnsi="Gill Sans MT"/>
          <w:sz w:val="22"/>
          <w:szCs w:val="22"/>
        </w:rPr>
        <w:t xml:space="preserve"> 1996) pp. 165 – 196; W. Parker </w:t>
      </w:r>
      <w:r w:rsidRPr="0092507B">
        <w:rPr>
          <w:rFonts w:ascii="Gill Sans MT" w:hAnsi="Gill Sans MT"/>
          <w:i/>
          <w:iCs/>
          <w:sz w:val="22"/>
          <w:szCs w:val="22"/>
        </w:rPr>
        <w:t xml:space="preserve">The Four Branches of the Mabinogi </w:t>
      </w:r>
      <w:r w:rsidRPr="0092507B">
        <w:rPr>
          <w:rFonts w:ascii="Gill Sans MT" w:hAnsi="Gill Sans MT"/>
          <w:sz w:val="22"/>
          <w:szCs w:val="22"/>
        </w:rPr>
        <w:t>(Oregon House CA: Bardic Press</w:t>
      </w:r>
      <w:r w:rsidR="002C5100" w:rsidRPr="0092507B">
        <w:rPr>
          <w:rFonts w:ascii="Gill Sans MT" w:hAnsi="Gill Sans MT"/>
          <w:sz w:val="22"/>
          <w:szCs w:val="22"/>
        </w:rPr>
        <w:t>,</w:t>
      </w:r>
      <w:r w:rsidRPr="0092507B">
        <w:rPr>
          <w:rFonts w:ascii="Gill Sans MT" w:hAnsi="Gill Sans MT"/>
          <w:sz w:val="22"/>
          <w:szCs w:val="22"/>
        </w:rPr>
        <w:t xml:space="preserve"> 2005) esp. pp. 67 - 127  </w:t>
      </w:r>
    </w:p>
  </w:footnote>
  <w:footnote w:id="2">
    <w:p w14:paraId="74EEAD3E" w14:textId="253408F6" w:rsidR="00770464" w:rsidRPr="0092507B" w:rsidRDefault="00770464">
      <w:pPr>
        <w:pStyle w:val="FootnoteText"/>
        <w:rPr>
          <w:rFonts w:ascii="Gill Sans MT" w:hAnsi="Gill Sans MT"/>
          <w:sz w:val="22"/>
          <w:szCs w:val="22"/>
        </w:rPr>
      </w:pPr>
      <w:r w:rsidRPr="0092507B">
        <w:rPr>
          <w:rStyle w:val="FootnoteReference"/>
          <w:rFonts w:ascii="Gill Sans MT" w:hAnsi="Gill Sans MT"/>
          <w:sz w:val="22"/>
          <w:szCs w:val="22"/>
        </w:rPr>
        <w:footnoteRef/>
      </w:r>
      <w:r w:rsidRPr="0092507B">
        <w:rPr>
          <w:rFonts w:ascii="Gill Sans MT" w:hAnsi="Gill Sans MT"/>
          <w:sz w:val="22"/>
          <w:szCs w:val="22"/>
        </w:rPr>
        <w:t xml:space="preserve"> All references are from S</w:t>
      </w:r>
      <w:r w:rsidR="002C5100" w:rsidRPr="0092507B">
        <w:rPr>
          <w:rFonts w:ascii="Gill Sans MT" w:hAnsi="Gill Sans MT"/>
          <w:sz w:val="22"/>
          <w:szCs w:val="22"/>
        </w:rPr>
        <w:t xml:space="preserve">. </w:t>
      </w:r>
      <w:r w:rsidRPr="0092507B">
        <w:rPr>
          <w:rFonts w:ascii="Gill Sans MT" w:hAnsi="Gill Sans MT"/>
          <w:sz w:val="22"/>
          <w:szCs w:val="22"/>
        </w:rPr>
        <w:t xml:space="preserve">Davies </w:t>
      </w:r>
      <w:r w:rsidR="002C5100" w:rsidRPr="0092507B">
        <w:rPr>
          <w:rFonts w:ascii="Gill Sans MT" w:hAnsi="Gill Sans MT"/>
          <w:sz w:val="22"/>
          <w:szCs w:val="22"/>
        </w:rPr>
        <w:t>(</w:t>
      </w:r>
      <w:r w:rsidRPr="0092507B">
        <w:rPr>
          <w:rFonts w:ascii="Gill Sans MT" w:hAnsi="Gill Sans MT"/>
          <w:sz w:val="22"/>
          <w:szCs w:val="22"/>
        </w:rPr>
        <w:t>trans.</w:t>
      </w:r>
      <w:r w:rsidR="002C5100" w:rsidRPr="0092507B">
        <w:rPr>
          <w:rFonts w:ascii="Gill Sans MT" w:hAnsi="Gill Sans MT"/>
          <w:sz w:val="22"/>
          <w:szCs w:val="22"/>
        </w:rPr>
        <w:t>)</w:t>
      </w:r>
      <w:r w:rsidRPr="0092507B">
        <w:rPr>
          <w:rFonts w:ascii="Gill Sans MT" w:hAnsi="Gill Sans MT"/>
          <w:sz w:val="22"/>
          <w:szCs w:val="22"/>
        </w:rPr>
        <w:t xml:space="preserve"> </w:t>
      </w:r>
      <w:r w:rsidRPr="0092507B">
        <w:rPr>
          <w:rFonts w:ascii="Gill Sans MT" w:hAnsi="Gill Sans MT"/>
          <w:i/>
          <w:iCs/>
          <w:sz w:val="22"/>
          <w:szCs w:val="22"/>
        </w:rPr>
        <w:t>The Mabinogion</w:t>
      </w:r>
      <w:r w:rsidRPr="0092507B">
        <w:rPr>
          <w:rFonts w:ascii="Gill Sans MT" w:hAnsi="Gill Sans MT"/>
          <w:sz w:val="22"/>
          <w:szCs w:val="22"/>
        </w:rPr>
        <w:t xml:space="preserve"> </w:t>
      </w:r>
      <w:r w:rsidR="002C5100" w:rsidRPr="0092507B">
        <w:rPr>
          <w:rFonts w:ascii="Gill Sans MT" w:hAnsi="Gill Sans MT"/>
          <w:sz w:val="22"/>
          <w:szCs w:val="22"/>
        </w:rPr>
        <w:t>(</w:t>
      </w:r>
      <w:r w:rsidRPr="0092507B">
        <w:rPr>
          <w:rFonts w:ascii="Gill Sans MT" w:hAnsi="Gill Sans MT"/>
          <w:sz w:val="22"/>
          <w:szCs w:val="22"/>
        </w:rPr>
        <w:t>Oxford</w:t>
      </w:r>
      <w:r w:rsidR="002C5100" w:rsidRPr="0092507B">
        <w:rPr>
          <w:rFonts w:ascii="Gill Sans MT" w:hAnsi="Gill Sans MT"/>
          <w:sz w:val="22"/>
          <w:szCs w:val="22"/>
        </w:rPr>
        <w:t>:</w:t>
      </w:r>
      <w:r w:rsidRPr="0092507B">
        <w:rPr>
          <w:rFonts w:ascii="Gill Sans MT" w:hAnsi="Gill Sans MT"/>
          <w:sz w:val="22"/>
          <w:szCs w:val="22"/>
        </w:rPr>
        <w:t xml:space="preserve"> University Press</w:t>
      </w:r>
      <w:r w:rsidR="002C5100" w:rsidRPr="0092507B">
        <w:rPr>
          <w:rFonts w:ascii="Gill Sans MT" w:hAnsi="Gill Sans MT"/>
          <w:sz w:val="22"/>
          <w:szCs w:val="22"/>
        </w:rPr>
        <w:t>,</w:t>
      </w:r>
      <w:r w:rsidRPr="0092507B">
        <w:rPr>
          <w:rFonts w:ascii="Gill Sans MT" w:hAnsi="Gill Sans MT"/>
          <w:sz w:val="22"/>
          <w:szCs w:val="22"/>
        </w:rPr>
        <w:t xml:space="preserve"> 2007</w:t>
      </w:r>
      <w:r w:rsidR="002C5100" w:rsidRPr="0092507B">
        <w:rPr>
          <w:rFonts w:ascii="Gill Sans MT" w:hAnsi="Gill Sans MT"/>
          <w:sz w:val="22"/>
          <w:szCs w:val="22"/>
        </w:rPr>
        <w:t>)</w:t>
      </w:r>
      <w:r w:rsidRPr="0092507B">
        <w:rPr>
          <w:rFonts w:ascii="Gill Sans MT" w:hAnsi="Gill Sans MT"/>
          <w:sz w:val="22"/>
          <w:szCs w:val="22"/>
        </w:rPr>
        <w:t xml:space="preserve"> </w:t>
      </w:r>
    </w:p>
  </w:footnote>
  <w:footnote w:id="3">
    <w:p w14:paraId="20980354" w14:textId="0559C9AA" w:rsidR="00D81D0B" w:rsidRPr="0092507B" w:rsidRDefault="00D81D0B">
      <w:pPr>
        <w:pStyle w:val="FootnoteText"/>
        <w:rPr>
          <w:rFonts w:ascii="Gill Sans MT" w:hAnsi="Gill Sans MT"/>
          <w:sz w:val="22"/>
          <w:szCs w:val="22"/>
        </w:rPr>
      </w:pPr>
      <w:r w:rsidRPr="0092507B">
        <w:rPr>
          <w:rStyle w:val="FootnoteReference"/>
          <w:rFonts w:ascii="Gill Sans MT" w:hAnsi="Gill Sans MT"/>
          <w:sz w:val="22"/>
          <w:szCs w:val="22"/>
        </w:rPr>
        <w:footnoteRef/>
      </w:r>
      <w:r w:rsidRPr="0092507B">
        <w:rPr>
          <w:rFonts w:ascii="Gill Sans MT" w:hAnsi="Gill Sans MT"/>
          <w:sz w:val="22"/>
          <w:szCs w:val="22"/>
        </w:rPr>
        <w:t xml:space="preserve"> A. Welsh, “Branwen, Beowulf, and the tragic </w:t>
      </w:r>
      <w:proofErr w:type="spellStart"/>
      <w:r w:rsidRPr="0092507B">
        <w:rPr>
          <w:rFonts w:ascii="Gill Sans MT" w:hAnsi="Gill Sans MT"/>
          <w:sz w:val="22"/>
          <w:szCs w:val="22"/>
        </w:rPr>
        <w:t>peaceweaver</w:t>
      </w:r>
      <w:proofErr w:type="spellEnd"/>
      <w:r w:rsidRPr="0092507B">
        <w:rPr>
          <w:rFonts w:ascii="Gill Sans MT" w:hAnsi="Gill Sans MT"/>
          <w:sz w:val="22"/>
          <w:szCs w:val="22"/>
        </w:rPr>
        <w:t xml:space="preserve"> tale”, </w:t>
      </w:r>
      <w:r w:rsidRPr="0092507B">
        <w:rPr>
          <w:rFonts w:ascii="Gill Sans MT" w:hAnsi="Gill Sans MT"/>
          <w:i/>
          <w:iCs/>
          <w:sz w:val="22"/>
          <w:szCs w:val="22"/>
        </w:rPr>
        <w:t>Viator</w:t>
      </w:r>
      <w:r w:rsidRPr="0092507B">
        <w:rPr>
          <w:rFonts w:ascii="Gill Sans MT" w:hAnsi="Gill Sans MT"/>
          <w:sz w:val="22"/>
          <w:szCs w:val="22"/>
        </w:rPr>
        <w:t xml:space="preserve"> </w:t>
      </w:r>
      <w:r w:rsidR="002C5100" w:rsidRPr="0092507B">
        <w:rPr>
          <w:rFonts w:ascii="Gill Sans MT" w:hAnsi="Gill Sans MT"/>
          <w:sz w:val="22"/>
          <w:szCs w:val="22"/>
        </w:rPr>
        <w:t xml:space="preserve">Vol. </w:t>
      </w:r>
      <w:r w:rsidRPr="0092507B">
        <w:rPr>
          <w:rFonts w:ascii="Gill Sans MT" w:hAnsi="Gill Sans MT"/>
          <w:sz w:val="22"/>
          <w:szCs w:val="22"/>
        </w:rPr>
        <w:t>22 (1991) 1–14.</w:t>
      </w:r>
    </w:p>
  </w:footnote>
  <w:footnote w:id="4">
    <w:p w14:paraId="156F401F" w14:textId="1DE96BFC" w:rsidR="00D81D0B" w:rsidRDefault="00D81D0B">
      <w:pPr>
        <w:pStyle w:val="FootnoteText"/>
      </w:pPr>
      <w:r w:rsidRPr="0092507B">
        <w:rPr>
          <w:rStyle w:val="FootnoteReference"/>
          <w:rFonts w:ascii="Gill Sans MT" w:hAnsi="Gill Sans MT"/>
          <w:sz w:val="22"/>
          <w:szCs w:val="22"/>
        </w:rPr>
        <w:footnoteRef/>
      </w:r>
      <w:r w:rsidRPr="0092507B">
        <w:rPr>
          <w:rFonts w:ascii="Gill Sans MT" w:hAnsi="Gill Sans MT"/>
          <w:sz w:val="22"/>
          <w:szCs w:val="22"/>
        </w:rPr>
        <w:t xml:space="preserve"> Parker </w:t>
      </w:r>
      <w:proofErr w:type="spellStart"/>
      <w:r w:rsidRPr="0092507B">
        <w:rPr>
          <w:rFonts w:ascii="Gill Sans MT" w:hAnsi="Gill Sans MT"/>
          <w:sz w:val="22"/>
          <w:szCs w:val="22"/>
        </w:rPr>
        <w:t>op.cit</w:t>
      </w:r>
      <w:proofErr w:type="spellEnd"/>
      <w:r w:rsidRPr="0092507B">
        <w:rPr>
          <w:rFonts w:ascii="Gill Sans MT" w:hAnsi="Gill Sans MT"/>
          <w:sz w:val="22"/>
          <w:szCs w:val="22"/>
        </w:rPr>
        <w:t>. pp. 345 - 348</w:t>
      </w:r>
    </w:p>
  </w:footnote>
  <w:footnote w:id="5">
    <w:p w14:paraId="212860A5" w14:textId="787DC651" w:rsidR="00D81D0B" w:rsidRPr="0092507B" w:rsidRDefault="00D81D0B">
      <w:pPr>
        <w:pStyle w:val="FootnoteText"/>
        <w:rPr>
          <w:rFonts w:ascii="Gill Sans MT" w:hAnsi="Gill Sans MT"/>
          <w:sz w:val="22"/>
          <w:szCs w:val="22"/>
        </w:rPr>
      </w:pPr>
      <w:r w:rsidRPr="0092507B">
        <w:rPr>
          <w:rStyle w:val="FootnoteReference"/>
          <w:rFonts w:ascii="Gill Sans MT" w:hAnsi="Gill Sans MT"/>
          <w:sz w:val="22"/>
          <w:szCs w:val="22"/>
        </w:rPr>
        <w:footnoteRef/>
      </w:r>
      <w:r w:rsidRPr="0092507B">
        <w:rPr>
          <w:rFonts w:ascii="Gill Sans MT" w:hAnsi="Gill Sans MT"/>
          <w:sz w:val="22"/>
          <w:szCs w:val="22"/>
        </w:rPr>
        <w:t xml:space="preserve"> </w:t>
      </w:r>
      <w:r w:rsidRPr="0092507B">
        <w:rPr>
          <w:rFonts w:ascii="Gill Sans MT" w:hAnsi="Gill Sans MT"/>
          <w:i/>
          <w:iCs/>
          <w:sz w:val="22"/>
          <w:szCs w:val="22"/>
        </w:rPr>
        <w:t>Historia Brittonum</w:t>
      </w:r>
      <w:r w:rsidRPr="0092507B">
        <w:rPr>
          <w:rFonts w:ascii="Gill Sans MT" w:hAnsi="Gill Sans MT"/>
          <w:sz w:val="22"/>
          <w:szCs w:val="22"/>
        </w:rPr>
        <w:t xml:space="preserve"> tr. J A Giles </w:t>
      </w:r>
      <w:hyperlink r:id="rId1" w:history="1">
        <w:r w:rsidRPr="0092507B">
          <w:rPr>
            <w:rStyle w:val="Hyperlink"/>
            <w:rFonts w:ascii="Gill Sans MT" w:hAnsi="Gill Sans MT"/>
            <w:sz w:val="22"/>
            <w:szCs w:val="22"/>
          </w:rPr>
          <w:t>www.gutenberg.org/files/1972/1972-h/1972-h.htm</w:t>
        </w:r>
      </w:hyperlink>
      <w:r w:rsidRPr="0092507B">
        <w:rPr>
          <w:rFonts w:ascii="Gill Sans MT" w:hAnsi="Gill Sans MT"/>
          <w:sz w:val="22"/>
          <w:szCs w:val="22"/>
        </w:rPr>
        <w:t xml:space="preserve"> (retrieved 08.11.19) </w:t>
      </w:r>
      <w:r w:rsidR="00770464" w:rsidRPr="0092507B">
        <w:rPr>
          <w:rFonts w:ascii="Gill Sans MT" w:hAnsi="Gill Sans MT"/>
          <w:sz w:val="22"/>
          <w:szCs w:val="22"/>
        </w:rPr>
        <w:t xml:space="preserve">part III, para 44. </w:t>
      </w:r>
      <w:bookmarkStart w:id="9" w:name="_GoBack"/>
      <w:bookmarkEnd w:id="9"/>
    </w:p>
  </w:footnote>
  <w:footnote w:id="6">
    <w:p w14:paraId="5DE1AA7A" w14:textId="3FB55275" w:rsidR="00391585" w:rsidRPr="0092507B" w:rsidRDefault="00391585">
      <w:pPr>
        <w:pStyle w:val="FootnoteText"/>
        <w:rPr>
          <w:rFonts w:ascii="Gill Sans MT" w:hAnsi="Gill Sans MT"/>
          <w:sz w:val="22"/>
          <w:szCs w:val="22"/>
        </w:rPr>
      </w:pPr>
      <w:r w:rsidRPr="0092507B">
        <w:rPr>
          <w:rStyle w:val="FootnoteReference"/>
          <w:rFonts w:ascii="Gill Sans MT" w:hAnsi="Gill Sans MT"/>
          <w:sz w:val="22"/>
          <w:szCs w:val="22"/>
        </w:rPr>
        <w:footnoteRef/>
      </w:r>
      <w:r w:rsidRPr="0092507B">
        <w:rPr>
          <w:rFonts w:ascii="Gill Sans MT" w:hAnsi="Gill Sans MT"/>
          <w:sz w:val="22"/>
          <w:szCs w:val="22"/>
        </w:rPr>
        <w:t xml:space="preserve"> M. Boyd </w:t>
      </w:r>
      <w:r w:rsidR="002C5100" w:rsidRPr="0092507B">
        <w:rPr>
          <w:rFonts w:ascii="Gill Sans MT" w:hAnsi="Gill Sans MT"/>
          <w:sz w:val="22"/>
          <w:szCs w:val="22"/>
        </w:rPr>
        <w:t>(</w:t>
      </w:r>
      <w:r w:rsidRPr="0092507B">
        <w:rPr>
          <w:rFonts w:ascii="Gill Sans MT" w:hAnsi="Gill Sans MT"/>
          <w:sz w:val="22"/>
          <w:szCs w:val="22"/>
        </w:rPr>
        <w:t>ed. and trans</w:t>
      </w:r>
      <w:r w:rsidR="002C5100" w:rsidRPr="0092507B">
        <w:rPr>
          <w:rFonts w:ascii="Gill Sans MT" w:hAnsi="Gill Sans MT"/>
          <w:sz w:val="22"/>
          <w:szCs w:val="22"/>
        </w:rPr>
        <w:t>.)</w:t>
      </w:r>
      <w:r w:rsidRPr="0092507B">
        <w:rPr>
          <w:rFonts w:ascii="Gill Sans MT" w:hAnsi="Gill Sans MT"/>
          <w:sz w:val="22"/>
          <w:szCs w:val="22"/>
        </w:rPr>
        <w:t xml:space="preserve"> </w:t>
      </w:r>
      <w:r w:rsidRPr="0092507B">
        <w:rPr>
          <w:rFonts w:ascii="Gill Sans MT" w:hAnsi="Gill Sans MT"/>
          <w:i/>
          <w:iCs/>
          <w:sz w:val="22"/>
          <w:szCs w:val="22"/>
        </w:rPr>
        <w:t>The Four Branches of the Mabinogi</w:t>
      </w:r>
      <w:r w:rsidRPr="0092507B">
        <w:rPr>
          <w:rFonts w:ascii="Gill Sans MT" w:hAnsi="Gill Sans MT"/>
          <w:sz w:val="22"/>
          <w:szCs w:val="22"/>
        </w:rPr>
        <w:t xml:space="preserve"> (Peterborough, Ontario: Broadview Press</w:t>
      </w:r>
      <w:r w:rsidR="00677AA1" w:rsidRPr="0092507B">
        <w:rPr>
          <w:rFonts w:ascii="Gill Sans MT" w:hAnsi="Gill Sans MT"/>
          <w:sz w:val="22"/>
          <w:szCs w:val="22"/>
        </w:rPr>
        <w:t>,</w:t>
      </w:r>
      <w:r w:rsidRPr="0092507B">
        <w:rPr>
          <w:rFonts w:ascii="Gill Sans MT" w:hAnsi="Gill Sans MT"/>
          <w:sz w:val="22"/>
          <w:szCs w:val="22"/>
        </w:rPr>
        <w:t xml:space="preserve"> 2017) p. 38</w:t>
      </w:r>
    </w:p>
  </w:footnote>
  <w:footnote w:id="7">
    <w:p w14:paraId="7889E30D" w14:textId="41E6E8E6" w:rsidR="00770464" w:rsidRDefault="00770464">
      <w:pPr>
        <w:pStyle w:val="FootnoteText"/>
      </w:pPr>
      <w:r w:rsidRPr="0092507B">
        <w:rPr>
          <w:rStyle w:val="FootnoteReference"/>
          <w:rFonts w:ascii="Gill Sans MT" w:hAnsi="Gill Sans MT"/>
          <w:sz w:val="22"/>
          <w:szCs w:val="22"/>
        </w:rPr>
        <w:footnoteRef/>
      </w:r>
      <w:r w:rsidRPr="0092507B">
        <w:rPr>
          <w:rFonts w:ascii="Gill Sans MT" w:hAnsi="Gill Sans MT"/>
          <w:sz w:val="22"/>
          <w:szCs w:val="22"/>
        </w:rPr>
        <w:t xml:space="preserve"> </w:t>
      </w:r>
      <w:proofErr w:type="spellStart"/>
      <w:r w:rsidRPr="0092507B">
        <w:rPr>
          <w:rFonts w:ascii="Gill Sans MT" w:hAnsi="Gill Sans MT"/>
          <w:sz w:val="22"/>
          <w:szCs w:val="22"/>
        </w:rPr>
        <w:t>N.Sumner</w:t>
      </w:r>
      <w:proofErr w:type="spellEnd"/>
      <w:r w:rsidRPr="0092507B">
        <w:rPr>
          <w:rFonts w:ascii="Gill Sans MT" w:hAnsi="Gill Sans MT"/>
          <w:sz w:val="22"/>
          <w:szCs w:val="22"/>
        </w:rPr>
        <w:t xml:space="preserve"> </w:t>
      </w:r>
      <w:r w:rsidR="00677AA1" w:rsidRPr="0092507B">
        <w:rPr>
          <w:rFonts w:ascii="Gill Sans MT" w:hAnsi="Gill Sans MT"/>
          <w:sz w:val="22"/>
          <w:szCs w:val="22"/>
        </w:rPr>
        <w:t>‘</w:t>
      </w:r>
      <w:proofErr w:type="spellStart"/>
      <w:r w:rsidRPr="0092507B">
        <w:rPr>
          <w:rFonts w:ascii="Gill Sans MT" w:hAnsi="Gill Sans MT"/>
          <w:sz w:val="22"/>
          <w:szCs w:val="22"/>
        </w:rPr>
        <w:t>Efnisien’s</w:t>
      </w:r>
      <w:proofErr w:type="spellEnd"/>
      <w:r w:rsidRPr="0092507B">
        <w:rPr>
          <w:rFonts w:ascii="Gill Sans MT" w:hAnsi="Gill Sans MT"/>
          <w:sz w:val="22"/>
          <w:szCs w:val="22"/>
        </w:rPr>
        <w:t xml:space="preserve"> trickster wiles:  meanings, motives, and mental illness  in the Second Branch of the Mabinogi</w:t>
      </w:r>
      <w:r w:rsidR="00677AA1" w:rsidRPr="0092507B">
        <w:rPr>
          <w:rFonts w:ascii="Gill Sans MT" w:hAnsi="Gill Sans MT"/>
          <w:sz w:val="22"/>
          <w:szCs w:val="22"/>
        </w:rPr>
        <w:t>’</w:t>
      </w:r>
      <w:r w:rsidRPr="0092507B">
        <w:rPr>
          <w:rFonts w:ascii="Gill Sans MT" w:hAnsi="Gill Sans MT"/>
          <w:sz w:val="22"/>
          <w:szCs w:val="22"/>
        </w:rPr>
        <w:t xml:space="preserve"> </w:t>
      </w:r>
      <w:r w:rsidRPr="0092507B">
        <w:rPr>
          <w:rFonts w:ascii="Gill Sans MT" w:hAnsi="Gill Sans MT"/>
          <w:i/>
          <w:iCs/>
          <w:sz w:val="22"/>
          <w:szCs w:val="22"/>
        </w:rPr>
        <w:t xml:space="preserve">Studia Celtica </w:t>
      </w:r>
      <w:proofErr w:type="spellStart"/>
      <w:r w:rsidRPr="0092507B">
        <w:rPr>
          <w:rFonts w:ascii="Gill Sans MT" w:hAnsi="Gill Sans MT"/>
          <w:i/>
          <w:iCs/>
          <w:sz w:val="22"/>
          <w:szCs w:val="22"/>
        </w:rPr>
        <w:t>Posnaniensia</w:t>
      </w:r>
      <w:proofErr w:type="spellEnd"/>
      <w:r w:rsidRPr="0092507B">
        <w:rPr>
          <w:rFonts w:ascii="Gill Sans MT" w:hAnsi="Gill Sans MT"/>
          <w:sz w:val="22"/>
          <w:szCs w:val="22"/>
        </w:rPr>
        <w:t>, Vol 1 (1) 2016 pp. 73 - 89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7A87150"/>
    <w:multiLevelType w:val="hybridMultilevel"/>
    <w:tmpl w:val="D262A9F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579"/>
    <w:rsid w:val="00013104"/>
    <w:rsid w:val="0001546C"/>
    <w:rsid w:val="0001704D"/>
    <w:rsid w:val="00017694"/>
    <w:rsid w:val="00017D49"/>
    <w:rsid w:val="00022703"/>
    <w:rsid w:val="00026108"/>
    <w:rsid w:val="00042579"/>
    <w:rsid w:val="00044EE4"/>
    <w:rsid w:val="000741F5"/>
    <w:rsid w:val="0007594A"/>
    <w:rsid w:val="000A252B"/>
    <w:rsid w:val="000B2C1A"/>
    <w:rsid w:val="000B6F8C"/>
    <w:rsid w:val="000B7786"/>
    <w:rsid w:val="000C2406"/>
    <w:rsid w:val="000C48D6"/>
    <w:rsid w:val="000D0510"/>
    <w:rsid w:val="000E2FAE"/>
    <w:rsid w:val="000F69DC"/>
    <w:rsid w:val="00163CBF"/>
    <w:rsid w:val="00180B16"/>
    <w:rsid w:val="001939A5"/>
    <w:rsid w:val="00196052"/>
    <w:rsid w:val="001B4022"/>
    <w:rsid w:val="001C012A"/>
    <w:rsid w:val="001C7C91"/>
    <w:rsid w:val="001D2186"/>
    <w:rsid w:val="001D60BC"/>
    <w:rsid w:val="001D7C6C"/>
    <w:rsid w:val="00206562"/>
    <w:rsid w:val="002145F8"/>
    <w:rsid w:val="0021564F"/>
    <w:rsid w:val="00244E68"/>
    <w:rsid w:val="00281E45"/>
    <w:rsid w:val="002C2FC9"/>
    <w:rsid w:val="002C5100"/>
    <w:rsid w:val="00304AD3"/>
    <w:rsid w:val="003134D5"/>
    <w:rsid w:val="003341E5"/>
    <w:rsid w:val="003649CF"/>
    <w:rsid w:val="00377B19"/>
    <w:rsid w:val="00391585"/>
    <w:rsid w:val="003A1A27"/>
    <w:rsid w:val="003B4705"/>
    <w:rsid w:val="003B71AE"/>
    <w:rsid w:val="003F0C4C"/>
    <w:rsid w:val="004146EB"/>
    <w:rsid w:val="0042335D"/>
    <w:rsid w:val="00452EDD"/>
    <w:rsid w:val="004571C5"/>
    <w:rsid w:val="00460FCB"/>
    <w:rsid w:val="00462B61"/>
    <w:rsid w:val="00481C0A"/>
    <w:rsid w:val="004A2D86"/>
    <w:rsid w:val="004A368D"/>
    <w:rsid w:val="004C734F"/>
    <w:rsid w:val="004D567D"/>
    <w:rsid w:val="004F4F0B"/>
    <w:rsid w:val="00500304"/>
    <w:rsid w:val="0052158B"/>
    <w:rsid w:val="005527CA"/>
    <w:rsid w:val="005627E1"/>
    <w:rsid w:val="00563DCC"/>
    <w:rsid w:val="00581492"/>
    <w:rsid w:val="00586C5E"/>
    <w:rsid w:val="005B1211"/>
    <w:rsid w:val="005C6D78"/>
    <w:rsid w:val="005D6D06"/>
    <w:rsid w:val="005D73B5"/>
    <w:rsid w:val="005E627A"/>
    <w:rsid w:val="00604384"/>
    <w:rsid w:val="00605593"/>
    <w:rsid w:val="006123CA"/>
    <w:rsid w:val="00674E8C"/>
    <w:rsid w:val="00677AA1"/>
    <w:rsid w:val="00691D3B"/>
    <w:rsid w:val="006A412A"/>
    <w:rsid w:val="006A797A"/>
    <w:rsid w:val="006B0591"/>
    <w:rsid w:val="006B14B1"/>
    <w:rsid w:val="006B4F3B"/>
    <w:rsid w:val="006F0EA9"/>
    <w:rsid w:val="006F656A"/>
    <w:rsid w:val="00701A8F"/>
    <w:rsid w:val="00720DA2"/>
    <w:rsid w:val="007331A4"/>
    <w:rsid w:val="00747647"/>
    <w:rsid w:val="0076335E"/>
    <w:rsid w:val="00770464"/>
    <w:rsid w:val="00771CD4"/>
    <w:rsid w:val="00774F06"/>
    <w:rsid w:val="007854FD"/>
    <w:rsid w:val="007953F1"/>
    <w:rsid w:val="007E4121"/>
    <w:rsid w:val="00804C98"/>
    <w:rsid w:val="00806483"/>
    <w:rsid w:val="008064EA"/>
    <w:rsid w:val="00811D51"/>
    <w:rsid w:val="00814B7B"/>
    <w:rsid w:val="00836F2F"/>
    <w:rsid w:val="008729A4"/>
    <w:rsid w:val="00882ADE"/>
    <w:rsid w:val="008867D4"/>
    <w:rsid w:val="008A0CCB"/>
    <w:rsid w:val="008A5742"/>
    <w:rsid w:val="008B0A99"/>
    <w:rsid w:val="008E0EAC"/>
    <w:rsid w:val="008F7588"/>
    <w:rsid w:val="0091306A"/>
    <w:rsid w:val="0092504C"/>
    <w:rsid w:val="0092507B"/>
    <w:rsid w:val="009275B7"/>
    <w:rsid w:val="00950EC7"/>
    <w:rsid w:val="00960508"/>
    <w:rsid w:val="00967C7C"/>
    <w:rsid w:val="00990590"/>
    <w:rsid w:val="009966BF"/>
    <w:rsid w:val="009B0D46"/>
    <w:rsid w:val="009C13B5"/>
    <w:rsid w:val="009D0461"/>
    <w:rsid w:val="009D16CC"/>
    <w:rsid w:val="00A129C2"/>
    <w:rsid w:val="00A47F76"/>
    <w:rsid w:val="00A81920"/>
    <w:rsid w:val="00A82A81"/>
    <w:rsid w:val="00A93ED2"/>
    <w:rsid w:val="00AA74C8"/>
    <w:rsid w:val="00AB515A"/>
    <w:rsid w:val="00AB5419"/>
    <w:rsid w:val="00AE6035"/>
    <w:rsid w:val="00AE6680"/>
    <w:rsid w:val="00B036D4"/>
    <w:rsid w:val="00B33B33"/>
    <w:rsid w:val="00B44D13"/>
    <w:rsid w:val="00B51EF4"/>
    <w:rsid w:val="00B631D6"/>
    <w:rsid w:val="00B81FCB"/>
    <w:rsid w:val="00BD04CE"/>
    <w:rsid w:val="00BD11DC"/>
    <w:rsid w:val="00C0036C"/>
    <w:rsid w:val="00C17A16"/>
    <w:rsid w:val="00C262BD"/>
    <w:rsid w:val="00C27B0D"/>
    <w:rsid w:val="00C32373"/>
    <w:rsid w:val="00C533DE"/>
    <w:rsid w:val="00C72591"/>
    <w:rsid w:val="00C73E2E"/>
    <w:rsid w:val="00C74D00"/>
    <w:rsid w:val="00C77DC9"/>
    <w:rsid w:val="00C96A6C"/>
    <w:rsid w:val="00CA648B"/>
    <w:rsid w:val="00CD2CC0"/>
    <w:rsid w:val="00CD5227"/>
    <w:rsid w:val="00CD75A3"/>
    <w:rsid w:val="00D05032"/>
    <w:rsid w:val="00D0655D"/>
    <w:rsid w:val="00D07EE0"/>
    <w:rsid w:val="00D16BE1"/>
    <w:rsid w:val="00D3218E"/>
    <w:rsid w:val="00D66F06"/>
    <w:rsid w:val="00D675FE"/>
    <w:rsid w:val="00D81D0B"/>
    <w:rsid w:val="00D978E7"/>
    <w:rsid w:val="00DB4DD1"/>
    <w:rsid w:val="00DC4264"/>
    <w:rsid w:val="00DD3CB3"/>
    <w:rsid w:val="00DF1E1D"/>
    <w:rsid w:val="00DF1F92"/>
    <w:rsid w:val="00E0708B"/>
    <w:rsid w:val="00E37B7C"/>
    <w:rsid w:val="00E570CE"/>
    <w:rsid w:val="00E71318"/>
    <w:rsid w:val="00E72A98"/>
    <w:rsid w:val="00E82EF8"/>
    <w:rsid w:val="00EA6A2B"/>
    <w:rsid w:val="00EC5A9E"/>
    <w:rsid w:val="00EE6540"/>
    <w:rsid w:val="00EF2646"/>
    <w:rsid w:val="00EF2DC4"/>
    <w:rsid w:val="00F041E2"/>
    <w:rsid w:val="00F14352"/>
    <w:rsid w:val="00F67DBF"/>
    <w:rsid w:val="00F929EB"/>
    <w:rsid w:val="00FA17E7"/>
    <w:rsid w:val="00FA6F67"/>
    <w:rsid w:val="00FD27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B194C"/>
  <w15:chartTrackingRefBased/>
  <w15:docId w15:val="{B6805208-BE2A-4D73-B127-FD8355491D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6F8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25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2579"/>
  </w:style>
  <w:style w:type="paragraph" w:styleId="Footer">
    <w:name w:val="footer"/>
    <w:basedOn w:val="Normal"/>
    <w:link w:val="FooterChar"/>
    <w:uiPriority w:val="99"/>
    <w:unhideWhenUsed/>
    <w:rsid w:val="000425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2579"/>
  </w:style>
  <w:style w:type="paragraph" w:styleId="BalloonText">
    <w:name w:val="Balloon Text"/>
    <w:basedOn w:val="Normal"/>
    <w:link w:val="BalloonTextChar"/>
    <w:uiPriority w:val="99"/>
    <w:semiHidden/>
    <w:unhideWhenUsed/>
    <w:rsid w:val="001B402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B4022"/>
    <w:rPr>
      <w:rFonts w:ascii="Segoe UI" w:hAnsi="Segoe UI" w:cs="Segoe UI"/>
      <w:sz w:val="18"/>
      <w:szCs w:val="18"/>
    </w:rPr>
  </w:style>
  <w:style w:type="character" w:styleId="Hyperlink">
    <w:name w:val="Hyperlink"/>
    <w:basedOn w:val="DefaultParagraphFont"/>
    <w:uiPriority w:val="99"/>
    <w:unhideWhenUsed/>
    <w:rsid w:val="00FD27E0"/>
    <w:rPr>
      <w:color w:val="0563C1" w:themeColor="hyperlink"/>
      <w:u w:val="single"/>
    </w:rPr>
  </w:style>
  <w:style w:type="character" w:styleId="UnresolvedMention">
    <w:name w:val="Unresolved Mention"/>
    <w:basedOn w:val="DefaultParagraphFont"/>
    <w:uiPriority w:val="99"/>
    <w:semiHidden/>
    <w:unhideWhenUsed/>
    <w:rsid w:val="00FD27E0"/>
    <w:rPr>
      <w:color w:val="605E5C"/>
      <w:shd w:val="clear" w:color="auto" w:fill="E1DFDD"/>
    </w:rPr>
  </w:style>
  <w:style w:type="paragraph" w:styleId="FootnoteText">
    <w:name w:val="footnote text"/>
    <w:basedOn w:val="Normal"/>
    <w:link w:val="FootnoteTextChar"/>
    <w:uiPriority w:val="99"/>
    <w:semiHidden/>
    <w:unhideWhenUsed/>
    <w:rsid w:val="0001310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13104"/>
    <w:rPr>
      <w:sz w:val="20"/>
      <w:szCs w:val="20"/>
    </w:rPr>
  </w:style>
  <w:style w:type="character" w:styleId="FootnoteReference">
    <w:name w:val="footnote reference"/>
    <w:basedOn w:val="DefaultParagraphFont"/>
    <w:uiPriority w:val="99"/>
    <w:semiHidden/>
    <w:unhideWhenUsed/>
    <w:rsid w:val="00013104"/>
    <w:rPr>
      <w:vertAlign w:val="superscript"/>
    </w:rPr>
  </w:style>
  <w:style w:type="paragraph" w:styleId="ListParagraph">
    <w:name w:val="List Paragraph"/>
    <w:basedOn w:val="Normal"/>
    <w:uiPriority w:val="34"/>
    <w:qFormat/>
    <w:rsid w:val="00481C0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7762194">
      <w:bodyDiv w:val="1"/>
      <w:marLeft w:val="0"/>
      <w:marRight w:val="0"/>
      <w:marTop w:val="0"/>
      <w:marBottom w:val="0"/>
      <w:divBdr>
        <w:top w:val="none" w:sz="0" w:space="0" w:color="auto"/>
        <w:left w:val="none" w:sz="0" w:space="0" w:color="auto"/>
        <w:bottom w:val="none" w:sz="0" w:space="0" w:color="auto"/>
        <w:right w:val="none" w:sz="0" w:space="0" w:color="auto"/>
      </w:divBdr>
    </w:div>
    <w:div w:id="818838283">
      <w:bodyDiv w:val="1"/>
      <w:marLeft w:val="0"/>
      <w:marRight w:val="0"/>
      <w:marTop w:val="0"/>
      <w:marBottom w:val="0"/>
      <w:divBdr>
        <w:top w:val="none" w:sz="0" w:space="0" w:color="auto"/>
        <w:left w:val="none" w:sz="0" w:space="0" w:color="auto"/>
        <w:bottom w:val="none" w:sz="0" w:space="0" w:color="auto"/>
        <w:right w:val="none" w:sz="0" w:space="0" w:color="auto"/>
      </w:divBdr>
      <w:divsChild>
        <w:div w:id="253713173">
          <w:marLeft w:val="0"/>
          <w:marRight w:val="300"/>
          <w:marTop w:val="0"/>
          <w:marBottom w:val="0"/>
          <w:divBdr>
            <w:top w:val="none" w:sz="0" w:space="0" w:color="auto"/>
            <w:left w:val="none" w:sz="0" w:space="0" w:color="auto"/>
            <w:bottom w:val="none" w:sz="0" w:space="0" w:color="auto"/>
            <w:right w:val="none" w:sz="0" w:space="0" w:color="auto"/>
          </w:divBdr>
          <w:divsChild>
            <w:div w:id="1585452999">
              <w:marLeft w:val="0"/>
              <w:marRight w:val="0"/>
              <w:marTop w:val="0"/>
              <w:marBottom w:val="0"/>
              <w:divBdr>
                <w:top w:val="none" w:sz="0" w:space="0" w:color="auto"/>
                <w:left w:val="none" w:sz="0" w:space="0" w:color="auto"/>
                <w:bottom w:val="none" w:sz="0" w:space="0" w:color="auto"/>
                <w:right w:val="none" w:sz="0" w:space="0" w:color="auto"/>
              </w:divBdr>
              <w:divsChild>
                <w:div w:id="138807359">
                  <w:marLeft w:val="0"/>
                  <w:marRight w:val="0"/>
                  <w:marTop w:val="0"/>
                  <w:marBottom w:val="0"/>
                  <w:divBdr>
                    <w:top w:val="none" w:sz="0" w:space="0" w:color="auto"/>
                    <w:left w:val="none" w:sz="0" w:space="0" w:color="auto"/>
                    <w:bottom w:val="none" w:sz="0" w:space="0" w:color="auto"/>
                    <w:right w:val="none" w:sz="0" w:space="0" w:color="auto"/>
                  </w:divBdr>
                  <w:divsChild>
                    <w:div w:id="1825514274">
                      <w:marLeft w:val="0"/>
                      <w:marRight w:val="0"/>
                      <w:marTop w:val="150"/>
                      <w:marBottom w:val="150"/>
                      <w:divBdr>
                        <w:top w:val="none" w:sz="0" w:space="0" w:color="auto"/>
                        <w:left w:val="none" w:sz="0" w:space="0" w:color="auto"/>
                        <w:bottom w:val="none" w:sz="0" w:space="0" w:color="auto"/>
                        <w:right w:val="none" w:sz="0" w:space="0" w:color="auto"/>
                      </w:divBdr>
                      <w:divsChild>
                        <w:div w:id="613025889">
                          <w:marLeft w:val="0"/>
                          <w:marRight w:val="0"/>
                          <w:marTop w:val="0"/>
                          <w:marBottom w:val="0"/>
                          <w:divBdr>
                            <w:top w:val="none" w:sz="0" w:space="0" w:color="auto"/>
                            <w:left w:val="none" w:sz="0" w:space="0" w:color="auto"/>
                            <w:bottom w:val="none" w:sz="0" w:space="0" w:color="auto"/>
                            <w:right w:val="none" w:sz="0" w:space="0" w:color="auto"/>
                          </w:divBdr>
                          <w:divsChild>
                            <w:div w:id="497887539">
                              <w:marLeft w:val="0"/>
                              <w:marRight w:val="0"/>
                              <w:marTop w:val="0"/>
                              <w:marBottom w:val="0"/>
                              <w:divBdr>
                                <w:top w:val="none" w:sz="0" w:space="0" w:color="auto"/>
                                <w:left w:val="none" w:sz="0" w:space="0" w:color="auto"/>
                                <w:bottom w:val="none" w:sz="0" w:space="0" w:color="auto"/>
                                <w:right w:val="none" w:sz="0" w:space="0" w:color="auto"/>
                              </w:divBdr>
                              <w:divsChild>
                                <w:div w:id="1686437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106766">
                      <w:marLeft w:val="0"/>
                      <w:marRight w:val="0"/>
                      <w:marTop w:val="60"/>
                      <w:marBottom w:val="90"/>
                      <w:divBdr>
                        <w:top w:val="none" w:sz="0" w:space="0" w:color="auto"/>
                        <w:left w:val="none" w:sz="0" w:space="0" w:color="auto"/>
                        <w:bottom w:val="none" w:sz="0" w:space="0" w:color="auto"/>
                        <w:right w:val="none" w:sz="0" w:space="0" w:color="auto"/>
                      </w:divBdr>
                      <w:divsChild>
                        <w:div w:id="1926717827">
                          <w:marLeft w:val="0"/>
                          <w:marRight w:val="78"/>
                          <w:marTop w:val="0"/>
                          <w:marBottom w:val="60"/>
                          <w:divBdr>
                            <w:top w:val="none" w:sz="0" w:space="0" w:color="auto"/>
                            <w:left w:val="none" w:sz="0" w:space="0" w:color="auto"/>
                            <w:bottom w:val="none" w:sz="0" w:space="0" w:color="auto"/>
                            <w:right w:val="none" w:sz="0" w:space="0" w:color="auto"/>
                          </w:divBdr>
                        </w:div>
                        <w:div w:id="103961619">
                          <w:marLeft w:val="0"/>
                          <w:marRight w:val="78"/>
                          <w:marTop w:val="0"/>
                          <w:marBottom w:val="60"/>
                          <w:divBdr>
                            <w:top w:val="none" w:sz="0" w:space="0" w:color="auto"/>
                            <w:left w:val="none" w:sz="0" w:space="0" w:color="auto"/>
                            <w:bottom w:val="none" w:sz="0" w:space="0" w:color="auto"/>
                            <w:right w:val="none" w:sz="0" w:space="0" w:color="auto"/>
                          </w:divBdr>
                        </w:div>
                        <w:div w:id="1809938177">
                          <w:marLeft w:val="0"/>
                          <w:marRight w:val="78"/>
                          <w:marTop w:val="0"/>
                          <w:marBottom w:val="60"/>
                          <w:divBdr>
                            <w:top w:val="none" w:sz="0" w:space="0" w:color="auto"/>
                            <w:left w:val="none" w:sz="0" w:space="0" w:color="auto"/>
                            <w:bottom w:val="none" w:sz="0" w:space="0" w:color="auto"/>
                            <w:right w:val="none" w:sz="0" w:space="0" w:color="auto"/>
                          </w:divBdr>
                        </w:div>
                      </w:divsChild>
                    </w:div>
                  </w:divsChild>
                </w:div>
              </w:divsChild>
            </w:div>
            <w:div w:id="2008089967">
              <w:marLeft w:val="0"/>
              <w:marRight w:val="0"/>
              <w:marTop w:val="0"/>
              <w:marBottom w:val="0"/>
              <w:divBdr>
                <w:top w:val="none" w:sz="0" w:space="0" w:color="auto"/>
                <w:left w:val="none" w:sz="0" w:space="0" w:color="auto"/>
                <w:bottom w:val="none" w:sz="0" w:space="0" w:color="auto"/>
                <w:right w:val="none" w:sz="0" w:space="0" w:color="auto"/>
              </w:divBdr>
              <w:divsChild>
                <w:div w:id="1235050662">
                  <w:marLeft w:val="0"/>
                  <w:marRight w:val="0"/>
                  <w:marTop w:val="150"/>
                  <w:marBottom w:val="0"/>
                  <w:divBdr>
                    <w:top w:val="none" w:sz="0" w:space="0" w:color="auto"/>
                    <w:left w:val="none" w:sz="0" w:space="0" w:color="auto"/>
                    <w:bottom w:val="none" w:sz="0" w:space="0" w:color="auto"/>
                    <w:right w:val="none" w:sz="0" w:space="0" w:color="auto"/>
                  </w:divBdr>
                  <w:divsChild>
                    <w:div w:id="19749339">
                      <w:marLeft w:val="0"/>
                      <w:marRight w:val="78"/>
                      <w:marTop w:val="0"/>
                      <w:marBottom w:val="0"/>
                      <w:divBdr>
                        <w:top w:val="none" w:sz="0" w:space="0" w:color="auto"/>
                        <w:left w:val="none" w:sz="0" w:space="0" w:color="auto"/>
                        <w:bottom w:val="none" w:sz="0" w:space="0" w:color="auto"/>
                        <w:right w:val="none" w:sz="0" w:space="0" w:color="auto"/>
                      </w:divBdr>
                      <w:divsChild>
                        <w:div w:id="853570638">
                          <w:marLeft w:val="0"/>
                          <w:marRight w:val="0"/>
                          <w:marTop w:val="0"/>
                          <w:marBottom w:val="0"/>
                          <w:divBdr>
                            <w:top w:val="none" w:sz="0" w:space="0" w:color="auto"/>
                            <w:left w:val="none" w:sz="0" w:space="0" w:color="auto"/>
                            <w:bottom w:val="none" w:sz="0" w:space="0" w:color="auto"/>
                            <w:right w:val="none" w:sz="0" w:space="0" w:color="auto"/>
                          </w:divBdr>
                        </w:div>
                      </w:divsChild>
                    </w:div>
                    <w:div w:id="914053078">
                      <w:marLeft w:val="0"/>
                      <w:marRight w:val="78"/>
                      <w:marTop w:val="0"/>
                      <w:marBottom w:val="0"/>
                      <w:divBdr>
                        <w:top w:val="none" w:sz="0" w:space="0" w:color="auto"/>
                        <w:left w:val="none" w:sz="0" w:space="0" w:color="auto"/>
                        <w:bottom w:val="none" w:sz="0" w:space="0" w:color="auto"/>
                        <w:right w:val="none" w:sz="0" w:space="0" w:color="auto"/>
                      </w:divBdr>
                    </w:div>
                    <w:div w:id="1512798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7978888">
          <w:marLeft w:val="4650"/>
          <w:marRight w:val="4800"/>
          <w:marTop w:val="0"/>
          <w:marBottom w:val="0"/>
          <w:divBdr>
            <w:top w:val="none" w:sz="0" w:space="0" w:color="auto"/>
            <w:left w:val="none" w:sz="0" w:space="0" w:color="auto"/>
            <w:bottom w:val="none" w:sz="0" w:space="0" w:color="auto"/>
            <w:right w:val="none" w:sz="0" w:space="0" w:color="auto"/>
          </w:divBdr>
          <w:divsChild>
            <w:div w:id="1378892899">
              <w:marLeft w:val="0"/>
              <w:marRight w:val="0"/>
              <w:marTop w:val="0"/>
              <w:marBottom w:val="0"/>
              <w:divBdr>
                <w:top w:val="none" w:sz="0" w:space="0" w:color="auto"/>
                <w:left w:val="none" w:sz="0" w:space="0" w:color="auto"/>
                <w:bottom w:val="none" w:sz="0" w:space="0" w:color="auto"/>
                <w:right w:val="none" w:sz="0" w:space="0" w:color="auto"/>
              </w:divBdr>
              <w:divsChild>
                <w:div w:id="1599603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1" Type="http://schemas.openxmlformats.org/officeDocument/2006/relationships/hyperlink" Target="http://www.gutenberg.org/files/1972/1972-h/1972-h.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BB9335-B82B-4B2A-80C5-170ED8C331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348</TotalTime>
  <Pages>1</Pages>
  <Words>1572</Words>
  <Characters>8963</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Pike</dc:creator>
  <cp:keywords/>
  <dc:description/>
  <cp:lastModifiedBy>Nick Pike</cp:lastModifiedBy>
  <cp:revision>8</cp:revision>
  <dcterms:created xsi:type="dcterms:W3CDTF">2019-11-08T11:31:00Z</dcterms:created>
  <dcterms:modified xsi:type="dcterms:W3CDTF">2019-11-08T19:44:00Z</dcterms:modified>
</cp:coreProperties>
</file>