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8BA690" w14:textId="77777777" w:rsidR="00047E56" w:rsidRDefault="00047E56">
      <w:pPr>
        <w:pStyle w:val="Title"/>
      </w:pPr>
      <w:bookmarkStart w:id="0" w:name="_heading=h.oa7zpxunkbub" w:colFirst="0" w:colLast="0"/>
      <w:bookmarkEnd w:id="0"/>
    </w:p>
    <w:p w14:paraId="5581B256" w14:textId="77777777" w:rsidR="00047E56" w:rsidRDefault="00000000">
      <w:pPr>
        <w:pStyle w:val="Title"/>
      </w:pPr>
      <w:bookmarkStart w:id="1" w:name="_heading=h.2lp4yqya7en" w:colFirst="0" w:colLast="0"/>
      <w:bookmarkEnd w:id="1"/>
      <w:r>
        <w:rPr>
          <w:noProof/>
        </w:rPr>
        <w:drawing>
          <wp:inline distT="114300" distB="114300" distL="114300" distR="114300" wp14:anchorId="1DC0B6C1" wp14:editId="052FDBA4">
            <wp:extent cx="1838325" cy="714375"/>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1838325" cy="714375"/>
                    </a:xfrm>
                    <a:prstGeom prst="rect">
                      <a:avLst/>
                    </a:prstGeom>
                    <a:ln/>
                  </pic:spPr>
                </pic:pic>
              </a:graphicData>
            </a:graphic>
          </wp:inline>
        </w:drawing>
      </w:r>
    </w:p>
    <w:p w14:paraId="6BA366C7" w14:textId="77777777" w:rsidR="00047E56" w:rsidRDefault="00047E56">
      <w:pPr>
        <w:pStyle w:val="Title"/>
        <w:jc w:val="left"/>
      </w:pPr>
      <w:bookmarkStart w:id="2" w:name="_heading=h.g6z2pv75snou" w:colFirst="0" w:colLast="0"/>
      <w:bookmarkEnd w:id="2"/>
    </w:p>
    <w:p w14:paraId="76AAE2D1" w14:textId="77777777" w:rsidR="00047E56" w:rsidRDefault="00000000">
      <w:pPr>
        <w:pStyle w:val="Title"/>
      </w:pPr>
      <w:bookmarkStart w:id="3" w:name="_heading=h.6pom41edbtqu" w:colFirst="0" w:colLast="0"/>
      <w:bookmarkEnd w:id="3"/>
      <w:r>
        <w:t>Coaching and Mentoring Skills for the Workplace (BMSW6105)</w:t>
      </w:r>
    </w:p>
    <w:p w14:paraId="14CC55F4" w14:textId="77777777" w:rsidR="00047E56" w:rsidRDefault="00000000">
      <w:pPr>
        <w:pStyle w:val="Title"/>
      </w:pPr>
      <w:bookmarkStart w:id="4" w:name="_heading=h.m7nlmvwyck8z" w:colFirst="0" w:colLast="0"/>
      <w:bookmarkEnd w:id="4"/>
      <w:r>
        <w:t>Task 3</w:t>
      </w:r>
    </w:p>
    <w:p w14:paraId="00A0ABB3" w14:textId="7E6FADA1" w:rsidR="00F26F02" w:rsidRPr="00F26F02" w:rsidRDefault="00F26F02" w:rsidP="00F26F02">
      <w:pPr>
        <w:rPr>
          <w:sz w:val="40"/>
          <w:szCs w:val="40"/>
        </w:rPr>
      </w:pPr>
      <w:r>
        <w:rPr>
          <w:sz w:val="40"/>
          <w:szCs w:val="40"/>
        </w:rPr>
        <w:t>Lecturer: Mrs Nishi Ramsurrun</w:t>
      </w:r>
    </w:p>
    <w:p w14:paraId="62EDC014" w14:textId="4045F205" w:rsidR="00F26F02" w:rsidRDefault="00F26F02" w:rsidP="00F26F02">
      <w:pPr>
        <w:pStyle w:val="Title"/>
      </w:pPr>
      <w:bookmarkStart w:id="5" w:name="_heading=h.v99qc73k21dv" w:colFirst="0" w:colLast="0"/>
      <w:bookmarkEnd w:id="5"/>
      <w:r>
        <w:t xml:space="preserve">Javad Khorramipour </w:t>
      </w:r>
      <w:proofErr w:type="gramStart"/>
      <w:r>
        <w:t>Khoshdaregi(</w:t>
      </w:r>
      <w:proofErr w:type="gramEnd"/>
      <w:r>
        <w:t>2030121)</w:t>
      </w:r>
    </w:p>
    <w:p w14:paraId="1C86F406" w14:textId="0B4D2085" w:rsidR="00F26F02" w:rsidRPr="00F26F02" w:rsidRDefault="00F26F02" w:rsidP="00F26F02"/>
    <w:p w14:paraId="1DDC5321" w14:textId="5924C703" w:rsidR="00F26F02" w:rsidRPr="00F26F02" w:rsidRDefault="00F26F02" w:rsidP="00F26F02"/>
    <w:p w14:paraId="66614004" w14:textId="77777777" w:rsidR="00047E56" w:rsidRDefault="00000000">
      <w:r>
        <w:br w:type="page"/>
      </w:r>
    </w:p>
    <w:p w14:paraId="3BE1CE44" w14:textId="77777777" w:rsidR="00047E56" w:rsidRDefault="00000000">
      <w:pPr>
        <w:jc w:val="center"/>
        <w:rPr>
          <w:b/>
          <w:sz w:val="28"/>
          <w:szCs w:val="28"/>
        </w:rPr>
      </w:pPr>
      <w:r>
        <w:rPr>
          <w:b/>
          <w:sz w:val="28"/>
          <w:szCs w:val="28"/>
        </w:rPr>
        <w:t>Table of Contents</w:t>
      </w:r>
    </w:p>
    <w:sdt>
      <w:sdtPr>
        <w:id w:val="590740315"/>
        <w:docPartObj>
          <w:docPartGallery w:val="Table of Contents"/>
          <w:docPartUnique/>
        </w:docPartObj>
      </w:sdtPr>
      <w:sdtContent>
        <w:p w14:paraId="60B2E75C" w14:textId="77777777" w:rsidR="00047E56" w:rsidRDefault="00000000">
          <w:pPr>
            <w:widowControl w:val="0"/>
            <w:tabs>
              <w:tab w:val="right" w:pos="12000"/>
            </w:tabs>
            <w:spacing w:before="60"/>
            <w:jc w:val="left"/>
            <w:rPr>
              <w:color w:val="000000"/>
            </w:rPr>
          </w:pPr>
          <w:r>
            <w:fldChar w:fldCharType="begin"/>
          </w:r>
          <w:r>
            <w:instrText xml:space="preserve"> TOC \h \u \z \t "Heading 1,1,Heading 2,2,Heading 3,3,Heading 4,4,Heading 5,5,Heading 6,6,"</w:instrText>
          </w:r>
          <w:r>
            <w:fldChar w:fldCharType="separate"/>
          </w:r>
          <w:hyperlink w:anchor="_heading=h.o0me0hh0nf6a">
            <w:r>
              <w:rPr>
                <w:color w:val="000000"/>
              </w:rPr>
              <w:t>1. Introduction</w:t>
            </w:r>
            <w:r>
              <w:rPr>
                <w:color w:val="000000"/>
              </w:rPr>
              <w:tab/>
              <w:t>3</w:t>
            </w:r>
          </w:hyperlink>
        </w:p>
        <w:p w14:paraId="4A629A66" w14:textId="77777777" w:rsidR="00047E56" w:rsidRDefault="00000000">
          <w:pPr>
            <w:widowControl w:val="0"/>
            <w:tabs>
              <w:tab w:val="right" w:pos="12000"/>
            </w:tabs>
            <w:spacing w:before="60"/>
            <w:jc w:val="left"/>
            <w:rPr>
              <w:color w:val="000000"/>
            </w:rPr>
          </w:pPr>
          <w:hyperlink w:anchor="_heading=h.uf8p7jcual3z">
            <w:r>
              <w:rPr>
                <w:color w:val="000000"/>
              </w:rPr>
              <w:t>2. Critical Evaluation of the Purpose of Coaching and Mentoring in the Workplace</w:t>
            </w:r>
            <w:r>
              <w:rPr>
                <w:color w:val="000000"/>
              </w:rPr>
              <w:tab/>
              <w:t>3</w:t>
            </w:r>
          </w:hyperlink>
        </w:p>
        <w:p w14:paraId="43CA1D10" w14:textId="77777777" w:rsidR="00047E56" w:rsidRDefault="00000000">
          <w:pPr>
            <w:widowControl w:val="0"/>
            <w:tabs>
              <w:tab w:val="right" w:pos="12000"/>
            </w:tabs>
            <w:spacing w:before="60"/>
            <w:jc w:val="left"/>
            <w:rPr>
              <w:color w:val="000000"/>
            </w:rPr>
          </w:pPr>
          <w:hyperlink w:anchor="_heading=h.eji0qhksz7x1">
            <w:r>
              <w:rPr>
                <w:color w:val="000000"/>
              </w:rPr>
              <w:t>3. Critical Analysis of the GROW Coaching Model</w:t>
            </w:r>
            <w:r>
              <w:rPr>
                <w:color w:val="000000"/>
              </w:rPr>
              <w:tab/>
              <w:t>5</w:t>
            </w:r>
          </w:hyperlink>
        </w:p>
        <w:p w14:paraId="3BC9B8C4" w14:textId="77777777" w:rsidR="00047E56" w:rsidRDefault="00000000">
          <w:pPr>
            <w:widowControl w:val="0"/>
            <w:tabs>
              <w:tab w:val="right" w:pos="12000"/>
            </w:tabs>
            <w:spacing w:before="60"/>
            <w:jc w:val="left"/>
            <w:rPr>
              <w:color w:val="000000"/>
            </w:rPr>
          </w:pPr>
          <w:hyperlink w:anchor="_heading=h.ajrrpsf48no4">
            <w:r>
              <w:rPr>
                <w:color w:val="000000"/>
              </w:rPr>
              <w:t>4. Reflection on Practical 1 (Using Gibbs’ Reflective Cycle)</w:t>
            </w:r>
            <w:r>
              <w:rPr>
                <w:color w:val="000000"/>
              </w:rPr>
              <w:tab/>
              <w:t>7</w:t>
            </w:r>
          </w:hyperlink>
        </w:p>
        <w:p w14:paraId="44C21BC2" w14:textId="77777777" w:rsidR="00047E56" w:rsidRDefault="00000000">
          <w:pPr>
            <w:widowControl w:val="0"/>
            <w:tabs>
              <w:tab w:val="right" w:pos="12000"/>
            </w:tabs>
            <w:spacing w:before="60"/>
            <w:jc w:val="left"/>
            <w:rPr>
              <w:color w:val="000000"/>
            </w:rPr>
          </w:pPr>
          <w:hyperlink w:anchor="_heading=h.waserqj1zhxu">
            <w:r>
              <w:rPr>
                <w:color w:val="000000"/>
              </w:rPr>
              <w:t>5. Reflection on Practical 2 (Using Kolb’s Experiential Learning Cycle)</w:t>
            </w:r>
            <w:r>
              <w:rPr>
                <w:color w:val="000000"/>
              </w:rPr>
              <w:tab/>
              <w:t>9</w:t>
            </w:r>
          </w:hyperlink>
        </w:p>
        <w:p w14:paraId="65AFB22C" w14:textId="77777777" w:rsidR="00047E56" w:rsidRDefault="00000000">
          <w:pPr>
            <w:widowControl w:val="0"/>
            <w:tabs>
              <w:tab w:val="right" w:pos="12000"/>
            </w:tabs>
            <w:spacing w:before="60"/>
            <w:jc w:val="left"/>
            <w:rPr>
              <w:color w:val="000000"/>
            </w:rPr>
          </w:pPr>
          <w:hyperlink w:anchor="_heading=h.6rdwugk8lha9">
            <w:r>
              <w:rPr>
                <w:color w:val="000000"/>
              </w:rPr>
              <w:t>6. Conclusion</w:t>
            </w:r>
            <w:r>
              <w:rPr>
                <w:color w:val="000000"/>
              </w:rPr>
              <w:tab/>
              <w:t>11</w:t>
            </w:r>
          </w:hyperlink>
        </w:p>
        <w:p w14:paraId="205333E1" w14:textId="77777777" w:rsidR="00047E56" w:rsidRDefault="00000000">
          <w:pPr>
            <w:widowControl w:val="0"/>
            <w:tabs>
              <w:tab w:val="right" w:pos="12000"/>
            </w:tabs>
            <w:spacing w:before="60"/>
            <w:jc w:val="left"/>
            <w:rPr>
              <w:color w:val="000000"/>
            </w:rPr>
          </w:pPr>
          <w:hyperlink w:anchor="_heading=h.rlzjwb8xdctb">
            <w:r>
              <w:rPr>
                <w:color w:val="000000"/>
              </w:rPr>
              <w:t>7. Reference</w:t>
            </w:r>
            <w:r>
              <w:rPr>
                <w:color w:val="000000"/>
              </w:rPr>
              <w:tab/>
              <w:t>13</w:t>
            </w:r>
          </w:hyperlink>
          <w:r>
            <w:fldChar w:fldCharType="end"/>
          </w:r>
        </w:p>
      </w:sdtContent>
    </w:sdt>
    <w:p w14:paraId="32F9F5D0" w14:textId="77777777" w:rsidR="00047E56" w:rsidRDefault="00000000">
      <w:pPr>
        <w:jc w:val="center"/>
      </w:pPr>
      <w:r>
        <w:br w:type="page"/>
      </w:r>
    </w:p>
    <w:p w14:paraId="3A57F372" w14:textId="77777777" w:rsidR="00047E56" w:rsidRDefault="00000000">
      <w:pPr>
        <w:pStyle w:val="Heading1"/>
      </w:pPr>
      <w:bookmarkStart w:id="6" w:name="_heading=h.o0me0hh0nf6a" w:colFirst="0" w:colLast="0"/>
      <w:bookmarkEnd w:id="6"/>
      <w:r>
        <w:t>1. Introduction</w:t>
      </w:r>
    </w:p>
    <w:p w14:paraId="5B232FCF" w14:textId="77777777" w:rsidR="00047E56" w:rsidRDefault="00000000">
      <w:r>
        <w:t xml:space="preserve">This work is a reflective analysis of my mentoring and coaching interactions in a business setting. The major objectives of this study are to investigate a particular coaching model, critically evaluate the roles of mentoring and coaching, and take two real-world occurrences under consideration: one involving </w:t>
      </w:r>
      <w:proofErr w:type="gramStart"/>
      <w:r>
        <w:t>goal-setting</w:t>
      </w:r>
      <w:proofErr w:type="gramEnd"/>
      <w:r>
        <w:t xml:space="preserve"> and coaching and the other focused on mentoring and feedback. Using Gibbs's Reflective Cycle for the coaching session (Practical 1), the reflections are built up; Kolb's Experiential Learning Cycle is used for the mentoring session (Practical 2). These models offer disciplined structures for introspection on personal experiences, which will help one to assess the outcomes and learn from both pragmatic applications with a critical eye. Even though they are sometimes used synonymously, mentoring and coaching have different uses and weights. Often in a quick, performance-driven atmosphere, coaching is a goal-oriented exercise aimed at enhancing </w:t>
      </w:r>
      <w:proofErr w:type="gramStart"/>
      <w:r>
        <w:t>particular abilities</w:t>
      </w:r>
      <w:proofErr w:type="gramEnd"/>
      <w:r>
        <w:t xml:space="preserve"> or behaviours. Conversely, mentoring is a long-term, relationship-based practice whereby a more experienced individual guides and supports another with an eye towards both personal and professional development. Important theories and strategies of coaching—such as the GROW model (Whitmore, 1992)—will be discussed in </w:t>
      </w:r>
      <w:proofErr w:type="gramStart"/>
      <w:r>
        <w:t>great detail</w:t>
      </w:r>
      <w:proofErr w:type="gramEnd"/>
      <w:r>
        <w:t xml:space="preserve"> together with basic skills of successful mentors and coaches, including active listening, questioning, empathy, and feedback. Over the portfolio, I will look at these ideas, models, and literature; then, I will closely review my personal experiences. This research will allow me to grasp how mentoring and coaching could be applied in the workplace and how these concepts might direct my next professional development.</w:t>
      </w:r>
    </w:p>
    <w:p w14:paraId="6FEDF868" w14:textId="77777777" w:rsidR="00047E56" w:rsidRDefault="00000000">
      <w:pPr>
        <w:pStyle w:val="Heading1"/>
      </w:pPr>
      <w:bookmarkStart w:id="7" w:name="_heading=h.uf8p7jcual3z" w:colFirst="0" w:colLast="0"/>
      <w:bookmarkEnd w:id="7"/>
      <w:r>
        <w:t>2. Critical Evaluation of the Purpose of Coaching and Mentoring in the Workplace</w:t>
      </w:r>
    </w:p>
    <w:p w14:paraId="175F9051" w14:textId="77777777" w:rsidR="00047E56" w:rsidRDefault="00000000">
      <w:r>
        <w:t>Although they have different applications, mentoring and coaching are both vital developmental tools used in companies. Designed to assist individuals in refining specific skills or behaviours, coaching is a temporary, performance-oriented discipline (Duffy</w:t>
      </w:r>
      <w:r>
        <w:rPr>
          <w:i/>
        </w:rPr>
        <w:t xml:space="preserve"> et al., </w:t>
      </w:r>
      <w:r>
        <w:t xml:space="preserve">2011). Often within a specific context, such as reaching a given target or enhancing work performance, a coach works with the person to develop goals, challenges, and strategies. On the other hand, mentoring is a longer-term relationship aiming at both personal and professional growth. A mentor guides, counsels, and helps the person to navigate their employment, overcome personal challenges, and, over time, develop a larger range of skills (De </w:t>
      </w:r>
      <w:proofErr w:type="spellStart"/>
      <w:r>
        <w:t>Janasz</w:t>
      </w:r>
      <w:proofErr w:type="spellEnd"/>
      <w:r>
        <w:rPr>
          <w:i/>
        </w:rPr>
        <w:t xml:space="preserve"> et al., </w:t>
      </w:r>
      <w:r>
        <w:t>2003).</w:t>
      </w:r>
    </w:p>
    <w:p w14:paraId="48302182" w14:textId="77777777" w:rsidR="00047E56" w:rsidRDefault="00000000">
      <w:r>
        <w:t>One of the primary objectives of workplace coaching is employee development. Through addressing pressing issues and accomplishing specific goals, coaching assists employees to raise their capability, thereby improving their performance. It is particularly beneficial in allowing staff workers to pick up newly acquired or refined existing developed skills (Holton III, 1996). Usually related to performance improvement, this is when the coach helps the individual to develop quantifiable goals and understand areas for improvement. Another key objective is succession planning—by stressing qualities required for leadership roles, coaching can help staff members be ready for more senior roles (Groves, 2007).</w:t>
      </w:r>
    </w:p>
    <w:p w14:paraId="798246E6" w14:textId="77777777" w:rsidR="00047E56" w:rsidRDefault="00000000">
      <w:r>
        <w:t>On the other hand, mentoring promotes professional and long-term development. Through mentoring, staff members pick up knowledge from more experienced colleagues, so they can steer their professional route. This direction determines how one develops their leadership skills and gains better knowledge of the business and industry. Many times, mentoring is used to foster organisational loyalty and employee retention since it builds intimate relationships that make employees feel more involved and encouraged in their careers.</w:t>
      </w:r>
    </w:p>
    <w:p w14:paraId="15E6DB1F" w14:textId="77777777" w:rsidR="00047E56" w:rsidRDefault="00000000">
      <w:r>
        <w:t>Mentoring helps organisations much like coaching does (Clutterbuck, 2009). They increase the employees' desire, satisfaction, and involvement by exhibiting an investment in their personal development. These approaches can also improve team performance by connecting personal aspirations with business objectives. They also support an attitude of lifetime learning, which is becoming more important in busy offices.</w:t>
      </w:r>
    </w:p>
    <w:p w14:paraId="5470E796" w14:textId="77777777" w:rsidR="00047E56" w:rsidRDefault="00000000">
      <w:r>
        <w:t>Still, implementing these programs is challenging as well. One challenge comes from the possible lack of money and time. Coach urges consistent participation; managing daily responsibilities might be difficult. Mentoring also calls for a significant time commitment from the mentor, who may be balancing other employment responsibilities (Zerzan</w:t>
      </w:r>
      <w:r>
        <w:rPr>
          <w:i/>
        </w:rPr>
        <w:t xml:space="preserve"> et al., </w:t>
      </w:r>
      <w:r>
        <w:t xml:space="preserve">2009). Moreover, endangering the success of these initiatives is the insufficient matching of coaches and mentors to </w:t>
      </w:r>
      <w:proofErr w:type="gramStart"/>
      <w:r>
        <w:t>particular individuals</w:t>
      </w:r>
      <w:proofErr w:type="gramEnd"/>
      <w:r>
        <w:t>. Should the individuals involved lack the required chemistry or if expectations are not explicitly established, the relationships may not be able to produce the expected outcomes.</w:t>
      </w:r>
    </w:p>
    <w:p w14:paraId="0A714F98" w14:textId="77777777" w:rsidR="00047E56" w:rsidRDefault="00000000">
      <w:r>
        <w:t>Comparatively, mentoring and coaching clearly show that their goals in the workplace differ in many areas. Usually speaking, coaching is more task-oriented and of shorter duration. It is aimed to enable specific areas of performance or to meet stated goals over a given period. Mentoring, by contrast, is more centred on relationships and long-term. While coaching is supposed to yield immediate results, mentoring generates a continuous, supportive relationship lasting over a longer duration (Connor and Pokora, 2017). This makes broader personal and professional development possible.</w:t>
      </w:r>
    </w:p>
    <w:p w14:paraId="3807357D" w14:textId="77777777" w:rsidR="00047E56" w:rsidRDefault="00047E56"/>
    <w:p w14:paraId="079BC9E4" w14:textId="77777777" w:rsidR="00047E56" w:rsidRDefault="00000000">
      <w:pPr>
        <w:pStyle w:val="Heading1"/>
      </w:pPr>
      <w:bookmarkStart w:id="8" w:name="_heading=h.eji0qhksz7x1" w:colFirst="0" w:colLast="0"/>
      <w:bookmarkEnd w:id="8"/>
      <w:r>
        <w:t>3. Critical Analysis of the GROW Coaching Model</w:t>
      </w:r>
    </w:p>
    <w:p w14:paraId="7E9CDC42" w14:textId="77777777" w:rsidR="00047E56" w:rsidRDefault="00000000">
      <w:r>
        <w:t>Popular coaching tool Sir John Whitmore's GROW method was developed in the 1980s (Leach, 2020). It is an acronym that stands for Goal, Reality, Options, and Way Forward. Coaches can help their clients to keep their here-and-now focus while they work towards their goals using this method. Many teachers, both professional and amateur, adore it because of its simplicity for use and understanding.</w:t>
      </w:r>
    </w:p>
    <w:p w14:paraId="62BAC52A" w14:textId="77777777" w:rsidR="00047E56" w:rsidRDefault="00000000">
      <w:pPr>
        <w:rPr>
          <w:b/>
        </w:rPr>
      </w:pPr>
      <w:r>
        <w:rPr>
          <w:b/>
        </w:rPr>
        <w:t>The structure of the GROW model is straightforward, comprising four distinct stages:</w:t>
      </w:r>
    </w:p>
    <w:p w14:paraId="322AB965" w14:textId="77777777" w:rsidR="00047E56" w:rsidRDefault="00000000">
      <w:pPr>
        <w:numPr>
          <w:ilvl w:val="0"/>
          <w:numId w:val="1"/>
        </w:numPr>
      </w:pPr>
      <w:r>
        <w:rPr>
          <w:b/>
        </w:rPr>
        <w:t>Goal –</w:t>
      </w:r>
      <w:r>
        <w:t xml:space="preserve"> Every stage of the journey, the coach and guide go over the objectives. We define goals here using the SMART framework.</w:t>
      </w:r>
    </w:p>
    <w:p w14:paraId="2C172911" w14:textId="77777777" w:rsidR="00047E56" w:rsidRDefault="00000000">
      <w:pPr>
        <w:numPr>
          <w:ilvl w:val="0"/>
          <w:numId w:val="1"/>
        </w:numPr>
      </w:pPr>
      <w:r>
        <w:rPr>
          <w:b/>
        </w:rPr>
        <w:t xml:space="preserve">Reality – </w:t>
      </w:r>
      <w:r>
        <w:t xml:space="preserve">A real assessment of the current circumstances enables one to better identify the </w:t>
      </w:r>
      <w:proofErr w:type="spellStart"/>
      <w:r>
        <w:t>coachee's</w:t>
      </w:r>
      <w:proofErr w:type="spellEnd"/>
      <w:r>
        <w:t xml:space="preserve"> issues.</w:t>
      </w:r>
    </w:p>
    <w:p w14:paraId="0F8F2EB2" w14:textId="77777777" w:rsidR="00047E56" w:rsidRDefault="00000000">
      <w:pPr>
        <w:numPr>
          <w:ilvl w:val="0"/>
          <w:numId w:val="1"/>
        </w:numPr>
      </w:pPr>
      <w:r>
        <w:rPr>
          <w:b/>
        </w:rPr>
        <w:t xml:space="preserve">Options – </w:t>
      </w:r>
      <w:r>
        <w:t xml:space="preserve">The role of a coach is to help the </w:t>
      </w:r>
      <w:proofErr w:type="spellStart"/>
      <w:r>
        <w:t>coachee</w:t>
      </w:r>
      <w:proofErr w:type="spellEnd"/>
      <w:r>
        <w:t xml:space="preserve"> create unique answers for challenges.</w:t>
      </w:r>
    </w:p>
    <w:p w14:paraId="02FF1B04" w14:textId="77777777" w:rsidR="00047E56" w:rsidRDefault="00000000">
      <w:pPr>
        <w:numPr>
          <w:ilvl w:val="0"/>
          <w:numId w:val="1"/>
        </w:numPr>
      </w:pPr>
      <w:r>
        <w:rPr>
          <w:b/>
        </w:rPr>
        <w:t xml:space="preserve">Way Forward – </w:t>
      </w:r>
      <w:r>
        <w:t xml:space="preserve">The </w:t>
      </w:r>
      <w:proofErr w:type="spellStart"/>
      <w:r>
        <w:t>coachee</w:t>
      </w:r>
      <w:proofErr w:type="spellEnd"/>
      <w:r>
        <w:t xml:space="preserve"> then should decide on a course of action and draft a plan.</w:t>
      </w:r>
    </w:p>
    <w:p w14:paraId="0FBC0C59" w14:textId="77777777" w:rsidR="00047E56" w:rsidRDefault="00000000">
      <w:pPr>
        <w:jc w:val="center"/>
      </w:pPr>
      <w:r>
        <w:rPr>
          <w:noProof/>
        </w:rPr>
        <w:drawing>
          <wp:inline distT="114300" distB="114300" distL="114300" distR="114300" wp14:anchorId="1809C7AC" wp14:editId="4A3DC197">
            <wp:extent cx="5731200" cy="4737100"/>
            <wp:effectExtent l="0" t="0" r="0" b="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5731200" cy="4737100"/>
                    </a:xfrm>
                    <a:prstGeom prst="rect">
                      <a:avLst/>
                    </a:prstGeom>
                    <a:ln/>
                  </pic:spPr>
                </pic:pic>
              </a:graphicData>
            </a:graphic>
          </wp:inline>
        </w:drawing>
      </w:r>
    </w:p>
    <w:p w14:paraId="3C326609" w14:textId="77777777" w:rsidR="00047E56" w:rsidRDefault="00000000">
      <w:pPr>
        <w:jc w:val="center"/>
        <w:rPr>
          <w:b/>
        </w:rPr>
      </w:pPr>
      <w:r>
        <w:rPr>
          <w:b/>
        </w:rPr>
        <w:t>Figure 1: GROW Coaching Model</w:t>
      </w:r>
    </w:p>
    <w:p w14:paraId="74813E7C" w14:textId="77777777" w:rsidR="00047E56" w:rsidRDefault="00000000">
      <w:pPr>
        <w:jc w:val="center"/>
        <w:rPr>
          <w:b/>
        </w:rPr>
      </w:pPr>
      <w:r>
        <w:rPr>
          <w:b/>
        </w:rPr>
        <w:t>(Source: Leach, 2020)</w:t>
      </w:r>
    </w:p>
    <w:p w14:paraId="1D47055F" w14:textId="77777777" w:rsidR="00047E56" w:rsidRDefault="00000000">
      <w:pPr>
        <w:rPr>
          <w:b/>
        </w:rPr>
      </w:pPr>
      <w:r>
        <w:rPr>
          <w:b/>
        </w:rPr>
        <w:t>Advantages of the GROW Model</w:t>
      </w:r>
    </w:p>
    <w:p w14:paraId="48A5DDC2" w14:textId="77777777" w:rsidR="00047E56" w:rsidRDefault="00000000">
      <w:r>
        <w:t xml:space="preserve">Among GROW's various advantages are simplicity of use and clarity. Arriving ready for the coaching session benefits the </w:t>
      </w:r>
      <w:proofErr w:type="spellStart"/>
      <w:r>
        <w:t>coachee</w:t>
      </w:r>
      <w:proofErr w:type="spellEnd"/>
      <w:r>
        <w:t xml:space="preserve"> and the coach equally (Whitmore, 2010). This method is relevant for both performance enhancement and personal development coaching since it stresses </w:t>
      </w:r>
      <w:proofErr w:type="gramStart"/>
      <w:r>
        <w:t>goal-setting</w:t>
      </w:r>
      <w:proofErr w:type="gramEnd"/>
      <w:r>
        <w:t xml:space="preserve">, which enables </w:t>
      </w:r>
      <w:proofErr w:type="spellStart"/>
      <w:r>
        <w:t>coachees</w:t>
      </w:r>
      <w:proofErr w:type="spellEnd"/>
      <w:r>
        <w:t xml:space="preserve"> to identify and attain their targets. The simplicity of the idea promotes good communication, which helps coaches to support their present situation in terms of possible development routes. The method's disciplined yet adaptable approach motivates </w:t>
      </w:r>
      <w:proofErr w:type="spellStart"/>
      <w:r>
        <w:t>coachees</w:t>
      </w:r>
      <w:proofErr w:type="spellEnd"/>
      <w:r>
        <w:t xml:space="preserve"> to meet their objectives and sharpen their commitment during the process.</w:t>
      </w:r>
    </w:p>
    <w:p w14:paraId="1E3949EC" w14:textId="77777777" w:rsidR="00047E56" w:rsidRDefault="00000000">
      <w:pPr>
        <w:rPr>
          <w:b/>
        </w:rPr>
      </w:pPr>
      <w:r>
        <w:rPr>
          <w:b/>
        </w:rPr>
        <w:t>Disadvantages of the GROW Model</w:t>
      </w:r>
    </w:p>
    <w:p w14:paraId="16D5B289" w14:textId="77777777" w:rsidR="00047E56" w:rsidRDefault="00000000">
      <w:r>
        <w:t xml:space="preserve">Regarding the GROW Model, it has various problems, even if it is very popular. The simplicity of the method could be a drawback in complex situations where the </w:t>
      </w:r>
      <w:proofErr w:type="spellStart"/>
      <w:r>
        <w:t>coachee</w:t>
      </w:r>
      <w:proofErr w:type="spellEnd"/>
      <w:r>
        <w:t xml:space="preserve"> has multiple problems that cannot be resolved by their fundamental aspects. Although the strategy sounds simple, it could not be in line with the core of the matter when addressing difficult issues, such as emotional or personal obstacles (Shah, 2005). Think about the possibilities of the </w:t>
      </w:r>
      <w:proofErr w:type="spellStart"/>
      <w:r>
        <w:t>coachee</w:t>
      </w:r>
      <w:proofErr w:type="spellEnd"/>
      <w:r>
        <w:t xml:space="preserve"> while bearing in mind that they could first come across difficulties that seem undetectable. The paradigm neglects emotional intelligence or the necessity of coach-</w:t>
      </w:r>
      <w:proofErr w:type="spellStart"/>
      <w:r>
        <w:t>coachee</w:t>
      </w:r>
      <w:proofErr w:type="spellEnd"/>
      <w:r>
        <w:t xml:space="preserve"> interactions in developing rapport and trust (Cavicchia and Gilbert, 2018).</w:t>
      </w:r>
    </w:p>
    <w:p w14:paraId="1F2EF668" w14:textId="77777777" w:rsidR="00047E56" w:rsidRDefault="00000000">
      <w:pPr>
        <w:rPr>
          <w:b/>
        </w:rPr>
      </w:pPr>
      <w:r>
        <w:rPr>
          <w:b/>
        </w:rPr>
        <w:t>Situations Where the GROW Model is Most and Least Effective</w:t>
      </w:r>
    </w:p>
    <w:p w14:paraId="67AFB5F1" w14:textId="77777777" w:rsidR="00047E56" w:rsidRDefault="00000000">
      <w:r>
        <w:t>One can create and achieve specified, quantitative, and reasonable goals with GROW include improving performance, satisfying work targets, or increasing capacity (Susanto</w:t>
      </w:r>
      <w:r>
        <w:rPr>
          <w:i/>
        </w:rPr>
        <w:t xml:space="preserve"> et al., </w:t>
      </w:r>
      <w:r>
        <w:t>2023). Perhaps this strategy can help employees meet their sales targets or effectively allocate their working time. When confronted with sensitive personal problems or in relationships marked by mistrust, the paradigm collapses quite severely (Lincoln</w:t>
      </w:r>
      <w:r>
        <w:rPr>
          <w:i/>
        </w:rPr>
        <w:t xml:space="preserve"> et al., </w:t>
      </w:r>
      <w:r>
        <w:t>2011). To push beyond psychological or emotional obstacles, one could need a complete or relationship-based approach.</w:t>
      </w:r>
    </w:p>
    <w:p w14:paraId="5AE3C74D" w14:textId="77777777" w:rsidR="00047E56" w:rsidRDefault="00000000">
      <w:pPr>
        <w:pStyle w:val="Heading1"/>
      </w:pPr>
      <w:bookmarkStart w:id="9" w:name="_heading=h.ajrrpsf48no4" w:colFirst="0" w:colLast="0"/>
      <w:bookmarkEnd w:id="9"/>
      <w:r>
        <w:t>4. Reflection on Practical 1 (Using Gibbs’ Reflective Cycle)</w:t>
      </w:r>
    </w:p>
    <w:p w14:paraId="6F61AC43" w14:textId="77777777" w:rsidR="00047E56" w:rsidRDefault="00000000">
      <w:pPr>
        <w:rPr>
          <w:b/>
        </w:rPr>
      </w:pPr>
      <w:r>
        <w:rPr>
          <w:b/>
        </w:rPr>
        <w:t>Description:</w:t>
      </w:r>
    </w:p>
    <w:p w14:paraId="111A77A2" w14:textId="77777777" w:rsidR="00047E56" w:rsidRDefault="00000000">
      <w:r>
        <w:t xml:space="preserve">My first coaching work was helping a buddy improve their methods of time management. At work, the guy struggled with multiple assignments and deadlines. I helped them define goals, identify challenges, and create a calendar for their coaching. I set the session such that the </w:t>
      </w:r>
      <w:proofErr w:type="spellStart"/>
      <w:r>
        <w:t>coachee</w:t>
      </w:r>
      <w:proofErr w:type="spellEnd"/>
      <w:r>
        <w:t xml:space="preserve"> may develop goals and responses using the GROW paradigm.</w:t>
      </w:r>
    </w:p>
    <w:p w14:paraId="3F6C4DE7" w14:textId="77777777" w:rsidR="00047E56" w:rsidRDefault="00000000">
      <w:pPr>
        <w:jc w:val="center"/>
      </w:pPr>
      <w:r>
        <w:rPr>
          <w:noProof/>
        </w:rPr>
        <w:drawing>
          <wp:inline distT="114300" distB="114300" distL="114300" distR="114300" wp14:anchorId="3E3888DC" wp14:editId="19E732F2">
            <wp:extent cx="5731200" cy="7048500"/>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731200" cy="7048500"/>
                    </a:xfrm>
                    <a:prstGeom prst="rect">
                      <a:avLst/>
                    </a:prstGeom>
                    <a:ln/>
                  </pic:spPr>
                </pic:pic>
              </a:graphicData>
            </a:graphic>
          </wp:inline>
        </w:drawing>
      </w:r>
    </w:p>
    <w:p w14:paraId="38F57EC5" w14:textId="77777777" w:rsidR="00047E56" w:rsidRDefault="00000000">
      <w:pPr>
        <w:jc w:val="center"/>
        <w:rPr>
          <w:b/>
        </w:rPr>
      </w:pPr>
      <w:r>
        <w:rPr>
          <w:b/>
        </w:rPr>
        <w:t>Figure 2: Unpacking the Coaching Experience Using Gibbs’ Reflective Cycle</w:t>
      </w:r>
    </w:p>
    <w:p w14:paraId="3D0D1BF7" w14:textId="77777777" w:rsidR="00047E56" w:rsidRDefault="00000000">
      <w:pPr>
        <w:jc w:val="center"/>
      </w:pPr>
      <w:r>
        <w:rPr>
          <w:b/>
        </w:rPr>
        <w:t>(Source: Created by the learner)</w:t>
      </w:r>
    </w:p>
    <w:p w14:paraId="3AF6A8C0" w14:textId="77777777" w:rsidR="00047E56" w:rsidRDefault="00000000">
      <w:pPr>
        <w:rPr>
          <w:b/>
        </w:rPr>
      </w:pPr>
      <w:r>
        <w:rPr>
          <w:b/>
        </w:rPr>
        <w:t>Feelings:</w:t>
      </w:r>
    </w:p>
    <w:p w14:paraId="23B4954F" w14:textId="77777777" w:rsidR="00047E56" w:rsidRDefault="00000000">
      <w:r>
        <w:t xml:space="preserve">At the start of the session, I felt excited as well as anxious. Given this was my first actual coaching experience, I worried about how well I would lead the </w:t>
      </w:r>
      <w:proofErr w:type="spellStart"/>
      <w:r>
        <w:t>coachee</w:t>
      </w:r>
      <w:proofErr w:type="spellEnd"/>
      <w:r>
        <w:t xml:space="preserve"> towards the resolution of their problems. Using coaching techniques in real life brings me great pleasure. When I facilitated a fruitful conversation and asked the appropriate questions, I felt secure; </w:t>
      </w:r>
      <w:proofErr w:type="gramStart"/>
      <w:r>
        <w:t>yet,</w:t>
      </w:r>
      <w:proofErr w:type="gramEnd"/>
      <w:r>
        <w:t xml:space="preserve"> I became irritated when the </w:t>
      </w:r>
      <w:proofErr w:type="spellStart"/>
      <w:r>
        <w:t>coachee</w:t>
      </w:r>
      <w:proofErr w:type="spellEnd"/>
      <w:r>
        <w:t xml:space="preserve"> failed to express their goals properly. I felt that either I was assisting them insufficiently or ignoring important issues.</w:t>
      </w:r>
    </w:p>
    <w:p w14:paraId="61D0BD15" w14:textId="77777777" w:rsidR="00047E56" w:rsidRDefault="00000000">
      <w:pPr>
        <w:rPr>
          <w:b/>
        </w:rPr>
      </w:pPr>
      <w:r>
        <w:rPr>
          <w:b/>
        </w:rPr>
        <w:t>Evaluation:</w:t>
      </w:r>
    </w:p>
    <w:p w14:paraId="1FF2B01D" w14:textId="77777777" w:rsidR="00047E56" w:rsidRDefault="00000000">
      <w:r>
        <w:t xml:space="preserve">The session had several positive aspects. The GROW method kept the session focused, and I coached the </w:t>
      </w:r>
      <w:proofErr w:type="spellStart"/>
      <w:r>
        <w:t>coachee</w:t>
      </w:r>
      <w:proofErr w:type="spellEnd"/>
      <w:r>
        <w:t xml:space="preserve"> in developing goals. Reviewing time management strategies, the </w:t>
      </w:r>
      <w:proofErr w:type="spellStart"/>
      <w:r>
        <w:t>coachee</w:t>
      </w:r>
      <w:proofErr w:type="spellEnd"/>
      <w:r>
        <w:t xml:space="preserve"> see</w:t>
      </w:r>
      <w:proofErr w:type="spellStart"/>
      <w:r>
        <w:t xml:space="preserve">med to </w:t>
      </w:r>
      <w:proofErr w:type="spellEnd"/>
      <w:r>
        <w:t xml:space="preserve">value the "Options" stage. The </w:t>
      </w:r>
      <w:proofErr w:type="spellStart"/>
      <w:r>
        <w:t>coachee</w:t>
      </w:r>
      <w:proofErr w:type="spellEnd"/>
      <w:r>
        <w:t xml:space="preserve"> also valued the short-term, sensible goals she set. There are plenty of challenges, though. Beyond time management in the Reality stage, the </w:t>
      </w:r>
      <w:proofErr w:type="spellStart"/>
      <w:r>
        <w:t>coachee</w:t>
      </w:r>
      <w:proofErr w:type="spellEnd"/>
      <w:r>
        <w:t xml:space="preserve"> battled to identify specific problems (Evered and Selman, 1989). I battled to have the </w:t>
      </w:r>
      <w:proofErr w:type="spellStart"/>
      <w:r>
        <w:t>coachee</w:t>
      </w:r>
      <w:proofErr w:type="spellEnd"/>
      <w:r>
        <w:t xml:space="preserve"> own the answer. They looked unclear on how to apply the approach in their normal employment, notwithstanding our talks.</w:t>
      </w:r>
    </w:p>
    <w:p w14:paraId="3C5B0813" w14:textId="77777777" w:rsidR="00047E56" w:rsidRDefault="00000000">
      <w:pPr>
        <w:rPr>
          <w:b/>
        </w:rPr>
      </w:pPr>
      <w:r>
        <w:rPr>
          <w:b/>
        </w:rPr>
        <w:t>Analysis:</w:t>
      </w:r>
    </w:p>
    <w:p w14:paraId="0B519BF2" w14:textId="77777777" w:rsidR="00047E56" w:rsidRDefault="00000000">
      <w:pPr>
        <w:rPr>
          <w:b/>
        </w:rPr>
      </w:pPr>
      <w:r>
        <w:t xml:space="preserve">The GROW model helps me to understand my issues. Reality underscored the need to perceive hurdles before one could overcome them. The </w:t>
      </w:r>
      <w:proofErr w:type="spellStart"/>
      <w:r>
        <w:t>coachee</w:t>
      </w:r>
      <w:proofErr w:type="spellEnd"/>
      <w:r>
        <w:t xml:space="preserve"> struggled to solve their time management issues since they had not discovered the cause (Frey, 2007). Coach books advise that the Reality stage demands tremendous self-reflection before entering the "Options" phase, which can appear surface-level. The method also promotes empowerment and responsibility, which I should have underlined in the session to enable the </w:t>
      </w:r>
      <w:proofErr w:type="spellStart"/>
      <w:r>
        <w:t>coachee</w:t>
      </w:r>
      <w:proofErr w:type="spellEnd"/>
      <w:r>
        <w:t xml:space="preserve"> to take more initiative for their goals.</w:t>
      </w:r>
    </w:p>
    <w:p w14:paraId="54D83AA0" w14:textId="77777777" w:rsidR="00047E56" w:rsidRDefault="00000000">
      <w:pPr>
        <w:rPr>
          <w:b/>
        </w:rPr>
      </w:pPr>
      <w:r>
        <w:rPr>
          <w:b/>
        </w:rPr>
        <w:t>Conclusion:</w:t>
      </w:r>
    </w:p>
    <w:p w14:paraId="064DF04F" w14:textId="77777777" w:rsidR="00047E56" w:rsidRDefault="00000000">
      <w:r>
        <w:t xml:space="preserve">Looking back, I should have first given the Reality stage great importance </w:t>
      </w:r>
      <w:proofErr w:type="gramStart"/>
      <w:r>
        <w:t>so as to</w:t>
      </w:r>
      <w:proofErr w:type="gramEnd"/>
      <w:r>
        <w:t xml:space="preserve"> identify the most critical issues of the </w:t>
      </w:r>
      <w:proofErr w:type="spellStart"/>
      <w:r>
        <w:t>coachee</w:t>
      </w:r>
      <w:proofErr w:type="spellEnd"/>
      <w:r>
        <w:t xml:space="preserve"> before considering alternatives. I should have checked in more to assist them in identifying their specific issues. I might have additionally advised them to take note of past times management achievements </w:t>
      </w:r>
      <w:proofErr w:type="gramStart"/>
      <w:r>
        <w:t>in order to</w:t>
      </w:r>
      <w:proofErr w:type="gramEnd"/>
      <w:r>
        <w:t xml:space="preserve"> offer more specific advice.</w:t>
      </w:r>
    </w:p>
    <w:p w14:paraId="7708B48D" w14:textId="77777777" w:rsidR="00047E56" w:rsidRDefault="00000000">
      <w:pPr>
        <w:rPr>
          <w:b/>
        </w:rPr>
      </w:pPr>
      <w:r>
        <w:rPr>
          <w:b/>
        </w:rPr>
        <w:t>Action Plan:</w:t>
      </w:r>
    </w:p>
    <w:p w14:paraId="24038BB9" w14:textId="77777777" w:rsidR="00047E56" w:rsidRDefault="00000000">
      <w:pPr>
        <w:rPr>
          <w:b/>
        </w:rPr>
      </w:pPr>
      <w:r>
        <w:t xml:space="preserve">In forthcoming coaching sessions, I will focus on exploring the Reality stage using open-ended, introspective questions to acquire closer insights. The </w:t>
      </w:r>
      <w:proofErr w:type="spellStart"/>
      <w:r>
        <w:t>coachee</w:t>
      </w:r>
      <w:proofErr w:type="spellEnd"/>
      <w:r>
        <w:t xml:space="preserve"> should also take part at every level, especially </w:t>
      </w:r>
      <w:proofErr w:type="gramStart"/>
      <w:r>
        <w:t>with regard to</w:t>
      </w:r>
      <w:proofErr w:type="gramEnd"/>
      <w:r>
        <w:t xml:space="preserve"> responsibility. If I divide action plans into short, precise tasks that the </w:t>
      </w:r>
      <w:proofErr w:type="spellStart"/>
      <w:r>
        <w:t>coachee</w:t>
      </w:r>
      <w:proofErr w:type="spellEnd"/>
      <w:r>
        <w:t xml:space="preserve"> can easily finish, they will be more comprehensive and realistic. Though I will use the GROW paradigm, I will adapt it to handle difficult circumstances with little baseline knowledge.</w:t>
      </w:r>
    </w:p>
    <w:p w14:paraId="3713ED7B" w14:textId="77777777" w:rsidR="00047E56" w:rsidRDefault="00000000">
      <w:pPr>
        <w:pStyle w:val="Heading1"/>
      </w:pPr>
      <w:bookmarkStart w:id="10" w:name="_heading=h.waserqj1zhxu" w:colFirst="0" w:colLast="0"/>
      <w:bookmarkEnd w:id="10"/>
      <w:r>
        <w:t>5. Reflection on Practical 2 (Using Kolb’s Experiential Learning Cycle)</w:t>
      </w:r>
    </w:p>
    <w:p w14:paraId="128A6725" w14:textId="77777777" w:rsidR="00047E56" w:rsidRDefault="00000000">
      <w:pPr>
        <w:rPr>
          <w:b/>
        </w:rPr>
      </w:pPr>
      <w:r>
        <w:rPr>
          <w:b/>
        </w:rPr>
        <w:t>Concrete Experience:</w:t>
      </w:r>
    </w:p>
    <w:p w14:paraId="62A3B9A6" w14:textId="77777777" w:rsidR="00047E56" w:rsidRDefault="00000000">
      <w:r>
        <w:t>During my second practical session, I mentored and offered a colleague dealing with project management insightful advice. During our one-on-one meeting, I pointed out areas needing work and helped them notice them. I started by reviewing their work and suggesting ways they may make it better. The topics of a frank and open conversation were how to improve project management and team communication. Maintaining a non-judgmental and encouraging attitude throughout the conversation was a smart way to foster open communication (</w:t>
      </w:r>
      <w:proofErr w:type="gramStart"/>
      <w:r>
        <w:t>April,  1999</w:t>
      </w:r>
      <w:proofErr w:type="gramEnd"/>
      <w:r>
        <w:t>).</w:t>
      </w:r>
    </w:p>
    <w:p w14:paraId="3E1612E3" w14:textId="77777777" w:rsidR="00047E56" w:rsidRDefault="00000000">
      <w:pPr>
        <w:jc w:val="center"/>
      </w:pPr>
      <w:r>
        <w:rPr>
          <w:noProof/>
        </w:rPr>
        <w:drawing>
          <wp:inline distT="114300" distB="114300" distL="114300" distR="114300" wp14:anchorId="559A2B48" wp14:editId="167B39EF">
            <wp:extent cx="5731200" cy="391160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1200" cy="3911600"/>
                    </a:xfrm>
                    <a:prstGeom prst="rect">
                      <a:avLst/>
                    </a:prstGeom>
                    <a:ln/>
                  </pic:spPr>
                </pic:pic>
              </a:graphicData>
            </a:graphic>
          </wp:inline>
        </w:drawing>
      </w:r>
    </w:p>
    <w:p w14:paraId="6FDF526C" w14:textId="77777777" w:rsidR="00047E56" w:rsidRDefault="00000000">
      <w:pPr>
        <w:jc w:val="center"/>
        <w:rPr>
          <w:b/>
        </w:rPr>
      </w:pPr>
      <w:r>
        <w:rPr>
          <w:b/>
        </w:rPr>
        <w:t>Figure 3: Kolb's Experiential Learning Cycle in Mentoring</w:t>
      </w:r>
    </w:p>
    <w:p w14:paraId="6569EFC5" w14:textId="77777777" w:rsidR="00047E56" w:rsidRDefault="00000000">
      <w:pPr>
        <w:jc w:val="center"/>
      </w:pPr>
      <w:r>
        <w:rPr>
          <w:b/>
        </w:rPr>
        <w:t>(Source: Created by the learner)</w:t>
      </w:r>
    </w:p>
    <w:p w14:paraId="2C204032" w14:textId="77777777" w:rsidR="00047E56" w:rsidRDefault="00000000">
      <w:pPr>
        <w:rPr>
          <w:b/>
        </w:rPr>
      </w:pPr>
      <w:r>
        <w:rPr>
          <w:b/>
        </w:rPr>
        <w:t>Reflective Observation:</w:t>
      </w:r>
    </w:p>
    <w:p w14:paraId="6C4B79A8" w14:textId="77777777" w:rsidR="00047E56" w:rsidRDefault="00000000">
      <w:r>
        <w:t xml:space="preserve">When I thought back on my mentoring experience, it was not like what I had experienced in coaching. Working with my mentor has given me more confidence in offering comments, especially useful criticism. Since I thought my </w:t>
      </w:r>
      <w:proofErr w:type="spellStart"/>
      <w:r>
        <w:t>coachee</w:t>
      </w:r>
      <w:proofErr w:type="spellEnd"/>
      <w:r>
        <w:t xml:space="preserve"> would disagree with my criticism, the polite answer from her gave me greater confidence. Though the </w:t>
      </w:r>
      <w:proofErr w:type="spellStart"/>
      <w:r>
        <w:t>coachee</w:t>
      </w:r>
      <w:proofErr w:type="spellEnd"/>
      <w:r>
        <w:t xml:space="preserve"> was self-conscious about her flaws, she was open to comments throughout the session. These days, my focus is on the mentor-mentee relationship and its importance for offering perceptive feedback. Although I wanted to be helpful, I had to be honest and give the mentee specific advice to avoid overwhelming her against her will.</w:t>
      </w:r>
    </w:p>
    <w:p w14:paraId="2687046A" w14:textId="77777777" w:rsidR="00047E56" w:rsidRDefault="00000000">
      <w:pPr>
        <w:rPr>
          <w:b/>
        </w:rPr>
      </w:pPr>
      <w:r>
        <w:rPr>
          <w:b/>
        </w:rPr>
        <w:t>Abstract Conceptualisation:</w:t>
      </w:r>
    </w:p>
    <w:p w14:paraId="24C11D04" w14:textId="77777777" w:rsidR="00047E56" w:rsidRDefault="00000000">
      <w:r>
        <w:t xml:space="preserve">Kolb's cycle, which caught my attention in this session, stressed the significance of thinking about one's experiences (Kolb and Kolb, 2018). From what I know, the two most important components of mentoring are directing and creating a safe space for criticism. As I have found, good criticism </w:t>
      </w:r>
      <w:proofErr w:type="gramStart"/>
      <w:r>
        <w:t>is particular, useful</w:t>
      </w:r>
      <w:proofErr w:type="gramEnd"/>
      <w:r>
        <w:t xml:space="preserve">, and well-balanced with regard for positive mentee performance. My approach was to guide the conversation using the "SBI" structure. I gave the mentee useful feedback they could really use by outlining </w:t>
      </w:r>
      <w:proofErr w:type="gramStart"/>
      <w:r>
        <w:t>particular events</w:t>
      </w:r>
      <w:proofErr w:type="gramEnd"/>
      <w:r>
        <w:t>, my actions, and the results. Another lesson came from the requirement of paying attention to the mentee and trying to see things from their perspective (Zerzan</w:t>
      </w:r>
      <w:r>
        <w:rPr>
          <w:i/>
        </w:rPr>
        <w:t xml:space="preserve"> et al., </w:t>
      </w:r>
      <w:r>
        <w:t xml:space="preserve">2009). Furthermore, I realised that as a mentor, my ability to offer both praise and criticism is </w:t>
      </w:r>
      <w:proofErr w:type="gramStart"/>
      <w:r>
        <w:t>really vital</w:t>
      </w:r>
      <w:proofErr w:type="gramEnd"/>
      <w:r>
        <w:t xml:space="preserve"> as the mentoring-mentee relationship is changing. This seminar stressed the need to provide mentors with remarks that encourage reflection and help them to take charge of their own development.</w:t>
      </w:r>
    </w:p>
    <w:p w14:paraId="1F82F95F" w14:textId="77777777" w:rsidR="00047E56" w:rsidRDefault="00000000">
      <w:pPr>
        <w:rPr>
          <w:b/>
        </w:rPr>
      </w:pPr>
      <w:r>
        <w:rPr>
          <w:b/>
        </w:rPr>
        <w:t>Active Experimentation:</w:t>
      </w:r>
    </w:p>
    <w:p w14:paraId="7EA57FF5" w14:textId="77777777" w:rsidR="00047E56" w:rsidRDefault="00000000">
      <w:r>
        <w:t>I will try to improve my feedback techniques so that, even if I can still provide doable advice, I can be more sensitive to the emotions of the mentee. More open-ended enquiries to mentees will enable me to better grasp their background, accomplishments, and experiences in forthcoming mentoring meetings. "</w:t>
      </w:r>
      <w:r>
        <w:rPr>
          <w:i/>
        </w:rPr>
        <w:t>What went well in this project, and how could you improve next time?</w:t>
      </w:r>
      <w:r>
        <w:t>" asks provocative questions. This kind of attitude might motivate someone to keep learning and growing. Working with the mentee, I will also help them establish appropriate goals and monitor their growth. To help clear things up, I will be acting as a mentor and coach instead of a supervisor. This difference will let me guide the protégé without meddling with their decision-making process.</w:t>
      </w:r>
    </w:p>
    <w:p w14:paraId="2E2AE107" w14:textId="77777777" w:rsidR="00047E56" w:rsidRDefault="00000000">
      <w:pPr>
        <w:pStyle w:val="Heading1"/>
      </w:pPr>
      <w:bookmarkStart w:id="11" w:name="_heading=h.6rdwugk8lha9" w:colFirst="0" w:colLast="0"/>
      <w:bookmarkEnd w:id="11"/>
      <w:r>
        <w:t>6. Conclusion</w:t>
      </w:r>
    </w:p>
    <w:p w14:paraId="3E07894F" w14:textId="77777777" w:rsidR="00047E56" w:rsidRDefault="00000000">
      <w:r>
        <w:t>Motivated by Kolb's Experiential Learning Cycle of mentoring and the GROW model of coaching, this study analyses my mentoring and coaching encounters in the workplace. I began by contrasting coaching and mentoring as approaches for employee development: the latter is more relationship-based and long-lasting, while the former is more goal-oriented with a shorter time horizon. Many theories—including the GROW model—were proposed and evaluated. My critical study emphasised how mentoring and coaching support staff growth, performance improvement, and leadership development. I also covered some of the challenges companies could run into trying to build up mentoring and coaching programs, including a lack of time and inadequate coach-mentee matching. Reflecting on my real-life occurrences enabled me to understand how the GROW model guided my coaching session and how Kolb's model helped me to evaluate my mentoring session. These events underscored the significance of paying great attention, of understanding the point of view of the other person, and of using suitable language in mentoring and coaching. This program has helped me to see work in a very different light. These days, I provide target planning, structured comments, and top priorities for a growing, friendly workplace. Stressing mentor-mentee relationships and providing constructive criticism will assist me to keep keeping these abilities. I can always get better if I spend time studying several mentorship situations and modifying my coaching approach.</w:t>
      </w:r>
    </w:p>
    <w:p w14:paraId="422B6547" w14:textId="77777777" w:rsidR="00047E56" w:rsidRDefault="00047E56"/>
    <w:p w14:paraId="15D93CDF" w14:textId="77777777" w:rsidR="00047E56" w:rsidRDefault="00000000">
      <w:pPr>
        <w:pStyle w:val="Heading1"/>
      </w:pPr>
      <w:bookmarkStart w:id="12" w:name="_heading=h.28krpe4yht65" w:colFirst="0" w:colLast="0"/>
      <w:bookmarkEnd w:id="12"/>
      <w:r>
        <w:br w:type="page"/>
      </w:r>
    </w:p>
    <w:p w14:paraId="4A00F5F4" w14:textId="77777777" w:rsidR="00047E56" w:rsidRDefault="00000000">
      <w:pPr>
        <w:pStyle w:val="Heading1"/>
      </w:pPr>
      <w:bookmarkStart w:id="13" w:name="_heading=h.rlzjwb8xdctb" w:colFirst="0" w:colLast="0"/>
      <w:bookmarkEnd w:id="13"/>
      <w:r>
        <w:t>7. Reference</w:t>
      </w:r>
    </w:p>
    <w:p w14:paraId="21E85B4C" w14:textId="77777777" w:rsidR="00047E56" w:rsidRDefault="00000000">
      <w:pPr>
        <w:spacing w:before="240" w:after="240"/>
      </w:pPr>
      <w:r>
        <w:t xml:space="preserve">April, K.A., (1999). Leading through communication, conversation and dialogue. </w:t>
      </w:r>
      <w:r>
        <w:rPr>
          <w:i/>
        </w:rPr>
        <w:t>Leadership &amp; Organisation Development Journal</w:t>
      </w:r>
      <w:r>
        <w:t xml:space="preserve">, </w:t>
      </w:r>
      <w:r>
        <w:rPr>
          <w:i/>
        </w:rPr>
        <w:t>20</w:t>
      </w:r>
      <w:r>
        <w:t>(5), pp.231-242.</w:t>
      </w:r>
    </w:p>
    <w:p w14:paraId="6A033B4A" w14:textId="77777777" w:rsidR="00047E56" w:rsidRDefault="00000000">
      <w:pPr>
        <w:spacing w:before="240" w:after="240"/>
      </w:pPr>
      <w:r>
        <w:t xml:space="preserve">Cavicchia, S. and Gilbert, M., (2018). </w:t>
      </w:r>
      <w:r>
        <w:rPr>
          <w:i/>
        </w:rPr>
        <w:t>The theory and practice of relational coaching: Complexity, paradox and integration.</w:t>
      </w:r>
      <w:r>
        <w:t xml:space="preserve"> Routledge.</w:t>
      </w:r>
    </w:p>
    <w:p w14:paraId="19066711" w14:textId="77777777" w:rsidR="00047E56" w:rsidRDefault="00000000">
      <w:pPr>
        <w:spacing w:before="240" w:after="240"/>
      </w:pPr>
      <w:r>
        <w:t xml:space="preserve">Clutterbuck, D., (2009). Coaching and mentoring in support of management development. </w:t>
      </w:r>
      <w:r>
        <w:rPr>
          <w:i/>
        </w:rPr>
        <w:t>The Sage handbook of management learning, education and development</w:t>
      </w:r>
      <w:r>
        <w:t>, pp.476-496.</w:t>
      </w:r>
    </w:p>
    <w:p w14:paraId="25ACC135" w14:textId="77777777" w:rsidR="00047E56" w:rsidRDefault="00000000">
      <w:pPr>
        <w:spacing w:before="240" w:after="240"/>
      </w:pPr>
      <w:r>
        <w:t xml:space="preserve">Connor, M. and Pokora, J., (2017). </w:t>
      </w:r>
      <w:r>
        <w:rPr>
          <w:i/>
        </w:rPr>
        <w:t>Coaching and mentoring at work: Developing effective practice: Developing effective practice</w:t>
      </w:r>
      <w:r>
        <w:t>. McGraw-Hill Education (UK).</w:t>
      </w:r>
    </w:p>
    <w:p w14:paraId="6F7CD369" w14:textId="77777777" w:rsidR="00047E56" w:rsidRDefault="00000000">
      <w:pPr>
        <w:spacing w:before="240" w:after="240"/>
      </w:pPr>
      <w:r>
        <w:t xml:space="preserve">De </w:t>
      </w:r>
      <w:proofErr w:type="spellStart"/>
      <w:r>
        <w:t>Janasz</w:t>
      </w:r>
      <w:proofErr w:type="spellEnd"/>
      <w:r>
        <w:t xml:space="preserve">, S.C., Sullivan, S.E. and Whiting, V., (2003). Mentor networks and career success: Lessons for turbulent times. </w:t>
      </w:r>
      <w:r>
        <w:rPr>
          <w:i/>
        </w:rPr>
        <w:t>Academy of Management Perspectives</w:t>
      </w:r>
      <w:r>
        <w:t xml:space="preserve">, </w:t>
      </w:r>
      <w:r>
        <w:rPr>
          <w:i/>
        </w:rPr>
        <w:t>17</w:t>
      </w:r>
      <w:r>
        <w:t>(4), pp.78-91.</w:t>
      </w:r>
    </w:p>
    <w:p w14:paraId="22C75616" w14:textId="77777777" w:rsidR="00047E56" w:rsidRDefault="00000000">
      <w:pPr>
        <w:spacing w:before="240" w:after="240"/>
      </w:pPr>
      <w:r>
        <w:t xml:space="preserve">Duffy, P., Hartley, H., Bales, J., Crespo, M., Dick, F., Vardhan, D., Nordmann, L. and Curado, J., (2011). Sport coaching as </w:t>
      </w:r>
      <w:proofErr w:type="spellStart"/>
      <w:r>
        <w:t>a'profession</w:t>
      </w:r>
      <w:proofErr w:type="spellEnd"/>
      <w:r>
        <w:t xml:space="preserve">': challenges and future directions: challenges and future directions. </w:t>
      </w:r>
      <w:r>
        <w:rPr>
          <w:i/>
        </w:rPr>
        <w:t>International journal of coaching science</w:t>
      </w:r>
      <w:r>
        <w:t xml:space="preserve">, </w:t>
      </w:r>
      <w:r>
        <w:rPr>
          <w:i/>
        </w:rPr>
        <w:t>5</w:t>
      </w:r>
      <w:r>
        <w:t>(2), pp.93-123.</w:t>
      </w:r>
    </w:p>
    <w:p w14:paraId="543E560B" w14:textId="77777777" w:rsidR="00047E56" w:rsidRDefault="00000000">
      <w:pPr>
        <w:spacing w:before="240" w:after="240"/>
      </w:pPr>
      <w:r>
        <w:t xml:space="preserve">Evered, R.D. and Selman, J.C., (1989). Coaching and the art of management. </w:t>
      </w:r>
      <w:r>
        <w:rPr>
          <w:i/>
        </w:rPr>
        <w:t>Organisational dynamics</w:t>
      </w:r>
      <w:r>
        <w:t xml:space="preserve">, </w:t>
      </w:r>
      <w:r>
        <w:rPr>
          <w:i/>
        </w:rPr>
        <w:t>18</w:t>
      </w:r>
      <w:r>
        <w:t>(2), pp.16-32.</w:t>
      </w:r>
    </w:p>
    <w:p w14:paraId="7677CBD8" w14:textId="77777777" w:rsidR="00047E56" w:rsidRDefault="00000000">
      <w:pPr>
        <w:spacing w:before="240" w:after="240"/>
      </w:pPr>
      <w:r>
        <w:t>Frey, M., (2007). College coaches’ experiences with stress</w:t>
      </w:r>
      <w:proofErr w:type="gramStart"/>
      <w:r>
        <w:t>—“</w:t>
      </w:r>
      <w:proofErr w:type="gramEnd"/>
      <w:r>
        <w:t xml:space="preserve">Problem solvers” have problems, too. </w:t>
      </w:r>
      <w:r>
        <w:rPr>
          <w:i/>
        </w:rPr>
        <w:t>The sport psychologist</w:t>
      </w:r>
      <w:r>
        <w:t xml:space="preserve">, </w:t>
      </w:r>
      <w:r>
        <w:rPr>
          <w:i/>
        </w:rPr>
        <w:t>21</w:t>
      </w:r>
      <w:r>
        <w:t>(1), pp.38-57.</w:t>
      </w:r>
    </w:p>
    <w:p w14:paraId="6CD4143A" w14:textId="77777777" w:rsidR="00047E56" w:rsidRDefault="00000000">
      <w:pPr>
        <w:spacing w:before="240" w:after="240"/>
      </w:pPr>
      <w:r>
        <w:t xml:space="preserve">Groves, K.S., (2007). Integrating leadership development and succession planning best practices. </w:t>
      </w:r>
      <w:r>
        <w:rPr>
          <w:i/>
        </w:rPr>
        <w:t>Journal of Management Development</w:t>
      </w:r>
      <w:r>
        <w:t xml:space="preserve">, </w:t>
      </w:r>
      <w:r>
        <w:rPr>
          <w:i/>
        </w:rPr>
        <w:t>26</w:t>
      </w:r>
      <w:r>
        <w:t>(3), pp.239-260.</w:t>
      </w:r>
    </w:p>
    <w:p w14:paraId="1F18F187" w14:textId="77777777" w:rsidR="00047E56" w:rsidRDefault="00000000">
      <w:pPr>
        <w:spacing w:before="240" w:after="240"/>
      </w:pPr>
      <w:r>
        <w:t xml:space="preserve">Holton III, E.F., (1996). New employee development: A review and </w:t>
      </w:r>
      <w:proofErr w:type="spellStart"/>
      <w:r>
        <w:t>reconceptualisation</w:t>
      </w:r>
      <w:proofErr w:type="spellEnd"/>
      <w:r>
        <w:t xml:space="preserve">. </w:t>
      </w:r>
      <w:r>
        <w:rPr>
          <w:i/>
        </w:rPr>
        <w:t>Human Resource Development Quarterly</w:t>
      </w:r>
      <w:r>
        <w:t xml:space="preserve">, </w:t>
      </w:r>
      <w:r>
        <w:rPr>
          <w:i/>
        </w:rPr>
        <w:t>7</w:t>
      </w:r>
      <w:r>
        <w:t>(3), pp.233-252.</w:t>
      </w:r>
    </w:p>
    <w:p w14:paraId="1AF696A5" w14:textId="77777777" w:rsidR="00047E56" w:rsidRDefault="00000000">
      <w:pPr>
        <w:spacing w:before="240" w:after="240"/>
      </w:pPr>
      <w:r>
        <w:t xml:space="preserve">Kolb, A. and Kolb, D., (2018). Eight important things to know about the experiential learning cycle. </w:t>
      </w:r>
      <w:r>
        <w:rPr>
          <w:i/>
        </w:rPr>
        <w:t>Australian educational leader</w:t>
      </w:r>
      <w:r>
        <w:t xml:space="preserve">, </w:t>
      </w:r>
      <w:r>
        <w:rPr>
          <w:i/>
        </w:rPr>
        <w:t>40</w:t>
      </w:r>
      <w:r>
        <w:t>(3), pp.8-14.</w:t>
      </w:r>
    </w:p>
    <w:p w14:paraId="00FE002D" w14:textId="77777777" w:rsidR="00047E56" w:rsidRDefault="00000000">
      <w:pPr>
        <w:spacing w:before="240" w:after="240"/>
      </w:pPr>
      <w:r>
        <w:t xml:space="preserve">Leach, S., (2020). Behavioural coaching: The GROW model. In </w:t>
      </w:r>
      <w:r>
        <w:rPr>
          <w:i/>
        </w:rPr>
        <w:t>The Coaches' Handbook</w:t>
      </w:r>
      <w:r>
        <w:t xml:space="preserve"> (pp. 176-186). Routledge.</w:t>
      </w:r>
    </w:p>
    <w:p w14:paraId="2B5975B9" w14:textId="77777777" w:rsidR="00047E56" w:rsidRDefault="00000000">
      <w:pPr>
        <w:spacing w:before="240" w:after="240"/>
      </w:pPr>
      <w:r>
        <w:t xml:space="preserve">Lincoln, Y.S., </w:t>
      </w:r>
      <w:proofErr w:type="spellStart"/>
      <w:r>
        <w:t>Lynham</w:t>
      </w:r>
      <w:proofErr w:type="spellEnd"/>
      <w:r>
        <w:t xml:space="preserve">, S.A. and Guba, E.G., (2011). Paradigmatic controversies, contradictions, and emerging confluences, revisited. </w:t>
      </w:r>
      <w:r>
        <w:rPr>
          <w:i/>
        </w:rPr>
        <w:t>The Sage handbook of qualitative research</w:t>
      </w:r>
      <w:r>
        <w:t xml:space="preserve">, </w:t>
      </w:r>
      <w:r>
        <w:rPr>
          <w:i/>
        </w:rPr>
        <w:t>4</w:t>
      </w:r>
      <w:r>
        <w:t>(2), pp.97-128.</w:t>
      </w:r>
    </w:p>
    <w:p w14:paraId="2205F69A" w14:textId="77777777" w:rsidR="00047E56" w:rsidRDefault="00000000">
      <w:pPr>
        <w:spacing w:before="240" w:after="240"/>
      </w:pPr>
      <w:r>
        <w:t xml:space="preserve">Shah, A.M., (2005). The foundations of successful strategy implementation: Overcoming the obstacles. </w:t>
      </w:r>
      <w:r>
        <w:rPr>
          <w:i/>
        </w:rPr>
        <w:t>Global Business Review</w:t>
      </w:r>
      <w:r>
        <w:t xml:space="preserve">, </w:t>
      </w:r>
      <w:r>
        <w:rPr>
          <w:i/>
        </w:rPr>
        <w:t>6</w:t>
      </w:r>
      <w:r>
        <w:t>(2), pp.293-302.</w:t>
      </w:r>
    </w:p>
    <w:p w14:paraId="59D2405B" w14:textId="77777777" w:rsidR="00047E56" w:rsidRDefault="00000000">
      <w:pPr>
        <w:spacing w:before="240" w:after="240"/>
      </w:pPr>
      <w:r>
        <w:t xml:space="preserve">Susanto, P.C., </w:t>
      </w:r>
      <w:proofErr w:type="spellStart"/>
      <w:r>
        <w:t>Syailendra</w:t>
      </w:r>
      <w:proofErr w:type="spellEnd"/>
      <w:r>
        <w:t xml:space="preserve">, S. and Suryawan, R.F., (2023). Determination of motivation and performance: Analysis of job satisfaction, employee engagement and leadership. </w:t>
      </w:r>
      <w:r>
        <w:rPr>
          <w:i/>
        </w:rPr>
        <w:t>International Journal of Business and Applied Economics</w:t>
      </w:r>
      <w:r>
        <w:t xml:space="preserve">, </w:t>
      </w:r>
      <w:r>
        <w:rPr>
          <w:i/>
        </w:rPr>
        <w:t>2</w:t>
      </w:r>
      <w:r>
        <w:t>(2), pp.59-68.</w:t>
      </w:r>
    </w:p>
    <w:p w14:paraId="71FBD369" w14:textId="77777777" w:rsidR="00047E56" w:rsidRDefault="00000000">
      <w:pPr>
        <w:spacing w:before="240" w:after="240"/>
      </w:pPr>
      <w:r>
        <w:t xml:space="preserve">Whitmore, J., (2010). </w:t>
      </w:r>
      <w:r>
        <w:rPr>
          <w:i/>
        </w:rPr>
        <w:t>Coaching for Performance: The Principles and Practice of Coaching and Leadership FULLY REVISED 25TH ANNIVERSARY EDITION</w:t>
      </w:r>
      <w:r>
        <w:t>. Hachette UK.</w:t>
      </w:r>
    </w:p>
    <w:p w14:paraId="64EA5E53" w14:textId="77777777" w:rsidR="00047E56" w:rsidRDefault="00000000">
      <w:pPr>
        <w:spacing w:before="240" w:after="240"/>
      </w:pPr>
      <w:r>
        <w:t xml:space="preserve">Zerzan, J.T., Hess, R., Schur, E., Phillips, R.S. and Rigotti, N., (2009). Making the most of mentors: a guide for mentees. </w:t>
      </w:r>
      <w:r>
        <w:rPr>
          <w:i/>
        </w:rPr>
        <w:t>Academic Medicine</w:t>
      </w:r>
      <w:r>
        <w:t xml:space="preserve">, </w:t>
      </w:r>
      <w:r>
        <w:rPr>
          <w:i/>
        </w:rPr>
        <w:t>84</w:t>
      </w:r>
      <w:r>
        <w:t>(1), pp.140-144.</w:t>
      </w:r>
    </w:p>
    <w:p w14:paraId="0E3187AC" w14:textId="77777777" w:rsidR="00047E56" w:rsidRDefault="00000000">
      <w:pPr>
        <w:spacing w:before="240" w:after="240"/>
      </w:pPr>
      <w:r>
        <w:t xml:space="preserve">Zerzan, J.T., Hess, R., Schur, E., Phillips, R.S. and Rigotti, N., (2009). Making the most of mentors: a guide for mentees. </w:t>
      </w:r>
      <w:r>
        <w:rPr>
          <w:i/>
        </w:rPr>
        <w:t>Academic Medicine</w:t>
      </w:r>
      <w:r>
        <w:t xml:space="preserve">, </w:t>
      </w:r>
      <w:r>
        <w:rPr>
          <w:i/>
        </w:rPr>
        <w:t>84</w:t>
      </w:r>
      <w:r>
        <w:t>(1), pp.140-144.</w:t>
      </w:r>
    </w:p>
    <w:p w14:paraId="1D2E8C15" w14:textId="77777777" w:rsidR="00047E56" w:rsidRDefault="00047E56"/>
    <w:sectPr w:rsidR="00047E56">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modern"/>
    <w:pitch w:val="variable"/>
    <w:sig w:usb0="00000003" w:usb1="00000000" w:usb2="00000000" w:usb3="00000000" w:csb0="00000001" w:csb1="00000000"/>
  </w:font>
  <w:font w:name="Cambria">
    <w:panose1 w:val="0204050305040603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0EB50D5"/>
    <w:multiLevelType w:val="multilevel"/>
    <w:tmpl w:val="74044AE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15403628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7E56"/>
    <w:rsid w:val="00047E56"/>
    <w:rsid w:val="001A6643"/>
    <w:rsid w:val="00F26F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07DA0C"/>
  <w15:docId w15:val="{9827FA9F-41C9-2F4E-95A1-C3E1316890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sz w:val="40"/>
      <w:szCs w:val="40"/>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2S4qSfmkntggFwvenr0DMp8/PnQ==">CgMxLjAyDmgub2E3enB4dW5rYnViMg1oLjJscDR5cXlhN2VuMg5oLmc2ejJwdjc1c25vdTIOaC42cG9tNDFlZGJ0cXUyDmgubTdubG12d3ljazh6Mg5oLnY5OXFjNzNrMjFkdjIOaC5vMG1lMGhoMG5mNmEyDmgudWY4cDdqY3VhbDN6Mg5oLmVqaTBxaGtzejd4MTIOaC5hanJycHNmNDhubzQyDmgud2FzZXJxajF6aHh1Mg5oLjZyZHd1Z2s4bGhhOTIOaC4yOGtycGU0eWh0NjUyDmgucmx6andiOHhkY3RiOAByITFQVUxaQmhibS04bzZ0dTFxMk1QV1BTcXdwa3pYeUlkU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Pages>
  <Words>3027</Words>
  <Characters>17257</Characters>
  <Application>Microsoft Office Word</Application>
  <DocSecurity>0</DocSecurity>
  <Lines>143</Lines>
  <Paragraphs>40</Paragraphs>
  <ScaleCrop>false</ScaleCrop>
  <Company/>
  <LinksUpToDate>false</LinksUpToDate>
  <CharactersWithSpaces>20244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Javad Khorramipour Khoshdaregi (2030121)</cp:lastModifiedBy>
  <cp:revision>2</cp:revision>
  <dcterms:created xsi:type="dcterms:W3CDTF">2025-04-28T20:08:00Z</dcterms:created>
  <dcterms:modified xsi:type="dcterms:W3CDTF">2025-04-28T20:11:00Z</dcterms:modified>
</cp:coreProperties>
</file>