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D3977" w:rsidRDefault="006D3977" w:rsidP="006D3977">
      <w:pPr>
        <w:rPr>
          <w:rFonts w:ascii="Calibri" w:hAnsi="Calibri" w:cs="Calibri"/>
          <w:sz w:val="28"/>
          <w:szCs w:val="28"/>
        </w:rPr>
      </w:pPr>
      <w:r>
        <w:rPr>
          <w:rFonts w:ascii="Calibri" w:hAnsi="Calibri" w:cs="Calibri"/>
          <w:sz w:val="28"/>
          <w:szCs w:val="28"/>
        </w:rPr>
        <w:t>A Critical Comparison of Two Secondary Sources</w:t>
      </w:r>
    </w:p>
    <w:p w:rsidR="006D3977" w:rsidRDefault="006D3977" w:rsidP="006D3977">
      <w:pPr>
        <w:rPr>
          <w:rFonts w:cs="Calibri"/>
          <w:sz w:val="22"/>
          <w:szCs w:val="22"/>
        </w:rPr>
      </w:pPr>
      <w:r>
        <w:rPr>
          <w:rFonts w:cs="Calibri"/>
          <w:sz w:val="22"/>
          <w:szCs w:val="22"/>
        </w:rPr>
        <w:t xml:space="preserve"> </w:t>
      </w:r>
    </w:p>
    <w:p w:rsidR="006D3977" w:rsidRDefault="006D3977" w:rsidP="006D3977">
      <w:r>
        <w:rPr>
          <w:rFonts w:ascii="Calibri" w:hAnsi="Calibri" w:cs="Calibri"/>
          <w:sz w:val="22"/>
          <w:szCs w:val="22"/>
        </w:rPr>
        <w:t>This essay critically compares and contrasts two JSTOR papers. The two papers chosen are Michelle Pfeffer’s historiographical review, 'Reassessing the Marginalization of Astrology in the Early Modern World,' published in 2023,</w:t>
      </w:r>
      <w:r>
        <w:rPr>
          <w:rStyle w:val="FootnoteReference"/>
          <w:rFonts w:ascii="Calibri" w:hAnsi="Calibri" w:cs="Calibri"/>
          <w:sz w:val="22"/>
          <w:szCs w:val="22"/>
        </w:rPr>
        <w:footnoteReference w:id="1"/>
      </w:r>
      <w:r>
        <w:rPr>
          <w:rFonts w:ascii="Calibri" w:hAnsi="Calibri" w:cs="Calibri"/>
          <w:sz w:val="22"/>
          <w:szCs w:val="22"/>
        </w:rPr>
        <w:t xml:space="preserve"> and French Roger’s paper, 'Foretelling the Future: Arabic Astrology and English Medicine in the Late Twelfth Century,' published by in 1996.</w:t>
      </w:r>
      <w:r>
        <w:rPr>
          <w:rStyle w:val="FootnoteReference"/>
          <w:rFonts w:ascii="Calibri" w:hAnsi="Calibri" w:cs="Calibri"/>
          <w:sz w:val="22"/>
          <w:szCs w:val="22"/>
        </w:rPr>
        <w:footnoteReference w:id="2"/>
      </w:r>
    </w:p>
    <w:p w:rsidR="006D3977" w:rsidRDefault="006D3977" w:rsidP="006D3977">
      <w:r>
        <w:rPr>
          <w:rFonts w:ascii="Calibri" w:hAnsi="Calibri" w:cs="Calibri"/>
          <w:color w:val="000000"/>
          <w:sz w:val="22"/>
          <w:szCs w:val="22"/>
        </w:rPr>
        <w:t>The first two parts of this paper aim to present evidence that astrology—an important field within the cultural context of societies, ‘closely tied to medicine’</w:t>
      </w:r>
      <w:r>
        <w:rPr>
          <w:rStyle w:val="FootnoteReference"/>
          <w:rFonts w:ascii="Calibri" w:hAnsi="Calibri" w:cs="Calibri"/>
          <w:color w:val="000000"/>
          <w:sz w:val="22"/>
          <w:szCs w:val="22"/>
        </w:rPr>
        <w:footnoteReference w:id="3"/>
      </w:r>
      <w:r>
        <w:rPr>
          <w:rFonts w:ascii="Calibri" w:hAnsi="Calibri" w:cs="Calibri"/>
          <w:color w:val="000000"/>
          <w:sz w:val="22"/>
          <w:szCs w:val="22"/>
        </w:rPr>
        <w:t>—and its shifting roles in culture are two common themes. The last two paragraphs of this essay deal with contrasting perspectives on astrology’s standing, analysing the time and context of the historical content as well as the methodology and structure.</w:t>
      </w:r>
    </w:p>
    <w:p w:rsidR="006D3977" w:rsidRDefault="006D3977" w:rsidP="006D3977">
      <w:pPr>
        <w:rPr>
          <w:rFonts w:ascii="Calibri" w:hAnsi="Calibri" w:cs="Calibri"/>
          <w:color w:val="000000"/>
          <w:sz w:val="22"/>
          <w:szCs w:val="22"/>
        </w:rPr>
      </w:pPr>
    </w:p>
    <w:p w:rsidR="006D3977" w:rsidRDefault="006D3977" w:rsidP="006D3977">
      <w:pPr>
        <w:rPr>
          <w:rFonts w:ascii="Calibri" w:hAnsi="Calibri" w:cs="Calibri"/>
          <w:sz w:val="22"/>
          <w:szCs w:val="22"/>
          <w:lang w:eastAsia="en-GB"/>
        </w:rPr>
      </w:pPr>
      <w:r>
        <w:rPr>
          <w:rFonts w:ascii="Calibri" w:hAnsi="Calibri" w:cs="Calibri"/>
          <w:sz w:val="22"/>
          <w:szCs w:val="22"/>
        </w:rPr>
        <w:t xml:space="preserve">The main aim of both papers was to explore the historical and intellectual context in which astrology has been perceived and practised. </w:t>
      </w:r>
      <w:r>
        <w:rPr>
          <w:rFonts w:ascii="Calibri" w:hAnsi="Calibri" w:cs="Calibri"/>
          <w:color w:val="171717"/>
          <w:sz w:val="22"/>
          <w:szCs w:val="22"/>
        </w:rPr>
        <w:t>Michelle Pfeffer, an early modern historian who specialised in the history of science, religion, and scholarship, expresses a real interest in the history of astrology in the early modern world.</w:t>
      </w:r>
      <w:r>
        <w:rPr>
          <w:rStyle w:val="FootnoteReference"/>
          <w:rFonts w:ascii="Calibri" w:hAnsi="Calibri" w:cs="Calibri"/>
          <w:color w:val="171717"/>
          <w:sz w:val="22"/>
          <w:szCs w:val="22"/>
        </w:rPr>
        <w:footnoteReference w:id="4"/>
      </w:r>
      <w:r>
        <w:rPr>
          <w:rFonts w:ascii="Calibri" w:hAnsi="Calibri" w:cs="Calibri"/>
          <w:color w:val="171717"/>
          <w:sz w:val="22"/>
          <w:szCs w:val="22"/>
        </w:rPr>
        <w:t xml:space="preserve"> In the above article, she argued that the downplaying of astrology—a discipline that once played a significant role in European culture, especially in universities—should be reviewed through the lenses of the recent paradigm shift of intellectual ideas. Therefore, she advocated for an appraisal of the intellectual legitimacy of astrology, providing examples of how scholarship from the last fifteen years leading up to the article has demonstrated a ‘(re-)turn to intellectual history.’</w:t>
      </w:r>
      <w:r>
        <w:rPr>
          <w:rStyle w:val="FootnoteReference"/>
          <w:rFonts w:ascii="Calibri" w:hAnsi="Calibri" w:cs="Calibri"/>
          <w:color w:val="171717"/>
          <w:sz w:val="22"/>
          <w:szCs w:val="22"/>
        </w:rPr>
        <w:footnoteReference w:id="5"/>
      </w:r>
      <w:r>
        <w:rPr>
          <w:rFonts w:ascii="Calibri" w:hAnsi="Calibri" w:cs="Calibri"/>
          <w:color w:val="171717"/>
          <w:sz w:val="22"/>
          <w:szCs w:val="22"/>
        </w:rPr>
        <w:t xml:space="preserve"> One of the key intents of Pfeffer’s review was to examine the new insights related to the rejection of a field that once played a prominent role in shaping the pre-modern world. By doing this, the author discussed the scepticism towards astrology whilst recalling its interplay with many academic fields, such as medicine. She wrote that ‘astrology had long functioned as a handmaiden to medicine providing optional guidance for determining diagnoses, prognoses and treatments.’</w:t>
      </w:r>
      <w:r>
        <w:rPr>
          <w:rStyle w:val="FootnoteReference"/>
          <w:rFonts w:ascii="Calibri" w:hAnsi="Calibri" w:cs="Calibri"/>
          <w:color w:val="171717"/>
          <w:sz w:val="22"/>
          <w:szCs w:val="22"/>
        </w:rPr>
        <w:footnoteReference w:id="6"/>
      </w:r>
      <w:r>
        <w:rPr>
          <w:rFonts w:ascii="Calibri" w:hAnsi="Calibri" w:cs="Calibri"/>
          <w:color w:val="171717"/>
          <w:sz w:val="22"/>
          <w:szCs w:val="22"/>
        </w:rPr>
        <w:t xml:space="preserve"> A similar idea was expressed in the work of </w:t>
      </w:r>
      <w:r>
        <w:rPr>
          <w:rFonts w:ascii="Calibri" w:hAnsi="Calibri" w:cs="Calibri"/>
          <w:sz w:val="22"/>
          <w:szCs w:val="22"/>
          <w:lang w:eastAsia="en-GB"/>
        </w:rPr>
        <w:t>Roger Kenneth French—an esteemed English medical historian renowned for his expertise in Medieval and Renaissance medical history—who served as a University Lecturer at the University of Cambridge.’</w:t>
      </w:r>
      <w:r>
        <w:rPr>
          <w:rStyle w:val="FootnoteReference"/>
          <w:rFonts w:ascii="Calibri" w:hAnsi="Calibri" w:cs="Calibri"/>
          <w:sz w:val="22"/>
          <w:szCs w:val="22"/>
          <w:lang w:eastAsia="en-GB"/>
        </w:rPr>
        <w:footnoteReference w:id="7"/>
      </w:r>
      <w:r>
        <w:rPr>
          <w:rFonts w:ascii="Calibri" w:hAnsi="Calibri" w:cs="Calibri"/>
          <w:sz w:val="22"/>
          <w:szCs w:val="22"/>
          <w:lang w:eastAsia="en-GB"/>
        </w:rPr>
        <w:t xml:space="preserve"> The article discussed in this essay directed particular attention to medical astrology as a predictive technique. The author used comprehensive historical evidence to emphasise the work of Roger of Hereford, its cultural context and legacy. He also introduced the case of William of England, whose ‘view of astrology as a higher study is what Roger had offered to medicine in setting it above all arts.’</w:t>
      </w:r>
      <w:r>
        <w:rPr>
          <w:rStyle w:val="FootnoteReference"/>
          <w:rFonts w:ascii="Calibri" w:hAnsi="Calibri" w:cs="Calibri"/>
          <w:sz w:val="22"/>
          <w:szCs w:val="22"/>
          <w:lang w:eastAsia="en-GB"/>
        </w:rPr>
        <w:footnoteReference w:id="8"/>
      </w:r>
      <w:r>
        <w:rPr>
          <w:rFonts w:ascii="Calibri" w:hAnsi="Calibri" w:cs="Calibri"/>
          <w:sz w:val="22"/>
          <w:szCs w:val="22"/>
          <w:lang w:eastAsia="en-GB"/>
        </w:rPr>
        <w:t xml:space="preserve"> Recently, Pfeffer concluded:</w:t>
      </w:r>
    </w:p>
    <w:p w:rsidR="006D3977" w:rsidRDefault="006D3977" w:rsidP="006D3977"/>
    <w:p w:rsidR="006D3977" w:rsidRDefault="006D3977" w:rsidP="006D3977">
      <w:pPr>
        <w:ind w:left="113"/>
      </w:pPr>
      <w:r>
        <w:rPr>
          <w:rFonts w:ascii="Calibri" w:hAnsi="Calibri" w:cs="Calibri"/>
          <w:sz w:val="22"/>
          <w:szCs w:val="22"/>
          <w:lang w:eastAsia="en-GB"/>
        </w:rPr>
        <w:t xml:space="preserve"> </w:t>
      </w:r>
      <w:r>
        <w:rPr>
          <w:rFonts w:ascii="Calibri" w:hAnsi="Calibri" w:cs="Calibri"/>
          <w:sz w:val="20"/>
          <w:szCs w:val="20"/>
          <w:lang w:eastAsia="en-GB"/>
        </w:rPr>
        <w:t>Sitting at the intersection of medicine and mathematics, astrology was once a promising methodology for monitoring and managing the health of the people, even if it was ultimately a path not taken</w:t>
      </w:r>
      <w:r>
        <w:rPr>
          <w:rFonts w:ascii="Calibri" w:hAnsi="Calibri" w:cs="Calibri"/>
          <w:sz w:val="22"/>
          <w:szCs w:val="22"/>
          <w:lang w:eastAsia="en-GB"/>
        </w:rPr>
        <w:t>.</w:t>
      </w:r>
      <w:r>
        <w:rPr>
          <w:rStyle w:val="FootnoteReference"/>
          <w:rFonts w:ascii="Calibri" w:hAnsi="Calibri" w:cs="Calibri"/>
          <w:sz w:val="22"/>
          <w:szCs w:val="22"/>
          <w:lang w:eastAsia="en-GB"/>
        </w:rPr>
        <w:footnoteReference w:id="9"/>
      </w:r>
    </w:p>
    <w:p w:rsidR="006D3977" w:rsidRDefault="006D3977" w:rsidP="006D3977">
      <w:pPr>
        <w:ind w:left="113"/>
      </w:pPr>
    </w:p>
    <w:p w:rsidR="006D3977" w:rsidRDefault="006D3977" w:rsidP="006D3977">
      <w:pPr>
        <w:rPr>
          <w:rFonts w:ascii="Calibri" w:hAnsi="Calibri" w:cs="Calibri"/>
          <w:sz w:val="22"/>
          <w:szCs w:val="22"/>
          <w:lang w:eastAsia="en-GB"/>
        </w:rPr>
      </w:pPr>
      <w:r>
        <w:rPr>
          <w:rFonts w:ascii="Calibri" w:hAnsi="Calibri" w:cs="Calibri"/>
          <w:sz w:val="22"/>
          <w:szCs w:val="22"/>
          <w:lang w:eastAsia="en-GB"/>
        </w:rPr>
        <w:lastRenderedPageBreak/>
        <w:t>This demonstrates that astrological medicine held a significant role in the cultural context of societies and also introduces the idea of a different course being followed.</w:t>
      </w:r>
    </w:p>
    <w:p w:rsidR="006D3977" w:rsidRDefault="006D3977" w:rsidP="006D3977">
      <w:pPr>
        <w:rPr>
          <w:rFonts w:ascii="Calibri" w:hAnsi="Calibri" w:cs="Calibri"/>
          <w:sz w:val="22"/>
          <w:szCs w:val="22"/>
          <w:lang w:eastAsia="en-GB"/>
        </w:rPr>
      </w:pPr>
    </w:p>
    <w:p w:rsidR="006D3977" w:rsidRDefault="006D3977" w:rsidP="006D3977">
      <w:r>
        <w:rPr>
          <w:rFonts w:ascii="Calibri" w:hAnsi="Calibri" w:cs="Calibri"/>
          <w:sz w:val="22"/>
          <w:szCs w:val="22"/>
        </w:rPr>
        <w:t xml:space="preserve">The elimination of astrology from the learned culture represents another common theme. Authors R. </w:t>
      </w:r>
      <w:proofErr w:type="spellStart"/>
      <w:r>
        <w:rPr>
          <w:rFonts w:ascii="Calibri" w:hAnsi="Calibri" w:cs="Calibri"/>
          <w:sz w:val="22"/>
          <w:szCs w:val="22"/>
        </w:rPr>
        <w:t>Vermij</w:t>
      </w:r>
      <w:proofErr w:type="spellEnd"/>
      <w:r>
        <w:rPr>
          <w:rFonts w:ascii="Calibri" w:hAnsi="Calibri" w:cs="Calibri"/>
          <w:sz w:val="22"/>
          <w:szCs w:val="22"/>
        </w:rPr>
        <w:t xml:space="preserve"> and H. Hirai proposed the concept ‘marginalization of astrology’</w:t>
      </w:r>
      <w:r>
        <w:rPr>
          <w:rStyle w:val="FootnoteReference"/>
          <w:rFonts w:ascii="Calibri" w:hAnsi="Calibri" w:cs="Calibri"/>
          <w:sz w:val="22"/>
          <w:szCs w:val="22"/>
        </w:rPr>
        <w:footnoteReference w:id="10"/>
      </w:r>
      <w:r>
        <w:rPr>
          <w:rFonts w:ascii="Calibri" w:hAnsi="Calibri" w:cs="Calibri"/>
          <w:sz w:val="22"/>
          <w:szCs w:val="22"/>
        </w:rPr>
        <w:t xml:space="preserve"> as a description of the move that occurred in the early modern world across scientific societies, which thus led to a gradual decline of the system. According to Pfeffer’s text, the shift in intellectual ideas, religious thought and public life that started in the seventeenth century not only reflected the complexity of cultural transformation but also demonstrated how astrology, once a ‘rich scholarly field and a highly skilled trade’</w:t>
      </w:r>
      <w:r>
        <w:rPr>
          <w:rStyle w:val="FootnoteReference"/>
          <w:rFonts w:ascii="Calibri" w:hAnsi="Calibri" w:cs="Calibri"/>
          <w:sz w:val="22"/>
          <w:szCs w:val="22"/>
        </w:rPr>
        <w:footnoteReference w:id="11"/>
      </w:r>
      <w:r>
        <w:rPr>
          <w:rFonts w:ascii="Calibri" w:hAnsi="Calibri" w:cs="Calibri"/>
          <w:sz w:val="22"/>
          <w:szCs w:val="22"/>
        </w:rPr>
        <w:t xml:space="preserve"> was discredited. Her article questioned whether astrology</w:t>
      </w:r>
      <w:r>
        <w:rPr>
          <w:rFonts w:ascii="Calibri" w:hAnsi="Calibri" w:cs="Calibri"/>
          <w:color w:val="171717"/>
          <w:sz w:val="22"/>
          <w:szCs w:val="22"/>
        </w:rPr>
        <w:t xml:space="preserve"> truly declined and highlighted its ongoing influence in cultural realms despite all efforts of scientific, political and religious circles to reject it. The conclusion of Pfeffer’s article suggests that now is an opportune time to value traditional intellectual knowledge by integrating it into modern academic perspectives on the past. Similarly, Robert French explored the idea of astrology in relation to other developing disciplines, raising concern that ‘the technical complexity of </w:t>
      </w:r>
      <w:r w:rsidRPr="0025055D">
        <w:rPr>
          <w:rFonts w:ascii="Calibri" w:hAnsi="Calibri" w:cs="Calibri"/>
          <w:color w:val="171717"/>
          <w:sz w:val="22"/>
          <w:szCs w:val="22"/>
        </w:rPr>
        <w:t>judicial astrology</w:t>
      </w:r>
      <w:r>
        <w:rPr>
          <w:rFonts w:ascii="Calibri" w:hAnsi="Calibri" w:cs="Calibri"/>
          <w:color w:val="171717"/>
          <w:sz w:val="22"/>
          <w:szCs w:val="22"/>
        </w:rPr>
        <w:t xml:space="preserve"> may have ‘prevented doctors from taking full advantage of it.’</w:t>
      </w:r>
      <w:r>
        <w:rPr>
          <w:rStyle w:val="FootnoteReference"/>
          <w:rFonts w:ascii="Calibri" w:hAnsi="Calibri" w:cs="Calibri"/>
          <w:color w:val="171717"/>
          <w:sz w:val="22"/>
          <w:szCs w:val="22"/>
        </w:rPr>
        <w:footnoteReference w:id="12"/>
      </w:r>
      <w:r>
        <w:rPr>
          <w:rFonts w:ascii="Calibri" w:hAnsi="Calibri" w:cs="Calibri"/>
          <w:color w:val="171717"/>
          <w:sz w:val="22"/>
          <w:szCs w:val="22"/>
        </w:rPr>
        <w:t xml:space="preserve"> As a result, the limitations caused by empirical knowledge, together with cultural influences, could contribute to a decreased use of astrological medicine as a powerful foretelling tool. Historian Dawson conveyed that ‘Prediction was perilously ambiguous.’</w:t>
      </w:r>
      <w:r>
        <w:rPr>
          <w:rStyle w:val="FootnoteReference"/>
          <w:rFonts w:ascii="Calibri" w:hAnsi="Calibri" w:cs="Calibri"/>
          <w:color w:val="171717"/>
          <w:sz w:val="22"/>
          <w:szCs w:val="22"/>
        </w:rPr>
        <w:footnoteReference w:id="13"/>
      </w:r>
      <w:r>
        <w:rPr>
          <w:rFonts w:ascii="Calibri" w:hAnsi="Calibri" w:cs="Calibri"/>
          <w:color w:val="171717"/>
          <w:sz w:val="22"/>
          <w:szCs w:val="22"/>
        </w:rPr>
        <w:t xml:space="preserve"> </w:t>
      </w:r>
    </w:p>
    <w:p w:rsidR="006D3977" w:rsidRDefault="006D3977" w:rsidP="006D3977">
      <w:pPr>
        <w:rPr>
          <w:rFonts w:ascii="Calibri" w:hAnsi="Calibri" w:cs="Calibri"/>
          <w:color w:val="171717"/>
          <w:sz w:val="22"/>
          <w:szCs w:val="22"/>
        </w:rPr>
      </w:pPr>
      <w:r>
        <w:rPr>
          <w:rFonts w:ascii="Calibri" w:hAnsi="Calibri" w:cs="Calibri"/>
          <w:color w:val="171717"/>
          <w:sz w:val="22"/>
          <w:szCs w:val="22"/>
        </w:rPr>
        <w:t xml:space="preserve">To conclude the paragraph, astrology’s diminishing threat—the disenchantment with judicial astrology—is not only a common theme of the articles but also a link between cultural cycles.  </w:t>
      </w:r>
    </w:p>
    <w:p w:rsidR="006D3977" w:rsidRDefault="006D3977" w:rsidP="006D3977">
      <w:pPr>
        <w:rPr>
          <w:rFonts w:ascii="Calibri" w:hAnsi="Calibri" w:cs="Calibri"/>
          <w:color w:val="171717"/>
          <w:sz w:val="22"/>
          <w:szCs w:val="22"/>
        </w:rPr>
      </w:pPr>
    </w:p>
    <w:p w:rsidR="006D3977" w:rsidRDefault="006D3977" w:rsidP="006D3977">
      <w:r>
        <w:rPr>
          <w:rFonts w:ascii="Calibri" w:hAnsi="Calibri" w:cs="Calibri"/>
          <w:color w:val="000000"/>
          <w:sz w:val="22"/>
          <w:szCs w:val="22"/>
        </w:rPr>
        <w:t>Focusing on the late twelfth century, French provided evidence that Arabic astrology influenced a period of intellectual inquisitiveness and transformation in English educational institutions, particularly in the development of medicine.</w:t>
      </w:r>
      <w:r>
        <w:rPr>
          <w:rFonts w:ascii="Calibri" w:hAnsi="Calibri" w:cs="Calibri"/>
          <w:sz w:val="22"/>
          <w:szCs w:val="22"/>
        </w:rPr>
        <w:t xml:space="preserve"> </w:t>
      </w:r>
      <w:r>
        <w:rPr>
          <w:rFonts w:ascii="Calibri" w:hAnsi="Calibri" w:cs="Calibri"/>
          <w:color w:val="171717"/>
          <w:sz w:val="22"/>
          <w:szCs w:val="22"/>
        </w:rPr>
        <w:t>During this cultural context, when extensive Arabic and Greek knowledge was implemented into universities’ curricula, astrology was intricately linked to scientific and philosophical ideas.</w:t>
      </w:r>
      <w:r>
        <w:rPr>
          <w:rFonts w:ascii="Calibri" w:hAnsi="Calibri" w:cs="Calibri"/>
          <w:sz w:val="22"/>
          <w:szCs w:val="22"/>
        </w:rPr>
        <w:t xml:space="preserve"> Published in 1996, the text explored the practical application of the newly integrated expertise, especially in prognostication. Furthermore, </w:t>
      </w:r>
      <w:r>
        <w:rPr>
          <w:rFonts w:ascii="Calibri" w:hAnsi="Calibri" w:cs="Calibri"/>
          <w:color w:val="171717"/>
          <w:sz w:val="22"/>
          <w:szCs w:val="22"/>
        </w:rPr>
        <w:t>the historian scrutinized the relationship between astrology and medicine, emphasising their complementary nature, wherein planetary positions significantly influence medical treatment approaches. Nicholas Campion stated ‘</w:t>
      </w:r>
      <w:r>
        <w:rPr>
          <w:rFonts w:ascii="Calibri" w:hAnsi="Calibri" w:cs="Calibri"/>
          <w:sz w:val="22"/>
          <w:szCs w:val="22"/>
        </w:rPr>
        <w:t>It was to be astrology’s medical applications that made it an unavoidable part of medieval Western culture.’</w:t>
      </w:r>
      <w:r>
        <w:rPr>
          <w:rStyle w:val="FootnoteReference"/>
          <w:rFonts w:ascii="Calibri" w:hAnsi="Calibri" w:cs="Calibri"/>
          <w:sz w:val="22"/>
          <w:szCs w:val="22"/>
        </w:rPr>
        <w:footnoteReference w:id="14"/>
      </w:r>
      <w:r>
        <w:rPr>
          <w:rFonts w:ascii="Calibri" w:hAnsi="Calibri" w:cs="Calibri"/>
          <w:sz w:val="22"/>
          <w:szCs w:val="22"/>
        </w:rPr>
        <w:t xml:space="preserve"> This statement supports the idea that astrology was an integral part of medicine during this period.</w:t>
      </w:r>
    </w:p>
    <w:p w:rsidR="006D3977" w:rsidRDefault="006D3977" w:rsidP="006D3977">
      <w:r>
        <w:rPr>
          <w:rFonts w:ascii="Calibri" w:hAnsi="Calibri" w:cs="Calibri"/>
          <w:color w:val="171717"/>
          <w:sz w:val="22"/>
          <w:szCs w:val="22"/>
        </w:rPr>
        <w:t xml:space="preserve">In 2023, Michelle Pfeffer published </w:t>
      </w:r>
      <w:r w:rsidRPr="00AF6457">
        <w:rPr>
          <w:rFonts w:ascii="Calibri" w:hAnsi="Calibri" w:cs="Calibri"/>
          <w:color w:val="171717"/>
          <w:sz w:val="22"/>
          <w:szCs w:val="22"/>
        </w:rPr>
        <w:t>a historical review</w:t>
      </w:r>
      <w:r>
        <w:rPr>
          <w:rFonts w:ascii="Calibri" w:hAnsi="Calibri" w:cs="Calibri"/>
          <w:color w:val="171717"/>
          <w:sz w:val="22"/>
          <w:szCs w:val="22"/>
        </w:rPr>
        <w:t xml:space="preserve"> which investigated the decline of astrology attributed to the influences of two intellectual movements: ‘Scientific Revolution’ and the ‘Enlightenment.’ During the late medieval period in Europe, astrologers were prominent figures in most public institutions, but they became ‘excluded from these spaces’, and ‘astrology was gradually excised from formal university teaching.’</w:t>
      </w:r>
      <w:r>
        <w:rPr>
          <w:rStyle w:val="FootnoteReference"/>
          <w:rFonts w:ascii="Calibri" w:hAnsi="Calibri" w:cs="Calibri"/>
          <w:color w:val="171717"/>
          <w:sz w:val="22"/>
          <w:szCs w:val="22"/>
        </w:rPr>
        <w:footnoteReference w:id="15"/>
      </w:r>
      <w:r>
        <w:rPr>
          <w:rFonts w:ascii="Calibri" w:hAnsi="Calibri" w:cs="Calibri"/>
          <w:color w:val="171717"/>
          <w:sz w:val="22"/>
          <w:szCs w:val="22"/>
        </w:rPr>
        <w:t xml:space="preserve"> Over the past three to four centuries, astrology has experienced a decline in prestige.</w:t>
      </w:r>
      <w:r>
        <w:rPr>
          <w:rFonts w:cs="Calibri"/>
          <w:color w:val="171717"/>
          <w:sz w:val="22"/>
          <w:szCs w:val="22"/>
        </w:rPr>
        <w:t xml:space="preserve"> However, the recent rebound of popular and psychological forms is merely of superficial significance when compared to its more profound role. In </w:t>
      </w:r>
      <w:r>
        <w:rPr>
          <w:rFonts w:cs="Calibri"/>
          <w:sz w:val="22"/>
          <w:szCs w:val="22"/>
        </w:rPr>
        <w:t xml:space="preserve">Nicholas Campion’s opinion, ‘Astrology quite clearly has an enduring appeal…This much is evident from its </w:t>
      </w:r>
      <w:r>
        <w:rPr>
          <w:rFonts w:ascii="Calibri" w:hAnsi="Calibri" w:cs="Calibri"/>
          <w:sz w:val="22"/>
          <w:szCs w:val="22"/>
        </w:rPr>
        <w:t>survival.’</w:t>
      </w:r>
      <w:r>
        <w:rPr>
          <w:rStyle w:val="FootnoteReference"/>
          <w:rFonts w:ascii="Calibri" w:hAnsi="Calibri" w:cs="Calibri"/>
          <w:sz w:val="22"/>
          <w:szCs w:val="22"/>
        </w:rPr>
        <w:footnoteReference w:id="16"/>
      </w:r>
      <w:r>
        <w:rPr>
          <w:rFonts w:ascii="Calibri" w:hAnsi="Calibri" w:cs="Calibri"/>
          <w:color w:val="171717"/>
          <w:sz w:val="22"/>
          <w:szCs w:val="22"/>
        </w:rPr>
        <w:t xml:space="preserve">According to </w:t>
      </w:r>
      <w:r>
        <w:rPr>
          <w:rFonts w:ascii="Calibri" w:hAnsi="Calibri" w:cs="Calibri"/>
          <w:color w:val="000000"/>
          <w:sz w:val="22"/>
          <w:szCs w:val="22"/>
        </w:rPr>
        <w:t xml:space="preserve">Richard </w:t>
      </w:r>
      <w:proofErr w:type="spellStart"/>
      <w:r>
        <w:rPr>
          <w:rFonts w:ascii="Calibri" w:hAnsi="Calibri" w:cs="Calibri"/>
          <w:color w:val="000000"/>
          <w:sz w:val="22"/>
          <w:szCs w:val="22"/>
        </w:rPr>
        <w:t>Tarnas</w:t>
      </w:r>
      <w:proofErr w:type="spellEnd"/>
      <w:r>
        <w:rPr>
          <w:rFonts w:ascii="Calibri" w:hAnsi="Calibri" w:cs="Calibri"/>
          <w:color w:val="000000"/>
          <w:sz w:val="22"/>
          <w:szCs w:val="22"/>
        </w:rPr>
        <w:t>, a cultural historian and astrologer,</w:t>
      </w:r>
      <w:r>
        <w:rPr>
          <w:rFonts w:ascii="Calibri" w:hAnsi="Calibri" w:cs="Calibri"/>
          <w:color w:val="171717"/>
          <w:sz w:val="22"/>
          <w:szCs w:val="22"/>
        </w:rPr>
        <w:t xml:space="preserve"> </w:t>
      </w:r>
      <w:r>
        <w:rPr>
          <w:rFonts w:ascii="Calibri" w:hAnsi="Calibri" w:cs="Calibri"/>
          <w:color w:val="000000"/>
          <w:sz w:val="22"/>
          <w:szCs w:val="22"/>
        </w:rPr>
        <w:t xml:space="preserve">‘the twentieth century’s </w:t>
      </w:r>
      <w:r>
        <w:rPr>
          <w:rFonts w:ascii="Calibri" w:hAnsi="Calibri" w:cs="Calibri"/>
          <w:color w:val="000000"/>
          <w:sz w:val="22"/>
          <w:szCs w:val="22"/>
        </w:rPr>
        <w:lastRenderedPageBreak/>
        <w:t>massive and radical breakdown of so many structures … suggests the necessary deconstruction prior to a new birth.’</w:t>
      </w:r>
      <w:r>
        <w:rPr>
          <w:rStyle w:val="FootnoteReference"/>
          <w:rFonts w:ascii="Calibri" w:hAnsi="Calibri" w:cs="Calibri"/>
          <w:color w:val="000000"/>
          <w:sz w:val="22"/>
          <w:szCs w:val="22"/>
        </w:rPr>
        <w:footnoteReference w:id="17"/>
      </w:r>
      <w:r>
        <w:rPr>
          <w:rFonts w:ascii="Calibri" w:hAnsi="Calibri" w:cs="Calibri"/>
          <w:color w:val="000000"/>
          <w:sz w:val="22"/>
          <w:szCs w:val="22"/>
        </w:rPr>
        <w:t xml:space="preserve"> </w:t>
      </w:r>
    </w:p>
    <w:p w:rsidR="006D3977" w:rsidRDefault="006D3977" w:rsidP="006D3977">
      <w:r>
        <w:rPr>
          <w:rFonts w:ascii="Calibri" w:hAnsi="Calibri" w:cs="Calibri"/>
          <w:color w:val="000000"/>
          <w:sz w:val="22"/>
          <w:szCs w:val="22"/>
        </w:rPr>
        <w:t xml:space="preserve">Despite the fact that </w:t>
      </w:r>
      <w:r>
        <w:rPr>
          <w:rFonts w:ascii="Calibri" w:hAnsi="Calibri" w:cs="Calibri"/>
          <w:color w:val="171717"/>
          <w:sz w:val="22"/>
          <w:szCs w:val="22"/>
        </w:rPr>
        <w:t>both articles have explored the idea of astrology as a sophisticated subject— drastically impacted by the transformation of intellectual frameworks—evidence in French’s article positioned medical astrology on a path to expansion.  On the contrary, Pfeffer’s article argued that the apparent loss of respectability and influence occurred on a superficial level, noting that astrology ‘still has the ability to make significant contributions.’</w:t>
      </w:r>
      <w:r>
        <w:rPr>
          <w:rStyle w:val="FootnoteReference"/>
          <w:rFonts w:ascii="Calibri" w:hAnsi="Calibri" w:cs="Calibri"/>
          <w:color w:val="171717"/>
          <w:sz w:val="22"/>
          <w:szCs w:val="22"/>
        </w:rPr>
        <w:footnoteReference w:id="18"/>
      </w:r>
      <w:r>
        <w:rPr>
          <w:rFonts w:ascii="Calibri" w:hAnsi="Calibri" w:cs="Calibri"/>
          <w:color w:val="171717"/>
          <w:sz w:val="22"/>
          <w:szCs w:val="22"/>
        </w:rPr>
        <w:t xml:space="preserve"> Although astrology was actually marginalized, the evidence from secondary sources suggests that it never lost influence completely.  </w:t>
      </w:r>
    </w:p>
    <w:p w:rsidR="006D3977" w:rsidRDefault="006D3977" w:rsidP="006D3977">
      <w:pPr>
        <w:rPr>
          <w:rFonts w:ascii="Calibri" w:hAnsi="Calibri" w:cs="Calibri"/>
          <w:color w:val="171717"/>
          <w:sz w:val="22"/>
          <w:szCs w:val="22"/>
        </w:rPr>
      </w:pPr>
    </w:p>
    <w:p w:rsidR="006D3977" w:rsidRDefault="006D3977" w:rsidP="006D3977">
      <w:r>
        <w:rPr>
          <w:rFonts w:ascii="Calibri" w:hAnsi="Calibri" w:cs="Calibri"/>
          <w:color w:val="171717"/>
          <w:sz w:val="22"/>
          <w:szCs w:val="22"/>
        </w:rPr>
        <w:t>Even though both texts</w:t>
      </w:r>
      <w:r>
        <w:rPr>
          <w:rFonts w:ascii="Calibri" w:hAnsi="Calibri" w:cs="Calibri"/>
          <w:color w:val="000000"/>
          <w:sz w:val="22"/>
          <w:szCs w:val="22"/>
        </w:rPr>
        <w:t xml:space="preserve"> are relevant to the history of astrology, the authors conducted their research with different focuses and methodologies. While Pfeffer chose a research topic that examines the marginalisation of astrology from a revisionist perspective, French analysed the historical development of medieval astrological medicine, emphasising its practicality and legacy. To support their research, b</w:t>
      </w:r>
      <w:r>
        <w:rPr>
          <w:rFonts w:ascii="Calibri" w:hAnsi="Calibri" w:cs="Calibri"/>
          <w:sz w:val="22"/>
          <w:szCs w:val="22"/>
        </w:rPr>
        <w:t>oth historians used a considerable number of relevant sources. French heavily analysed a variety of primary texts consisting of published writings from early modern scholars, including examples from medical astrology and the work of prominent figures like Ptolemy and Galen.</w:t>
      </w:r>
      <w:r>
        <w:rPr>
          <w:rFonts w:ascii="Calibri" w:hAnsi="Calibri" w:cs="Calibri"/>
          <w:color w:val="171717"/>
          <w:sz w:val="22"/>
          <w:szCs w:val="22"/>
        </w:rPr>
        <w:t xml:space="preserve"> </w:t>
      </w:r>
      <w:r>
        <w:rPr>
          <w:rFonts w:ascii="Calibri" w:hAnsi="Calibri" w:cs="Calibri"/>
          <w:sz w:val="22"/>
          <w:szCs w:val="22"/>
        </w:rPr>
        <w:t xml:space="preserve">By contrast, Pfeffer used more diverse sources—mainly secondary—including significant intellectual texts such as theses, journals, and her personal research. Therefore, she was able to construct the case studies as part of a broader narrative of intellectual transformation, which aimed to explore such a complex topic as the marginalisation of astrology. </w:t>
      </w:r>
    </w:p>
    <w:p w:rsidR="006D3977" w:rsidRDefault="006D3977" w:rsidP="006D3977">
      <w:r>
        <w:rPr>
          <w:rFonts w:ascii="Calibri" w:hAnsi="Calibri" w:cs="Calibri"/>
          <w:sz w:val="22"/>
          <w:szCs w:val="22"/>
        </w:rPr>
        <w:t>With reference to the structure, there are also differences between the two papers. On one hand, French’s work has the features of a historical report followed by two appendices. The article features technical terminology pertaining to astrology and anatomy, making it ideal for scholars. On the other hand,</w:t>
      </w:r>
      <w:r>
        <w:rPr>
          <w:rFonts w:ascii="Calibri" w:hAnsi="Calibri" w:cs="Calibri"/>
          <w:color w:val="171717"/>
          <w:sz w:val="22"/>
          <w:szCs w:val="22"/>
        </w:rPr>
        <w:t xml:space="preserve"> Pfeffer’s text is a critical historiographical review, challenging the narrative of intellectual history. It opens with an abstract followed by four parts, the last part ending with a brief conclusion. </w:t>
      </w:r>
      <w:r>
        <w:rPr>
          <w:rFonts w:ascii="Calibri" w:eastAsia="Times New Roman" w:hAnsi="Calibri" w:cs="Calibri"/>
          <w:sz w:val="22"/>
          <w:szCs w:val="22"/>
          <w:lang w:eastAsia="en-GB"/>
        </w:rPr>
        <w:t>The</w:t>
      </w:r>
      <w:r>
        <w:rPr>
          <w:rFonts w:ascii="Calibri" w:eastAsia="Times New Roman" w:hAnsi="Calibri" w:cs="Calibri"/>
          <w:color w:val="FF0000"/>
          <w:sz w:val="22"/>
          <w:szCs w:val="22"/>
          <w:lang w:eastAsia="en-GB"/>
        </w:rPr>
        <w:t xml:space="preserve"> </w:t>
      </w:r>
      <w:r>
        <w:rPr>
          <w:rFonts w:ascii="Calibri" w:hAnsi="Calibri" w:cs="Calibri"/>
          <w:color w:val="171717"/>
          <w:sz w:val="22"/>
          <w:szCs w:val="22"/>
        </w:rPr>
        <w:t xml:space="preserve">study provides valuable insights for those interested in the complexities of approaching astrology and the shift in perspectives over time. The difference in the structure of the two papers is determined by the authors’ approaches to the historical quest. </w:t>
      </w:r>
      <w:r>
        <w:rPr>
          <w:rFonts w:ascii="Calibri" w:hAnsi="Calibri" w:cs="Calibri"/>
          <w:i/>
          <w:iCs/>
          <w:color w:val="171717"/>
          <w:sz w:val="22"/>
          <w:szCs w:val="22"/>
        </w:rPr>
        <w:t xml:space="preserve">Foretelling </w:t>
      </w:r>
      <w:r>
        <w:rPr>
          <w:rFonts w:ascii="Calibri" w:hAnsi="Calibri" w:cs="Calibri"/>
          <w:color w:val="171717"/>
          <w:sz w:val="22"/>
          <w:szCs w:val="22"/>
        </w:rPr>
        <w:t xml:space="preserve">was concerned with the growth of the European tradition of medical theory, especially medical astrology as a predictive technique. On the contrary, </w:t>
      </w:r>
      <w:r>
        <w:rPr>
          <w:rFonts w:ascii="Calibri" w:hAnsi="Calibri" w:cs="Calibri"/>
          <w:i/>
          <w:iCs/>
          <w:color w:val="171717"/>
          <w:sz w:val="22"/>
          <w:szCs w:val="22"/>
        </w:rPr>
        <w:t xml:space="preserve">Reassessing </w:t>
      </w:r>
      <w:r>
        <w:rPr>
          <w:rFonts w:ascii="Calibri" w:hAnsi="Calibri" w:cs="Calibri"/>
          <w:color w:val="171717"/>
          <w:sz w:val="22"/>
          <w:szCs w:val="22"/>
        </w:rPr>
        <w:t xml:space="preserve">investigated and re-evaluated the function of astrology across varied geographical and institutional contexts. </w:t>
      </w:r>
    </w:p>
    <w:p w:rsidR="006D3977" w:rsidRDefault="006D3977" w:rsidP="006D3977">
      <w:pPr>
        <w:rPr>
          <w:rFonts w:ascii="Calibri" w:hAnsi="Calibri" w:cs="Calibri"/>
          <w:color w:val="171717"/>
          <w:sz w:val="22"/>
          <w:szCs w:val="22"/>
        </w:rPr>
      </w:pPr>
    </w:p>
    <w:p w:rsidR="006D3977" w:rsidRDefault="006D3977" w:rsidP="006D3977">
      <w:r>
        <w:rPr>
          <w:rFonts w:ascii="Calibri" w:hAnsi="Calibri" w:cs="Calibri"/>
          <w:sz w:val="22"/>
          <w:szCs w:val="22"/>
        </w:rPr>
        <w:t>In conclusion,</w:t>
      </w:r>
      <w:r>
        <w:rPr>
          <w:rFonts w:ascii="Calibri" w:hAnsi="Calibri" w:cs="Calibri"/>
          <w:color w:val="000000"/>
          <w:sz w:val="22"/>
          <w:szCs w:val="22"/>
        </w:rPr>
        <w:t xml:space="preserve"> both articles examined the idea of astrology as an important field in society, supported by well-documented evidence about its place in medieval and modern times. The interpretation is that astrology changed its role in society from medieval to modern times. From Pfeffer’s perspective, the decline was a more nuanced process than often depicted, requiring a reform of its implications within the scientific and cultural advancements of Early Modern Europe. As far as French was concerned, astrology had a significant role in shaping medieval scholarly thought, especially through its application in the medical field, where it was embodied as a powerful predictive tool. Both articles were very well-structured and thoroughly documented. Due to the amount of technical jargon, French’s text requires a professional background in astrology and anatomy. His report was based on the work of Roger of Hereford—the scholar associated with The Cathedral School at Hereford—whose contribution to the field of medical astrology raised the standard of this study to a level ‘above all arts,’</w:t>
      </w:r>
      <w:r>
        <w:rPr>
          <w:rStyle w:val="FootnoteReference"/>
          <w:rFonts w:ascii="Calibri" w:hAnsi="Calibri" w:cs="Calibri"/>
          <w:color w:val="000000"/>
          <w:sz w:val="22"/>
          <w:szCs w:val="22"/>
        </w:rPr>
        <w:footnoteReference w:id="19"/>
      </w:r>
      <w:r>
        <w:rPr>
          <w:rFonts w:ascii="Calibri" w:hAnsi="Calibri" w:cs="Calibri"/>
          <w:color w:val="000000"/>
          <w:sz w:val="22"/>
          <w:szCs w:val="22"/>
        </w:rPr>
        <w:t xml:space="preserve">  and set the basis for its future potential. Pfeffer’s review encased the whole argument in the narrative about the astrologer Carlos de </w:t>
      </w:r>
      <w:proofErr w:type="spellStart"/>
      <w:r>
        <w:rPr>
          <w:rFonts w:ascii="Calibri" w:hAnsi="Calibri" w:cs="Calibri"/>
          <w:color w:val="000000"/>
          <w:sz w:val="22"/>
          <w:szCs w:val="22"/>
        </w:rPr>
        <w:t>Siguenza</w:t>
      </w:r>
      <w:proofErr w:type="spellEnd"/>
      <w:r>
        <w:rPr>
          <w:rFonts w:ascii="Calibri" w:hAnsi="Calibri" w:cs="Calibri"/>
          <w:color w:val="000000"/>
          <w:sz w:val="22"/>
          <w:szCs w:val="22"/>
        </w:rPr>
        <w:t xml:space="preserve"> y Gongora. She discussed the ‘</w:t>
      </w:r>
      <w:proofErr w:type="gramStart"/>
      <w:r>
        <w:rPr>
          <w:rFonts w:ascii="Calibri" w:hAnsi="Calibri" w:cs="Calibri"/>
          <w:color w:val="000000"/>
          <w:sz w:val="22"/>
          <w:szCs w:val="22"/>
        </w:rPr>
        <w:t>one hundred and eighty degree</w:t>
      </w:r>
      <w:proofErr w:type="gramEnd"/>
      <w:r>
        <w:rPr>
          <w:rFonts w:ascii="Calibri" w:hAnsi="Calibri" w:cs="Calibri"/>
          <w:color w:val="000000"/>
          <w:sz w:val="22"/>
          <w:szCs w:val="22"/>
        </w:rPr>
        <w:t xml:space="preserve"> turn’</w:t>
      </w:r>
      <w:r>
        <w:rPr>
          <w:rStyle w:val="FootnoteReference"/>
          <w:rFonts w:ascii="Calibri" w:hAnsi="Calibri" w:cs="Calibri"/>
          <w:color w:val="000000"/>
          <w:sz w:val="22"/>
          <w:szCs w:val="22"/>
        </w:rPr>
        <w:footnoteReference w:id="20"/>
      </w:r>
      <w:r>
        <w:rPr>
          <w:rFonts w:ascii="Calibri" w:hAnsi="Calibri" w:cs="Calibri"/>
          <w:color w:val="000000"/>
          <w:sz w:val="22"/>
          <w:szCs w:val="22"/>
        </w:rPr>
        <w:t xml:space="preserve"> from belief to disenchantment </w:t>
      </w:r>
      <w:r>
        <w:rPr>
          <w:rFonts w:ascii="Calibri" w:hAnsi="Calibri" w:cs="Calibri"/>
          <w:color w:val="000000"/>
          <w:sz w:val="22"/>
          <w:szCs w:val="22"/>
        </w:rPr>
        <w:lastRenderedPageBreak/>
        <w:t xml:space="preserve">as a social phenomenon and the shift in the human mind related to it. Historian H. Darrel </w:t>
      </w:r>
      <w:proofErr w:type="spellStart"/>
      <w:r>
        <w:rPr>
          <w:rFonts w:ascii="Calibri" w:hAnsi="Calibri" w:cs="Calibri"/>
          <w:color w:val="000000"/>
          <w:sz w:val="22"/>
          <w:szCs w:val="22"/>
        </w:rPr>
        <w:t>Rutkin</w:t>
      </w:r>
      <w:proofErr w:type="spellEnd"/>
      <w:r>
        <w:rPr>
          <w:rFonts w:ascii="Calibri" w:hAnsi="Calibri" w:cs="Calibri"/>
          <w:color w:val="000000"/>
          <w:sz w:val="22"/>
          <w:szCs w:val="22"/>
        </w:rPr>
        <w:t xml:space="preserve"> concluded: </w:t>
      </w:r>
    </w:p>
    <w:p w:rsidR="006D3977" w:rsidRDefault="006D3977" w:rsidP="006D3977">
      <w:pPr>
        <w:ind w:left="113"/>
        <w:rPr>
          <w:rFonts w:cs="Calibri"/>
          <w:color w:val="000000"/>
          <w:sz w:val="20"/>
          <w:szCs w:val="20"/>
        </w:rPr>
      </w:pPr>
    </w:p>
    <w:p w:rsidR="006D3977" w:rsidRDefault="006D3977" w:rsidP="006D3977">
      <w:pPr>
        <w:ind w:left="113"/>
      </w:pPr>
      <w:r>
        <w:rPr>
          <w:rFonts w:cs="Calibri"/>
          <w:color w:val="000000"/>
          <w:sz w:val="20"/>
          <w:szCs w:val="20"/>
        </w:rPr>
        <w:t>astrology still continued to exist as an alternative system of knowledge and practice, much as it had existed from antiquity through the seventeenth century; and much as it does today, where it continues to thrive...</w:t>
      </w:r>
      <w:r>
        <w:rPr>
          <w:rStyle w:val="FootnoteReference"/>
          <w:rFonts w:cs="Calibri"/>
          <w:color w:val="000000"/>
          <w:sz w:val="20"/>
          <w:szCs w:val="20"/>
        </w:rPr>
        <w:footnoteReference w:id="21"/>
      </w:r>
    </w:p>
    <w:p w:rsidR="006D3977" w:rsidRDefault="006D3977" w:rsidP="006D3977">
      <w:pPr>
        <w:ind w:left="113"/>
        <w:rPr>
          <w:rFonts w:cs="Calibri"/>
          <w:color w:val="000000"/>
          <w:sz w:val="22"/>
          <w:szCs w:val="22"/>
        </w:rPr>
      </w:pPr>
    </w:p>
    <w:p w:rsidR="006D3977" w:rsidRDefault="006D3977" w:rsidP="006D3977">
      <w:pPr>
        <w:rPr>
          <w:rFonts w:cs="Calibri"/>
          <w:color w:val="000000"/>
          <w:sz w:val="22"/>
          <w:szCs w:val="22"/>
        </w:rPr>
      </w:pPr>
    </w:p>
    <w:p w:rsidR="006D3977" w:rsidRDefault="006D3977" w:rsidP="006D3977">
      <w:pPr>
        <w:rPr>
          <w:rFonts w:cs="Calibri"/>
          <w:color w:val="000000"/>
          <w:sz w:val="22"/>
          <w:szCs w:val="22"/>
        </w:rPr>
      </w:pPr>
    </w:p>
    <w:p w:rsidR="006D3977" w:rsidRDefault="006D3977" w:rsidP="006D3977">
      <w:pPr>
        <w:rPr>
          <w:rFonts w:cs="Calibri"/>
          <w:color w:val="000000"/>
          <w:sz w:val="22"/>
          <w:szCs w:val="22"/>
        </w:rPr>
      </w:pPr>
    </w:p>
    <w:p w:rsidR="008819DD" w:rsidRDefault="008819DD"/>
    <w:sectPr w:rsidR="008819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B497E" w:rsidRDefault="00DB497E" w:rsidP="006D3977">
      <w:r>
        <w:separator/>
      </w:r>
    </w:p>
  </w:endnote>
  <w:endnote w:type="continuationSeparator" w:id="0">
    <w:p w:rsidR="00DB497E" w:rsidRDefault="00DB497E" w:rsidP="006D3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B497E" w:rsidRDefault="00DB497E" w:rsidP="006D3977">
      <w:r>
        <w:separator/>
      </w:r>
    </w:p>
  </w:footnote>
  <w:footnote w:type="continuationSeparator" w:id="0">
    <w:p w:rsidR="00DB497E" w:rsidRDefault="00DB497E" w:rsidP="006D3977">
      <w:r>
        <w:continuationSeparator/>
      </w:r>
    </w:p>
  </w:footnote>
  <w:footnote w:id="1">
    <w:p w:rsidR="006D3977" w:rsidRDefault="006D3977" w:rsidP="006D3977">
      <w:r>
        <w:rPr>
          <w:rStyle w:val="FootnoteReference"/>
        </w:rPr>
        <w:footnoteRef/>
      </w:r>
      <w:r>
        <w:rPr>
          <w:rFonts w:ascii="Calibri" w:hAnsi="Calibri" w:cs="Calibri"/>
          <w:sz w:val="16"/>
          <w:szCs w:val="16"/>
        </w:rPr>
        <w:t xml:space="preserve"> </w:t>
      </w:r>
      <w:bookmarkStart w:id="0" w:name="OLE_LINK1"/>
      <w:bookmarkStart w:id="1" w:name="OLE_LINK2"/>
      <w:r>
        <w:rPr>
          <w:rFonts w:ascii="Calibri" w:hAnsi="Calibri" w:cs="Calibri"/>
          <w:sz w:val="16"/>
          <w:szCs w:val="16"/>
        </w:rPr>
        <w:t xml:space="preserve">Michelle Pfeffer, </w:t>
      </w:r>
      <w:r>
        <w:rPr>
          <w:rFonts w:ascii="Calibri" w:hAnsi="Calibri" w:cs="Calibri"/>
          <w:i/>
          <w:iCs/>
          <w:sz w:val="16"/>
          <w:szCs w:val="16"/>
        </w:rPr>
        <w:t>Reassessing the Marginalization of Astrology in the Early Modern World</w:t>
      </w:r>
      <w:bookmarkEnd w:id="0"/>
      <w:bookmarkEnd w:id="1"/>
      <w:r>
        <w:rPr>
          <w:rFonts w:ascii="Calibri" w:hAnsi="Calibri" w:cs="Calibri"/>
          <w:sz w:val="16"/>
          <w:szCs w:val="16"/>
        </w:rPr>
        <w:t>, The Historical Journal 66, no. 5 (2023): 1152-1176, published online by Cambridge University Press, doi:10.1017/S0018246X2300032.</w:t>
      </w:r>
    </w:p>
  </w:footnote>
  <w:footnote w:id="2">
    <w:p w:rsidR="006D3977" w:rsidRDefault="006D3977" w:rsidP="006D3977">
      <w:r>
        <w:rPr>
          <w:rStyle w:val="FootnoteReference"/>
        </w:rPr>
        <w:footnoteRef/>
      </w:r>
      <w:r>
        <w:rPr>
          <w:rFonts w:ascii="Calibri" w:hAnsi="Calibri" w:cs="Calibri"/>
          <w:sz w:val="16"/>
          <w:szCs w:val="16"/>
        </w:rPr>
        <w:t xml:space="preserve"> Roger French, </w:t>
      </w:r>
      <w:r>
        <w:rPr>
          <w:rFonts w:ascii="Calibri" w:hAnsi="Calibri" w:cs="Calibri"/>
          <w:i/>
          <w:iCs/>
          <w:sz w:val="16"/>
          <w:szCs w:val="16"/>
        </w:rPr>
        <w:t>Foretelling the Future: Arabic Astrology and English Medicine in the Late Twelfth Century</w:t>
      </w:r>
      <w:r>
        <w:rPr>
          <w:rFonts w:ascii="Calibri" w:hAnsi="Calibri" w:cs="Calibri"/>
          <w:sz w:val="16"/>
          <w:szCs w:val="16"/>
        </w:rPr>
        <w:t>, Isis 87, no. 3 (1996): 453-480.</w:t>
      </w:r>
    </w:p>
  </w:footnote>
  <w:footnote w:id="3">
    <w:p w:rsidR="006D3977" w:rsidRDefault="006D3977" w:rsidP="006D3977">
      <w:r>
        <w:rPr>
          <w:rStyle w:val="FootnoteReference"/>
        </w:rPr>
        <w:footnoteRef/>
      </w:r>
      <w:r>
        <w:rPr>
          <w:rFonts w:ascii="Calibri" w:hAnsi="Calibri" w:cs="Calibri"/>
          <w:sz w:val="16"/>
          <w:szCs w:val="16"/>
        </w:rPr>
        <w:t xml:space="preserve">Pfeffer, </w:t>
      </w:r>
      <w:r>
        <w:rPr>
          <w:rFonts w:ascii="Calibri" w:hAnsi="Calibri" w:cs="Calibri"/>
          <w:i/>
          <w:iCs/>
          <w:sz w:val="16"/>
          <w:szCs w:val="16"/>
        </w:rPr>
        <w:t xml:space="preserve">Reassessing </w:t>
      </w:r>
      <w:proofErr w:type="gramStart"/>
      <w:r>
        <w:rPr>
          <w:rFonts w:ascii="Calibri" w:hAnsi="Calibri" w:cs="Calibri"/>
          <w:i/>
          <w:iCs/>
          <w:sz w:val="16"/>
          <w:szCs w:val="16"/>
        </w:rPr>
        <w:t>The</w:t>
      </w:r>
      <w:proofErr w:type="gramEnd"/>
      <w:r>
        <w:rPr>
          <w:rFonts w:ascii="Calibri" w:hAnsi="Calibri" w:cs="Calibri"/>
          <w:i/>
          <w:iCs/>
          <w:sz w:val="16"/>
          <w:szCs w:val="16"/>
        </w:rPr>
        <w:t xml:space="preserve"> Marginalization</w:t>
      </w:r>
      <w:r>
        <w:rPr>
          <w:rFonts w:ascii="Calibri" w:hAnsi="Calibri" w:cs="Calibri"/>
          <w:sz w:val="16"/>
          <w:szCs w:val="16"/>
        </w:rPr>
        <w:t>, Abstract, p.1152.</w:t>
      </w:r>
    </w:p>
  </w:footnote>
  <w:footnote w:id="4">
    <w:p w:rsidR="006D3977" w:rsidRDefault="006D3977" w:rsidP="006D3977">
      <w:pPr>
        <w:pStyle w:val="FootnoteText"/>
      </w:pPr>
      <w:r>
        <w:rPr>
          <w:rStyle w:val="FootnoteReference"/>
        </w:rPr>
        <w:footnoteRef/>
      </w:r>
      <w:r>
        <w:t xml:space="preserve"> </w:t>
      </w:r>
      <w:r>
        <w:rPr>
          <w:sz w:val="16"/>
          <w:szCs w:val="16"/>
        </w:rPr>
        <w:t xml:space="preserve">University of Oxford, </w:t>
      </w:r>
      <w:hyperlink r:id="rId1" w:history="1">
        <w:r>
          <w:rPr>
            <w:rStyle w:val="Hyperlink"/>
            <w:sz w:val="16"/>
            <w:szCs w:val="16"/>
          </w:rPr>
          <w:t>https://www.history.ox.ac.uk/people/dr-michelle-pfeffer</w:t>
        </w:r>
      </w:hyperlink>
      <w:r>
        <w:rPr>
          <w:sz w:val="16"/>
          <w:szCs w:val="16"/>
        </w:rPr>
        <w:t>, (accessed 29 October 2024)</w:t>
      </w:r>
    </w:p>
  </w:footnote>
  <w:footnote w:id="5">
    <w:p w:rsidR="006D3977" w:rsidRDefault="006D3977" w:rsidP="006D3977">
      <w:pPr>
        <w:pStyle w:val="FootnoteText"/>
      </w:pPr>
      <w:r>
        <w:rPr>
          <w:rStyle w:val="FootnoteReference"/>
        </w:rPr>
        <w:footnoteRef/>
      </w:r>
      <w:r>
        <w:rPr>
          <w:rFonts w:cs="Calibri"/>
          <w:sz w:val="16"/>
          <w:szCs w:val="16"/>
        </w:rPr>
        <w:t xml:space="preserve"> </w:t>
      </w:r>
      <w:r>
        <w:rPr>
          <w:rFonts w:cs="Calibri"/>
          <w:i/>
          <w:iCs/>
          <w:sz w:val="16"/>
          <w:szCs w:val="16"/>
        </w:rPr>
        <w:t>Ibid</w:t>
      </w:r>
      <w:r>
        <w:rPr>
          <w:rFonts w:cs="Calibri"/>
          <w:sz w:val="16"/>
          <w:szCs w:val="16"/>
        </w:rPr>
        <w:t>, p.1152.</w:t>
      </w:r>
    </w:p>
  </w:footnote>
  <w:footnote w:id="6">
    <w:p w:rsidR="006D3977" w:rsidRDefault="006D3977" w:rsidP="006D3977">
      <w:pPr>
        <w:pStyle w:val="FootnoteText"/>
      </w:pPr>
      <w:r>
        <w:rPr>
          <w:rStyle w:val="FootnoteReference"/>
        </w:rPr>
        <w:footnoteRef/>
      </w:r>
      <w:r>
        <w:rPr>
          <w:rFonts w:cs="Calibri"/>
          <w:sz w:val="16"/>
          <w:szCs w:val="16"/>
        </w:rPr>
        <w:t xml:space="preserve"> </w:t>
      </w:r>
      <w:r>
        <w:rPr>
          <w:rFonts w:cs="Calibri"/>
          <w:i/>
          <w:iCs/>
          <w:sz w:val="16"/>
          <w:szCs w:val="16"/>
        </w:rPr>
        <w:t>Ibid,</w:t>
      </w:r>
      <w:r>
        <w:rPr>
          <w:rFonts w:cs="Calibri"/>
          <w:sz w:val="16"/>
          <w:szCs w:val="16"/>
        </w:rPr>
        <w:t xml:space="preserve"> p.1162.</w:t>
      </w:r>
    </w:p>
  </w:footnote>
  <w:footnote w:id="7">
    <w:p w:rsidR="006D3977" w:rsidRDefault="006D3977" w:rsidP="006D3977">
      <w:r>
        <w:rPr>
          <w:rStyle w:val="FootnoteReference"/>
        </w:rPr>
        <w:footnoteRef/>
      </w:r>
      <w:r>
        <w:rPr>
          <w:rFonts w:ascii="Calibri" w:hAnsi="Calibri" w:cs="Calibri"/>
          <w:sz w:val="16"/>
          <w:szCs w:val="16"/>
        </w:rPr>
        <w:t xml:space="preserve"> University of Cambridge</w:t>
      </w:r>
      <w:r>
        <w:rPr>
          <w:rFonts w:ascii="Calibri" w:hAnsi="Calibri" w:cs="Calibri"/>
          <w:i/>
          <w:iCs/>
          <w:sz w:val="16"/>
          <w:szCs w:val="16"/>
        </w:rPr>
        <w:t>, Department of History and Philosophy of Science</w:t>
      </w:r>
      <w:r>
        <w:rPr>
          <w:rFonts w:ascii="Calibri" w:hAnsi="Calibri" w:cs="Calibri"/>
          <w:sz w:val="16"/>
          <w:szCs w:val="16"/>
        </w:rPr>
        <w:t xml:space="preserve"> </w:t>
      </w:r>
      <w:hyperlink r:id="rId2" w:history="1">
        <w:r>
          <w:rPr>
            <w:rStyle w:val="Hyperlink"/>
            <w:rFonts w:ascii="Calibri" w:hAnsi="Calibri" w:cs="Calibri"/>
            <w:sz w:val="16"/>
            <w:szCs w:val="16"/>
          </w:rPr>
          <w:t>https://www.hps.cam.ac.uk/news-events/news-archive/roger-french</w:t>
        </w:r>
      </w:hyperlink>
      <w:r>
        <w:rPr>
          <w:rStyle w:val="Hyperlink"/>
          <w:rFonts w:ascii="Calibri" w:hAnsi="Calibri" w:cs="Calibri"/>
          <w:sz w:val="16"/>
          <w:szCs w:val="16"/>
        </w:rPr>
        <w:t>.</w:t>
      </w:r>
    </w:p>
  </w:footnote>
  <w:footnote w:id="8">
    <w:p w:rsidR="006D3977" w:rsidRDefault="006D3977" w:rsidP="006D3977">
      <w:pPr>
        <w:pStyle w:val="FootnoteText"/>
      </w:pPr>
      <w:r>
        <w:rPr>
          <w:rStyle w:val="FootnoteReference"/>
        </w:rPr>
        <w:footnoteRef/>
      </w:r>
      <w:r>
        <w:rPr>
          <w:rFonts w:cs="Calibri"/>
          <w:sz w:val="16"/>
          <w:szCs w:val="16"/>
        </w:rPr>
        <w:t xml:space="preserve"> French</w:t>
      </w:r>
      <w:r>
        <w:rPr>
          <w:rFonts w:cs="Calibri"/>
          <w:i/>
          <w:iCs/>
          <w:sz w:val="16"/>
          <w:szCs w:val="16"/>
        </w:rPr>
        <w:t>, Foretelling the Future,</w:t>
      </w:r>
      <w:r>
        <w:rPr>
          <w:rFonts w:cs="Calibri"/>
          <w:sz w:val="16"/>
          <w:szCs w:val="16"/>
        </w:rPr>
        <w:t xml:space="preserve"> p.477.</w:t>
      </w:r>
    </w:p>
  </w:footnote>
  <w:footnote w:id="9">
    <w:p w:rsidR="006D3977" w:rsidRDefault="006D3977" w:rsidP="006D3977">
      <w:r>
        <w:rPr>
          <w:rStyle w:val="FootnoteReference"/>
        </w:rPr>
        <w:footnoteRef/>
      </w:r>
      <w:r>
        <w:rPr>
          <w:rFonts w:ascii="Calibri" w:hAnsi="Calibri" w:cs="Calibri"/>
          <w:sz w:val="16"/>
          <w:szCs w:val="16"/>
        </w:rPr>
        <w:t xml:space="preserve"> Michelle Pfeffer</w:t>
      </w:r>
      <w:r>
        <w:rPr>
          <w:rFonts w:ascii="Calibri" w:hAnsi="Calibri" w:cs="Calibri"/>
          <w:i/>
          <w:iCs/>
          <w:sz w:val="16"/>
          <w:szCs w:val="16"/>
          <w:lang w:eastAsia="en-GB"/>
        </w:rPr>
        <w:t>, Astrology, plague, and prognostication in early modern England: A forgotten chapter in the history of public health,</w:t>
      </w:r>
      <w:r>
        <w:rPr>
          <w:rFonts w:ascii="Calibri" w:hAnsi="Calibri" w:cs="Calibri"/>
          <w:sz w:val="16"/>
          <w:szCs w:val="16"/>
          <w:lang w:eastAsia="en-GB"/>
        </w:rPr>
        <w:t xml:space="preserve"> Oxford: Oxford Publishing Limited (England); Past &amp;amp; present, 2024-05, Vol.263 (1), p.81-124, p.124.</w:t>
      </w:r>
    </w:p>
    <w:p w:rsidR="006D3977" w:rsidRDefault="006D3977" w:rsidP="006D3977">
      <w:pPr>
        <w:rPr>
          <w:sz w:val="22"/>
          <w:szCs w:val="22"/>
          <w:lang w:eastAsia="en-GB"/>
        </w:rPr>
      </w:pPr>
    </w:p>
    <w:p w:rsidR="006D3977" w:rsidRDefault="006D3977" w:rsidP="006D3977">
      <w:pPr>
        <w:pStyle w:val="FootnoteText"/>
      </w:pPr>
    </w:p>
  </w:footnote>
  <w:footnote w:id="10">
    <w:p w:rsidR="006D3977" w:rsidRDefault="006D3977" w:rsidP="006D3977">
      <w:pPr>
        <w:pStyle w:val="FootnoteText"/>
      </w:pPr>
      <w:r>
        <w:rPr>
          <w:rStyle w:val="FootnoteReference"/>
        </w:rPr>
        <w:footnoteRef/>
      </w:r>
      <w:r>
        <w:rPr>
          <w:rFonts w:cs="Calibri"/>
          <w:sz w:val="16"/>
          <w:szCs w:val="16"/>
        </w:rPr>
        <w:t xml:space="preserve"> R. </w:t>
      </w:r>
      <w:proofErr w:type="spellStart"/>
      <w:r>
        <w:rPr>
          <w:rFonts w:cs="Calibri"/>
          <w:sz w:val="16"/>
          <w:szCs w:val="16"/>
        </w:rPr>
        <w:t>Vermij</w:t>
      </w:r>
      <w:proofErr w:type="spellEnd"/>
      <w:r>
        <w:rPr>
          <w:rFonts w:cs="Calibri"/>
          <w:sz w:val="16"/>
          <w:szCs w:val="16"/>
        </w:rPr>
        <w:t xml:space="preserve"> and H. Hirai, </w:t>
      </w:r>
      <w:r>
        <w:rPr>
          <w:rFonts w:cs="Calibri"/>
          <w:i/>
          <w:iCs/>
          <w:sz w:val="16"/>
          <w:szCs w:val="16"/>
        </w:rPr>
        <w:t>Early Science and Medicine</w:t>
      </w:r>
      <w:r>
        <w:rPr>
          <w:rFonts w:cs="Calibri"/>
          <w:sz w:val="16"/>
          <w:szCs w:val="16"/>
        </w:rPr>
        <w:t xml:space="preserve"> 22(2017) 405-409, p.405.</w:t>
      </w:r>
    </w:p>
  </w:footnote>
  <w:footnote w:id="11">
    <w:p w:rsidR="006D3977" w:rsidRDefault="006D3977" w:rsidP="006D3977">
      <w:pPr>
        <w:pStyle w:val="FootnoteText"/>
      </w:pPr>
      <w:r>
        <w:rPr>
          <w:rStyle w:val="FootnoteReference"/>
        </w:rPr>
        <w:footnoteRef/>
      </w:r>
      <w:r>
        <w:rPr>
          <w:rFonts w:cs="Calibri"/>
          <w:sz w:val="16"/>
          <w:szCs w:val="16"/>
        </w:rPr>
        <w:t xml:space="preserve"> Michelle Pfeffer, </w:t>
      </w:r>
      <w:r>
        <w:rPr>
          <w:rFonts w:cs="Calibri"/>
          <w:i/>
          <w:iCs/>
          <w:sz w:val="16"/>
          <w:szCs w:val="16"/>
        </w:rPr>
        <w:t>Reassessing the Marginalization of Astrology in the Early Modern World</w:t>
      </w:r>
      <w:r>
        <w:rPr>
          <w:rFonts w:cs="Calibri"/>
          <w:sz w:val="16"/>
          <w:szCs w:val="16"/>
        </w:rPr>
        <w:t>, The Historical Journal 66, no. 5 (2023), p.1152.</w:t>
      </w:r>
    </w:p>
  </w:footnote>
  <w:footnote w:id="12">
    <w:p w:rsidR="006D3977" w:rsidRDefault="006D3977" w:rsidP="006D3977">
      <w:pPr>
        <w:pStyle w:val="FootnoteText"/>
      </w:pPr>
      <w:r>
        <w:rPr>
          <w:rStyle w:val="FootnoteReference"/>
        </w:rPr>
        <w:footnoteRef/>
      </w:r>
      <w:r>
        <w:rPr>
          <w:rFonts w:cs="Calibri"/>
          <w:sz w:val="16"/>
          <w:szCs w:val="16"/>
        </w:rPr>
        <w:t xml:space="preserve"> French defines judicial astrology as ‘the most precise form of astrological prediction’, </w:t>
      </w:r>
      <w:r>
        <w:rPr>
          <w:rFonts w:cs="Calibri"/>
          <w:i/>
          <w:iCs/>
          <w:sz w:val="16"/>
          <w:szCs w:val="16"/>
        </w:rPr>
        <w:t>Foretelling the future</w:t>
      </w:r>
      <w:r>
        <w:rPr>
          <w:rFonts w:cs="Calibri"/>
          <w:sz w:val="16"/>
          <w:szCs w:val="16"/>
        </w:rPr>
        <w:t>, p.455.</w:t>
      </w:r>
    </w:p>
  </w:footnote>
  <w:footnote w:id="13">
    <w:p w:rsidR="006D3977" w:rsidRDefault="006D3977" w:rsidP="006D3977">
      <w:r>
        <w:rPr>
          <w:rStyle w:val="FootnoteReference"/>
        </w:rPr>
        <w:footnoteRef/>
      </w:r>
      <w:r>
        <w:rPr>
          <w:rFonts w:ascii="Calibri" w:hAnsi="Calibri" w:cs="Calibri"/>
          <w:sz w:val="16"/>
          <w:szCs w:val="16"/>
        </w:rPr>
        <w:t xml:space="preserve"> Dawson, Marks S.,</w:t>
      </w:r>
      <w:r>
        <w:rPr>
          <w:rFonts w:ascii="Calibri" w:hAnsi="Calibri" w:cs="Calibri"/>
          <w:color w:val="171717"/>
          <w:sz w:val="16"/>
          <w:szCs w:val="16"/>
        </w:rPr>
        <w:t xml:space="preserve"> </w:t>
      </w:r>
      <w:r>
        <w:rPr>
          <w:rFonts w:ascii="Calibri" w:hAnsi="Calibri" w:cs="Calibri"/>
          <w:i/>
          <w:iCs/>
          <w:color w:val="171717"/>
          <w:sz w:val="16"/>
          <w:szCs w:val="16"/>
        </w:rPr>
        <w:t>Astrology and Human Variation in Early Modern England</w:t>
      </w:r>
      <w:r>
        <w:rPr>
          <w:rFonts w:ascii="Calibri" w:hAnsi="Calibri" w:cs="Calibri"/>
          <w:color w:val="171717"/>
          <w:sz w:val="16"/>
          <w:szCs w:val="16"/>
        </w:rPr>
        <w:t>, published online by Cambridge University Press:01 February 2013</w:t>
      </w:r>
      <w:r>
        <w:rPr>
          <w:rFonts w:ascii="Calibri" w:hAnsi="Calibri" w:cs="Calibri"/>
          <w:sz w:val="16"/>
          <w:szCs w:val="16"/>
        </w:rPr>
        <w:t xml:space="preserve">, </w:t>
      </w:r>
      <w:r>
        <w:rPr>
          <w:rFonts w:ascii="Calibri" w:hAnsi="Calibri" w:cs="Calibri"/>
          <w:color w:val="171717"/>
          <w:sz w:val="16"/>
          <w:szCs w:val="16"/>
        </w:rPr>
        <w:t>chapter II, second paragraph, also found in</w:t>
      </w:r>
      <w:r>
        <w:rPr>
          <w:rFonts w:ascii="Calibri" w:hAnsi="Calibri" w:cs="Calibri"/>
          <w:color w:val="FF0000"/>
          <w:sz w:val="16"/>
          <w:szCs w:val="16"/>
        </w:rPr>
        <w:t xml:space="preserve"> </w:t>
      </w:r>
      <w:r>
        <w:rPr>
          <w:rFonts w:ascii="Calibri" w:hAnsi="Calibri" w:cs="Calibri"/>
          <w:sz w:val="16"/>
          <w:szCs w:val="16"/>
        </w:rPr>
        <w:t>The Historical Journal, Volume 56, Issue 1, March 2013, pp. 31 - 53</w:t>
      </w:r>
    </w:p>
    <w:p w:rsidR="006D3977" w:rsidRDefault="006D3977" w:rsidP="006D3977">
      <w:r>
        <w:rPr>
          <w:rFonts w:ascii="Calibri" w:hAnsi="Calibri" w:cs="Calibri"/>
          <w:sz w:val="16"/>
          <w:szCs w:val="16"/>
        </w:rPr>
        <w:t>DOI: </w:t>
      </w:r>
      <w:hyperlink r:id="rId3" w:history="1">
        <w:r>
          <w:rPr>
            <w:rStyle w:val="Hyperlink"/>
            <w:rFonts w:ascii="Calibri" w:hAnsi="Calibri" w:cs="Calibri"/>
            <w:sz w:val="16"/>
            <w:szCs w:val="16"/>
          </w:rPr>
          <w:t>https://doi.org/10.1017/S0018246X12000374</w:t>
        </w:r>
      </w:hyperlink>
      <w:r>
        <w:rPr>
          <w:rFonts w:ascii="Calibri" w:hAnsi="Calibri" w:cs="Calibri"/>
          <w:sz w:val="16"/>
          <w:szCs w:val="16"/>
        </w:rPr>
        <w:t xml:space="preserve"> [Opens in a new window].</w:t>
      </w:r>
    </w:p>
  </w:footnote>
  <w:footnote w:id="14">
    <w:p w:rsidR="006D3977" w:rsidRDefault="006D3977" w:rsidP="006D3977">
      <w:r>
        <w:rPr>
          <w:rStyle w:val="FootnoteReference"/>
        </w:rPr>
        <w:footnoteRef/>
      </w:r>
      <w:r>
        <w:rPr>
          <w:rFonts w:ascii="Calibri" w:hAnsi="Calibri" w:cs="Calibri"/>
          <w:sz w:val="16"/>
          <w:szCs w:val="16"/>
        </w:rPr>
        <w:t xml:space="preserve"> Nicholas Campion, </w:t>
      </w:r>
      <w:r>
        <w:rPr>
          <w:rFonts w:ascii="Calibri" w:hAnsi="Calibri" w:cs="Calibri"/>
          <w:i/>
          <w:iCs/>
          <w:sz w:val="16"/>
          <w:szCs w:val="16"/>
        </w:rPr>
        <w:t>History of W</w:t>
      </w:r>
      <w:r>
        <w:rPr>
          <w:rFonts w:ascii="Calibri" w:hAnsi="Calibri" w:cs="Calibri"/>
          <w:i/>
          <w:iCs/>
          <w:color w:val="3A3A3A"/>
          <w:sz w:val="16"/>
          <w:szCs w:val="16"/>
          <w:shd w:val="clear" w:color="auto" w:fill="FFFFFF"/>
        </w:rPr>
        <w:t xml:space="preserve">estern astrology. The medieval and modern worlds, </w:t>
      </w:r>
      <w:r>
        <w:rPr>
          <w:rFonts w:ascii="Calibri" w:hAnsi="Calibri" w:cs="Calibri"/>
          <w:color w:val="3A3A3A"/>
          <w:sz w:val="16"/>
          <w:szCs w:val="16"/>
          <w:shd w:val="clear" w:color="auto" w:fill="FFFFFF"/>
        </w:rPr>
        <w:t xml:space="preserve">Volume II </w:t>
      </w:r>
      <w:r>
        <w:rPr>
          <w:rFonts w:ascii="Calibri" w:eastAsia="Times New Roman" w:hAnsi="Calibri" w:cs="Calibri"/>
          <w:sz w:val="16"/>
          <w:szCs w:val="16"/>
          <w:lang w:eastAsia="en-GB"/>
        </w:rPr>
        <w:t>Published in</w:t>
      </w:r>
      <w:r>
        <w:rPr>
          <w:rFonts w:ascii="Calibri" w:eastAsia="Times New Roman" w:hAnsi="Calibri" w:cs="Calibri"/>
          <w:b/>
          <w:bCs/>
          <w:sz w:val="16"/>
          <w:szCs w:val="16"/>
          <w:lang w:eastAsia="en-GB"/>
        </w:rPr>
        <w:t> </w:t>
      </w:r>
      <w:r>
        <w:rPr>
          <w:rFonts w:ascii="Calibri" w:eastAsia="Times New Roman" w:hAnsi="Calibri" w:cs="Calibri"/>
          <w:sz w:val="16"/>
          <w:szCs w:val="16"/>
          <w:lang w:eastAsia="en-GB"/>
        </w:rPr>
        <w:t xml:space="preserve">History of Western Astrology,2009, </w:t>
      </w:r>
      <w:r>
        <w:rPr>
          <w:rFonts w:ascii="Calibri" w:eastAsia="Times New Roman" w:hAnsi="Calibri" w:cs="Calibri"/>
          <w:color w:val="000000"/>
          <w:sz w:val="16"/>
          <w:szCs w:val="16"/>
          <w:lang w:eastAsia="en-GB"/>
        </w:rPr>
        <w:t>Database</w:t>
      </w:r>
      <w:r>
        <w:rPr>
          <w:rFonts w:ascii="Calibri" w:eastAsia="Times New Roman" w:hAnsi="Calibri" w:cs="Calibri"/>
          <w:b/>
          <w:bCs/>
          <w:color w:val="000000"/>
          <w:sz w:val="16"/>
          <w:szCs w:val="16"/>
          <w:lang w:eastAsia="en-GB"/>
        </w:rPr>
        <w:t xml:space="preserve">: </w:t>
      </w:r>
      <w:r>
        <w:rPr>
          <w:rFonts w:ascii="Calibri" w:eastAsia="Times New Roman" w:hAnsi="Calibri" w:cs="Calibri"/>
          <w:color w:val="000000"/>
          <w:sz w:val="16"/>
          <w:szCs w:val="16"/>
          <w:lang w:eastAsia="en-GB"/>
        </w:rPr>
        <w:t xml:space="preserve">eBook Collection (EBSCOhost) </w:t>
      </w:r>
      <w:r>
        <w:rPr>
          <w:rFonts w:ascii="Calibri" w:hAnsi="Calibri" w:cs="Calibri"/>
          <w:i/>
          <w:iCs/>
          <w:sz w:val="16"/>
          <w:szCs w:val="16"/>
        </w:rPr>
        <w:t>The Twelfth Century: Renaissance and Revival p.30.</w:t>
      </w:r>
    </w:p>
  </w:footnote>
  <w:footnote w:id="15">
    <w:p w:rsidR="006D3977" w:rsidRDefault="006D3977" w:rsidP="006D3977">
      <w:pPr>
        <w:pStyle w:val="FootnoteText"/>
      </w:pPr>
      <w:r>
        <w:rPr>
          <w:rStyle w:val="FootnoteReference"/>
        </w:rPr>
        <w:footnoteRef/>
      </w:r>
      <w:r>
        <w:rPr>
          <w:rFonts w:cs="Calibri"/>
          <w:sz w:val="16"/>
          <w:szCs w:val="16"/>
        </w:rPr>
        <w:t xml:space="preserve"> Pfeffer, </w:t>
      </w:r>
      <w:r>
        <w:rPr>
          <w:rFonts w:cs="Calibri"/>
          <w:i/>
          <w:iCs/>
          <w:sz w:val="16"/>
          <w:szCs w:val="16"/>
        </w:rPr>
        <w:t>Reassessing the Marginalization</w:t>
      </w:r>
      <w:r>
        <w:rPr>
          <w:rFonts w:cs="Calibri"/>
          <w:sz w:val="16"/>
          <w:szCs w:val="16"/>
        </w:rPr>
        <w:t>, p.1158.</w:t>
      </w:r>
    </w:p>
  </w:footnote>
  <w:footnote w:id="16">
    <w:p w:rsidR="006D3977" w:rsidRDefault="006D3977" w:rsidP="006D3977">
      <w:r>
        <w:rPr>
          <w:rStyle w:val="FootnoteReference"/>
        </w:rPr>
        <w:footnoteRef/>
      </w:r>
      <w:r>
        <w:rPr>
          <w:rFonts w:ascii="Calibri" w:hAnsi="Calibri" w:cs="Calibri"/>
          <w:sz w:val="16"/>
          <w:szCs w:val="16"/>
        </w:rPr>
        <w:t xml:space="preserve"> Nicholas Campion, </w:t>
      </w:r>
      <w:r>
        <w:rPr>
          <w:rFonts w:ascii="Calibri" w:hAnsi="Calibri" w:cs="Calibri"/>
          <w:i/>
          <w:iCs/>
          <w:sz w:val="16"/>
          <w:szCs w:val="16"/>
        </w:rPr>
        <w:t>History of W</w:t>
      </w:r>
      <w:r>
        <w:rPr>
          <w:rFonts w:ascii="Calibri" w:hAnsi="Calibri" w:cs="Calibri"/>
          <w:i/>
          <w:iCs/>
          <w:color w:val="3A3A3A"/>
          <w:sz w:val="16"/>
          <w:szCs w:val="16"/>
          <w:shd w:val="clear" w:color="auto" w:fill="FFFFFF"/>
        </w:rPr>
        <w:t>estern astrology. The medieval and modern worlds</w:t>
      </w:r>
      <w:r>
        <w:rPr>
          <w:rFonts w:ascii="Calibri" w:hAnsi="Calibri" w:cs="Calibri"/>
          <w:color w:val="3A3A3A"/>
          <w:sz w:val="16"/>
          <w:szCs w:val="16"/>
          <w:shd w:val="clear" w:color="auto" w:fill="FFFFFF"/>
        </w:rPr>
        <w:t xml:space="preserve">, Volume II </w:t>
      </w:r>
      <w:r>
        <w:rPr>
          <w:rFonts w:ascii="Calibri" w:eastAsia="Times New Roman" w:hAnsi="Calibri" w:cs="Calibri"/>
          <w:sz w:val="16"/>
          <w:szCs w:val="16"/>
          <w:lang w:eastAsia="en-GB"/>
        </w:rPr>
        <w:t>Published in</w:t>
      </w:r>
      <w:r>
        <w:rPr>
          <w:rFonts w:ascii="Calibri" w:eastAsia="Times New Roman" w:hAnsi="Calibri" w:cs="Calibri"/>
          <w:b/>
          <w:bCs/>
          <w:sz w:val="16"/>
          <w:szCs w:val="16"/>
          <w:lang w:eastAsia="en-GB"/>
        </w:rPr>
        <w:t> </w:t>
      </w:r>
      <w:r>
        <w:rPr>
          <w:rFonts w:ascii="Calibri" w:eastAsia="Times New Roman" w:hAnsi="Calibri" w:cs="Calibri"/>
          <w:sz w:val="16"/>
          <w:szCs w:val="16"/>
          <w:lang w:eastAsia="en-GB"/>
        </w:rPr>
        <w:t xml:space="preserve">History of Western Astrology,2009, </w:t>
      </w:r>
      <w:r>
        <w:rPr>
          <w:rFonts w:ascii="Calibri" w:eastAsia="Times New Roman" w:hAnsi="Calibri" w:cs="Calibri"/>
          <w:color w:val="000000"/>
          <w:sz w:val="16"/>
          <w:szCs w:val="16"/>
          <w:lang w:eastAsia="en-GB"/>
        </w:rPr>
        <w:t>Database</w:t>
      </w:r>
      <w:r>
        <w:rPr>
          <w:rFonts w:ascii="Calibri" w:eastAsia="Times New Roman" w:hAnsi="Calibri" w:cs="Calibri"/>
          <w:b/>
          <w:bCs/>
          <w:color w:val="000000"/>
          <w:sz w:val="16"/>
          <w:szCs w:val="16"/>
          <w:lang w:eastAsia="en-GB"/>
        </w:rPr>
        <w:t xml:space="preserve">: </w:t>
      </w:r>
      <w:r>
        <w:rPr>
          <w:rFonts w:ascii="Calibri" w:eastAsia="Times New Roman" w:hAnsi="Calibri" w:cs="Calibri"/>
          <w:color w:val="000000"/>
          <w:sz w:val="16"/>
          <w:szCs w:val="16"/>
          <w:lang w:eastAsia="en-GB"/>
        </w:rPr>
        <w:t xml:space="preserve">eBook Collection (EBSCOhost), </w:t>
      </w:r>
      <w:r>
        <w:rPr>
          <w:rFonts w:ascii="Calibri" w:eastAsia="Times New Roman" w:hAnsi="Calibri" w:cs="Calibri"/>
          <w:i/>
          <w:iCs/>
          <w:color w:val="000000"/>
          <w:sz w:val="16"/>
          <w:szCs w:val="16"/>
          <w:lang w:eastAsia="en-GB"/>
        </w:rPr>
        <w:t>The Twenty-first Century: Epilogue</w:t>
      </w:r>
      <w:r>
        <w:rPr>
          <w:rFonts w:ascii="Calibri" w:eastAsia="Times New Roman" w:hAnsi="Calibri" w:cs="Calibri"/>
          <w:color w:val="000000"/>
          <w:sz w:val="16"/>
          <w:szCs w:val="16"/>
          <w:lang w:eastAsia="en-GB"/>
        </w:rPr>
        <w:t xml:space="preserve">, p.284. </w:t>
      </w:r>
    </w:p>
  </w:footnote>
  <w:footnote w:id="17">
    <w:p w:rsidR="006D3977" w:rsidRDefault="006D3977" w:rsidP="006D3977">
      <w:pPr>
        <w:pStyle w:val="FootnoteText"/>
      </w:pPr>
      <w:r>
        <w:rPr>
          <w:rStyle w:val="FootnoteReference"/>
        </w:rPr>
        <w:footnoteRef/>
      </w:r>
      <w:r>
        <w:rPr>
          <w:rFonts w:cs="Calibri"/>
          <w:sz w:val="16"/>
          <w:szCs w:val="16"/>
        </w:rPr>
        <w:t xml:space="preserve"> Richard </w:t>
      </w:r>
      <w:proofErr w:type="spellStart"/>
      <w:r>
        <w:rPr>
          <w:rFonts w:cs="Calibri"/>
          <w:sz w:val="16"/>
          <w:szCs w:val="16"/>
        </w:rPr>
        <w:t>Tarnas</w:t>
      </w:r>
      <w:proofErr w:type="spellEnd"/>
      <w:r>
        <w:rPr>
          <w:rFonts w:cs="Calibri"/>
          <w:sz w:val="16"/>
          <w:szCs w:val="16"/>
        </w:rPr>
        <w:t xml:space="preserve">, </w:t>
      </w:r>
      <w:r>
        <w:rPr>
          <w:rFonts w:cs="Calibri"/>
          <w:i/>
          <w:iCs/>
          <w:sz w:val="16"/>
          <w:szCs w:val="16"/>
        </w:rPr>
        <w:t xml:space="preserve">The Passion </w:t>
      </w:r>
      <w:proofErr w:type="gramStart"/>
      <w:r>
        <w:rPr>
          <w:rFonts w:cs="Calibri"/>
          <w:i/>
          <w:iCs/>
          <w:sz w:val="16"/>
          <w:szCs w:val="16"/>
        </w:rPr>
        <w:t>Of</w:t>
      </w:r>
      <w:proofErr w:type="gramEnd"/>
      <w:r>
        <w:rPr>
          <w:rFonts w:cs="Calibri"/>
          <w:i/>
          <w:iCs/>
          <w:sz w:val="16"/>
          <w:szCs w:val="16"/>
        </w:rPr>
        <w:t xml:space="preserve"> The Western Mind, </w:t>
      </w:r>
      <w:r>
        <w:rPr>
          <w:rFonts w:cs="Calibri"/>
          <w:sz w:val="16"/>
          <w:szCs w:val="16"/>
        </w:rPr>
        <w:t xml:space="preserve">first published in the USA by Crown, 1991, Pimlico edition 1996, p.440. </w:t>
      </w:r>
    </w:p>
  </w:footnote>
  <w:footnote w:id="18">
    <w:p w:rsidR="006D3977" w:rsidRDefault="006D3977" w:rsidP="006D3977">
      <w:pPr>
        <w:pStyle w:val="FootnoteText"/>
      </w:pPr>
      <w:r>
        <w:rPr>
          <w:rStyle w:val="FootnoteReference"/>
        </w:rPr>
        <w:footnoteRef/>
      </w:r>
      <w:r>
        <w:rPr>
          <w:rFonts w:cs="Calibri"/>
          <w:sz w:val="16"/>
          <w:szCs w:val="16"/>
        </w:rPr>
        <w:t xml:space="preserve"> Michelle Pfeffer, </w:t>
      </w:r>
      <w:r>
        <w:rPr>
          <w:rFonts w:cs="Calibri"/>
          <w:i/>
          <w:iCs/>
          <w:sz w:val="16"/>
          <w:szCs w:val="16"/>
        </w:rPr>
        <w:t>Reassessing the Marginalization of Astrology in the Early Modern World</w:t>
      </w:r>
      <w:r>
        <w:rPr>
          <w:rFonts w:cs="Calibri"/>
          <w:sz w:val="16"/>
          <w:szCs w:val="16"/>
        </w:rPr>
        <w:t>, The Historical Journal 66, no. 5 (2023) p.1175.</w:t>
      </w:r>
    </w:p>
  </w:footnote>
  <w:footnote w:id="19">
    <w:p w:rsidR="006D3977" w:rsidRDefault="006D3977" w:rsidP="006D3977">
      <w:r>
        <w:rPr>
          <w:rStyle w:val="FootnoteReference"/>
        </w:rPr>
        <w:footnoteRef/>
      </w:r>
      <w:r>
        <w:rPr>
          <w:rFonts w:ascii="Calibri" w:hAnsi="Calibri" w:cs="Calibri"/>
          <w:sz w:val="16"/>
          <w:szCs w:val="16"/>
        </w:rPr>
        <w:t xml:space="preserve"> Roger French, </w:t>
      </w:r>
      <w:r>
        <w:rPr>
          <w:rFonts w:ascii="Calibri" w:hAnsi="Calibri" w:cs="Calibri"/>
          <w:i/>
          <w:iCs/>
          <w:sz w:val="16"/>
          <w:szCs w:val="16"/>
        </w:rPr>
        <w:t>Foretelling the Future: Arabic Astrology and English Medicine in the Late Twelfth Century</w:t>
      </w:r>
      <w:r>
        <w:rPr>
          <w:rFonts w:ascii="Calibri" w:hAnsi="Calibri" w:cs="Calibri"/>
          <w:sz w:val="16"/>
          <w:szCs w:val="16"/>
        </w:rPr>
        <w:t>, Isis 87, no. 3 (1996): 453-480, p.477.</w:t>
      </w:r>
    </w:p>
  </w:footnote>
  <w:footnote w:id="20">
    <w:p w:rsidR="006D3977" w:rsidRDefault="006D3977" w:rsidP="006D3977">
      <w:pPr>
        <w:pStyle w:val="FootnoteText"/>
      </w:pPr>
      <w:r>
        <w:rPr>
          <w:rStyle w:val="FootnoteReference"/>
        </w:rPr>
        <w:footnoteRef/>
      </w:r>
      <w:r>
        <w:rPr>
          <w:rFonts w:cs="Calibri"/>
          <w:sz w:val="16"/>
          <w:szCs w:val="16"/>
        </w:rPr>
        <w:t xml:space="preserve"> Michelle Pfeffer, </w:t>
      </w:r>
      <w:r>
        <w:rPr>
          <w:rFonts w:cs="Calibri"/>
          <w:i/>
          <w:iCs/>
          <w:sz w:val="16"/>
          <w:szCs w:val="16"/>
        </w:rPr>
        <w:t>Reassessing the Marginalization of Astrology in the Early Modern World</w:t>
      </w:r>
      <w:r>
        <w:rPr>
          <w:rFonts w:cs="Calibri"/>
          <w:sz w:val="16"/>
          <w:szCs w:val="16"/>
        </w:rPr>
        <w:t xml:space="preserve">, The Historical Journal 66, no. 5 (2023), p.1173. </w:t>
      </w:r>
    </w:p>
  </w:footnote>
  <w:footnote w:id="21">
    <w:p w:rsidR="006D3977" w:rsidRDefault="006D3977" w:rsidP="006D3977">
      <w:r>
        <w:rPr>
          <w:rStyle w:val="FootnoteReference"/>
        </w:rPr>
        <w:footnoteRef/>
      </w:r>
      <w:r>
        <w:rPr>
          <w:rFonts w:ascii="Calibri" w:hAnsi="Calibri" w:cs="Calibri"/>
          <w:sz w:val="16"/>
          <w:szCs w:val="16"/>
        </w:rPr>
        <w:t xml:space="preserve"> H. Darrel </w:t>
      </w:r>
      <w:proofErr w:type="spellStart"/>
      <w:r>
        <w:rPr>
          <w:rFonts w:ascii="Calibri" w:hAnsi="Calibri" w:cs="Calibri"/>
          <w:sz w:val="16"/>
          <w:szCs w:val="16"/>
        </w:rPr>
        <w:t>Rutkin</w:t>
      </w:r>
      <w:proofErr w:type="spellEnd"/>
      <w:r>
        <w:rPr>
          <w:rFonts w:ascii="Calibri" w:hAnsi="Calibri" w:cs="Calibri"/>
          <w:sz w:val="16"/>
          <w:szCs w:val="16"/>
        </w:rPr>
        <w:t>,</w:t>
      </w:r>
      <w:r>
        <w:rPr>
          <w:rFonts w:ascii="Calibri" w:hAnsi="Calibri" w:cs="Calibri"/>
          <w:color w:val="000000"/>
          <w:sz w:val="16"/>
          <w:szCs w:val="16"/>
        </w:rPr>
        <w:t xml:space="preserve"> </w:t>
      </w:r>
      <w:r>
        <w:rPr>
          <w:rFonts w:ascii="Calibri" w:hAnsi="Calibri" w:cs="Calibri"/>
          <w:i/>
          <w:iCs/>
          <w:color w:val="000000"/>
          <w:sz w:val="16"/>
          <w:szCs w:val="16"/>
        </w:rPr>
        <w:t>Early Science and Medicine</w:t>
      </w:r>
      <w:r>
        <w:rPr>
          <w:rFonts w:ascii="Calibri" w:hAnsi="Calibri" w:cs="Calibri"/>
          <w:color w:val="000000"/>
          <w:sz w:val="16"/>
          <w:szCs w:val="16"/>
        </w:rPr>
        <w:t>, Vol. 23, No. 3 (2018), pp. 217-243 (27 pages)</w:t>
      </w:r>
    </w:p>
    <w:p w:rsidR="006D3977" w:rsidRDefault="006D3977" w:rsidP="006D3977">
      <w:hyperlink r:id="rId4" w:history="1">
        <w:r>
          <w:rPr>
            <w:rStyle w:val="Hyperlink"/>
            <w:rFonts w:ascii="Calibri" w:hAnsi="Calibri" w:cs="Calibri"/>
            <w:sz w:val="16"/>
            <w:szCs w:val="16"/>
          </w:rPr>
          <w:t>https://www.jstor.org/stable/26567137</w:t>
        </w:r>
      </w:hyperlink>
      <w:r>
        <w:rPr>
          <w:rFonts w:ascii="Calibri" w:hAnsi="Calibri" w:cs="Calibri"/>
          <w:color w:val="000000"/>
          <w:sz w:val="16"/>
          <w:szCs w:val="16"/>
        </w:rPr>
        <w:t>, p.242.</w:t>
      </w:r>
    </w:p>
    <w:p w:rsidR="006D3977" w:rsidRDefault="006D3977" w:rsidP="006D3977">
      <w:pPr>
        <w:pStyle w:val="FootnoteText"/>
        <w:rPr>
          <w:rFonts w:cs="Calibri"/>
          <w:sz w:val="16"/>
          <w:szCs w:val="16"/>
        </w:rPr>
      </w:pPr>
    </w:p>
    <w:p w:rsidR="006D3977" w:rsidRDefault="006D3977" w:rsidP="006D3977">
      <w:pPr>
        <w:pStyle w:val="FootnoteText"/>
        <w:rPr>
          <w:rFonts w:cs="Calibri"/>
          <w:sz w:val="16"/>
          <w:szCs w:val="16"/>
        </w:rPr>
      </w:pPr>
    </w:p>
    <w:p w:rsidR="006D3977" w:rsidRDefault="006D3977" w:rsidP="006D3977">
      <w:pPr>
        <w:pStyle w:val="FootnoteText"/>
        <w:rPr>
          <w:rFonts w:cs="Calibri"/>
          <w:sz w:val="16"/>
          <w:szCs w:val="16"/>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977"/>
    <w:rsid w:val="006D3977"/>
    <w:rsid w:val="008819DD"/>
    <w:rsid w:val="00DB4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C62BB6CD-BAE3-5F49-AC46-163DAAC6D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977"/>
    <w:pPr>
      <w:suppressAutoHyphens/>
      <w:autoSpaceDN w:val="0"/>
      <w:textAlignment w:val="baseline"/>
    </w:pPr>
    <w:rPr>
      <w:rFonts w:ascii="Times New Roman" w:eastAsia="SimSun" w:hAnsi="Times New Roman" w:cs="Times New Roman"/>
      <w:kern w:val="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6D3977"/>
    <w:rPr>
      <w:position w:val="0"/>
      <w:vertAlign w:val="superscript"/>
    </w:rPr>
  </w:style>
  <w:style w:type="character" w:styleId="Hyperlink">
    <w:name w:val="Hyperlink"/>
    <w:rsid w:val="006D3977"/>
    <w:rPr>
      <w:color w:val="0000FF"/>
      <w:u w:val="single"/>
    </w:rPr>
  </w:style>
  <w:style w:type="paragraph" w:styleId="FootnoteText">
    <w:name w:val="footnote text"/>
    <w:basedOn w:val="Normal"/>
    <w:link w:val="FootnoteTextChar"/>
    <w:rsid w:val="006D3977"/>
    <w:rPr>
      <w:rFonts w:ascii="Calibri" w:eastAsia="Calibri" w:hAnsi="Calibri"/>
      <w:kern w:val="3"/>
      <w:sz w:val="20"/>
      <w:szCs w:val="20"/>
      <w:lang w:eastAsia="en-US"/>
    </w:rPr>
  </w:style>
  <w:style w:type="character" w:customStyle="1" w:styleId="FootnoteTextChar">
    <w:name w:val="Footnote Text Char"/>
    <w:basedOn w:val="DefaultParagraphFont"/>
    <w:link w:val="FootnoteText"/>
    <w:rsid w:val="006D3977"/>
    <w:rPr>
      <w:rFonts w:ascii="Calibri" w:eastAsia="Calibri" w:hAnsi="Calibri" w:cs="Times New Roman"/>
      <w:kern w:val="3"/>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17/S0018246X12000374" TargetMode="External"/><Relationship Id="rId2" Type="http://schemas.openxmlformats.org/officeDocument/2006/relationships/hyperlink" Target="about:blank" TargetMode="External"/><Relationship Id="rId1" Type="http://schemas.openxmlformats.org/officeDocument/2006/relationships/hyperlink" Target="https://www.history.ox.ac.uk/people/dr-michelle-pfeffer" TargetMode="External"/><Relationship Id="rId4" Type="http://schemas.openxmlformats.org/officeDocument/2006/relationships/hyperlink" Target="https://www.jstor.org/stable/265671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1646</Words>
  <Characters>9600</Characters>
  <Application>Microsoft Office Word</Application>
  <DocSecurity>0</DocSecurity>
  <Lines>240</Lines>
  <Paragraphs>54</Paragraphs>
  <ScaleCrop>false</ScaleCrop>
  <Company/>
  <LinksUpToDate>false</LinksUpToDate>
  <CharactersWithSpaces>11192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Rosca</dc:creator>
  <cp:keywords/>
  <dc:description/>
  <cp:lastModifiedBy>Cristina Rosca</cp:lastModifiedBy>
  <cp:revision>1</cp:revision>
  <dcterms:created xsi:type="dcterms:W3CDTF">2024-10-29T13:02:00Z</dcterms:created>
  <dcterms:modified xsi:type="dcterms:W3CDTF">2024-10-29T13:02:00Z</dcterms:modified>
</cp:coreProperties>
</file>