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D5EB50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2D85" w:rsidRPr="001E2D85">
              <w:rPr>
                <w:rFonts w:ascii="Times New Roman" w:hAnsi="Times New Roman" w:cs="Times New Roman"/>
                <w:bCs/>
                <w:color w:val="auto"/>
                <w:sz w:val="48"/>
              </w:rPr>
              <w:t>Helen Westermark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93070A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E2D85">
              <w:rPr>
                <w:rFonts w:ascii="Times New Roman" w:hAnsi="Times New Roman" w:cs="Times New Roman"/>
                <w:b/>
                <w:color w:val="auto"/>
                <w:sz w:val="48"/>
              </w:rPr>
              <w:t xml:space="preserve"> </w:t>
            </w:r>
            <w:r w:rsidR="001E2D85" w:rsidRPr="001E2D85">
              <w:rPr>
                <w:rFonts w:ascii="Times New Roman" w:hAnsi="Times New Roman" w:cs="Times New Roman"/>
                <w:bCs/>
                <w:color w:val="auto"/>
                <w:sz w:val="48"/>
              </w:rPr>
              <w:t>2005605</w:t>
            </w:r>
            <w:r w:rsidR="001E2D85">
              <w:rPr>
                <w:rFonts w:ascii="Times New Roman" w:hAnsi="Times New Roman" w:cs="Times New Roman"/>
                <w:bCs/>
                <w:color w:val="auto"/>
                <w:sz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CC77B43" w14:textId="6F1FC961" w:rsidR="001E2D85" w:rsidRPr="001E2D85" w:rsidRDefault="001E2D85" w:rsidP="005D3F07">
            <w:pPr>
              <w:overflowPunct/>
              <w:autoSpaceDE/>
              <w:autoSpaceDN/>
              <w:adjustRightInd/>
              <w:ind w:right="-957"/>
              <w:textAlignment w:val="auto"/>
              <w:rPr>
                <w:rFonts w:ascii="Times New Roman" w:hAnsi="Times New Roman" w:cs="Times New Roman"/>
                <w:bCs/>
                <w:color w:val="auto"/>
                <w:sz w:val="48"/>
              </w:rPr>
            </w:pPr>
            <w:r w:rsidRPr="001E2D85">
              <w:rPr>
                <w:rFonts w:ascii="Times New Roman" w:hAnsi="Times New Roman" w:cs="Times New Roman"/>
                <w:bCs/>
                <w:color w:val="auto"/>
                <w:sz w:val="48"/>
              </w:rPr>
              <w:t>2005605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3015E955"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Barry, C. and Docherty, M. (2018) ‘Assessment of mental capacity and decision-making’, </w:t>
      </w:r>
      <w:r w:rsidRPr="00732F22">
        <w:rPr>
          <w:rFonts w:eastAsia="Aptos"/>
          <w:i/>
          <w:iCs/>
          <w:color w:val="222222"/>
          <w:kern w:val="2"/>
          <w:sz w:val="24"/>
          <w:szCs w:val="24"/>
          <w:shd w:val="clear" w:color="auto" w:fill="FFFFFF"/>
          <w:lang w:eastAsia="en-US"/>
          <w14:ligatures w14:val="standardContextual"/>
        </w:rPr>
        <w:t>Medicine</w:t>
      </w:r>
      <w:r w:rsidRPr="00732F22">
        <w:rPr>
          <w:rFonts w:eastAsia="Aptos"/>
          <w:color w:val="222222"/>
          <w:kern w:val="2"/>
          <w:sz w:val="24"/>
          <w:szCs w:val="24"/>
          <w:shd w:val="clear" w:color="auto" w:fill="FFFFFF"/>
          <w:lang w:eastAsia="en-US"/>
          <w14:ligatures w14:val="standardContextual"/>
        </w:rPr>
        <w:t xml:space="preserve">, 46(7), pp.405-410. Available at:   </w:t>
      </w:r>
      <w:hyperlink r:id="rId11" w:history="1">
        <w:r w:rsidRPr="00732F22">
          <w:rPr>
            <w:rFonts w:eastAsia="Aptos"/>
            <w:color w:val="467886"/>
            <w:kern w:val="2"/>
            <w:sz w:val="24"/>
            <w:szCs w:val="24"/>
            <w:u w:val="single"/>
            <w:shd w:val="clear" w:color="auto" w:fill="FFFFFF"/>
            <w:lang w:eastAsia="en-US"/>
            <w14:ligatures w14:val="standardContextual"/>
          </w:rPr>
          <w:t>https://www.sciencedirect.com/science/article/abs/pii/S1357303918300914</w:t>
        </w:r>
      </w:hyperlink>
      <w:r w:rsidRPr="00732F22">
        <w:rPr>
          <w:rFonts w:eastAsia="Aptos"/>
          <w:color w:val="222222"/>
          <w:kern w:val="2"/>
          <w:sz w:val="24"/>
          <w:szCs w:val="24"/>
          <w:shd w:val="clear" w:color="auto" w:fill="FFFFFF"/>
          <w:lang w:eastAsia="en-US"/>
          <w14:ligatures w14:val="standardContextual"/>
        </w:rPr>
        <w:t xml:space="preserve"> </w:t>
      </w:r>
    </w:p>
    <w:p w14:paraId="53A51C0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030EA3A"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Black, R. (2022) </w:t>
      </w:r>
      <w:r w:rsidRPr="00732F22">
        <w:rPr>
          <w:i/>
          <w:iCs/>
          <w:kern w:val="36"/>
          <w:sz w:val="24"/>
          <w:szCs w:val="24"/>
        </w:rPr>
        <w:t>The power of small gestures: Home visits and social work</w:t>
      </w:r>
      <w:r w:rsidRPr="00732F22">
        <w:rPr>
          <w:kern w:val="36"/>
          <w:sz w:val="24"/>
          <w:szCs w:val="24"/>
        </w:rPr>
        <w:t xml:space="preserve">.  Available at: </w:t>
      </w:r>
      <w:hyperlink r:id="rId12" w:anchor=":~:text=Home%20visits%20are%20central%20to,Rogers%20(University%20of%20Sheffield)" w:history="1">
        <w:r w:rsidRPr="00732F22">
          <w:rPr>
            <w:color w:val="467886"/>
            <w:kern w:val="36"/>
            <w:sz w:val="24"/>
            <w:szCs w:val="24"/>
            <w:u w:val="single"/>
          </w:rPr>
          <w:t>https://www.researchinpractice.org.uk/adults/news-views/2022/may/the-power-of-small-gestures-home-visits-and-social-work/#:~:text=Home%20visits%20are%20central%20to,Rogers%20(University%20of%20Sheffield)</w:t>
        </w:r>
      </w:hyperlink>
      <w:r w:rsidRPr="00732F22">
        <w:rPr>
          <w:kern w:val="36"/>
          <w:sz w:val="24"/>
          <w:szCs w:val="24"/>
        </w:rPr>
        <w:t xml:space="preserve"> (Accessed: 25 April 2026).</w:t>
      </w:r>
    </w:p>
    <w:p w14:paraId="6F96509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 </w:t>
      </w:r>
    </w:p>
    <w:p w14:paraId="749EA06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Borton. T. (1970) </w:t>
      </w:r>
      <w:r w:rsidRPr="00732F22">
        <w:rPr>
          <w:rFonts w:eastAsia="Aptos"/>
          <w:i/>
          <w:iCs/>
          <w:color w:val="222222"/>
          <w:kern w:val="2"/>
          <w:sz w:val="24"/>
          <w:szCs w:val="24"/>
          <w:shd w:val="clear" w:color="auto" w:fill="FFFFFF"/>
          <w:lang w:eastAsia="en-US"/>
          <w14:ligatures w14:val="standardContextual"/>
        </w:rPr>
        <w:t>Reach Touche and Teach: Student Concerns and Process Education</w:t>
      </w:r>
      <w:r w:rsidRPr="00732F22">
        <w:rPr>
          <w:rFonts w:eastAsia="Aptos"/>
          <w:color w:val="222222"/>
          <w:kern w:val="2"/>
          <w:sz w:val="24"/>
          <w:szCs w:val="24"/>
          <w:shd w:val="clear" w:color="auto" w:fill="FFFFFF"/>
          <w:lang w:eastAsia="en-US"/>
          <w14:ligatures w14:val="standardContextual"/>
        </w:rPr>
        <w:t>. McGraw-Hill, New York.</w:t>
      </w:r>
    </w:p>
    <w:p w14:paraId="047D494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571980A"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Braye, S. and Orr, D. (2017) ‘Autonomy and protection in self-neglect work: The ethical complexity of decision-making’. </w:t>
      </w:r>
      <w:r w:rsidRPr="00732F22">
        <w:rPr>
          <w:rFonts w:eastAsia="Aptos"/>
          <w:i/>
          <w:iCs/>
          <w:color w:val="222222"/>
          <w:kern w:val="2"/>
          <w:sz w:val="24"/>
          <w:szCs w:val="24"/>
          <w:shd w:val="clear" w:color="auto" w:fill="FFFFFF"/>
          <w:lang w:eastAsia="en-US"/>
          <w14:ligatures w14:val="standardContextual"/>
        </w:rPr>
        <w:t>Ethics and Social Welfare</w:t>
      </w:r>
      <w:r w:rsidRPr="00732F22">
        <w:rPr>
          <w:rFonts w:eastAsia="Aptos"/>
          <w:color w:val="222222"/>
          <w:kern w:val="2"/>
          <w:sz w:val="24"/>
          <w:szCs w:val="24"/>
          <w:shd w:val="clear" w:color="auto" w:fill="FFFFFF"/>
          <w:lang w:eastAsia="en-US"/>
          <w14:ligatures w14:val="standardContextual"/>
        </w:rPr>
        <w:t>, </w:t>
      </w:r>
      <w:r w:rsidRPr="00732F22">
        <w:rPr>
          <w:rFonts w:eastAsia="Aptos"/>
          <w:i/>
          <w:iCs/>
          <w:color w:val="222222"/>
          <w:kern w:val="2"/>
          <w:sz w:val="24"/>
          <w:szCs w:val="24"/>
          <w:shd w:val="clear" w:color="auto" w:fill="FFFFFF"/>
          <w:lang w:eastAsia="en-US"/>
          <w14:ligatures w14:val="standardContextual"/>
        </w:rPr>
        <w:t>11</w:t>
      </w:r>
      <w:r w:rsidRPr="00732F22">
        <w:rPr>
          <w:rFonts w:eastAsia="Aptos"/>
          <w:color w:val="222222"/>
          <w:kern w:val="2"/>
          <w:sz w:val="24"/>
          <w:szCs w:val="24"/>
          <w:shd w:val="clear" w:color="auto" w:fill="FFFFFF"/>
          <w:lang w:eastAsia="en-US"/>
          <w14:ligatures w14:val="standardContextual"/>
        </w:rPr>
        <w:t xml:space="preserve">(4), pp.320-335. Available at: </w:t>
      </w:r>
      <w:hyperlink r:id="rId13" w:history="1">
        <w:r w:rsidRPr="00732F22">
          <w:rPr>
            <w:rFonts w:eastAsia="Aptos"/>
            <w:color w:val="467886"/>
            <w:kern w:val="2"/>
            <w:sz w:val="24"/>
            <w:szCs w:val="24"/>
            <w:u w:val="single"/>
            <w:shd w:val="clear" w:color="auto" w:fill="FFFFFF"/>
            <w:lang w:eastAsia="en-US"/>
            <w14:ligatures w14:val="standardContextual"/>
          </w:rPr>
          <w:t>https://www.tandfonline.com/doi/abs/10.1080/17496535.2017.1290814</w:t>
        </w:r>
      </w:hyperlink>
      <w:r w:rsidRPr="00732F22">
        <w:rPr>
          <w:rFonts w:eastAsia="Aptos"/>
          <w:color w:val="222222"/>
          <w:kern w:val="2"/>
          <w:sz w:val="24"/>
          <w:szCs w:val="24"/>
          <w:shd w:val="clear" w:color="auto" w:fill="FFFFFF"/>
          <w:lang w:eastAsia="en-US"/>
          <w14:ligatures w14:val="standardContextual"/>
        </w:rPr>
        <w:t xml:space="preserve"> </w:t>
      </w:r>
    </w:p>
    <w:p w14:paraId="01E290A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6BD4020D"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i/>
          <w:iCs/>
          <w:color w:val="222222"/>
          <w:kern w:val="2"/>
          <w:sz w:val="24"/>
          <w:szCs w:val="24"/>
          <w:shd w:val="clear" w:color="auto" w:fill="FFFFFF"/>
          <w:lang w:eastAsia="en-US"/>
          <w14:ligatures w14:val="standardContextual"/>
        </w:rPr>
        <w:t>Children Act 1989.</w:t>
      </w:r>
      <w:r w:rsidRPr="00732F22">
        <w:rPr>
          <w:rFonts w:eastAsia="Aptos"/>
          <w:color w:val="222222"/>
          <w:kern w:val="2"/>
          <w:sz w:val="24"/>
          <w:szCs w:val="24"/>
          <w:shd w:val="clear" w:color="auto" w:fill="FFFFFF"/>
          <w:lang w:eastAsia="en-US"/>
          <w14:ligatures w14:val="standardContextual"/>
        </w:rPr>
        <w:t xml:space="preserve">  Available at: </w:t>
      </w:r>
      <w:hyperlink r:id="rId14" w:history="1">
        <w:r w:rsidRPr="00732F22">
          <w:rPr>
            <w:rFonts w:eastAsia="Aptos"/>
            <w:color w:val="467886"/>
            <w:kern w:val="2"/>
            <w:sz w:val="24"/>
            <w:szCs w:val="24"/>
            <w:u w:val="single"/>
            <w:shd w:val="clear" w:color="auto" w:fill="FFFFFF"/>
            <w:lang w:eastAsia="en-US"/>
            <w14:ligatures w14:val="standardContextual"/>
          </w:rPr>
          <w:t>https://www.legislation.gov.uk/ukpga/1989/41/contents</w:t>
        </w:r>
      </w:hyperlink>
      <w:r w:rsidRPr="00732F22">
        <w:rPr>
          <w:rFonts w:eastAsia="Aptos"/>
          <w:color w:val="222222"/>
          <w:kern w:val="2"/>
          <w:sz w:val="24"/>
          <w:szCs w:val="24"/>
          <w:shd w:val="clear" w:color="auto" w:fill="FFFFFF"/>
          <w:lang w:eastAsia="en-US"/>
          <w14:ligatures w14:val="standardContextual"/>
        </w:rPr>
        <w:t xml:space="preserve"> (Accessed: 28 June 2026). </w:t>
      </w:r>
    </w:p>
    <w:p w14:paraId="3F5F8D15"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FB43FC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i/>
          <w:iCs/>
          <w:color w:val="222222"/>
          <w:kern w:val="2"/>
          <w:sz w:val="24"/>
          <w:szCs w:val="24"/>
          <w:shd w:val="clear" w:color="auto" w:fill="FFFFFF"/>
          <w:lang w:eastAsia="en-US"/>
          <w14:ligatures w14:val="standardContextual"/>
        </w:rPr>
        <w:t>Children Act 2004.</w:t>
      </w:r>
      <w:r w:rsidRPr="00732F22">
        <w:rPr>
          <w:rFonts w:eastAsia="Aptos"/>
          <w:color w:val="222222"/>
          <w:kern w:val="2"/>
          <w:sz w:val="24"/>
          <w:szCs w:val="24"/>
          <w:shd w:val="clear" w:color="auto" w:fill="FFFFFF"/>
          <w:lang w:eastAsia="en-US"/>
          <w14:ligatures w14:val="standardContextual"/>
        </w:rPr>
        <w:t xml:space="preserve">  Available at: </w:t>
      </w:r>
      <w:hyperlink r:id="rId15" w:history="1">
        <w:r w:rsidRPr="00732F22">
          <w:rPr>
            <w:rFonts w:eastAsia="Aptos"/>
            <w:color w:val="467886"/>
            <w:kern w:val="2"/>
            <w:sz w:val="24"/>
            <w:szCs w:val="24"/>
            <w:u w:val="single"/>
            <w:shd w:val="clear" w:color="auto" w:fill="FFFFFF"/>
            <w:lang w:eastAsia="en-US"/>
            <w14:ligatures w14:val="standardContextual"/>
          </w:rPr>
          <w:t>https://www.legislation.gov.uk/ukpga/2004/31/contents</w:t>
        </w:r>
      </w:hyperlink>
      <w:r w:rsidRPr="00732F22">
        <w:rPr>
          <w:rFonts w:eastAsia="Aptos"/>
          <w:color w:val="222222"/>
          <w:kern w:val="2"/>
          <w:sz w:val="24"/>
          <w:szCs w:val="24"/>
          <w:shd w:val="clear" w:color="auto" w:fill="FFFFFF"/>
          <w:lang w:eastAsia="en-US"/>
          <w14:ligatures w14:val="standardContextual"/>
        </w:rPr>
        <w:t xml:space="preserve"> (Accessed 28 June 2026).</w:t>
      </w:r>
    </w:p>
    <w:p w14:paraId="5100D89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8820461" w14:textId="77777777" w:rsidR="00732F22" w:rsidRPr="00732F22" w:rsidRDefault="00732F22" w:rsidP="00732F22">
      <w:pPr>
        <w:overflowPunct/>
        <w:autoSpaceDE/>
        <w:autoSpaceDN/>
        <w:adjustRightInd/>
        <w:spacing w:after="160" w:line="360" w:lineRule="auto"/>
        <w:jc w:val="both"/>
        <w:textAlignment w:val="auto"/>
        <w:rPr>
          <w:rFonts w:eastAsia="Aptos"/>
          <w:color w:val="1B1B1B"/>
          <w:kern w:val="2"/>
          <w:sz w:val="24"/>
          <w:szCs w:val="24"/>
          <w:shd w:val="clear" w:color="auto" w:fill="FFFFFF"/>
          <w:lang w:eastAsia="en-US"/>
          <w14:ligatures w14:val="standardContextual"/>
        </w:rPr>
      </w:pPr>
      <w:r w:rsidRPr="00732F22">
        <w:rPr>
          <w:rFonts w:eastAsia="Aptos"/>
          <w:color w:val="1B1B1B"/>
          <w:kern w:val="2"/>
          <w:sz w:val="24"/>
          <w:szCs w:val="24"/>
          <w:shd w:val="clear" w:color="auto" w:fill="FFFFFF"/>
          <w:lang w:eastAsia="en-US"/>
          <w14:ligatures w14:val="standardContextual"/>
        </w:rPr>
        <w:t xml:space="preserve">Ferguson H. (2016) ‘Making home visits: Creativity and the Embodied Practices of Home Visiting in Social Work and Child Protection’, </w:t>
      </w:r>
      <w:r w:rsidRPr="00732F22">
        <w:rPr>
          <w:rFonts w:eastAsia="Aptos"/>
          <w:i/>
          <w:iCs/>
          <w:color w:val="1B1B1B"/>
          <w:kern w:val="2"/>
          <w:sz w:val="24"/>
          <w:szCs w:val="24"/>
          <w:shd w:val="clear" w:color="auto" w:fill="FFFFFF"/>
          <w:lang w:eastAsia="en-US"/>
          <w14:ligatures w14:val="standardContextual"/>
        </w:rPr>
        <w:t>Qual Soc Work</w:t>
      </w:r>
      <w:r w:rsidRPr="00732F22">
        <w:rPr>
          <w:rFonts w:eastAsia="Aptos"/>
          <w:color w:val="1B1B1B"/>
          <w:kern w:val="2"/>
          <w:sz w:val="24"/>
          <w:szCs w:val="24"/>
          <w:shd w:val="clear" w:color="auto" w:fill="FFFFFF"/>
          <w:lang w:eastAsia="en-US"/>
          <w14:ligatures w14:val="standardContextual"/>
        </w:rPr>
        <w:t xml:space="preserve">. 17(1), pp. 65-80. Available at: </w:t>
      </w:r>
      <w:hyperlink r:id="rId16" w:history="1">
        <w:r w:rsidRPr="00732F22">
          <w:rPr>
            <w:rFonts w:eastAsia="Aptos"/>
            <w:color w:val="467886"/>
            <w:kern w:val="2"/>
            <w:sz w:val="24"/>
            <w:szCs w:val="24"/>
            <w:u w:val="single"/>
            <w:shd w:val="clear" w:color="auto" w:fill="FFFFFF"/>
            <w:lang w:eastAsia="en-US"/>
            <w14:ligatures w14:val="standardContextual"/>
          </w:rPr>
          <w:t>https://journals.sagepub.com/doi/10.1177/1473325016656751</w:t>
        </w:r>
      </w:hyperlink>
      <w:r w:rsidRPr="00732F22">
        <w:rPr>
          <w:rFonts w:eastAsia="Aptos"/>
          <w:color w:val="1B1B1B"/>
          <w:kern w:val="2"/>
          <w:sz w:val="24"/>
          <w:szCs w:val="24"/>
          <w:shd w:val="clear" w:color="auto" w:fill="FFFFFF"/>
          <w:lang w:eastAsia="en-US"/>
          <w14:ligatures w14:val="standardContextual"/>
        </w:rPr>
        <w:t xml:space="preserve"> </w:t>
      </w:r>
    </w:p>
    <w:p w14:paraId="1EEEC9D1" w14:textId="77777777" w:rsidR="00732F22" w:rsidRPr="00732F22" w:rsidRDefault="00732F22" w:rsidP="00732F22">
      <w:pPr>
        <w:overflowPunct/>
        <w:autoSpaceDE/>
        <w:autoSpaceDN/>
        <w:adjustRightInd/>
        <w:spacing w:after="160" w:line="360" w:lineRule="auto"/>
        <w:jc w:val="both"/>
        <w:textAlignment w:val="auto"/>
        <w:rPr>
          <w:rFonts w:eastAsia="Aptos"/>
          <w:color w:val="1B1B1B"/>
          <w:kern w:val="2"/>
          <w:sz w:val="24"/>
          <w:szCs w:val="24"/>
          <w:shd w:val="clear" w:color="auto" w:fill="FFFFFF"/>
          <w:lang w:eastAsia="en-US"/>
          <w14:ligatures w14:val="standardContextual"/>
        </w:rPr>
      </w:pPr>
    </w:p>
    <w:p w14:paraId="49C122D4" w14:textId="77777777" w:rsidR="00732F22" w:rsidRPr="00732F22" w:rsidRDefault="00732F22" w:rsidP="00732F22">
      <w:pPr>
        <w:overflowPunct/>
        <w:autoSpaceDE/>
        <w:autoSpaceDN/>
        <w:adjustRightInd/>
        <w:spacing w:after="160" w:line="360" w:lineRule="auto"/>
        <w:jc w:val="both"/>
        <w:textAlignment w:val="auto"/>
        <w:rPr>
          <w:rFonts w:eastAsia="Aptos"/>
          <w:color w:val="1B1B1B"/>
          <w:kern w:val="2"/>
          <w:sz w:val="24"/>
          <w:szCs w:val="24"/>
          <w:shd w:val="clear" w:color="auto" w:fill="FFFFFF"/>
          <w:lang w:eastAsia="en-US"/>
          <w14:ligatures w14:val="standardContextual"/>
        </w:rPr>
      </w:pPr>
      <w:r w:rsidRPr="00732F22">
        <w:rPr>
          <w:rFonts w:eastAsia="Aptos"/>
          <w:color w:val="333333"/>
          <w:kern w:val="2"/>
          <w:sz w:val="24"/>
          <w:szCs w:val="24"/>
          <w:shd w:val="clear" w:color="auto" w:fill="FFFFFF"/>
          <w:lang w:eastAsia="en-US"/>
          <w14:ligatures w14:val="standardContextual"/>
        </w:rPr>
        <w:t>Ferguson, H. (2018) ‘How social workers reflect in action and when and why they don’t: the possibilities and limits to reflective practice in social work’, </w:t>
      </w:r>
      <w:r w:rsidRPr="00732F22">
        <w:rPr>
          <w:rFonts w:eastAsia="Aptos"/>
          <w:i/>
          <w:iCs/>
          <w:color w:val="333333"/>
          <w:kern w:val="2"/>
          <w:sz w:val="24"/>
          <w:szCs w:val="24"/>
          <w:shd w:val="clear" w:color="auto" w:fill="FFFFFF"/>
          <w:lang w:eastAsia="en-US"/>
          <w14:ligatures w14:val="standardContextual"/>
        </w:rPr>
        <w:t>Social Work Education</w:t>
      </w:r>
      <w:r w:rsidRPr="00732F22">
        <w:rPr>
          <w:rFonts w:eastAsia="Aptos"/>
          <w:color w:val="333333"/>
          <w:kern w:val="2"/>
          <w:sz w:val="24"/>
          <w:szCs w:val="24"/>
          <w:shd w:val="clear" w:color="auto" w:fill="FFFFFF"/>
          <w:lang w:eastAsia="en-US"/>
          <w14:ligatures w14:val="standardContextual"/>
        </w:rPr>
        <w:t>, </w:t>
      </w:r>
      <w:r w:rsidRPr="00732F22">
        <w:rPr>
          <w:rFonts w:eastAsia="Aptos"/>
          <w:i/>
          <w:iCs/>
          <w:color w:val="333333"/>
          <w:kern w:val="2"/>
          <w:sz w:val="24"/>
          <w:szCs w:val="24"/>
          <w:shd w:val="clear" w:color="auto" w:fill="FFFFFF"/>
          <w:lang w:eastAsia="en-US"/>
          <w14:ligatures w14:val="standardContextual"/>
        </w:rPr>
        <w:t>37</w:t>
      </w:r>
      <w:r w:rsidRPr="00732F22">
        <w:rPr>
          <w:rFonts w:eastAsia="Aptos"/>
          <w:color w:val="333333"/>
          <w:kern w:val="2"/>
          <w:sz w:val="24"/>
          <w:szCs w:val="24"/>
          <w:shd w:val="clear" w:color="auto" w:fill="FFFFFF"/>
          <w:lang w:eastAsia="en-US"/>
          <w14:ligatures w14:val="standardContextual"/>
        </w:rPr>
        <w:t xml:space="preserve">(4), pp. 415–427. Available at:  </w:t>
      </w:r>
      <w:hyperlink r:id="rId17" w:history="1">
        <w:r w:rsidRPr="00732F22">
          <w:rPr>
            <w:rFonts w:eastAsia="Aptos"/>
            <w:color w:val="467886"/>
            <w:kern w:val="2"/>
            <w:sz w:val="24"/>
            <w:szCs w:val="24"/>
            <w:u w:val="single"/>
            <w:shd w:val="clear" w:color="auto" w:fill="FFFFFF"/>
            <w:lang w:eastAsia="en-US"/>
            <w14:ligatures w14:val="standardContextual"/>
          </w:rPr>
          <w:t>https://doi.org/10.1080/02615479.2017.1413083</w:t>
        </w:r>
      </w:hyperlink>
      <w:r w:rsidRPr="00732F22">
        <w:rPr>
          <w:rFonts w:eastAsia="Aptos"/>
          <w:color w:val="333333"/>
          <w:kern w:val="2"/>
          <w:sz w:val="24"/>
          <w:szCs w:val="24"/>
          <w:shd w:val="clear" w:color="auto" w:fill="FFFFFF"/>
          <w:lang w:eastAsia="en-US"/>
          <w14:ligatures w14:val="standardContextual"/>
        </w:rPr>
        <w:t xml:space="preserve"> </w:t>
      </w:r>
    </w:p>
    <w:p w14:paraId="1161F8EF" w14:textId="77777777" w:rsidR="00732F22" w:rsidRPr="00732F22" w:rsidRDefault="00732F22" w:rsidP="00732F22">
      <w:pPr>
        <w:overflowPunct/>
        <w:autoSpaceDE/>
        <w:autoSpaceDN/>
        <w:adjustRightInd/>
        <w:spacing w:after="160" w:line="360" w:lineRule="auto"/>
        <w:jc w:val="both"/>
        <w:textAlignment w:val="auto"/>
        <w:rPr>
          <w:rFonts w:eastAsia="Aptos"/>
          <w:color w:val="1B1B1B"/>
          <w:kern w:val="2"/>
          <w:sz w:val="24"/>
          <w:szCs w:val="24"/>
          <w:shd w:val="clear" w:color="auto" w:fill="FFFFFF"/>
          <w:lang w:eastAsia="en-US"/>
          <w14:ligatures w14:val="standardContextual"/>
        </w:rPr>
      </w:pPr>
    </w:p>
    <w:p w14:paraId="76979B19"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Gillen, A. and Canavan, J. (2023) ‘Complexity theory and child protection and welfare’, </w:t>
      </w:r>
      <w:r w:rsidRPr="00732F22">
        <w:rPr>
          <w:i/>
          <w:iCs/>
          <w:color w:val="auto"/>
          <w:sz w:val="24"/>
          <w:szCs w:val="24"/>
        </w:rPr>
        <w:t>British Journal of Social Work</w:t>
      </w:r>
      <w:r w:rsidRPr="00732F22">
        <w:rPr>
          <w:color w:val="auto"/>
          <w:sz w:val="24"/>
          <w:szCs w:val="24"/>
        </w:rPr>
        <w:t xml:space="preserve">, 54(1), pp.59-76.  Available at: </w:t>
      </w:r>
      <w:r w:rsidRPr="00732F22">
        <w:rPr>
          <w:rFonts w:ascii="Source Sans Pro" w:eastAsia="Aptos" w:hAnsi="Source Sans Pro"/>
          <w:color w:val="2A2A2A"/>
          <w:kern w:val="2"/>
          <w:sz w:val="26"/>
          <w:szCs w:val="26"/>
          <w:shd w:val="clear" w:color="auto" w:fill="FFFFFF"/>
          <w:lang w:eastAsia="en-US"/>
          <w14:ligatures w14:val="standardContextual"/>
        </w:rPr>
        <w:t xml:space="preserve">  </w:t>
      </w:r>
      <w:hyperlink r:id="rId18" w:history="1">
        <w:r w:rsidRPr="00732F22">
          <w:rPr>
            <w:rFonts w:ascii="Source Sans Pro" w:eastAsia="Aptos" w:hAnsi="Source Sans Pro"/>
            <w:color w:val="006FB7"/>
            <w:kern w:val="2"/>
            <w:sz w:val="26"/>
            <w:szCs w:val="26"/>
            <w:u w:val="single"/>
            <w:bdr w:val="none" w:sz="0" w:space="0" w:color="auto" w:frame="1"/>
            <w:shd w:val="clear" w:color="auto" w:fill="FFFFFF"/>
            <w:lang w:eastAsia="en-US"/>
            <w14:ligatures w14:val="standardContextual"/>
          </w:rPr>
          <w:t>https://doi.org/10.1093/bjsw/bcad180</w:t>
        </w:r>
      </w:hyperlink>
    </w:p>
    <w:p w14:paraId="312609B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1B4F803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GOV.UK. (2007) </w:t>
      </w:r>
      <w:r w:rsidRPr="00732F22">
        <w:rPr>
          <w:rFonts w:eastAsia="Aptos"/>
          <w:i/>
          <w:iCs/>
          <w:color w:val="222222"/>
          <w:kern w:val="2"/>
          <w:sz w:val="24"/>
          <w:szCs w:val="24"/>
          <w:shd w:val="clear" w:color="auto" w:fill="FFFFFF"/>
          <w:lang w:eastAsia="en-US"/>
          <w14:ligatures w14:val="standardContextual"/>
        </w:rPr>
        <w:t>Mental Capacity Act Code of Practice.</w:t>
      </w:r>
      <w:r w:rsidRPr="00732F22">
        <w:rPr>
          <w:rFonts w:eastAsia="Aptos"/>
          <w:color w:val="222222"/>
          <w:kern w:val="2"/>
          <w:sz w:val="24"/>
          <w:szCs w:val="24"/>
          <w:shd w:val="clear" w:color="auto" w:fill="FFFFFF"/>
          <w:lang w:eastAsia="en-US"/>
          <w14:ligatures w14:val="standardContextual"/>
        </w:rPr>
        <w:t xml:space="preserve">  Available at: </w:t>
      </w:r>
      <w:hyperlink r:id="rId19" w:history="1">
        <w:r w:rsidRPr="00732F22">
          <w:rPr>
            <w:rFonts w:eastAsia="Aptos"/>
            <w:color w:val="467886"/>
            <w:kern w:val="2"/>
            <w:sz w:val="24"/>
            <w:szCs w:val="24"/>
            <w:u w:val="single"/>
            <w:shd w:val="clear" w:color="auto" w:fill="FFFFFF"/>
            <w:lang w:eastAsia="en-US"/>
            <w14:ligatures w14:val="standardContextual"/>
          </w:rPr>
          <w:t>https://www.gov.uk/government/publications/mental-capacity-act-code-of-practice</w:t>
        </w:r>
      </w:hyperlink>
      <w:r w:rsidRPr="00732F22">
        <w:rPr>
          <w:rFonts w:eastAsia="Aptos"/>
          <w:color w:val="222222"/>
          <w:kern w:val="2"/>
          <w:sz w:val="24"/>
          <w:szCs w:val="24"/>
          <w:shd w:val="clear" w:color="auto" w:fill="FFFFFF"/>
          <w:lang w:eastAsia="en-US"/>
          <w14:ligatures w14:val="standardContextual"/>
        </w:rPr>
        <w:t xml:space="preserve"> (Accessed: 29 March 2026). </w:t>
      </w:r>
    </w:p>
    <w:p w14:paraId="53F72D9A"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C9D427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GOV.UK. (2019) </w:t>
      </w:r>
      <w:r w:rsidRPr="00732F22">
        <w:rPr>
          <w:rFonts w:eastAsia="Aptos"/>
          <w:i/>
          <w:iCs/>
          <w:color w:val="222222"/>
          <w:kern w:val="2"/>
          <w:sz w:val="24"/>
          <w:szCs w:val="24"/>
          <w:shd w:val="clear" w:color="auto" w:fill="FFFFFF"/>
          <w:lang w:eastAsia="en-US"/>
          <w14:ligatures w14:val="standardContextual"/>
        </w:rPr>
        <w:t>Strength-based Approach: Practice Framework and Practice Handbook.</w:t>
      </w:r>
      <w:r w:rsidRPr="00732F22">
        <w:rPr>
          <w:rFonts w:eastAsia="Aptos"/>
          <w:color w:val="222222"/>
          <w:kern w:val="2"/>
          <w:sz w:val="24"/>
          <w:szCs w:val="24"/>
          <w:shd w:val="clear" w:color="auto" w:fill="FFFFFF"/>
          <w:lang w:eastAsia="en-US"/>
          <w14:ligatures w14:val="standardContextual"/>
        </w:rPr>
        <w:t xml:space="preserve">  Available at: </w:t>
      </w:r>
      <w:hyperlink r:id="rId20" w:history="1">
        <w:r w:rsidRPr="00732F22">
          <w:rPr>
            <w:rFonts w:eastAsia="Aptos"/>
            <w:color w:val="467886"/>
            <w:kern w:val="2"/>
            <w:sz w:val="24"/>
            <w:szCs w:val="24"/>
            <w:u w:val="single"/>
            <w:shd w:val="clear" w:color="auto" w:fill="FFFFFF"/>
            <w:lang w:eastAsia="en-US"/>
            <w14:ligatures w14:val="standardContextual"/>
          </w:rPr>
          <w:t>https://assets.publishing.service.gov.uk/government/uploads/system/uploads/attachment_data/file/778134/stengths-based-approach-practice-framework-and-handbook.pdf?source=post_page---------------------------&amp;utm_source=copilot.com</w:t>
        </w:r>
      </w:hyperlink>
      <w:r w:rsidRPr="00732F22">
        <w:rPr>
          <w:rFonts w:eastAsia="Aptos"/>
          <w:color w:val="222222"/>
          <w:kern w:val="2"/>
          <w:sz w:val="24"/>
          <w:szCs w:val="24"/>
          <w:shd w:val="clear" w:color="auto" w:fill="FFFFFF"/>
          <w:lang w:eastAsia="en-US"/>
          <w14:ligatures w14:val="standardContextual"/>
        </w:rPr>
        <w:t xml:space="preserve"> (Accessed: 04 May 2026). </w:t>
      </w:r>
    </w:p>
    <w:p w14:paraId="480AA631"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B968808" w14:textId="77777777" w:rsidR="00732F22" w:rsidRPr="00732F22" w:rsidRDefault="00732F22" w:rsidP="00732F22">
      <w:pPr>
        <w:overflowPunct/>
        <w:autoSpaceDE/>
        <w:autoSpaceDN/>
        <w:adjustRightInd/>
        <w:spacing w:before="100" w:beforeAutospacing="1" w:after="100" w:afterAutospacing="1" w:line="360" w:lineRule="auto"/>
        <w:jc w:val="both"/>
        <w:textAlignment w:val="auto"/>
        <w:rPr>
          <w:color w:val="auto"/>
          <w:sz w:val="24"/>
          <w:szCs w:val="24"/>
        </w:rPr>
      </w:pPr>
      <w:r w:rsidRPr="00732F22">
        <w:rPr>
          <w:color w:val="auto"/>
          <w:sz w:val="24"/>
          <w:szCs w:val="24"/>
        </w:rPr>
        <w:t>Horne, L. and Smith, M. (2021) ‘Multi</w:t>
      </w:r>
      <w:r w:rsidRPr="00732F22">
        <w:rPr>
          <w:color w:val="auto"/>
          <w:sz w:val="24"/>
          <w:szCs w:val="24"/>
        </w:rPr>
        <w:noBreakHyphen/>
        <w:t xml:space="preserve">agency working in adult safeguarding: challenges and opportunities’, </w:t>
      </w:r>
      <w:r w:rsidRPr="00732F22">
        <w:rPr>
          <w:i/>
          <w:iCs/>
          <w:color w:val="auto"/>
          <w:sz w:val="24"/>
          <w:szCs w:val="24"/>
        </w:rPr>
        <w:t>British Journal of Social Work</w:t>
      </w:r>
      <w:r w:rsidRPr="00732F22">
        <w:rPr>
          <w:color w:val="auto"/>
          <w:sz w:val="24"/>
          <w:szCs w:val="24"/>
        </w:rPr>
        <w:t xml:space="preserve">, 51(3), pp. 1021–1038.  Available at: </w:t>
      </w:r>
      <w:hyperlink r:id="rId21" w:history="1">
        <w:r w:rsidRPr="00732F22">
          <w:rPr>
            <w:color w:val="467886"/>
            <w:sz w:val="24"/>
            <w:szCs w:val="24"/>
            <w:u w:val="single"/>
          </w:rPr>
          <w:t>(PDF) Safeguarding vulnerable adults: Exploring the challenges to best practice across multi-agency settings</w:t>
        </w:r>
      </w:hyperlink>
      <w:r w:rsidRPr="00732F22">
        <w:rPr>
          <w:color w:val="auto"/>
          <w:sz w:val="24"/>
          <w:szCs w:val="24"/>
        </w:rPr>
        <w:t xml:space="preserve"> </w:t>
      </w:r>
    </w:p>
    <w:p w14:paraId="38ED79C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9652C66"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t>Horwath, J. and Morrison, T. (2011) ‘Effective inter</w:t>
      </w:r>
      <w:r w:rsidRPr="00732F22">
        <w:rPr>
          <w:rFonts w:eastAsia="Aptos"/>
          <w:color w:val="auto"/>
          <w:kern w:val="2"/>
          <w:sz w:val="24"/>
          <w:szCs w:val="24"/>
          <w:lang w:eastAsia="en-US"/>
          <w14:ligatures w14:val="standardContextual"/>
        </w:rPr>
        <w:noBreakHyphen/>
        <w:t xml:space="preserve">agency collaboration in child protection’, </w:t>
      </w:r>
      <w:r w:rsidRPr="00732F22">
        <w:rPr>
          <w:rFonts w:eastAsia="Aptos"/>
          <w:i/>
          <w:iCs/>
          <w:color w:val="auto"/>
          <w:kern w:val="2"/>
          <w:sz w:val="24"/>
          <w:szCs w:val="24"/>
          <w:lang w:eastAsia="en-US"/>
          <w14:ligatures w14:val="standardContextual"/>
        </w:rPr>
        <w:t>Child Abuse Review</w:t>
      </w:r>
      <w:r w:rsidRPr="00732F22">
        <w:rPr>
          <w:rFonts w:eastAsia="Aptos"/>
          <w:color w:val="auto"/>
          <w:kern w:val="2"/>
          <w:sz w:val="24"/>
          <w:szCs w:val="24"/>
          <w:lang w:eastAsia="en-US"/>
          <w14:ligatures w14:val="standardContextual"/>
        </w:rPr>
        <w:t xml:space="preserve">, 20(1), pp. 52–64. Available at: </w:t>
      </w:r>
      <w:hyperlink r:id="rId22" w:history="1">
        <w:r w:rsidRPr="00732F22">
          <w:rPr>
            <w:rFonts w:eastAsia="Aptos"/>
            <w:color w:val="467886"/>
            <w:kern w:val="2"/>
            <w:sz w:val="24"/>
            <w:szCs w:val="24"/>
            <w:u w:val="single"/>
            <w:lang w:eastAsia="en-US"/>
            <w14:ligatures w14:val="standardContextual"/>
          </w:rPr>
          <w:t>https://doi.org/10.1016/j.childyouth.2010.10.002</w:t>
        </w:r>
      </w:hyperlink>
      <w:r w:rsidRPr="00732F22">
        <w:rPr>
          <w:rFonts w:eastAsia="Aptos"/>
          <w:color w:val="auto"/>
          <w:kern w:val="2"/>
          <w:sz w:val="24"/>
          <w:szCs w:val="24"/>
          <w:lang w:eastAsia="en-US"/>
          <w14:ligatures w14:val="standardContextual"/>
        </w:rPr>
        <w:t xml:space="preserve"> </w:t>
      </w:r>
    </w:p>
    <w:p w14:paraId="0964F084"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
    <w:p w14:paraId="006BB8EC"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i/>
          <w:iCs/>
          <w:color w:val="auto"/>
          <w:kern w:val="2"/>
          <w:sz w:val="24"/>
          <w:szCs w:val="24"/>
          <w:lang w:eastAsia="en-US"/>
          <w14:ligatures w14:val="standardContextual"/>
        </w:rPr>
        <w:t>Human Rights Act 1998.</w:t>
      </w:r>
      <w:r w:rsidRPr="00732F22">
        <w:rPr>
          <w:rFonts w:eastAsia="Aptos"/>
          <w:color w:val="auto"/>
          <w:kern w:val="2"/>
          <w:sz w:val="24"/>
          <w:szCs w:val="24"/>
          <w:lang w:eastAsia="en-US"/>
          <w14:ligatures w14:val="standardContextual"/>
        </w:rPr>
        <w:t xml:space="preserve">  Available at: </w:t>
      </w:r>
      <w:hyperlink r:id="rId23" w:history="1">
        <w:r w:rsidRPr="00732F22">
          <w:rPr>
            <w:rFonts w:eastAsia="Aptos"/>
            <w:color w:val="467886"/>
            <w:kern w:val="2"/>
            <w:sz w:val="24"/>
            <w:szCs w:val="24"/>
            <w:u w:val="single"/>
            <w:lang w:eastAsia="en-US"/>
            <w14:ligatures w14:val="standardContextual"/>
          </w:rPr>
          <w:t>https://www.legislation.gov.uk/ukpga/1998/42/contents</w:t>
        </w:r>
      </w:hyperlink>
      <w:r w:rsidRPr="00732F22">
        <w:rPr>
          <w:rFonts w:eastAsia="Aptos"/>
          <w:color w:val="auto"/>
          <w:kern w:val="2"/>
          <w:sz w:val="24"/>
          <w:szCs w:val="24"/>
          <w:lang w:eastAsia="en-US"/>
          <w14:ligatures w14:val="standardContextual"/>
        </w:rPr>
        <w:t xml:space="preserve"> (Accessed: 31 May 2026).</w:t>
      </w:r>
    </w:p>
    <w:p w14:paraId="3FA1D55B"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
    <w:p w14:paraId="3E82D090"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t xml:space="preserve">Laming, H. (2009) </w:t>
      </w:r>
      <w:r w:rsidRPr="00732F22">
        <w:rPr>
          <w:rFonts w:eastAsia="Aptos"/>
          <w:i/>
          <w:iCs/>
          <w:color w:val="auto"/>
          <w:kern w:val="2"/>
          <w:sz w:val="24"/>
          <w:szCs w:val="24"/>
          <w:lang w:eastAsia="en-US"/>
          <w14:ligatures w14:val="standardContextual"/>
        </w:rPr>
        <w:t>The Protection of Children in England: A Progress Report</w:t>
      </w:r>
      <w:r w:rsidRPr="00732F22">
        <w:rPr>
          <w:rFonts w:eastAsia="Aptos"/>
          <w:color w:val="auto"/>
          <w:kern w:val="2"/>
          <w:sz w:val="24"/>
          <w:szCs w:val="24"/>
          <w:lang w:eastAsia="en-US"/>
          <w14:ligatures w14:val="standardContextual"/>
        </w:rPr>
        <w:t xml:space="preserve">. </w:t>
      </w:r>
      <w:r w:rsidRPr="00732F22">
        <w:rPr>
          <w:rFonts w:eastAsia="Aptos"/>
          <w:i/>
          <w:iCs/>
          <w:color w:val="auto"/>
          <w:kern w:val="2"/>
          <w:sz w:val="24"/>
          <w:szCs w:val="24"/>
          <w:lang w:eastAsia="en-US"/>
          <w14:ligatures w14:val="standardContextual"/>
        </w:rPr>
        <w:t xml:space="preserve">London: The Stationery Office.  </w:t>
      </w:r>
      <w:r w:rsidRPr="00732F22">
        <w:rPr>
          <w:rFonts w:eastAsia="Aptos"/>
          <w:color w:val="auto"/>
          <w:kern w:val="2"/>
          <w:sz w:val="24"/>
          <w:szCs w:val="24"/>
          <w:lang w:eastAsia="en-US"/>
          <w14:ligatures w14:val="standardContextual"/>
        </w:rPr>
        <w:t xml:space="preserve">Available at: </w:t>
      </w:r>
      <w:hyperlink r:id="rId24" w:history="1">
        <w:r w:rsidRPr="00732F22">
          <w:rPr>
            <w:rFonts w:eastAsia="Aptos"/>
            <w:color w:val="467886"/>
            <w:kern w:val="2"/>
            <w:sz w:val="24"/>
            <w:szCs w:val="24"/>
            <w:u w:val="single"/>
            <w:lang w:eastAsia="en-US"/>
            <w14:ligatures w14:val="standardContextual"/>
          </w:rPr>
          <w:t>The protection of children in England: a progress report - GOV.UK</w:t>
        </w:r>
      </w:hyperlink>
      <w:r w:rsidRPr="00732F22">
        <w:rPr>
          <w:rFonts w:eastAsia="Aptos"/>
          <w:color w:val="auto"/>
          <w:kern w:val="2"/>
          <w:sz w:val="24"/>
          <w:szCs w:val="24"/>
          <w:lang w:eastAsia="en-US"/>
          <w14:ligatures w14:val="standardContextual"/>
        </w:rPr>
        <w:t xml:space="preserve"> (Accessed: 31 May 2026). </w:t>
      </w:r>
    </w:p>
    <w:p w14:paraId="3B87F4B6"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
    <w:p w14:paraId="69C3C022"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Leisten, L.M., Findling, F., Bellinghausen, J., Kinateder, M., Probst, T., Lion, D. and Shiban, Y. (2021) ‘ The effect of nonlexical verbal signals on the perceived authenticity, empathy and understanding of a listener’, </w:t>
      </w:r>
      <w:r w:rsidRPr="00732F22">
        <w:rPr>
          <w:rFonts w:eastAsia="Aptos"/>
          <w:i/>
          <w:iCs/>
          <w:color w:val="222222"/>
          <w:kern w:val="2"/>
          <w:sz w:val="24"/>
          <w:szCs w:val="24"/>
          <w:shd w:val="clear" w:color="auto" w:fill="FFFFFF"/>
          <w:lang w:eastAsia="en-US"/>
          <w14:ligatures w14:val="standardContextual"/>
        </w:rPr>
        <w:t>The European Journal of Counselling Psychology</w:t>
      </w:r>
      <w:r w:rsidRPr="00732F22">
        <w:rPr>
          <w:rFonts w:eastAsia="Aptos"/>
          <w:color w:val="222222"/>
          <w:kern w:val="2"/>
          <w:sz w:val="24"/>
          <w:szCs w:val="24"/>
          <w:shd w:val="clear" w:color="auto" w:fill="FFFFFF"/>
          <w:lang w:eastAsia="en-US"/>
          <w14:ligatures w14:val="standardContextual"/>
        </w:rPr>
        <w:t>, </w:t>
      </w:r>
      <w:r w:rsidRPr="00732F22">
        <w:rPr>
          <w:rFonts w:eastAsia="Aptos"/>
          <w:i/>
          <w:iCs/>
          <w:color w:val="222222"/>
          <w:kern w:val="2"/>
          <w:sz w:val="24"/>
          <w:szCs w:val="24"/>
          <w:shd w:val="clear" w:color="auto" w:fill="FFFFFF"/>
          <w:lang w:eastAsia="en-US"/>
          <w14:ligatures w14:val="standardContextual"/>
        </w:rPr>
        <w:t>10</w:t>
      </w:r>
      <w:r w:rsidRPr="00732F22">
        <w:rPr>
          <w:rFonts w:eastAsia="Aptos"/>
          <w:color w:val="222222"/>
          <w:kern w:val="2"/>
          <w:sz w:val="24"/>
          <w:szCs w:val="24"/>
          <w:shd w:val="clear" w:color="auto" w:fill="FFFFFF"/>
          <w:lang w:eastAsia="en-US"/>
          <w14:ligatures w14:val="standardContextual"/>
        </w:rPr>
        <w:t xml:space="preserve">(1), pp. 1-7.  Available at: </w:t>
      </w:r>
      <w:r w:rsidRPr="00732F22">
        <w:rPr>
          <w:rFonts w:eastAsia="Aptos"/>
          <w:color w:val="222222"/>
          <w:kern w:val="2"/>
          <w:sz w:val="24"/>
          <w:szCs w:val="24"/>
          <w:shd w:val="clear" w:color="auto" w:fill="FFFFFF"/>
          <w:lang w:eastAsia="en-US"/>
          <w14:ligatures w14:val="standardContextual"/>
        </w:rPr>
        <w:br/>
      </w:r>
      <w:hyperlink r:id="rId25" w:history="1">
        <w:r w:rsidRPr="00732F22">
          <w:rPr>
            <w:rFonts w:eastAsia="Aptos"/>
            <w:color w:val="467886"/>
            <w:kern w:val="2"/>
            <w:sz w:val="24"/>
            <w:szCs w:val="24"/>
            <w:u w:val="single"/>
            <w:shd w:val="clear" w:color="auto" w:fill="FFFFFF"/>
            <w:lang w:eastAsia="en-US"/>
            <w14:ligatures w14:val="standardContextual"/>
          </w:rPr>
          <w:t>https://doi.org/10.46853/001c.27434</w:t>
        </w:r>
      </w:hyperlink>
      <w:r w:rsidRPr="00732F22">
        <w:rPr>
          <w:rFonts w:eastAsia="Aptos"/>
          <w:color w:val="222222"/>
          <w:kern w:val="2"/>
          <w:sz w:val="24"/>
          <w:szCs w:val="24"/>
          <w:shd w:val="clear" w:color="auto" w:fill="FFFFFF"/>
          <w:lang w:eastAsia="en-US"/>
          <w14:ligatures w14:val="standardContextual"/>
        </w:rPr>
        <w:t xml:space="preserve"> </w:t>
      </w:r>
    </w:p>
    <w:p w14:paraId="15AEC64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6CF930D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Mandelstam, M. (2019) </w:t>
      </w:r>
      <w:r w:rsidRPr="00732F22">
        <w:rPr>
          <w:rFonts w:eastAsia="Aptos"/>
          <w:i/>
          <w:iCs/>
          <w:color w:val="222222"/>
          <w:kern w:val="2"/>
          <w:sz w:val="24"/>
          <w:szCs w:val="24"/>
          <w:shd w:val="clear" w:color="auto" w:fill="FFFFFF"/>
          <w:lang w:eastAsia="en-US"/>
          <w14:ligatures w14:val="standardContextual"/>
        </w:rPr>
        <w:t>Safeguarding adults and the law: an AZ of law and practice</w:t>
      </w:r>
      <w:r w:rsidRPr="00732F22">
        <w:rPr>
          <w:rFonts w:eastAsia="Aptos"/>
          <w:color w:val="222222"/>
          <w:kern w:val="2"/>
          <w:sz w:val="24"/>
          <w:szCs w:val="24"/>
          <w:shd w:val="clear" w:color="auto" w:fill="FFFFFF"/>
          <w:lang w:eastAsia="en-US"/>
          <w14:ligatures w14:val="standardContextual"/>
        </w:rPr>
        <w:t>. Jessica Kingsley Publishers.</w:t>
      </w:r>
    </w:p>
    <w:p w14:paraId="2ED27D0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C13F4F9"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McWilliams, A., Ariyo, K., David, A.S. and Owen, G.S. (2024). ‘Mental capacity assessment in the multi-professional real world: a qualitative study of six areas of uncertainty’. </w:t>
      </w:r>
      <w:r w:rsidRPr="00732F22">
        <w:rPr>
          <w:rFonts w:eastAsia="Aptos"/>
          <w:i/>
          <w:iCs/>
          <w:color w:val="222222"/>
          <w:kern w:val="2"/>
          <w:sz w:val="24"/>
          <w:szCs w:val="24"/>
          <w:shd w:val="clear" w:color="auto" w:fill="FFFFFF"/>
          <w:lang w:eastAsia="en-US"/>
          <w14:ligatures w14:val="standardContextual"/>
        </w:rPr>
        <w:t>Welcome Open Research</w:t>
      </w:r>
      <w:r w:rsidRPr="00732F22">
        <w:rPr>
          <w:rFonts w:eastAsia="Aptos"/>
          <w:color w:val="222222"/>
          <w:kern w:val="2"/>
          <w:sz w:val="24"/>
          <w:szCs w:val="24"/>
          <w:shd w:val="clear" w:color="auto" w:fill="FFFFFF"/>
          <w:lang w:eastAsia="en-US"/>
          <w14:ligatures w14:val="standardContextual"/>
        </w:rPr>
        <w:t xml:space="preserve">, 9, p.221. Available at:  </w:t>
      </w:r>
      <w:hyperlink r:id="rId26" w:history="1">
        <w:r w:rsidRPr="00732F22">
          <w:rPr>
            <w:rFonts w:eastAsia="Aptos"/>
            <w:color w:val="467886"/>
            <w:kern w:val="2"/>
            <w:sz w:val="24"/>
            <w:szCs w:val="24"/>
            <w:u w:val="single"/>
            <w:shd w:val="clear" w:color="auto" w:fill="FFFFFF"/>
            <w:lang w:eastAsia="en-US"/>
            <w14:ligatures w14:val="standardContextual"/>
          </w:rPr>
          <w:t>https://pmc.ncbi.nlm.nih.gov/articles/PMC11190650/</w:t>
        </w:r>
      </w:hyperlink>
      <w:r w:rsidRPr="00732F22">
        <w:rPr>
          <w:rFonts w:eastAsia="Aptos"/>
          <w:color w:val="222222"/>
          <w:kern w:val="2"/>
          <w:sz w:val="24"/>
          <w:szCs w:val="24"/>
          <w:shd w:val="clear" w:color="auto" w:fill="FFFFFF"/>
          <w:lang w:eastAsia="en-US"/>
          <w14:ligatures w14:val="standardContextual"/>
        </w:rPr>
        <w:t xml:space="preserve"> </w:t>
      </w:r>
    </w:p>
    <w:p w14:paraId="04A9D67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2955D3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i/>
          <w:iCs/>
          <w:color w:val="222222"/>
          <w:kern w:val="2"/>
          <w:sz w:val="24"/>
          <w:szCs w:val="24"/>
          <w:shd w:val="clear" w:color="auto" w:fill="FFFFFF"/>
          <w:lang w:eastAsia="en-US"/>
          <w14:ligatures w14:val="standardContextual"/>
        </w:rPr>
        <w:t>Mental Capacity Act 2005</w:t>
      </w:r>
      <w:r w:rsidRPr="00732F22">
        <w:rPr>
          <w:rFonts w:eastAsia="Aptos"/>
          <w:color w:val="222222"/>
          <w:kern w:val="2"/>
          <w:sz w:val="24"/>
          <w:szCs w:val="24"/>
          <w:shd w:val="clear" w:color="auto" w:fill="FFFFFF"/>
          <w:lang w:eastAsia="en-US"/>
          <w14:ligatures w14:val="standardContextual"/>
        </w:rPr>
        <w:t xml:space="preserve">. Available at: </w:t>
      </w:r>
      <w:hyperlink r:id="rId27" w:history="1">
        <w:r w:rsidRPr="00732F22">
          <w:rPr>
            <w:rFonts w:eastAsia="Aptos"/>
            <w:color w:val="467886"/>
            <w:kern w:val="2"/>
            <w:sz w:val="24"/>
            <w:szCs w:val="24"/>
            <w:u w:val="single"/>
            <w:shd w:val="clear" w:color="auto" w:fill="FFFFFF"/>
            <w:lang w:eastAsia="en-US"/>
            <w14:ligatures w14:val="standardContextual"/>
          </w:rPr>
          <w:t>https://www.legislation.gov.uk/ukpga/2005/9/contents</w:t>
        </w:r>
      </w:hyperlink>
      <w:r w:rsidRPr="00732F22">
        <w:rPr>
          <w:rFonts w:eastAsia="Aptos"/>
          <w:color w:val="222222"/>
          <w:kern w:val="2"/>
          <w:sz w:val="24"/>
          <w:szCs w:val="24"/>
          <w:shd w:val="clear" w:color="auto" w:fill="FFFFFF"/>
          <w:lang w:eastAsia="en-US"/>
          <w14:ligatures w14:val="standardContextual"/>
        </w:rPr>
        <w:t xml:space="preserve"> (Accessed: 04 May 2026).</w:t>
      </w:r>
    </w:p>
    <w:p w14:paraId="3724B8A1"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16CBC931"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Milner, J. and O’Byrne, P. (2020) </w:t>
      </w:r>
      <w:r w:rsidRPr="00732F22">
        <w:rPr>
          <w:rFonts w:eastAsia="Aptos"/>
          <w:i/>
          <w:iCs/>
          <w:color w:val="222222"/>
          <w:kern w:val="2"/>
          <w:sz w:val="24"/>
          <w:szCs w:val="24"/>
          <w:shd w:val="clear" w:color="auto" w:fill="FFFFFF"/>
          <w:lang w:eastAsia="en-US"/>
          <w14:ligatures w14:val="standardContextual"/>
        </w:rPr>
        <w:t>Assessment in Social Work</w:t>
      </w:r>
      <w:r w:rsidRPr="00732F22">
        <w:rPr>
          <w:rFonts w:eastAsia="Aptos"/>
          <w:color w:val="222222"/>
          <w:kern w:val="2"/>
          <w:sz w:val="24"/>
          <w:szCs w:val="24"/>
          <w:shd w:val="clear" w:color="auto" w:fill="FFFFFF"/>
          <w:lang w:eastAsia="en-US"/>
          <w14:ligatures w14:val="standardContextual"/>
        </w:rPr>
        <w:t>. 5th edn. London: Palgrave Macmillan.</w:t>
      </w:r>
    </w:p>
    <w:p w14:paraId="22F218F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3CB4B67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Mulcahy, H., Leahy-Warren, P., and Day, M.R. (2017) </w:t>
      </w:r>
      <w:r w:rsidRPr="00732F22">
        <w:rPr>
          <w:rFonts w:eastAsia="Aptos"/>
          <w:i/>
          <w:iCs/>
          <w:color w:val="222222"/>
          <w:kern w:val="2"/>
          <w:sz w:val="24"/>
          <w:szCs w:val="24"/>
          <w:shd w:val="clear" w:color="auto" w:fill="FFFFFF"/>
          <w:lang w:eastAsia="en-US"/>
          <w14:ligatures w14:val="standardContextual"/>
        </w:rPr>
        <w:t>Health and social care professionals’ perspectives of self-neglect. </w:t>
      </w:r>
      <w:r w:rsidRPr="00732F22">
        <w:rPr>
          <w:rFonts w:eastAsia="Aptos"/>
          <w:color w:val="222222"/>
          <w:kern w:val="2"/>
          <w:sz w:val="24"/>
          <w:szCs w:val="24"/>
          <w:shd w:val="clear" w:color="auto" w:fill="FFFFFF"/>
          <w:lang w:eastAsia="en-US"/>
          <w14:ligatures w14:val="standardContextual"/>
        </w:rPr>
        <w:t>Springer Publisihing.</w:t>
      </w:r>
    </w:p>
    <w:p w14:paraId="7BC8BAE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EB85C82"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t xml:space="preserve">Munro, E. (2011) </w:t>
      </w:r>
      <w:r w:rsidRPr="00732F22">
        <w:rPr>
          <w:rFonts w:eastAsia="Aptos"/>
          <w:i/>
          <w:iCs/>
          <w:color w:val="auto"/>
          <w:kern w:val="2"/>
          <w:sz w:val="24"/>
          <w:szCs w:val="24"/>
          <w:lang w:eastAsia="en-US"/>
          <w14:ligatures w14:val="standardContextual"/>
        </w:rPr>
        <w:t>The Munro Review of Child Protection: Final Report</w:t>
      </w:r>
      <w:r w:rsidRPr="00732F22">
        <w:rPr>
          <w:rFonts w:eastAsia="Aptos"/>
          <w:color w:val="auto"/>
          <w:kern w:val="2"/>
          <w:sz w:val="24"/>
          <w:szCs w:val="24"/>
          <w:lang w:eastAsia="en-US"/>
          <w14:ligatures w14:val="standardContextual"/>
        </w:rPr>
        <w:t xml:space="preserve">. London: Department for Education. Available at: </w:t>
      </w:r>
      <w:hyperlink r:id="rId28" w:history="1">
        <w:r w:rsidRPr="00732F22">
          <w:rPr>
            <w:rFonts w:eastAsia="Aptos"/>
            <w:color w:val="467886"/>
            <w:kern w:val="2"/>
            <w:sz w:val="24"/>
            <w:szCs w:val="24"/>
            <w:u w:val="single"/>
            <w:lang w:eastAsia="en-US"/>
            <w14:ligatures w14:val="standardContextual"/>
          </w:rPr>
          <w:t>https://assets.publishing.service.gov.uk/media/5a7b455ee5274a34770ea939/Munro-Review.pdf</w:t>
        </w:r>
      </w:hyperlink>
      <w:r w:rsidRPr="00732F22">
        <w:rPr>
          <w:rFonts w:eastAsia="Aptos"/>
          <w:color w:val="auto"/>
          <w:kern w:val="2"/>
          <w:sz w:val="24"/>
          <w:szCs w:val="24"/>
          <w:lang w:eastAsia="en-US"/>
          <w14:ligatures w14:val="standardContextual"/>
        </w:rPr>
        <w:t xml:space="preserve"> (Accessed: 04 May 2026). </w:t>
      </w:r>
    </w:p>
    <w:p w14:paraId="61C1C077"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
    <w:p w14:paraId="61017BE1" w14:textId="77777777" w:rsidR="00732F22" w:rsidRPr="00732F22" w:rsidRDefault="00732F22" w:rsidP="00732F22">
      <w:pPr>
        <w:overflowPunct/>
        <w:autoSpaceDE/>
        <w:autoSpaceDN/>
        <w:adjustRightInd/>
        <w:spacing w:line="360" w:lineRule="auto"/>
        <w:jc w:val="both"/>
        <w:textAlignment w:val="auto"/>
        <w:rPr>
          <w:rFonts w:ascii="Segoe UI" w:hAnsi="Segoe UI" w:cs="Segoe UI"/>
          <w:color w:val="auto"/>
          <w:sz w:val="21"/>
          <w:szCs w:val="21"/>
        </w:rPr>
      </w:pPr>
      <w:r w:rsidRPr="00732F22">
        <w:rPr>
          <w:color w:val="auto"/>
          <w:sz w:val="24"/>
          <w:szCs w:val="24"/>
        </w:rPr>
        <w:t xml:space="preserve">Nelson-Jones, R. (2014) </w:t>
      </w:r>
      <w:r w:rsidRPr="00732F22">
        <w:rPr>
          <w:i/>
          <w:iCs/>
          <w:color w:val="auto"/>
          <w:sz w:val="24"/>
          <w:szCs w:val="24"/>
        </w:rPr>
        <w:t>Basic Counselling Skills: A Helper’s Manual</w:t>
      </w:r>
      <w:r w:rsidRPr="00732F22">
        <w:rPr>
          <w:color w:val="auto"/>
          <w:sz w:val="24"/>
          <w:szCs w:val="24"/>
        </w:rPr>
        <w:t>. 4th edn. London: Sage</w:t>
      </w:r>
      <w:r w:rsidRPr="00732F22">
        <w:rPr>
          <w:rFonts w:ascii="Segoe UI" w:hAnsi="Segoe UI" w:cs="Segoe UI"/>
          <w:color w:val="auto"/>
          <w:sz w:val="21"/>
          <w:szCs w:val="21"/>
        </w:rPr>
        <w:t>.</w:t>
      </w:r>
    </w:p>
    <w:p w14:paraId="10FA6119"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
    <w:p w14:paraId="706BC74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auto"/>
          <w:kern w:val="2"/>
          <w:sz w:val="24"/>
          <w:szCs w:val="24"/>
          <w:lang w:eastAsia="en-US"/>
          <w14:ligatures w14:val="standardContextual"/>
        </w:rPr>
        <w:t xml:space="preserve">NSPCC (2022) </w:t>
      </w:r>
      <w:r w:rsidRPr="00732F22">
        <w:rPr>
          <w:rFonts w:eastAsia="Aptos"/>
          <w:i/>
          <w:iCs/>
          <w:color w:val="auto"/>
          <w:kern w:val="2"/>
          <w:sz w:val="24"/>
          <w:szCs w:val="24"/>
          <w:lang w:eastAsia="en-US"/>
          <w14:ligatures w14:val="standardContextual"/>
        </w:rPr>
        <w:t>Gillick Competency and Fraser Guidelines.</w:t>
      </w:r>
      <w:r w:rsidRPr="00732F22">
        <w:rPr>
          <w:rFonts w:eastAsia="Aptos"/>
          <w:color w:val="auto"/>
          <w:kern w:val="2"/>
          <w:sz w:val="24"/>
          <w:szCs w:val="24"/>
          <w:lang w:eastAsia="en-US"/>
          <w14:ligatures w14:val="standardContextual"/>
        </w:rPr>
        <w:t xml:space="preserve">  Available at:  </w:t>
      </w:r>
      <w:hyperlink r:id="rId29" w:anchor="skip-to-content" w:history="1">
        <w:r w:rsidRPr="00732F22">
          <w:rPr>
            <w:rFonts w:eastAsia="Aptos"/>
            <w:color w:val="467886"/>
            <w:kern w:val="2"/>
            <w:sz w:val="24"/>
            <w:szCs w:val="24"/>
            <w:u w:val="single"/>
            <w:lang w:eastAsia="en-US"/>
            <w14:ligatures w14:val="standardContextual"/>
          </w:rPr>
          <w:t>https://learning.nspcc.org.uk/child-protection-system/gillick-competence-fraser-guidelines#skip-to-content</w:t>
        </w:r>
      </w:hyperlink>
      <w:r w:rsidRPr="00732F22">
        <w:rPr>
          <w:rFonts w:eastAsia="Aptos"/>
          <w:color w:val="auto"/>
          <w:kern w:val="2"/>
          <w:sz w:val="24"/>
          <w:szCs w:val="24"/>
          <w:lang w:eastAsia="en-US"/>
          <w14:ligatures w14:val="standardContextual"/>
        </w:rPr>
        <w:t xml:space="preserve"> (Accessed: 28 June 2026). </w:t>
      </w:r>
    </w:p>
    <w:p w14:paraId="71CA099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6EE0169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OFH Care (2025) </w:t>
      </w:r>
      <w:r w:rsidRPr="00732F22">
        <w:rPr>
          <w:rFonts w:eastAsia="Aptos"/>
          <w:i/>
          <w:iCs/>
          <w:color w:val="222222"/>
          <w:kern w:val="2"/>
          <w:sz w:val="24"/>
          <w:szCs w:val="24"/>
          <w:shd w:val="clear" w:color="auto" w:fill="FFFFFF"/>
          <w:lang w:eastAsia="en-US"/>
          <w14:ligatures w14:val="standardContextual"/>
        </w:rPr>
        <w:t>Alcohol and Mental Capacity: How drinking can affect decision-making.</w:t>
      </w:r>
      <w:r w:rsidRPr="00732F22">
        <w:rPr>
          <w:rFonts w:eastAsia="Aptos"/>
          <w:color w:val="222222"/>
          <w:kern w:val="2"/>
          <w:sz w:val="24"/>
          <w:szCs w:val="24"/>
          <w:shd w:val="clear" w:color="auto" w:fill="FFFFFF"/>
          <w:lang w:eastAsia="en-US"/>
          <w14:ligatures w14:val="standardContextual"/>
        </w:rPr>
        <w:t xml:space="preserve">  Available at: </w:t>
      </w:r>
      <w:hyperlink r:id="rId30" w:anchor=":~:text=No.,decision%20needs%20to%20be%20made" w:history="1">
        <w:r w:rsidRPr="00732F22">
          <w:rPr>
            <w:rFonts w:eastAsia="Aptos"/>
            <w:color w:val="467886"/>
            <w:kern w:val="2"/>
            <w:sz w:val="24"/>
            <w:szCs w:val="24"/>
            <w:u w:val="single"/>
            <w:shd w:val="clear" w:color="auto" w:fill="FFFFFF"/>
            <w:lang w:eastAsia="en-US"/>
            <w14:ligatures w14:val="standardContextual"/>
          </w:rPr>
          <w:t>https://www.ofhcare.co.uk/alcohol-and-mental-capacity-how-drinking-can-affect-decision-making/#:~:text=No.,decision%20needs%20to%20be%20made</w:t>
        </w:r>
      </w:hyperlink>
      <w:r w:rsidRPr="00732F22">
        <w:rPr>
          <w:rFonts w:eastAsia="Aptos"/>
          <w:color w:val="222222"/>
          <w:kern w:val="2"/>
          <w:sz w:val="24"/>
          <w:szCs w:val="24"/>
          <w:shd w:val="clear" w:color="auto" w:fill="FFFFFF"/>
          <w:lang w:eastAsia="en-US"/>
          <w14:ligatures w14:val="standardContextual"/>
        </w:rPr>
        <w:t>. (Accessed: 03 May 2026).</w:t>
      </w:r>
    </w:p>
    <w:p w14:paraId="25CE919E"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0B52542"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Payne, M. (2021) </w:t>
      </w:r>
      <w:r w:rsidRPr="00732F22">
        <w:rPr>
          <w:rFonts w:eastAsia="Aptos"/>
          <w:i/>
          <w:iCs/>
          <w:color w:val="222222"/>
          <w:kern w:val="2"/>
          <w:sz w:val="24"/>
          <w:szCs w:val="24"/>
          <w:shd w:val="clear" w:color="auto" w:fill="FFFFFF"/>
          <w:lang w:eastAsia="en-US"/>
          <w14:ligatures w14:val="standardContextual"/>
        </w:rPr>
        <w:t>Modern Social Work Theory.</w:t>
      </w:r>
      <w:r w:rsidRPr="00732F22">
        <w:rPr>
          <w:rFonts w:eastAsia="Aptos"/>
          <w:color w:val="222222"/>
          <w:kern w:val="2"/>
          <w:sz w:val="24"/>
          <w:szCs w:val="24"/>
          <w:shd w:val="clear" w:color="auto" w:fill="FFFFFF"/>
          <w:lang w:eastAsia="en-US"/>
          <w14:ligatures w14:val="standardContextual"/>
        </w:rPr>
        <w:t xml:space="preserve"> Oxford University Press.</w:t>
      </w:r>
    </w:p>
    <w:p w14:paraId="4062F3B3"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F2BDFA3"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lastRenderedPageBreak/>
        <w:t xml:space="preserve">Rapp, C. and Goscha, R. (2012) </w:t>
      </w:r>
      <w:r w:rsidRPr="00732F22">
        <w:rPr>
          <w:rFonts w:eastAsia="Aptos"/>
          <w:i/>
          <w:iCs/>
          <w:color w:val="222222"/>
          <w:kern w:val="2"/>
          <w:sz w:val="24"/>
          <w:szCs w:val="24"/>
          <w:shd w:val="clear" w:color="auto" w:fill="FFFFFF"/>
          <w:lang w:eastAsia="en-US"/>
          <w14:ligatures w14:val="standardContextual"/>
        </w:rPr>
        <w:t>The Strengths Model: A Recovery-Oriented Approach to Mental Health Services.</w:t>
      </w:r>
      <w:r w:rsidRPr="00732F22">
        <w:rPr>
          <w:rFonts w:eastAsia="Aptos"/>
          <w:color w:val="222222"/>
          <w:kern w:val="2"/>
          <w:sz w:val="24"/>
          <w:szCs w:val="24"/>
          <w:shd w:val="clear" w:color="auto" w:fill="FFFFFF"/>
          <w:lang w:eastAsia="en-US"/>
          <w14:ligatures w14:val="standardContextual"/>
        </w:rPr>
        <w:t xml:space="preserve"> 3</w:t>
      </w:r>
      <w:r w:rsidRPr="00732F22">
        <w:rPr>
          <w:rFonts w:eastAsia="Aptos"/>
          <w:color w:val="222222"/>
          <w:kern w:val="2"/>
          <w:sz w:val="24"/>
          <w:szCs w:val="24"/>
          <w:shd w:val="clear" w:color="auto" w:fill="FFFFFF"/>
          <w:vertAlign w:val="superscript"/>
          <w:lang w:eastAsia="en-US"/>
          <w14:ligatures w14:val="standardContextual"/>
        </w:rPr>
        <w:t>rd</w:t>
      </w:r>
      <w:r w:rsidRPr="00732F22">
        <w:rPr>
          <w:rFonts w:eastAsia="Aptos"/>
          <w:color w:val="222222"/>
          <w:kern w:val="2"/>
          <w:sz w:val="24"/>
          <w:szCs w:val="24"/>
          <w:shd w:val="clear" w:color="auto" w:fill="FFFFFF"/>
          <w:lang w:eastAsia="en-US"/>
          <w14:ligatures w14:val="standardContextual"/>
        </w:rPr>
        <w:t xml:space="preserve"> edn. Oxford: Oxford University Press. </w:t>
      </w:r>
    </w:p>
    <w:p w14:paraId="412F4BB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E7809E9" w14:textId="77777777" w:rsid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t>Ruch, G. (2017) ‘Reflective practice in contemporary child</w:t>
      </w:r>
      <w:r w:rsidRPr="00732F22">
        <w:rPr>
          <w:rFonts w:eastAsia="Aptos"/>
          <w:color w:val="auto"/>
          <w:kern w:val="2"/>
          <w:sz w:val="24"/>
          <w:szCs w:val="24"/>
          <w:lang w:eastAsia="en-US"/>
          <w14:ligatures w14:val="standardContextual"/>
        </w:rPr>
        <w:noBreakHyphen/>
        <w:t xml:space="preserve">care social work’, </w:t>
      </w:r>
      <w:r w:rsidRPr="00732F22">
        <w:rPr>
          <w:rFonts w:eastAsia="Aptos"/>
          <w:i/>
          <w:iCs/>
          <w:color w:val="auto"/>
          <w:kern w:val="2"/>
          <w:sz w:val="24"/>
          <w:szCs w:val="24"/>
          <w:lang w:eastAsia="en-US"/>
          <w14:ligatures w14:val="standardContextual"/>
        </w:rPr>
        <w:t>Child &amp; Family Social Work</w:t>
      </w:r>
      <w:r w:rsidRPr="00732F22">
        <w:rPr>
          <w:rFonts w:eastAsia="Aptos"/>
          <w:color w:val="auto"/>
          <w:kern w:val="2"/>
          <w:sz w:val="24"/>
          <w:szCs w:val="24"/>
          <w:lang w:eastAsia="en-US"/>
          <w14:ligatures w14:val="standardContextual"/>
        </w:rPr>
        <w:t xml:space="preserve">, 12(1), pp. 1–10. Available at: </w:t>
      </w:r>
      <w:hyperlink r:id="rId31" w:history="1">
        <w:r w:rsidRPr="00732F22">
          <w:rPr>
            <w:rFonts w:eastAsia="Aptos"/>
            <w:color w:val="467886"/>
            <w:kern w:val="2"/>
            <w:sz w:val="24"/>
            <w:szCs w:val="24"/>
            <w:u w:val="single"/>
            <w:lang w:eastAsia="en-US"/>
            <w14:ligatures w14:val="standardContextual"/>
          </w:rPr>
          <w:t>https://doi.org/10.1093/bjsw/bch277</w:t>
        </w:r>
      </w:hyperlink>
      <w:r w:rsidRPr="00732F22">
        <w:rPr>
          <w:rFonts w:eastAsia="Aptos"/>
          <w:color w:val="auto"/>
          <w:kern w:val="2"/>
          <w:sz w:val="24"/>
          <w:szCs w:val="24"/>
          <w:lang w:eastAsia="en-US"/>
          <w14:ligatures w14:val="standardContextual"/>
        </w:rPr>
        <w:t xml:space="preserve"> </w:t>
      </w:r>
    </w:p>
    <w:p w14:paraId="58B8AD02" w14:textId="77777777" w:rsidR="00044D0F" w:rsidRPr="00732F22" w:rsidRDefault="00044D0F"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6E212175"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Saleebey, D. (2013) </w:t>
      </w:r>
      <w:r w:rsidRPr="00732F22">
        <w:rPr>
          <w:rFonts w:eastAsia="Aptos"/>
          <w:i/>
          <w:iCs/>
          <w:color w:val="222222"/>
          <w:kern w:val="2"/>
          <w:sz w:val="24"/>
          <w:szCs w:val="24"/>
          <w:shd w:val="clear" w:color="auto" w:fill="FFFFFF"/>
          <w:lang w:eastAsia="en-US"/>
          <w14:ligatures w14:val="standardContextual"/>
        </w:rPr>
        <w:t>The Strengths Perspective in Social Work Practice</w:t>
      </w:r>
      <w:r w:rsidRPr="00732F22">
        <w:rPr>
          <w:rFonts w:eastAsia="Aptos"/>
          <w:color w:val="222222"/>
          <w:kern w:val="2"/>
          <w:sz w:val="24"/>
          <w:szCs w:val="24"/>
          <w:shd w:val="clear" w:color="auto" w:fill="FFFFFF"/>
          <w:lang w:eastAsia="en-US"/>
          <w14:ligatures w14:val="standardContextual"/>
        </w:rPr>
        <w:t>. 6</w:t>
      </w:r>
      <w:r w:rsidRPr="00732F22">
        <w:rPr>
          <w:rFonts w:eastAsia="Aptos"/>
          <w:color w:val="222222"/>
          <w:kern w:val="2"/>
          <w:sz w:val="24"/>
          <w:szCs w:val="24"/>
          <w:shd w:val="clear" w:color="auto" w:fill="FFFFFF"/>
          <w:vertAlign w:val="superscript"/>
          <w:lang w:eastAsia="en-US"/>
          <w14:ligatures w14:val="standardContextual"/>
        </w:rPr>
        <w:t>th</w:t>
      </w:r>
      <w:r w:rsidRPr="00732F22">
        <w:rPr>
          <w:rFonts w:eastAsia="Aptos"/>
          <w:color w:val="222222"/>
          <w:kern w:val="2"/>
          <w:sz w:val="24"/>
          <w:szCs w:val="24"/>
          <w:shd w:val="clear" w:color="auto" w:fill="FFFFFF"/>
          <w:lang w:eastAsia="en-US"/>
          <w14:ligatures w14:val="standardContextual"/>
        </w:rPr>
        <w:t xml:space="preserve"> edn. Boston: Pearson.</w:t>
      </w:r>
    </w:p>
    <w:p w14:paraId="080D825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94DE86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Scott, J., Weatherhead, S., Daker-White, G., Manthorpe, J. and Mawson, M. (2020) ‘Practitioners’ experiences of the mental capacity act: A systematic review’. </w:t>
      </w:r>
      <w:r w:rsidRPr="00732F22">
        <w:rPr>
          <w:rFonts w:eastAsia="Aptos"/>
          <w:i/>
          <w:iCs/>
          <w:color w:val="222222"/>
          <w:kern w:val="2"/>
          <w:sz w:val="24"/>
          <w:szCs w:val="24"/>
          <w:shd w:val="clear" w:color="auto" w:fill="FFFFFF"/>
          <w:lang w:eastAsia="en-US"/>
          <w14:ligatures w14:val="standardContextual"/>
        </w:rPr>
        <w:t>The Journal of Adult Protection</w:t>
      </w:r>
      <w:r w:rsidRPr="00732F22">
        <w:rPr>
          <w:rFonts w:eastAsia="Aptos"/>
          <w:color w:val="222222"/>
          <w:kern w:val="2"/>
          <w:sz w:val="24"/>
          <w:szCs w:val="24"/>
          <w:shd w:val="clear" w:color="auto" w:fill="FFFFFF"/>
          <w:lang w:eastAsia="en-US"/>
          <w14:ligatures w14:val="standardContextual"/>
        </w:rPr>
        <w:t xml:space="preserve">, 22(4), pp.227-244. Available at:  </w:t>
      </w:r>
      <w:hyperlink r:id="rId32" w:history="1">
        <w:r w:rsidRPr="00732F22">
          <w:rPr>
            <w:rFonts w:eastAsia="Aptos"/>
            <w:color w:val="467886"/>
            <w:kern w:val="2"/>
            <w:sz w:val="24"/>
            <w:szCs w:val="24"/>
            <w:u w:val="single"/>
            <w:shd w:val="clear" w:color="auto" w:fill="FFFFFF"/>
            <w:lang w:eastAsia="en-US"/>
            <w14:ligatures w14:val="standardContextual"/>
          </w:rPr>
          <w:t>https://www.emerald.com/jap/article-abstract/22/4/227/224018/Practitioners-experiences-of-the-mental-capacity?redirectedFrom=fulltext</w:t>
        </w:r>
      </w:hyperlink>
      <w:r w:rsidRPr="00732F22">
        <w:rPr>
          <w:rFonts w:eastAsia="Aptos"/>
          <w:color w:val="222222"/>
          <w:kern w:val="2"/>
          <w:sz w:val="24"/>
          <w:szCs w:val="24"/>
          <w:shd w:val="clear" w:color="auto" w:fill="FFFFFF"/>
          <w:lang w:eastAsia="en-US"/>
          <w14:ligatures w14:val="standardContextual"/>
        </w:rPr>
        <w:t xml:space="preserve"> </w:t>
      </w:r>
    </w:p>
    <w:p w14:paraId="0CD94BA7"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737FAC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Social Care Institute for Excellence [SCIE] (2020) </w:t>
      </w:r>
      <w:r w:rsidRPr="00732F22">
        <w:rPr>
          <w:rFonts w:eastAsia="Aptos"/>
          <w:i/>
          <w:iCs/>
          <w:color w:val="222222"/>
          <w:kern w:val="2"/>
          <w:sz w:val="24"/>
          <w:szCs w:val="24"/>
          <w:shd w:val="clear" w:color="auto" w:fill="FFFFFF"/>
          <w:lang w:eastAsia="en-US"/>
          <w14:ligatures w14:val="standardContextual"/>
        </w:rPr>
        <w:t>Serious Case Review 2020 for the education sector: Multi-agency Working.</w:t>
      </w:r>
      <w:r w:rsidRPr="00732F22">
        <w:rPr>
          <w:rFonts w:eastAsia="Aptos"/>
          <w:color w:val="222222"/>
          <w:kern w:val="2"/>
          <w:sz w:val="24"/>
          <w:szCs w:val="24"/>
          <w:shd w:val="clear" w:color="auto" w:fill="FFFFFF"/>
          <w:lang w:eastAsia="en-US"/>
          <w14:ligatures w14:val="standardContextual"/>
        </w:rPr>
        <w:t xml:space="preserve">  Available at: </w:t>
      </w:r>
      <w:hyperlink r:id="rId33" w:history="1">
        <w:r w:rsidRPr="00732F22">
          <w:rPr>
            <w:rFonts w:eastAsia="Aptos"/>
            <w:color w:val="467886"/>
            <w:kern w:val="2"/>
            <w:sz w:val="24"/>
            <w:szCs w:val="24"/>
            <w:u w:val="single"/>
            <w:shd w:val="clear" w:color="auto" w:fill="FFFFFF"/>
            <w:lang w:eastAsia="en-US"/>
            <w14:ligatures w14:val="standardContextual"/>
          </w:rPr>
          <w:t>https://www.scie.org.uk/safeguarding/children/education/serious-case-reviews/2020-analysis/multi-agency-working/</w:t>
        </w:r>
      </w:hyperlink>
      <w:r w:rsidRPr="00732F22">
        <w:rPr>
          <w:rFonts w:eastAsia="Aptos"/>
          <w:color w:val="222222"/>
          <w:kern w:val="2"/>
          <w:sz w:val="24"/>
          <w:szCs w:val="24"/>
          <w:shd w:val="clear" w:color="auto" w:fill="FFFFFF"/>
          <w:lang w:eastAsia="en-US"/>
          <w14:ligatures w14:val="standardContextual"/>
        </w:rPr>
        <w:t xml:space="preserve"> (Accessed: 31 May 2026).</w:t>
      </w:r>
    </w:p>
    <w:p w14:paraId="099D0F4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695F958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Social Care Institute for Excellence [SCIE] (2022) </w:t>
      </w:r>
      <w:r w:rsidRPr="00732F22">
        <w:rPr>
          <w:rFonts w:eastAsia="Aptos"/>
          <w:i/>
          <w:iCs/>
          <w:color w:val="222222"/>
          <w:kern w:val="2"/>
          <w:sz w:val="24"/>
          <w:szCs w:val="24"/>
          <w:shd w:val="clear" w:color="auto" w:fill="FFFFFF"/>
          <w:lang w:eastAsia="en-US"/>
          <w14:ligatures w14:val="standardContextual"/>
        </w:rPr>
        <w:t>Mental Capacity Act 2005 at a glance.</w:t>
      </w:r>
      <w:r w:rsidRPr="00732F22">
        <w:rPr>
          <w:rFonts w:eastAsia="Aptos"/>
          <w:color w:val="222222"/>
          <w:kern w:val="2"/>
          <w:sz w:val="24"/>
          <w:szCs w:val="24"/>
          <w:shd w:val="clear" w:color="auto" w:fill="FFFFFF"/>
          <w:lang w:eastAsia="en-US"/>
          <w14:ligatures w14:val="standardContextual"/>
        </w:rPr>
        <w:t xml:space="preserve">  Available at: </w:t>
      </w:r>
      <w:hyperlink r:id="rId34" w:anchor=":~:text=The%20Mental%20Capacity%20Act%20(MCA)%202005%20applies%20to%20everyone%20involved,guidance%20for%20less%20formal%20carers" w:history="1">
        <w:r w:rsidRPr="00732F22">
          <w:rPr>
            <w:rFonts w:eastAsia="Aptos"/>
            <w:color w:val="467886"/>
            <w:kern w:val="2"/>
            <w:sz w:val="24"/>
            <w:szCs w:val="24"/>
            <w:u w:val="single"/>
            <w:shd w:val="clear" w:color="auto" w:fill="FFFFFF"/>
            <w:lang w:eastAsia="en-US"/>
            <w14:ligatures w14:val="standardContextual"/>
          </w:rPr>
          <w:t>https://www.scie.org.uk/mca/introduction/mental-capacity-act-2005-at-a-glance/#:~:text=The%20Mental%20Capacity%20Act%20(MCA)%202005%20applies%20to%20everyone%20involved,guidance%20for%20less%20formal%20carers</w:t>
        </w:r>
      </w:hyperlink>
      <w:r w:rsidRPr="00732F22">
        <w:rPr>
          <w:rFonts w:eastAsia="Aptos"/>
          <w:color w:val="222222"/>
          <w:kern w:val="2"/>
          <w:sz w:val="24"/>
          <w:szCs w:val="24"/>
          <w:shd w:val="clear" w:color="auto" w:fill="FFFFFF"/>
          <w:lang w:eastAsia="en-US"/>
          <w14:ligatures w14:val="standardContextual"/>
        </w:rPr>
        <w:t>. (Accessed: 03 May 2026).</w:t>
      </w:r>
    </w:p>
    <w:p w14:paraId="12F7E5C9"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B371B0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auto"/>
          <w:kern w:val="2"/>
          <w:sz w:val="24"/>
          <w:szCs w:val="24"/>
          <w:lang w:eastAsia="en-US"/>
          <w14:ligatures w14:val="standardContextual"/>
        </w:rPr>
        <w:lastRenderedPageBreak/>
        <w:t xml:space="preserve">Social Care Wales (2017) </w:t>
      </w:r>
      <w:r w:rsidRPr="00732F22">
        <w:rPr>
          <w:rFonts w:eastAsia="Aptos"/>
          <w:i/>
          <w:iCs/>
          <w:color w:val="auto"/>
          <w:kern w:val="2"/>
          <w:sz w:val="24"/>
          <w:szCs w:val="24"/>
          <w:lang w:eastAsia="en-US"/>
          <w14:ligatures w14:val="standardContextual"/>
        </w:rPr>
        <w:t>Code of Professional Practice for Social Care</w:t>
      </w:r>
      <w:r w:rsidRPr="00732F22">
        <w:rPr>
          <w:rFonts w:eastAsia="Aptos"/>
          <w:color w:val="auto"/>
          <w:kern w:val="2"/>
          <w:sz w:val="24"/>
          <w:szCs w:val="24"/>
          <w:lang w:eastAsia="en-US"/>
          <w14:ligatures w14:val="standardContextual"/>
        </w:rPr>
        <w:t xml:space="preserve">. </w:t>
      </w:r>
      <w:r w:rsidRPr="00732F22">
        <w:rPr>
          <w:rFonts w:eastAsia="Aptos"/>
          <w:i/>
          <w:iCs/>
          <w:color w:val="auto"/>
          <w:kern w:val="2"/>
          <w:sz w:val="24"/>
          <w:szCs w:val="24"/>
          <w:lang w:eastAsia="en-US"/>
          <w14:ligatures w14:val="standardContextual"/>
        </w:rPr>
        <w:t>Cardiff: Social Care Wales.</w:t>
      </w:r>
      <w:r w:rsidRPr="00732F22">
        <w:rPr>
          <w:rFonts w:eastAsia="Aptos"/>
          <w:color w:val="auto"/>
          <w:kern w:val="2"/>
          <w:sz w:val="24"/>
          <w:szCs w:val="24"/>
          <w:lang w:eastAsia="en-US"/>
          <w14:ligatures w14:val="standardContextual"/>
        </w:rPr>
        <w:t xml:space="preserve"> Available at: </w:t>
      </w:r>
      <w:hyperlink r:id="rId35" w:history="1">
        <w:r w:rsidRPr="00732F22">
          <w:rPr>
            <w:rFonts w:eastAsia="Aptos"/>
            <w:color w:val="467886"/>
            <w:kern w:val="2"/>
            <w:sz w:val="24"/>
            <w:szCs w:val="24"/>
            <w:u w:val="single"/>
            <w:lang w:eastAsia="en-US"/>
            <w14:ligatures w14:val="standardContextual"/>
          </w:rPr>
          <w:t>https://socialcare.wales/cms-assets/documents/Code-of-Professional-Practice-for-Social-Care-web-version.pdf</w:t>
        </w:r>
      </w:hyperlink>
      <w:r w:rsidRPr="00732F22">
        <w:rPr>
          <w:rFonts w:eastAsia="Aptos"/>
          <w:color w:val="auto"/>
          <w:kern w:val="2"/>
          <w:sz w:val="24"/>
          <w:szCs w:val="24"/>
          <w:lang w:eastAsia="en-US"/>
          <w14:ligatures w14:val="standardContextual"/>
        </w:rPr>
        <w:t xml:space="preserve"> (Accessed: 31 May 2026).</w:t>
      </w:r>
    </w:p>
    <w:p w14:paraId="1C14883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AB9F041" w14:textId="77777777" w:rsid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Social Care Wales (2025a) </w:t>
      </w:r>
      <w:r w:rsidRPr="00732F22">
        <w:rPr>
          <w:rFonts w:eastAsia="Aptos"/>
          <w:i/>
          <w:iCs/>
          <w:color w:val="222222"/>
          <w:kern w:val="2"/>
          <w:sz w:val="24"/>
          <w:szCs w:val="24"/>
          <w:shd w:val="clear" w:color="auto" w:fill="FFFFFF"/>
          <w:lang w:eastAsia="en-US"/>
          <w14:ligatures w14:val="standardContextual"/>
        </w:rPr>
        <w:t>Understanding language needs.</w:t>
      </w:r>
      <w:r w:rsidRPr="00732F22">
        <w:rPr>
          <w:rFonts w:eastAsia="Aptos"/>
          <w:color w:val="222222"/>
          <w:kern w:val="2"/>
          <w:sz w:val="24"/>
          <w:szCs w:val="24"/>
          <w:shd w:val="clear" w:color="auto" w:fill="FFFFFF"/>
          <w:lang w:eastAsia="en-US"/>
          <w14:ligatures w14:val="standardContextual"/>
        </w:rPr>
        <w:t xml:space="preserve">  Available at: </w:t>
      </w:r>
      <w:hyperlink r:id="rId36" w:history="1">
        <w:r w:rsidRPr="00732F22">
          <w:rPr>
            <w:rFonts w:eastAsia="Aptos"/>
            <w:color w:val="467886"/>
            <w:kern w:val="2"/>
            <w:sz w:val="24"/>
            <w:szCs w:val="24"/>
            <w:u w:val="single"/>
            <w:shd w:val="clear" w:color="auto" w:fill="FFFFFF"/>
            <w:lang w:eastAsia="en-US"/>
            <w14:ligatures w14:val="standardContextual"/>
          </w:rPr>
          <w:t>https://socialcare.wales/resources-guidance/improving-care-and-support/people-with-dementia/understanding-language-needs</w:t>
        </w:r>
      </w:hyperlink>
      <w:r w:rsidRPr="00732F22">
        <w:rPr>
          <w:rFonts w:eastAsia="Aptos"/>
          <w:color w:val="222222"/>
          <w:kern w:val="2"/>
          <w:sz w:val="24"/>
          <w:szCs w:val="24"/>
          <w:shd w:val="clear" w:color="auto" w:fill="FFFFFF"/>
          <w:lang w:eastAsia="en-US"/>
          <w14:ligatures w14:val="standardContextual"/>
        </w:rPr>
        <w:t xml:space="preserve"> (Accessed: 25 April 2026). </w:t>
      </w:r>
    </w:p>
    <w:p w14:paraId="7800DB6E" w14:textId="77777777" w:rsidR="00044D0F" w:rsidRPr="00732F22" w:rsidRDefault="00044D0F"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A42E4C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Social Care Wales (2025b) </w:t>
      </w:r>
      <w:r w:rsidRPr="00732F22">
        <w:rPr>
          <w:rFonts w:eastAsia="Aptos"/>
          <w:i/>
          <w:iCs/>
          <w:color w:val="222222"/>
          <w:kern w:val="2"/>
          <w:sz w:val="24"/>
          <w:szCs w:val="24"/>
          <w:shd w:val="clear" w:color="auto" w:fill="FFFFFF"/>
          <w:lang w:eastAsia="en-US"/>
          <w14:ligatures w14:val="standardContextual"/>
        </w:rPr>
        <w:t>About strengths-based practice</w:t>
      </w:r>
      <w:r w:rsidRPr="00732F22">
        <w:rPr>
          <w:rFonts w:eastAsia="Aptos"/>
          <w:color w:val="222222"/>
          <w:kern w:val="2"/>
          <w:sz w:val="24"/>
          <w:szCs w:val="24"/>
          <w:shd w:val="clear" w:color="auto" w:fill="FFFFFF"/>
          <w:lang w:eastAsia="en-US"/>
          <w14:ligatures w14:val="standardContextual"/>
        </w:rPr>
        <w:t xml:space="preserve">.  Available at: </w:t>
      </w:r>
      <w:hyperlink r:id="rId37" w:history="1">
        <w:r w:rsidRPr="00732F22">
          <w:rPr>
            <w:rFonts w:eastAsia="Aptos"/>
            <w:color w:val="467886"/>
            <w:kern w:val="2"/>
            <w:sz w:val="24"/>
            <w:szCs w:val="24"/>
            <w:u w:val="single"/>
            <w:shd w:val="clear" w:color="auto" w:fill="FFFFFF"/>
            <w:lang w:eastAsia="en-US"/>
            <w14:ligatures w14:val="standardContextual"/>
          </w:rPr>
          <w:t>https://socialcare.wales/resources-guidance/improving-care-and-support/strengths-based-practice/about-strengths-based-practice?utm_source=copilot.com</w:t>
        </w:r>
      </w:hyperlink>
      <w:r w:rsidRPr="00732F22">
        <w:rPr>
          <w:rFonts w:eastAsia="Aptos"/>
          <w:color w:val="222222"/>
          <w:kern w:val="2"/>
          <w:sz w:val="24"/>
          <w:szCs w:val="24"/>
          <w:shd w:val="clear" w:color="auto" w:fill="FFFFFF"/>
          <w:lang w:eastAsia="en-US"/>
          <w14:ligatures w14:val="standardContextual"/>
        </w:rPr>
        <w:t xml:space="preserve"> (Accessed: 04 May 2026). </w:t>
      </w:r>
    </w:p>
    <w:p w14:paraId="634E6C3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29B8633"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Social Care Wales (2026) </w:t>
      </w:r>
      <w:r w:rsidRPr="00732F22">
        <w:rPr>
          <w:i/>
          <w:iCs/>
          <w:color w:val="auto"/>
          <w:sz w:val="24"/>
          <w:szCs w:val="24"/>
        </w:rPr>
        <w:t xml:space="preserve">Code of Professional Practice for Social Care Workers.  </w:t>
      </w:r>
      <w:r w:rsidRPr="00732F22">
        <w:rPr>
          <w:color w:val="auto"/>
          <w:sz w:val="24"/>
          <w:szCs w:val="24"/>
        </w:rPr>
        <w:t>Available at:</w:t>
      </w:r>
      <w:r w:rsidRPr="00732F22">
        <w:rPr>
          <w:i/>
          <w:iCs/>
          <w:color w:val="auto"/>
          <w:sz w:val="24"/>
          <w:szCs w:val="24"/>
        </w:rPr>
        <w:t xml:space="preserve"> </w:t>
      </w:r>
      <w:hyperlink r:id="rId38" w:history="1">
        <w:r w:rsidRPr="00732F22">
          <w:rPr>
            <w:color w:val="467886"/>
            <w:sz w:val="24"/>
            <w:szCs w:val="24"/>
            <w:u w:val="single"/>
          </w:rPr>
          <w:t>https://socialcare.wales/dealing-with-concerns/codes-of-practice-and-guidance/code-of-professional-practice-for-social-care-workers</w:t>
        </w:r>
      </w:hyperlink>
      <w:r w:rsidRPr="00732F22">
        <w:rPr>
          <w:color w:val="auto"/>
          <w:sz w:val="24"/>
          <w:szCs w:val="24"/>
        </w:rPr>
        <w:t xml:space="preserve"> (Accessed: 28 June 2026).</w:t>
      </w:r>
    </w:p>
    <w:p w14:paraId="3378402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741C1AE"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i/>
          <w:iCs/>
          <w:color w:val="222222"/>
          <w:kern w:val="2"/>
          <w:sz w:val="24"/>
          <w:szCs w:val="24"/>
          <w:shd w:val="clear" w:color="auto" w:fill="FFFFFF"/>
          <w:lang w:eastAsia="en-US"/>
          <w14:ligatures w14:val="standardContextual"/>
        </w:rPr>
        <w:t>Social Services and Well-being (Wales) Act 2014</w:t>
      </w:r>
      <w:r w:rsidRPr="00732F22">
        <w:rPr>
          <w:rFonts w:eastAsia="Aptos"/>
          <w:color w:val="222222"/>
          <w:kern w:val="2"/>
          <w:sz w:val="24"/>
          <w:szCs w:val="24"/>
          <w:shd w:val="clear" w:color="auto" w:fill="FFFFFF"/>
          <w:lang w:eastAsia="en-US"/>
          <w14:ligatures w14:val="standardContextual"/>
        </w:rPr>
        <w:t xml:space="preserve">.  Available at: </w:t>
      </w:r>
      <w:hyperlink r:id="rId39" w:history="1">
        <w:r w:rsidRPr="00732F22">
          <w:rPr>
            <w:rFonts w:eastAsia="Aptos"/>
            <w:color w:val="467886"/>
            <w:kern w:val="2"/>
            <w:sz w:val="24"/>
            <w:szCs w:val="24"/>
            <w:u w:val="single"/>
            <w:shd w:val="clear" w:color="auto" w:fill="FFFFFF"/>
            <w:lang w:eastAsia="en-US"/>
            <w14:ligatures w14:val="standardContextual"/>
          </w:rPr>
          <w:t>https://www.legislation.gov.uk/anaw/2014/4/contents</w:t>
        </w:r>
      </w:hyperlink>
      <w:r w:rsidRPr="00732F22">
        <w:rPr>
          <w:rFonts w:eastAsia="Aptos"/>
          <w:color w:val="222222"/>
          <w:kern w:val="2"/>
          <w:sz w:val="24"/>
          <w:szCs w:val="24"/>
          <w:shd w:val="clear" w:color="auto" w:fill="FFFFFF"/>
          <w:lang w:eastAsia="en-US"/>
          <w14:ligatures w14:val="standardContextual"/>
        </w:rPr>
        <w:t xml:space="preserve"> (Accessed: 04 May 2026).</w:t>
      </w:r>
    </w:p>
    <w:p w14:paraId="20AFFBD1"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1A5C3EF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333333"/>
          <w:kern w:val="2"/>
          <w:sz w:val="24"/>
          <w:szCs w:val="24"/>
          <w:shd w:val="clear" w:color="auto" w:fill="FFFFFF"/>
          <w:lang w:eastAsia="en-US"/>
          <w14:ligatures w14:val="standardContextual"/>
        </w:rPr>
        <w:t>Stanhope, V., Videka, L., Thorning, H., and McKay, M. (2015) ‘Moving Toward Integrated Health: An Opportunity for Social Work’. </w:t>
      </w:r>
      <w:r w:rsidRPr="00732F22">
        <w:rPr>
          <w:rFonts w:eastAsia="Aptos"/>
          <w:i/>
          <w:iCs/>
          <w:color w:val="333333"/>
          <w:kern w:val="2"/>
          <w:sz w:val="24"/>
          <w:szCs w:val="24"/>
          <w:shd w:val="clear" w:color="auto" w:fill="FFFFFF"/>
          <w:lang w:eastAsia="en-US"/>
          <w14:ligatures w14:val="standardContextual"/>
        </w:rPr>
        <w:t>Social Work in Health Care</w:t>
      </w:r>
      <w:r w:rsidRPr="00732F22">
        <w:rPr>
          <w:rFonts w:eastAsia="Aptos"/>
          <w:color w:val="333333"/>
          <w:kern w:val="2"/>
          <w:sz w:val="24"/>
          <w:szCs w:val="24"/>
          <w:shd w:val="clear" w:color="auto" w:fill="FFFFFF"/>
          <w:lang w:eastAsia="en-US"/>
          <w14:ligatures w14:val="standardContextual"/>
        </w:rPr>
        <w:t>, </w:t>
      </w:r>
      <w:r w:rsidRPr="00732F22">
        <w:rPr>
          <w:rFonts w:eastAsia="Aptos"/>
          <w:i/>
          <w:iCs/>
          <w:color w:val="333333"/>
          <w:kern w:val="2"/>
          <w:sz w:val="24"/>
          <w:szCs w:val="24"/>
          <w:shd w:val="clear" w:color="auto" w:fill="FFFFFF"/>
          <w:lang w:eastAsia="en-US"/>
          <w14:ligatures w14:val="standardContextual"/>
        </w:rPr>
        <w:t>54</w:t>
      </w:r>
      <w:r w:rsidRPr="00732F22">
        <w:rPr>
          <w:rFonts w:eastAsia="Aptos"/>
          <w:color w:val="333333"/>
          <w:kern w:val="2"/>
          <w:sz w:val="24"/>
          <w:szCs w:val="24"/>
          <w:shd w:val="clear" w:color="auto" w:fill="FFFFFF"/>
          <w:lang w:eastAsia="en-US"/>
          <w14:ligatures w14:val="standardContextual"/>
        </w:rPr>
        <w:t xml:space="preserve">(5), pp. 383-407. Available at: </w:t>
      </w:r>
      <w:hyperlink r:id="rId40" w:history="1">
        <w:r w:rsidRPr="00732F22">
          <w:rPr>
            <w:rFonts w:eastAsia="Aptos"/>
            <w:color w:val="467886"/>
            <w:kern w:val="2"/>
            <w:sz w:val="24"/>
            <w:szCs w:val="24"/>
            <w:u w:val="single"/>
            <w:shd w:val="clear" w:color="auto" w:fill="FFFFFF"/>
            <w:lang w:eastAsia="en-US"/>
            <w14:ligatures w14:val="standardContextual"/>
          </w:rPr>
          <w:t>https://doi.org/10.1080/00981389.2015.1025122</w:t>
        </w:r>
      </w:hyperlink>
      <w:r w:rsidRPr="00732F22">
        <w:rPr>
          <w:rFonts w:eastAsia="Aptos"/>
          <w:color w:val="333333"/>
          <w:kern w:val="2"/>
          <w:sz w:val="24"/>
          <w:szCs w:val="24"/>
          <w:shd w:val="clear" w:color="auto" w:fill="FFFFFF"/>
          <w:lang w:eastAsia="en-US"/>
          <w14:ligatures w14:val="standardContextual"/>
        </w:rPr>
        <w:t xml:space="preserve"> </w:t>
      </w:r>
    </w:p>
    <w:p w14:paraId="5FE872DA"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738B0F53"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Taylor, B. (2013) </w:t>
      </w:r>
      <w:r w:rsidRPr="00732F22">
        <w:rPr>
          <w:rFonts w:eastAsia="Aptos"/>
          <w:i/>
          <w:iCs/>
          <w:color w:val="222222"/>
          <w:kern w:val="2"/>
          <w:sz w:val="24"/>
          <w:szCs w:val="24"/>
          <w:shd w:val="clear" w:color="auto" w:fill="FFFFFF"/>
          <w:lang w:eastAsia="en-US"/>
          <w14:ligatures w14:val="standardContextual"/>
        </w:rPr>
        <w:t>Professional decision making and risk in social work</w:t>
      </w:r>
      <w:r w:rsidRPr="00732F22">
        <w:rPr>
          <w:rFonts w:eastAsia="Aptos"/>
          <w:color w:val="222222"/>
          <w:kern w:val="2"/>
          <w:sz w:val="24"/>
          <w:szCs w:val="24"/>
          <w:shd w:val="clear" w:color="auto" w:fill="FFFFFF"/>
          <w:lang w:eastAsia="en-US"/>
          <w14:ligatures w14:val="standardContextual"/>
        </w:rPr>
        <w:t>. Learning Matters.</w:t>
      </w:r>
    </w:p>
    <w:p w14:paraId="38D7E63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DA726E4" w14:textId="77777777" w:rsidR="00732F22" w:rsidRPr="00732F22" w:rsidRDefault="00732F22" w:rsidP="00732F22">
      <w:pPr>
        <w:overflowPunct/>
        <w:autoSpaceDE/>
        <w:autoSpaceDN/>
        <w:adjustRightInd/>
        <w:spacing w:line="300" w:lineRule="atLeast"/>
        <w:jc w:val="both"/>
        <w:textAlignment w:val="auto"/>
        <w:rPr>
          <w:color w:val="auto"/>
          <w:sz w:val="24"/>
          <w:szCs w:val="24"/>
        </w:rPr>
      </w:pPr>
      <w:r w:rsidRPr="00732F22">
        <w:rPr>
          <w:color w:val="auto"/>
          <w:sz w:val="24"/>
          <w:szCs w:val="24"/>
        </w:rPr>
        <w:t xml:space="preserve">Taylor, B. (2017) </w:t>
      </w:r>
      <w:r w:rsidRPr="00732F22">
        <w:rPr>
          <w:i/>
          <w:iCs/>
          <w:color w:val="auto"/>
          <w:sz w:val="24"/>
          <w:szCs w:val="24"/>
        </w:rPr>
        <w:t>Decision Making, Assessment and Risk in Social Work</w:t>
      </w:r>
      <w:r w:rsidRPr="00732F22">
        <w:rPr>
          <w:color w:val="auto"/>
          <w:sz w:val="24"/>
          <w:szCs w:val="24"/>
        </w:rPr>
        <w:t>. London: Sage.</w:t>
      </w:r>
    </w:p>
    <w:p w14:paraId="208BD60B"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F9F15F9"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Taylor, B. and Whittaker, A. (2020) </w:t>
      </w:r>
      <w:r w:rsidRPr="00732F22">
        <w:rPr>
          <w:rFonts w:eastAsia="Aptos"/>
          <w:i/>
          <w:iCs/>
          <w:color w:val="222222"/>
          <w:kern w:val="2"/>
          <w:sz w:val="24"/>
          <w:szCs w:val="24"/>
          <w:shd w:val="clear" w:color="auto" w:fill="FFFFFF"/>
          <w:lang w:eastAsia="en-US"/>
          <w14:ligatures w14:val="standardContextual"/>
        </w:rPr>
        <w:t>Professional judgement and decision making in social work: Current issues</w:t>
      </w:r>
      <w:r w:rsidRPr="00732F22">
        <w:rPr>
          <w:rFonts w:eastAsia="Aptos"/>
          <w:color w:val="222222"/>
          <w:kern w:val="2"/>
          <w:sz w:val="24"/>
          <w:szCs w:val="24"/>
          <w:shd w:val="clear" w:color="auto" w:fill="FFFFFF"/>
          <w:lang w:eastAsia="en-US"/>
          <w14:ligatures w14:val="standardContextual"/>
        </w:rPr>
        <w:t>. Routledge.</w:t>
      </w:r>
    </w:p>
    <w:p w14:paraId="051AD13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70D90A1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Teater, B. (2014) </w:t>
      </w:r>
      <w:r w:rsidRPr="00732F22">
        <w:rPr>
          <w:rFonts w:eastAsia="Aptos"/>
          <w:i/>
          <w:iCs/>
          <w:color w:val="222222"/>
          <w:kern w:val="2"/>
          <w:sz w:val="24"/>
          <w:szCs w:val="24"/>
          <w:shd w:val="clear" w:color="auto" w:fill="FFFFFF"/>
          <w:lang w:eastAsia="en-US"/>
          <w14:ligatures w14:val="standardContextual"/>
        </w:rPr>
        <w:t>An Introduction to Applying Social Work Theories and Methods</w:t>
      </w:r>
      <w:r w:rsidRPr="00732F22">
        <w:rPr>
          <w:rFonts w:eastAsia="Aptos"/>
          <w:color w:val="222222"/>
          <w:kern w:val="2"/>
          <w:sz w:val="24"/>
          <w:szCs w:val="24"/>
          <w:shd w:val="clear" w:color="auto" w:fill="FFFFFF"/>
          <w:lang w:eastAsia="en-US"/>
          <w14:ligatures w14:val="standardContextual"/>
        </w:rPr>
        <w:t>. 2</w:t>
      </w:r>
      <w:r w:rsidRPr="00732F22">
        <w:rPr>
          <w:rFonts w:eastAsia="Aptos"/>
          <w:color w:val="222222"/>
          <w:kern w:val="2"/>
          <w:sz w:val="24"/>
          <w:szCs w:val="24"/>
          <w:shd w:val="clear" w:color="auto" w:fill="FFFFFF"/>
          <w:vertAlign w:val="superscript"/>
          <w:lang w:eastAsia="en-US"/>
          <w14:ligatures w14:val="standardContextual"/>
        </w:rPr>
        <w:t>nd</w:t>
      </w:r>
      <w:r w:rsidRPr="00732F22">
        <w:rPr>
          <w:rFonts w:eastAsia="Aptos"/>
          <w:color w:val="222222"/>
          <w:kern w:val="2"/>
          <w:sz w:val="24"/>
          <w:szCs w:val="24"/>
          <w:shd w:val="clear" w:color="auto" w:fill="FFFFFF"/>
          <w:lang w:eastAsia="en-US"/>
          <w14:ligatures w14:val="standardContextual"/>
        </w:rPr>
        <w:t xml:space="preserve"> edn. Maidenhead: Open University Press.</w:t>
      </w:r>
    </w:p>
    <w:p w14:paraId="5163F4E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02B7541B"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Thompson, N. (2016) </w:t>
      </w:r>
      <w:r w:rsidRPr="00732F22">
        <w:rPr>
          <w:i/>
          <w:iCs/>
          <w:color w:val="auto"/>
          <w:sz w:val="24"/>
          <w:szCs w:val="24"/>
        </w:rPr>
        <w:t>Anti-Discriminatory Practice: Equality, Diversity and Social Justice</w:t>
      </w:r>
      <w:r w:rsidRPr="00732F22">
        <w:rPr>
          <w:color w:val="auto"/>
          <w:sz w:val="24"/>
          <w:szCs w:val="24"/>
        </w:rPr>
        <w:t>. 6th edn. London: Palgrave.</w:t>
      </w:r>
    </w:p>
    <w:p w14:paraId="4E2251E5" w14:textId="77777777" w:rsidR="00732F22" w:rsidRPr="00732F22" w:rsidRDefault="00732F22" w:rsidP="00732F22">
      <w:pPr>
        <w:overflowPunct/>
        <w:autoSpaceDE/>
        <w:autoSpaceDN/>
        <w:adjustRightInd/>
        <w:spacing w:line="360" w:lineRule="auto"/>
        <w:jc w:val="both"/>
        <w:textAlignment w:val="auto"/>
        <w:rPr>
          <w:color w:val="auto"/>
          <w:sz w:val="24"/>
          <w:szCs w:val="24"/>
        </w:rPr>
      </w:pPr>
    </w:p>
    <w:p w14:paraId="15AC9FFA"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Thompson, N. (2020) </w:t>
      </w:r>
      <w:r w:rsidRPr="00732F22">
        <w:rPr>
          <w:i/>
          <w:iCs/>
          <w:color w:val="auto"/>
          <w:sz w:val="24"/>
          <w:szCs w:val="24"/>
        </w:rPr>
        <w:t>Anti-Discriminatory Practice: Equality, Diversity and Social Justice</w:t>
      </w:r>
      <w:r w:rsidRPr="00732F22">
        <w:rPr>
          <w:color w:val="auto"/>
          <w:sz w:val="24"/>
          <w:szCs w:val="24"/>
        </w:rPr>
        <w:t>. 7th edn. London: Palgrave Macmillan.</w:t>
      </w:r>
    </w:p>
    <w:p w14:paraId="1A8205E0" w14:textId="77777777" w:rsidR="00732F22" w:rsidRPr="00732F22" w:rsidRDefault="00732F22" w:rsidP="00732F22">
      <w:pPr>
        <w:overflowPunct/>
        <w:autoSpaceDE/>
        <w:autoSpaceDN/>
        <w:adjustRightInd/>
        <w:spacing w:line="360" w:lineRule="auto"/>
        <w:jc w:val="both"/>
        <w:textAlignment w:val="auto"/>
        <w:rPr>
          <w:color w:val="auto"/>
          <w:sz w:val="24"/>
          <w:szCs w:val="24"/>
        </w:rPr>
      </w:pPr>
    </w:p>
    <w:p w14:paraId="092823DE" w14:textId="77777777"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t xml:space="preserve">Trevithick, P. (2012) </w:t>
      </w:r>
      <w:r w:rsidRPr="00732F22">
        <w:rPr>
          <w:rFonts w:eastAsia="Aptos"/>
          <w:i/>
          <w:iCs/>
          <w:color w:val="auto"/>
          <w:kern w:val="2"/>
          <w:sz w:val="24"/>
          <w:szCs w:val="24"/>
          <w:lang w:eastAsia="en-US"/>
          <w14:ligatures w14:val="standardContextual"/>
        </w:rPr>
        <w:t>Social Work Skills and Knowledge: A Practice Handbook</w:t>
      </w:r>
      <w:r w:rsidRPr="00732F22">
        <w:rPr>
          <w:rFonts w:eastAsia="Aptos"/>
          <w:color w:val="auto"/>
          <w:kern w:val="2"/>
          <w:sz w:val="24"/>
          <w:szCs w:val="24"/>
          <w:lang w:eastAsia="en-US"/>
          <w14:ligatures w14:val="standardContextual"/>
        </w:rPr>
        <w:t>. 3rd edn. Maidenhead: Open University Press.</w:t>
      </w:r>
    </w:p>
    <w:p w14:paraId="63F4A5AE" w14:textId="77777777" w:rsidR="00732F22" w:rsidRPr="00732F22" w:rsidRDefault="00732F22" w:rsidP="00732F22">
      <w:pPr>
        <w:overflowPunct/>
        <w:autoSpaceDE/>
        <w:autoSpaceDN/>
        <w:adjustRightInd/>
        <w:spacing w:line="360" w:lineRule="auto"/>
        <w:jc w:val="both"/>
        <w:textAlignment w:val="auto"/>
        <w:rPr>
          <w:rFonts w:eastAsia="Aptos"/>
          <w:color w:val="auto"/>
          <w:kern w:val="2"/>
          <w:sz w:val="24"/>
          <w:szCs w:val="24"/>
          <w:lang w:eastAsia="en-US"/>
          <w14:ligatures w14:val="standardContextual"/>
        </w:rPr>
      </w:pPr>
    </w:p>
    <w:p w14:paraId="3B850098"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United Nations (1989) </w:t>
      </w:r>
      <w:r w:rsidRPr="00732F22">
        <w:rPr>
          <w:i/>
          <w:iCs/>
          <w:color w:val="auto"/>
          <w:sz w:val="24"/>
          <w:szCs w:val="24"/>
        </w:rPr>
        <w:t>United Nations Convention on the Rights of the Child</w:t>
      </w:r>
      <w:r w:rsidRPr="00732F22">
        <w:rPr>
          <w:color w:val="auto"/>
          <w:sz w:val="24"/>
          <w:szCs w:val="24"/>
        </w:rPr>
        <w:t xml:space="preserve">. Available at: </w:t>
      </w:r>
      <w:hyperlink r:id="rId41" w:history="1">
        <w:r w:rsidRPr="00732F22">
          <w:rPr>
            <w:color w:val="467886"/>
            <w:sz w:val="24"/>
            <w:szCs w:val="24"/>
            <w:u w:val="single"/>
          </w:rPr>
          <w:t>https://www.unicef.org.uk/what-we-do/un-convention-child-rights/</w:t>
        </w:r>
      </w:hyperlink>
      <w:r w:rsidRPr="00732F22">
        <w:rPr>
          <w:color w:val="auto"/>
          <w:sz w:val="24"/>
          <w:szCs w:val="24"/>
        </w:rPr>
        <w:t xml:space="preserve"> (Accessed: 28 June 2026). </w:t>
      </w:r>
    </w:p>
    <w:p w14:paraId="78748EC6"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A962DAE"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Voicu, C.I. (2017) ‘Importance of supervision in social work’. </w:t>
      </w:r>
      <w:r w:rsidRPr="00732F22">
        <w:rPr>
          <w:rFonts w:eastAsia="Aptos"/>
          <w:i/>
          <w:iCs/>
          <w:color w:val="222222"/>
          <w:kern w:val="2"/>
          <w:sz w:val="24"/>
          <w:szCs w:val="24"/>
          <w:shd w:val="clear" w:color="auto" w:fill="FFFFFF"/>
          <w:lang w:eastAsia="en-US"/>
          <w14:ligatures w14:val="standardContextual"/>
        </w:rPr>
        <w:t>Logos, Universality Mentality, Education, Novelty. Section Social Sciences</w:t>
      </w:r>
      <w:r w:rsidRPr="00732F22">
        <w:rPr>
          <w:rFonts w:eastAsia="Aptos"/>
          <w:color w:val="222222"/>
          <w:kern w:val="2"/>
          <w:sz w:val="24"/>
          <w:szCs w:val="24"/>
          <w:shd w:val="clear" w:color="auto" w:fill="FFFFFF"/>
          <w:lang w:eastAsia="en-US"/>
          <w14:ligatures w14:val="standardContextual"/>
        </w:rPr>
        <w:t>, </w:t>
      </w:r>
      <w:r w:rsidRPr="00732F22">
        <w:rPr>
          <w:rFonts w:eastAsia="Aptos"/>
          <w:i/>
          <w:iCs/>
          <w:color w:val="222222"/>
          <w:kern w:val="2"/>
          <w:sz w:val="24"/>
          <w:szCs w:val="24"/>
          <w:shd w:val="clear" w:color="auto" w:fill="FFFFFF"/>
          <w:lang w:eastAsia="en-US"/>
          <w14:ligatures w14:val="standardContextual"/>
        </w:rPr>
        <w:t>6</w:t>
      </w:r>
      <w:r w:rsidRPr="00732F22">
        <w:rPr>
          <w:rFonts w:eastAsia="Aptos"/>
          <w:color w:val="222222"/>
          <w:kern w:val="2"/>
          <w:sz w:val="24"/>
          <w:szCs w:val="24"/>
          <w:shd w:val="clear" w:color="auto" w:fill="FFFFFF"/>
          <w:lang w:eastAsia="en-US"/>
          <w14:ligatures w14:val="standardContextual"/>
        </w:rPr>
        <w:t xml:space="preserve">(2), pp.19-30. Available at:  </w:t>
      </w:r>
      <w:hyperlink r:id="rId42" w:history="1">
        <w:r w:rsidRPr="00732F22">
          <w:rPr>
            <w:rFonts w:eastAsia="Aptos"/>
            <w:color w:val="467886"/>
            <w:kern w:val="2"/>
            <w:sz w:val="24"/>
            <w:szCs w:val="24"/>
            <w:u w:val="single"/>
            <w:shd w:val="clear" w:color="auto" w:fill="FFFFFF"/>
            <w:lang w:eastAsia="en-US"/>
            <w14:ligatures w14:val="standardContextual"/>
          </w:rPr>
          <w:t>https://www.ceeol.com/search/article-detail?id=599718&amp;gathStatIcon=true</w:t>
        </w:r>
      </w:hyperlink>
      <w:r w:rsidRPr="00732F22">
        <w:rPr>
          <w:rFonts w:eastAsia="Aptos"/>
          <w:color w:val="222222"/>
          <w:kern w:val="2"/>
          <w:sz w:val="24"/>
          <w:szCs w:val="24"/>
          <w:shd w:val="clear" w:color="auto" w:fill="FFFFFF"/>
          <w:lang w:eastAsia="en-US"/>
          <w14:ligatures w14:val="standardContextual"/>
        </w:rPr>
        <w:t xml:space="preserve"> </w:t>
      </w:r>
    </w:p>
    <w:p w14:paraId="5E63277A"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1CEE6729"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Wales Safeguarding Procedures (2019) </w:t>
      </w:r>
      <w:r w:rsidRPr="00732F22">
        <w:rPr>
          <w:rFonts w:eastAsia="Aptos"/>
          <w:i/>
          <w:iCs/>
          <w:color w:val="222222"/>
          <w:kern w:val="2"/>
          <w:sz w:val="24"/>
          <w:szCs w:val="24"/>
          <w:shd w:val="clear" w:color="auto" w:fill="FFFFFF"/>
          <w:lang w:eastAsia="en-US"/>
          <w14:ligatures w14:val="standardContextual"/>
        </w:rPr>
        <w:t>Wales Safeguarding Procedures</w:t>
      </w:r>
      <w:r w:rsidRPr="00732F22">
        <w:rPr>
          <w:rFonts w:eastAsia="Aptos"/>
          <w:color w:val="222222"/>
          <w:kern w:val="2"/>
          <w:sz w:val="24"/>
          <w:szCs w:val="24"/>
          <w:shd w:val="clear" w:color="auto" w:fill="FFFFFF"/>
          <w:lang w:eastAsia="en-US"/>
          <w14:ligatures w14:val="standardContextual"/>
        </w:rPr>
        <w:t xml:space="preserve">.  Available at: </w:t>
      </w:r>
      <w:hyperlink r:id="rId43" w:history="1">
        <w:r w:rsidRPr="00732F22">
          <w:rPr>
            <w:rFonts w:eastAsia="Aptos"/>
            <w:color w:val="467886"/>
            <w:kern w:val="2"/>
            <w:sz w:val="24"/>
            <w:szCs w:val="24"/>
            <w:u w:val="single"/>
            <w:shd w:val="clear" w:color="auto" w:fill="FFFFFF"/>
            <w:lang w:eastAsia="en-US"/>
            <w14:ligatures w14:val="standardContextual"/>
          </w:rPr>
          <w:t>https://www.safeguarding.wales/en/</w:t>
        </w:r>
      </w:hyperlink>
      <w:r w:rsidRPr="00732F22">
        <w:rPr>
          <w:rFonts w:eastAsia="Aptos"/>
          <w:color w:val="222222"/>
          <w:kern w:val="2"/>
          <w:sz w:val="24"/>
          <w:szCs w:val="24"/>
          <w:shd w:val="clear" w:color="auto" w:fill="FFFFFF"/>
          <w:lang w:eastAsia="en-US"/>
          <w14:ligatures w14:val="standardContextual"/>
        </w:rPr>
        <w:t xml:space="preserve"> (Accessed: 03 May 2026).</w:t>
      </w:r>
    </w:p>
    <w:p w14:paraId="00F862B2"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53EEEF20"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lastRenderedPageBreak/>
        <w:t xml:space="preserve">Welsh Government (2019) </w:t>
      </w:r>
      <w:r w:rsidRPr="00732F22">
        <w:rPr>
          <w:rFonts w:eastAsia="Aptos"/>
          <w:i/>
          <w:iCs/>
          <w:color w:val="222222"/>
          <w:kern w:val="2"/>
          <w:sz w:val="24"/>
          <w:szCs w:val="24"/>
          <w:shd w:val="clear" w:color="auto" w:fill="FFFFFF"/>
          <w:lang w:eastAsia="en-US"/>
          <w14:ligatures w14:val="standardContextual"/>
        </w:rPr>
        <w:t>Working together to Safeguard people: Code of safeguarding practice.</w:t>
      </w:r>
      <w:r w:rsidRPr="00732F22">
        <w:rPr>
          <w:rFonts w:eastAsia="Aptos"/>
          <w:color w:val="222222"/>
          <w:kern w:val="2"/>
          <w:sz w:val="24"/>
          <w:szCs w:val="24"/>
          <w:shd w:val="clear" w:color="auto" w:fill="FFFFFF"/>
          <w:lang w:eastAsia="en-US"/>
          <w14:ligatures w14:val="standardContextual"/>
        </w:rPr>
        <w:t xml:space="preserve"> Available at: </w:t>
      </w:r>
      <w:hyperlink r:id="rId44" w:history="1">
        <w:r w:rsidRPr="00732F22">
          <w:rPr>
            <w:rFonts w:eastAsia="Aptos"/>
            <w:color w:val="467886"/>
            <w:kern w:val="2"/>
            <w:sz w:val="24"/>
            <w:szCs w:val="24"/>
            <w:u w:val="single"/>
            <w:shd w:val="clear" w:color="auto" w:fill="FFFFFF"/>
            <w:lang w:eastAsia="en-US"/>
            <w14:ligatures w14:val="standardContextual"/>
          </w:rPr>
          <w:t>https://www.gov.wales/working-together-safeguard-people-code-safeguarding-practice</w:t>
        </w:r>
      </w:hyperlink>
      <w:r w:rsidRPr="00732F22">
        <w:rPr>
          <w:rFonts w:eastAsia="Aptos"/>
          <w:color w:val="222222"/>
          <w:kern w:val="2"/>
          <w:sz w:val="24"/>
          <w:szCs w:val="24"/>
          <w:shd w:val="clear" w:color="auto" w:fill="FFFFFF"/>
          <w:lang w:eastAsia="en-US"/>
          <w14:ligatures w14:val="standardContextual"/>
        </w:rPr>
        <w:t xml:space="preserve"> (Accessed: 26 April 2026).</w:t>
      </w:r>
    </w:p>
    <w:p w14:paraId="10587BC4"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2D90C4AD" w14:textId="77777777" w:rsidR="00732F22" w:rsidRPr="00732F22" w:rsidRDefault="00732F22" w:rsidP="00732F22">
      <w:pPr>
        <w:overflowPunct/>
        <w:autoSpaceDE/>
        <w:autoSpaceDN/>
        <w:adjustRightInd/>
        <w:spacing w:line="360" w:lineRule="auto"/>
        <w:jc w:val="both"/>
        <w:textAlignment w:val="auto"/>
        <w:rPr>
          <w:color w:val="auto"/>
          <w:sz w:val="24"/>
          <w:szCs w:val="24"/>
        </w:rPr>
      </w:pPr>
      <w:r w:rsidRPr="00732F22">
        <w:rPr>
          <w:color w:val="auto"/>
          <w:sz w:val="24"/>
          <w:szCs w:val="24"/>
        </w:rPr>
        <w:t xml:space="preserve">Welsh Government (2012) </w:t>
      </w:r>
      <w:r w:rsidRPr="00732F22">
        <w:rPr>
          <w:i/>
          <w:iCs/>
          <w:color w:val="auto"/>
          <w:sz w:val="24"/>
          <w:szCs w:val="24"/>
        </w:rPr>
        <w:t>More Than Just Words: Strategic Framework for Welsh Language Services in Health, Social Services and Social Care</w:t>
      </w:r>
      <w:r w:rsidRPr="00732F22">
        <w:rPr>
          <w:color w:val="auto"/>
          <w:sz w:val="24"/>
          <w:szCs w:val="24"/>
        </w:rPr>
        <w:t xml:space="preserve">. Available at: </w:t>
      </w:r>
      <w:hyperlink r:id="rId45" w:history="1">
        <w:r w:rsidRPr="00732F22">
          <w:rPr>
            <w:color w:val="467886"/>
            <w:sz w:val="24"/>
            <w:szCs w:val="24"/>
            <w:u w:val="single"/>
          </w:rPr>
          <w:t>https://www.gov.wales/written-statement-more-just-words-strategic-framework-welsh-language-services-health-social</w:t>
        </w:r>
      </w:hyperlink>
      <w:r w:rsidRPr="00732F22">
        <w:rPr>
          <w:color w:val="auto"/>
          <w:sz w:val="24"/>
          <w:szCs w:val="24"/>
        </w:rPr>
        <w:t xml:space="preserve"> (Accessed: 16 August 2026).</w:t>
      </w:r>
    </w:p>
    <w:p w14:paraId="25D5FCB6" w14:textId="77777777" w:rsidR="00732F22" w:rsidRPr="00732F22" w:rsidRDefault="00732F22" w:rsidP="00732F22">
      <w:pPr>
        <w:overflowPunct/>
        <w:autoSpaceDE/>
        <w:autoSpaceDN/>
        <w:adjustRightInd/>
        <w:spacing w:line="360" w:lineRule="auto"/>
        <w:jc w:val="both"/>
        <w:textAlignment w:val="auto"/>
        <w:rPr>
          <w:color w:val="auto"/>
          <w:sz w:val="24"/>
          <w:szCs w:val="24"/>
        </w:rPr>
      </w:pPr>
    </w:p>
    <w:p w14:paraId="1D4CA01F"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1FA77C1D"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Welsh Government (2022) </w:t>
      </w:r>
      <w:r w:rsidRPr="00732F22">
        <w:rPr>
          <w:rFonts w:eastAsia="Aptos"/>
          <w:i/>
          <w:iCs/>
          <w:color w:val="222222"/>
          <w:kern w:val="2"/>
          <w:sz w:val="24"/>
          <w:szCs w:val="24"/>
          <w:shd w:val="clear" w:color="auto" w:fill="FFFFFF"/>
          <w:lang w:eastAsia="en-US"/>
          <w14:ligatures w14:val="standardContextual"/>
        </w:rPr>
        <w:t>More Than Just Words</w:t>
      </w:r>
      <w:r w:rsidRPr="00732F22">
        <w:rPr>
          <w:rFonts w:eastAsia="Aptos"/>
          <w:color w:val="222222"/>
          <w:kern w:val="2"/>
          <w:sz w:val="24"/>
          <w:szCs w:val="24"/>
          <w:shd w:val="clear" w:color="auto" w:fill="FFFFFF"/>
          <w:lang w:eastAsia="en-US"/>
          <w14:ligatures w14:val="standardContextual"/>
        </w:rPr>
        <w:t xml:space="preserve">.  Available at: </w:t>
      </w:r>
      <w:hyperlink r:id="rId46" w:history="1">
        <w:r w:rsidRPr="00732F22">
          <w:rPr>
            <w:rFonts w:eastAsia="Aptos"/>
            <w:color w:val="467886"/>
            <w:kern w:val="2"/>
            <w:sz w:val="24"/>
            <w:szCs w:val="24"/>
            <w:u w:val="single"/>
            <w:shd w:val="clear" w:color="auto" w:fill="FFFFFF"/>
            <w:lang w:eastAsia="en-US"/>
            <w14:ligatures w14:val="standardContextual"/>
          </w:rPr>
          <w:t>https://www.gov.wales/sites/default/files/publications/2022-07/more-than-just-words-action-plan-2022-2027.pdf</w:t>
        </w:r>
      </w:hyperlink>
      <w:r w:rsidRPr="00732F22">
        <w:rPr>
          <w:rFonts w:eastAsia="Aptos"/>
          <w:color w:val="222222"/>
          <w:kern w:val="2"/>
          <w:sz w:val="24"/>
          <w:szCs w:val="24"/>
          <w:shd w:val="clear" w:color="auto" w:fill="FFFFFF"/>
          <w:lang w:eastAsia="en-US"/>
          <w14:ligatures w14:val="standardContextual"/>
        </w:rPr>
        <w:t xml:space="preserve"> (Accessed: 31 May 2026). </w:t>
      </w:r>
    </w:p>
    <w:p w14:paraId="77511682"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7CD97F58"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i/>
          <w:iCs/>
          <w:color w:val="222222"/>
          <w:kern w:val="2"/>
          <w:sz w:val="24"/>
          <w:szCs w:val="24"/>
          <w:shd w:val="clear" w:color="auto" w:fill="FFFFFF"/>
          <w:lang w:eastAsia="en-US"/>
          <w14:ligatures w14:val="standardContextual"/>
        </w:rPr>
        <w:t>Welsh Language (Wales) Measure 2011.</w:t>
      </w:r>
      <w:r w:rsidRPr="00732F22">
        <w:rPr>
          <w:rFonts w:eastAsia="Aptos"/>
          <w:color w:val="222222"/>
          <w:kern w:val="2"/>
          <w:sz w:val="24"/>
          <w:szCs w:val="24"/>
          <w:shd w:val="clear" w:color="auto" w:fill="FFFFFF"/>
          <w:lang w:eastAsia="en-US"/>
          <w14:ligatures w14:val="standardContextual"/>
        </w:rPr>
        <w:t xml:space="preserve"> Available at: </w:t>
      </w:r>
      <w:hyperlink r:id="rId47" w:history="1">
        <w:r w:rsidRPr="00732F22">
          <w:rPr>
            <w:rFonts w:eastAsia="Aptos"/>
            <w:color w:val="467886"/>
            <w:kern w:val="2"/>
            <w:sz w:val="24"/>
            <w:szCs w:val="24"/>
            <w:u w:val="single"/>
            <w:shd w:val="clear" w:color="auto" w:fill="FFFFFF"/>
            <w:lang w:eastAsia="en-US"/>
            <w14:ligatures w14:val="standardContextual"/>
          </w:rPr>
          <w:t>https://www.legislation.gov.uk/mwa/2011/1/contents</w:t>
        </w:r>
      </w:hyperlink>
      <w:r w:rsidRPr="00732F22">
        <w:rPr>
          <w:rFonts w:eastAsia="Aptos"/>
          <w:color w:val="222222"/>
          <w:kern w:val="2"/>
          <w:sz w:val="24"/>
          <w:szCs w:val="24"/>
          <w:shd w:val="clear" w:color="auto" w:fill="FFFFFF"/>
          <w:lang w:eastAsia="en-US"/>
          <w14:ligatures w14:val="standardContextual"/>
        </w:rPr>
        <w:t xml:space="preserve"> (Accessed: 27 June 2026).</w:t>
      </w:r>
    </w:p>
    <w:p w14:paraId="3EF75891"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320D876C"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222222"/>
          <w:kern w:val="2"/>
          <w:sz w:val="24"/>
          <w:szCs w:val="24"/>
          <w:shd w:val="clear" w:color="auto" w:fill="FFFFFF"/>
          <w:lang w:eastAsia="en-US"/>
          <w14:ligatures w14:val="standardContextual"/>
        </w:rPr>
        <w:t xml:space="preserve">West Glamorgan Safeguarding Board (2026) </w:t>
      </w:r>
      <w:r w:rsidRPr="00732F22">
        <w:rPr>
          <w:rFonts w:eastAsia="Aptos"/>
          <w:i/>
          <w:iCs/>
          <w:color w:val="222222"/>
          <w:kern w:val="2"/>
          <w:sz w:val="24"/>
          <w:szCs w:val="24"/>
          <w:shd w:val="clear" w:color="auto" w:fill="FFFFFF"/>
          <w:lang w:eastAsia="en-US"/>
          <w14:ligatures w14:val="standardContextual"/>
        </w:rPr>
        <w:t>Self-neglect policy and guidance</w:t>
      </w:r>
      <w:r w:rsidRPr="00732F22">
        <w:rPr>
          <w:rFonts w:eastAsia="Aptos"/>
          <w:color w:val="222222"/>
          <w:kern w:val="2"/>
          <w:sz w:val="24"/>
          <w:szCs w:val="24"/>
          <w:shd w:val="clear" w:color="auto" w:fill="FFFFFF"/>
          <w:lang w:eastAsia="en-US"/>
          <w14:ligatures w14:val="standardContextual"/>
        </w:rPr>
        <w:t xml:space="preserve">.  Available at: </w:t>
      </w:r>
      <w:hyperlink r:id="rId48" w:history="1">
        <w:r w:rsidRPr="00732F22">
          <w:rPr>
            <w:rFonts w:eastAsia="Aptos"/>
            <w:color w:val="467886"/>
            <w:kern w:val="2"/>
            <w:sz w:val="24"/>
            <w:szCs w:val="24"/>
            <w:u w:val="single"/>
            <w:shd w:val="clear" w:color="auto" w:fill="FFFFFF"/>
            <w:lang w:eastAsia="en-US"/>
            <w14:ligatures w14:val="standardContextual"/>
          </w:rPr>
          <w:t>https://view.officeapps.live.com/op/view.aspx?src=https%3A%2F%2Fwww.wgsb.wales%2Fmedia%2Flr2jzpum%2Fwgsb-self-neglect-policy.docx%3Fts%3D20260211165841%26utm_source%3Dcopilot.com&amp;wdOrigin=BROWSELINK</w:t>
        </w:r>
      </w:hyperlink>
      <w:r w:rsidRPr="00732F22">
        <w:rPr>
          <w:rFonts w:eastAsia="Aptos"/>
          <w:color w:val="222222"/>
          <w:kern w:val="2"/>
          <w:sz w:val="24"/>
          <w:szCs w:val="24"/>
          <w:shd w:val="clear" w:color="auto" w:fill="FFFFFF"/>
          <w:lang w:eastAsia="en-US"/>
          <w14:ligatures w14:val="standardContextual"/>
        </w:rPr>
        <w:t xml:space="preserve"> (Accessed: 03 May 2026). </w:t>
      </w:r>
    </w:p>
    <w:p w14:paraId="4C10FE6B"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p>
    <w:p w14:paraId="42FD33F3" w14:textId="77777777" w:rsidR="00732F22" w:rsidRPr="00732F22" w:rsidRDefault="00732F22" w:rsidP="00732F22">
      <w:pPr>
        <w:overflowPunct/>
        <w:autoSpaceDE/>
        <w:autoSpaceDN/>
        <w:adjustRightInd/>
        <w:spacing w:after="160" w:line="360" w:lineRule="auto"/>
        <w:jc w:val="both"/>
        <w:textAlignment w:val="auto"/>
        <w:rPr>
          <w:rFonts w:eastAsia="Aptos"/>
          <w:color w:val="222222"/>
          <w:kern w:val="2"/>
          <w:sz w:val="24"/>
          <w:szCs w:val="24"/>
          <w:shd w:val="clear" w:color="auto" w:fill="FFFFFF"/>
          <w:lang w:eastAsia="en-US"/>
          <w14:ligatures w14:val="standardContextual"/>
        </w:rPr>
      </w:pPr>
      <w:r w:rsidRPr="00732F22">
        <w:rPr>
          <w:rFonts w:eastAsia="Aptos"/>
          <w:color w:val="auto"/>
          <w:kern w:val="2"/>
          <w:sz w:val="24"/>
          <w:szCs w:val="24"/>
          <w:lang w:eastAsia="en-US"/>
          <w14:ligatures w14:val="standardContextual"/>
        </w:rPr>
        <w:t xml:space="preserve">White, S., Wastell, D. and Broadhurst, K. (2020) </w:t>
      </w:r>
      <w:r w:rsidRPr="00732F22">
        <w:rPr>
          <w:rFonts w:eastAsia="Aptos"/>
          <w:i/>
          <w:iCs/>
          <w:color w:val="auto"/>
          <w:kern w:val="2"/>
          <w:sz w:val="24"/>
          <w:szCs w:val="24"/>
          <w:lang w:eastAsia="en-US"/>
          <w14:ligatures w14:val="standardContextual"/>
        </w:rPr>
        <w:t>Critical Perspectives on Multi</w:t>
      </w:r>
      <w:r w:rsidRPr="00732F22">
        <w:rPr>
          <w:rFonts w:eastAsia="Aptos"/>
          <w:i/>
          <w:iCs/>
          <w:color w:val="auto"/>
          <w:kern w:val="2"/>
          <w:sz w:val="24"/>
          <w:szCs w:val="24"/>
          <w:lang w:eastAsia="en-US"/>
          <w14:ligatures w14:val="standardContextual"/>
        </w:rPr>
        <w:noBreakHyphen/>
        <w:t>Agency Working in Safeguarding</w:t>
      </w:r>
      <w:r w:rsidRPr="00732F22">
        <w:rPr>
          <w:rFonts w:eastAsia="Aptos"/>
          <w:color w:val="auto"/>
          <w:kern w:val="2"/>
          <w:sz w:val="24"/>
          <w:szCs w:val="24"/>
          <w:lang w:eastAsia="en-US"/>
          <w14:ligatures w14:val="standardContextual"/>
        </w:rPr>
        <w:t>. Bristol: Policy Press.</w:t>
      </w:r>
    </w:p>
    <w:p w14:paraId="7C7CF8A9" w14:textId="77777777" w:rsidR="000D2FFC" w:rsidRDefault="000D2FFC" w:rsidP="00732F22">
      <w:pPr>
        <w:overflowPunct/>
        <w:autoSpaceDE/>
        <w:autoSpaceDN/>
        <w:adjustRightInd/>
        <w:spacing w:after="160" w:line="360" w:lineRule="auto"/>
        <w:jc w:val="both"/>
        <w:textAlignment w:val="auto"/>
        <w:rPr>
          <w:rFonts w:eastAsia="Aptos"/>
          <w:b/>
          <w:bCs/>
          <w:color w:val="auto"/>
          <w:kern w:val="2"/>
          <w:sz w:val="24"/>
          <w:szCs w:val="24"/>
          <w:lang w:eastAsia="en-US"/>
          <w14:ligatures w14:val="standardContextual"/>
        </w:rPr>
      </w:pPr>
    </w:p>
    <w:p w14:paraId="60B3ED5F" w14:textId="1AA30ED6" w:rsidR="00732F22" w:rsidRPr="00732F22" w:rsidRDefault="00732F22" w:rsidP="00732F2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732F22">
        <w:rPr>
          <w:rFonts w:eastAsia="Aptos"/>
          <w:color w:val="auto"/>
          <w:kern w:val="2"/>
          <w:sz w:val="24"/>
          <w:szCs w:val="24"/>
          <w:lang w:eastAsia="en-US"/>
          <w14:ligatures w14:val="standardContextual"/>
        </w:rPr>
        <w:lastRenderedPageBreak/>
        <w:t xml:space="preserve">Wirth, J.V., and Kleve.H. (2023) </w:t>
      </w:r>
      <w:r w:rsidRPr="00732F22">
        <w:rPr>
          <w:rFonts w:eastAsia="Aptos"/>
          <w:i/>
          <w:iCs/>
          <w:color w:val="auto"/>
          <w:kern w:val="2"/>
          <w:sz w:val="24"/>
          <w:szCs w:val="24"/>
          <w:lang w:eastAsia="en-US"/>
          <w14:ligatures w14:val="standardContextual"/>
        </w:rPr>
        <w:t>‘Systems Theory and Social Work’</w:t>
      </w:r>
      <w:r w:rsidRPr="00732F22">
        <w:rPr>
          <w:rFonts w:eastAsia="Aptos"/>
          <w:color w:val="auto"/>
          <w:kern w:val="2"/>
          <w:sz w:val="24"/>
          <w:szCs w:val="24"/>
          <w:lang w:eastAsia="en-US"/>
          <w14:ligatures w14:val="standardContextual"/>
        </w:rPr>
        <w:t xml:space="preserve">, Social Work Theory and Ethics, pp. 39-59. Available at: </w:t>
      </w:r>
      <w:hyperlink r:id="rId49" w:history="1">
        <w:r w:rsidRPr="00732F22">
          <w:rPr>
            <w:rFonts w:eastAsia="Aptos"/>
            <w:color w:val="467886"/>
            <w:kern w:val="2"/>
            <w:sz w:val="24"/>
            <w:szCs w:val="24"/>
            <w:u w:val="single"/>
            <w:lang w:eastAsia="en-US"/>
            <w14:ligatures w14:val="standardContextual"/>
          </w:rPr>
          <w:t>https://link.springer.com/rwe/10.1007/978-981-19-1015-9_3</w:t>
        </w:r>
      </w:hyperlink>
      <w:r w:rsidRPr="00732F22">
        <w:rPr>
          <w:rFonts w:eastAsia="Aptos"/>
          <w:color w:val="auto"/>
          <w:kern w:val="2"/>
          <w:sz w:val="24"/>
          <w:szCs w:val="24"/>
          <w:lang w:eastAsia="en-US"/>
          <w14:ligatures w14:val="standardContextual"/>
        </w:rPr>
        <w:t xml:space="preserve"> </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3FF816BF" w14:textId="77777777" w:rsidR="000D2FFC" w:rsidRDefault="000D2FFC" w:rsidP="00E559CE">
      <w:pPr>
        <w:jc w:val="both"/>
        <w:rPr>
          <w:sz w:val="24"/>
          <w:szCs w:val="24"/>
        </w:rPr>
      </w:pPr>
    </w:p>
    <w:p w14:paraId="6C912456" w14:textId="77777777" w:rsidR="000D2FFC" w:rsidRDefault="000D2FFC" w:rsidP="00E559CE">
      <w:pPr>
        <w:jc w:val="both"/>
        <w:rPr>
          <w:sz w:val="24"/>
          <w:szCs w:val="24"/>
        </w:rPr>
      </w:pPr>
    </w:p>
    <w:p w14:paraId="09AFE58C" w14:textId="77777777" w:rsidR="000D2FFC" w:rsidRDefault="000D2FFC" w:rsidP="00E559CE">
      <w:pPr>
        <w:jc w:val="both"/>
        <w:rPr>
          <w:sz w:val="24"/>
          <w:szCs w:val="24"/>
        </w:rPr>
      </w:pPr>
    </w:p>
    <w:p w14:paraId="467B6D41" w14:textId="77777777" w:rsidR="000D2FFC" w:rsidRDefault="000D2FFC"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29592F3" w:rsidR="00E559CE" w:rsidRPr="00B17FA0" w:rsidRDefault="004D113F" w:rsidP="00B94443">
            <w:pPr>
              <w:jc w:val="both"/>
              <w:rPr>
                <w:sz w:val="24"/>
                <w:szCs w:val="24"/>
              </w:rPr>
            </w:pPr>
            <w:r>
              <w:rPr>
                <w:sz w:val="24"/>
                <w:szCs w:val="24"/>
              </w:rPr>
              <w:t>12/11/2</w:t>
            </w:r>
            <w:r w:rsidR="000D2FFC">
              <w:rPr>
                <w:sz w:val="24"/>
                <w:szCs w:val="24"/>
              </w:rPr>
              <w:t>02</w:t>
            </w:r>
            <w:r>
              <w:rPr>
                <w:sz w:val="24"/>
                <w:szCs w:val="24"/>
              </w:rPr>
              <w:t>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CA7D952" w:rsidR="00E559CE" w:rsidRPr="00B17FA0" w:rsidRDefault="00E3675C" w:rsidP="00B94443">
            <w:pPr>
              <w:jc w:val="both"/>
              <w:rPr>
                <w:sz w:val="24"/>
                <w:szCs w:val="24"/>
              </w:rPr>
            </w:pPr>
            <w:r>
              <w:rPr>
                <w:sz w:val="24"/>
                <w:szCs w:val="24"/>
              </w:rPr>
              <w:t>28/01/2</w:t>
            </w:r>
            <w:r w:rsidR="000D2FFC">
              <w:rPr>
                <w:sz w:val="24"/>
                <w:szCs w:val="24"/>
              </w:rPr>
              <w:t>02</w:t>
            </w:r>
            <w:r>
              <w:rPr>
                <w:sz w:val="24"/>
                <w:szCs w:val="24"/>
              </w:rPr>
              <w:t>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3B5C4C9" w:rsidR="00E559CE" w:rsidRPr="00B17FA0" w:rsidRDefault="00E3675C" w:rsidP="00B94443">
            <w:pPr>
              <w:jc w:val="both"/>
              <w:rPr>
                <w:sz w:val="24"/>
                <w:szCs w:val="24"/>
              </w:rPr>
            </w:pPr>
            <w:r>
              <w:rPr>
                <w:sz w:val="24"/>
                <w:szCs w:val="24"/>
              </w:rPr>
              <w:t>25/03/2</w:t>
            </w:r>
            <w:r w:rsidR="000D2FFC">
              <w:rPr>
                <w:sz w:val="24"/>
                <w:szCs w:val="24"/>
              </w:rPr>
              <w:t>02</w:t>
            </w:r>
            <w:r>
              <w:rPr>
                <w:sz w:val="24"/>
                <w:szCs w:val="24"/>
              </w:rPr>
              <w:t>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1B16957" w:rsidR="00E559CE" w:rsidRPr="00B17FA0" w:rsidRDefault="00E3675C" w:rsidP="00B94443">
            <w:pPr>
              <w:jc w:val="both"/>
              <w:rPr>
                <w:sz w:val="24"/>
                <w:szCs w:val="24"/>
              </w:rPr>
            </w:pPr>
            <w:r>
              <w:rPr>
                <w:sz w:val="24"/>
                <w:szCs w:val="24"/>
              </w:rPr>
              <w:t>24/06/2</w:t>
            </w:r>
            <w:r w:rsidR="000D2FFC">
              <w:rPr>
                <w:sz w:val="24"/>
                <w:szCs w:val="24"/>
              </w:rPr>
              <w:t>02</w:t>
            </w:r>
            <w:r>
              <w:rPr>
                <w:sz w:val="24"/>
                <w:szCs w:val="24"/>
              </w:rPr>
              <w:t>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0B42BB6" w14:textId="77777777" w:rsidR="00050492" w:rsidRDefault="00050492" w:rsidP="006F2748">
            <w:pPr>
              <w:jc w:val="both"/>
              <w:rPr>
                <w:color w:val="auto"/>
                <w:sz w:val="24"/>
                <w:szCs w:val="24"/>
              </w:rPr>
            </w:pPr>
          </w:p>
          <w:p w14:paraId="1B40D66C" w14:textId="0BFC7F81" w:rsidR="006F2748" w:rsidRDefault="006F2748" w:rsidP="006F2748">
            <w:pPr>
              <w:jc w:val="both"/>
              <w:rPr>
                <w:color w:val="auto"/>
                <w:sz w:val="24"/>
                <w:szCs w:val="24"/>
              </w:rPr>
            </w:pPr>
            <w:r w:rsidRPr="006F2748">
              <w:rPr>
                <w:color w:val="auto"/>
                <w:sz w:val="24"/>
                <w:szCs w:val="24"/>
              </w:rPr>
              <w:t xml:space="preserve">Throughout the Consolidation Programme, Helen has demonstrated significant development across all three Social Care Wales learning outcomes. At the outset of the programme, Helen identified Mental Capacity Assessments (MCAs) as a key developmental need due to limited opportunities to undertake them independently and a lack of confidence in applying the Mental Capacity Act 2005 in practice. Through supervision, targeted training, shadowing opportunities, independent research and direct practice experience, she has actively addressed this learning need and demonstrated measurable progress. </w:t>
            </w:r>
          </w:p>
          <w:p w14:paraId="4C29B4BF" w14:textId="77777777" w:rsidR="00E8456E" w:rsidRPr="006F2748" w:rsidRDefault="00E8456E" w:rsidP="006F2748">
            <w:pPr>
              <w:jc w:val="both"/>
              <w:rPr>
                <w:color w:val="auto"/>
                <w:sz w:val="24"/>
                <w:szCs w:val="24"/>
              </w:rPr>
            </w:pPr>
          </w:p>
          <w:p w14:paraId="216EA5F5" w14:textId="57CAE5CF" w:rsidR="006F2748" w:rsidRDefault="006F2748" w:rsidP="006F2748">
            <w:pPr>
              <w:jc w:val="both"/>
              <w:rPr>
                <w:color w:val="auto"/>
                <w:sz w:val="24"/>
                <w:szCs w:val="24"/>
              </w:rPr>
            </w:pPr>
            <w:r w:rsidRPr="006F2748">
              <w:rPr>
                <w:color w:val="auto"/>
                <w:sz w:val="24"/>
                <w:szCs w:val="24"/>
              </w:rPr>
              <w:t xml:space="preserve">In relation to </w:t>
            </w:r>
            <w:r w:rsidRPr="006F2748">
              <w:rPr>
                <w:b/>
                <w:bCs/>
                <w:color w:val="auto"/>
                <w:sz w:val="24"/>
                <w:szCs w:val="24"/>
              </w:rPr>
              <w:t>applying analysis in assessment to inform interventions</w:t>
            </w:r>
            <w:r w:rsidRPr="006F2748">
              <w:rPr>
                <w:color w:val="auto"/>
                <w:sz w:val="24"/>
                <w:szCs w:val="24"/>
              </w:rPr>
              <w:t xml:space="preserve">, Helen has developed her ability to move beyond information gathering and demonstrate analytical reasoning within her assessments. Her reflections show increased confidence in undertaking Mental Capacity Assessments, interpreting evidence, and using legislation and guidance to support defensible decision-making. This development is evident within her safeguarding case study, where she demonstrates consideration of risk, self-neglect, fluctuating capacity, strengths, protective factors and legislative frameworks to inform proportionate interventions. </w:t>
            </w:r>
          </w:p>
          <w:p w14:paraId="11D8DCE9" w14:textId="77777777" w:rsidR="00E8456E" w:rsidRPr="006F2748" w:rsidRDefault="00E8456E" w:rsidP="006F2748">
            <w:pPr>
              <w:jc w:val="both"/>
              <w:rPr>
                <w:color w:val="auto"/>
                <w:sz w:val="24"/>
                <w:szCs w:val="24"/>
              </w:rPr>
            </w:pPr>
          </w:p>
          <w:p w14:paraId="2CE16EBD" w14:textId="3E32AA97" w:rsidR="006F2748" w:rsidRDefault="006F2748" w:rsidP="006F2748">
            <w:pPr>
              <w:jc w:val="both"/>
              <w:rPr>
                <w:color w:val="auto"/>
                <w:sz w:val="24"/>
                <w:szCs w:val="24"/>
              </w:rPr>
            </w:pPr>
            <w:r w:rsidRPr="006F2748">
              <w:rPr>
                <w:color w:val="auto"/>
                <w:sz w:val="24"/>
                <w:szCs w:val="24"/>
              </w:rPr>
              <w:t xml:space="preserve">In relation to </w:t>
            </w:r>
            <w:r w:rsidRPr="006F2748">
              <w:rPr>
                <w:b/>
                <w:bCs/>
                <w:color w:val="auto"/>
                <w:sz w:val="24"/>
                <w:szCs w:val="24"/>
              </w:rPr>
              <w:t>working collaboratively with people in need of care and support, carers and professionals</w:t>
            </w:r>
            <w:r w:rsidRPr="006F2748">
              <w:rPr>
                <w:color w:val="auto"/>
                <w:sz w:val="24"/>
                <w:szCs w:val="24"/>
              </w:rPr>
              <w:t xml:space="preserve">, Helen has shown a strong commitment to person-centred and relationship-based practice. Her observed practice demonstrated effective communication skills, including active listening, clear explanations, respect for the individual’s views, and maintaining the person's voice at the centre of discussions. Feedback from the individual involved in the </w:t>
            </w:r>
            <w:r w:rsidRPr="006F2748">
              <w:rPr>
                <w:color w:val="auto"/>
                <w:sz w:val="24"/>
                <w:szCs w:val="24"/>
              </w:rPr>
              <w:lastRenderedPageBreak/>
              <w:t xml:space="preserve">observation highlighted that Helen was well prepared, communicated in a way that was easy to understand, listened carefully to wishes and outcomes, and ensured the individual felt involved throughout the review process. Helen has also demonstrated effective partnership working with carers, personal assistants and multidisciplinary professionals when undertaking assessments and reviews. </w:t>
            </w:r>
          </w:p>
          <w:p w14:paraId="4B17B0E0" w14:textId="77777777" w:rsidR="00222595" w:rsidRPr="006F2748" w:rsidRDefault="00222595" w:rsidP="006F2748">
            <w:pPr>
              <w:jc w:val="both"/>
              <w:rPr>
                <w:color w:val="auto"/>
                <w:sz w:val="24"/>
                <w:szCs w:val="24"/>
              </w:rPr>
            </w:pPr>
          </w:p>
          <w:p w14:paraId="5F620E1E" w14:textId="0D573605" w:rsidR="006F2748" w:rsidRDefault="006F2748" w:rsidP="006F2748">
            <w:pPr>
              <w:jc w:val="both"/>
              <w:rPr>
                <w:color w:val="auto"/>
                <w:sz w:val="24"/>
                <w:szCs w:val="24"/>
              </w:rPr>
            </w:pPr>
            <w:r w:rsidRPr="006F2748">
              <w:rPr>
                <w:color w:val="auto"/>
                <w:sz w:val="24"/>
                <w:szCs w:val="24"/>
              </w:rPr>
              <w:t xml:space="preserve">In relation to </w:t>
            </w:r>
            <w:r w:rsidRPr="006F2748">
              <w:rPr>
                <w:b/>
                <w:bCs/>
                <w:color w:val="auto"/>
                <w:sz w:val="24"/>
                <w:szCs w:val="24"/>
              </w:rPr>
              <w:t>intervention and application of professional judgement in increasingly complex situations</w:t>
            </w:r>
            <w:r w:rsidRPr="006F2748">
              <w:rPr>
                <w:color w:val="auto"/>
                <w:sz w:val="24"/>
                <w:szCs w:val="24"/>
              </w:rPr>
              <w:t xml:space="preserve">, Helen has demonstrated growing confidence in balancing autonomy, positive risk-taking and safeguarding responsibilities. Her safeguarding case study evidences the use of supervision, consultation with safeguarding and MCA specialists, reflective practice and professional curiosity when working with an individual experiencing alcohol dependency, self-neglect and fluctuating presentation. Helen demonstrates an understanding of the legal, ethical and practice considerations involved in complex decision-making and is increasingly able to justify her professional judgements through analysis, evidence and legislation. </w:t>
            </w:r>
          </w:p>
          <w:p w14:paraId="12ABA844" w14:textId="77777777" w:rsidR="00BD6FE9" w:rsidRPr="006F2748" w:rsidRDefault="00BD6FE9" w:rsidP="006F2748">
            <w:pPr>
              <w:jc w:val="both"/>
              <w:rPr>
                <w:color w:val="auto"/>
                <w:sz w:val="24"/>
                <w:szCs w:val="24"/>
              </w:rPr>
            </w:pPr>
          </w:p>
          <w:p w14:paraId="4FC47D59" w14:textId="61F5A0E2" w:rsidR="006F2748" w:rsidRDefault="006F2748" w:rsidP="006F2748">
            <w:pPr>
              <w:jc w:val="both"/>
              <w:rPr>
                <w:color w:val="auto"/>
                <w:sz w:val="24"/>
                <w:szCs w:val="24"/>
              </w:rPr>
            </w:pPr>
            <w:r w:rsidRPr="006F2748">
              <w:rPr>
                <w:color w:val="auto"/>
                <w:sz w:val="24"/>
                <w:szCs w:val="24"/>
              </w:rPr>
              <w:t xml:space="preserve">Throughout the programme, Helen has engaged positively with supervision, reflective practice, training and research. She has shown insight into her own learning needs and has used feedback constructively to improve her practice. In particular, feedback from individuals and families consistently highlights her reliability, communication skills, preparation and ability to build positive working relationships. </w:t>
            </w:r>
          </w:p>
          <w:p w14:paraId="1041B131" w14:textId="77777777" w:rsidR="00BD6FE9" w:rsidRPr="006F2748" w:rsidRDefault="00BD6FE9" w:rsidP="006F2748">
            <w:pPr>
              <w:jc w:val="both"/>
              <w:rPr>
                <w:color w:val="auto"/>
                <w:sz w:val="24"/>
                <w:szCs w:val="24"/>
              </w:rPr>
            </w:pPr>
          </w:p>
          <w:p w14:paraId="4009A11D" w14:textId="77777777" w:rsidR="006F2748" w:rsidRPr="006F2748" w:rsidRDefault="006F2748" w:rsidP="006F2748">
            <w:pPr>
              <w:jc w:val="both"/>
              <w:rPr>
                <w:color w:val="auto"/>
                <w:sz w:val="24"/>
                <w:szCs w:val="24"/>
              </w:rPr>
            </w:pPr>
            <w:r w:rsidRPr="006F2748">
              <w:rPr>
                <w:color w:val="auto"/>
                <w:sz w:val="24"/>
                <w:szCs w:val="24"/>
              </w:rPr>
              <w:t>Helen has successfully achieved the learning outcomes of the Consolidation Programme and has developed from a newly qualified practitioner requiring support to build confidence in key areas, into a practitioner who demonstrates sound analytical skills, effective collaborative working and increasingly confident professional judgement. Going forward, she would benefit from continued exposure to increasingly complex assessments and safeguarding work to further consolidate these strengths and support her progression towards becoming an experienced practitioner.</w:t>
            </w:r>
          </w:p>
          <w:p w14:paraId="5C1972F4" w14:textId="77777777" w:rsidR="00FC0334" w:rsidRDefault="00FC0334" w:rsidP="005D4F72">
            <w:pPr>
              <w:jc w:val="both"/>
              <w:rPr>
                <w:color w:val="auto"/>
                <w:sz w:val="24"/>
                <w:szCs w:val="24"/>
              </w:rPr>
            </w:pPr>
          </w:p>
          <w:p w14:paraId="6B038935" w14:textId="77777777" w:rsidR="00AF2429" w:rsidRPr="00AF2429" w:rsidRDefault="00AF2429" w:rsidP="00AF2429">
            <w:pPr>
              <w:jc w:val="both"/>
              <w:rPr>
                <w:color w:val="auto"/>
                <w:sz w:val="24"/>
                <w:szCs w:val="24"/>
              </w:rPr>
            </w:pPr>
            <w:r w:rsidRPr="00AF2429">
              <w:rPr>
                <w:color w:val="auto"/>
                <w:sz w:val="24"/>
                <w:szCs w:val="24"/>
              </w:rPr>
              <w:t>Helen should be proud of the progress she has made throughout the programme. She has shown commitment to her professional development, resilience when faced with new challenges, and a genuine desire to provide high-quality, person-centred support. She has developed into a capable and reflective practitioner who demonstrates sound professional values and judgement. I have every confidence that Helen will continue to build on these strengths and become an accomplished and highly effective social worker as her career progresses.</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2DAD6D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C23ED" w:rsidRPr="005C23ED">
        <w:rPr>
          <w:bCs/>
          <w:sz w:val="24"/>
          <w:szCs w:val="24"/>
        </w:rPr>
        <w:t>Helen Westermark</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E02DDF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A4D36" w:rsidRPr="003A4D36">
        <w:rPr>
          <w:bCs/>
          <w:sz w:val="24"/>
          <w:szCs w:val="24"/>
        </w:rPr>
        <w:t>2005605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26E394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8480B">
        <w:rPr>
          <w:b/>
          <w:sz w:val="24"/>
          <w:szCs w:val="24"/>
        </w:rPr>
        <w:t xml:space="preserve"> </w:t>
      </w:r>
      <w:r w:rsidR="0098480B" w:rsidRPr="0098480B">
        <w:rPr>
          <w:bCs/>
          <w:sz w:val="24"/>
          <w:szCs w:val="24"/>
        </w:rPr>
        <w:t>65 Eaton Road, Brynhyfryd Swansea, SA5 9JL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0BF01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8480B">
        <w:rPr>
          <w:b/>
          <w:sz w:val="24"/>
          <w:szCs w:val="24"/>
        </w:rPr>
        <w:t xml:space="preserve"> </w:t>
      </w:r>
      <w:r w:rsidR="0098480B" w:rsidRPr="0098480B">
        <w:rPr>
          <w:bCs/>
          <w:sz w:val="24"/>
          <w:szCs w:val="24"/>
        </w:rPr>
        <w:t>07479 345008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DEBEB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8480B">
        <w:rPr>
          <w:b/>
          <w:sz w:val="24"/>
          <w:szCs w:val="24"/>
        </w:rPr>
        <w:t xml:space="preserve"> </w:t>
      </w:r>
      <w:r w:rsidR="0098480B" w:rsidRPr="0098480B">
        <w:rPr>
          <w:bCs/>
          <w:sz w:val="24"/>
          <w:szCs w:val="24"/>
        </w:rPr>
        <w:t>2005605@student.uwtsd.ac.uk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B8C93C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11786" w:rsidRPr="00811786">
        <w:rPr>
          <w:bCs/>
          <w:sz w:val="24"/>
          <w:szCs w:val="24"/>
        </w:rPr>
        <w:t>05/08/2</w:t>
      </w:r>
      <w:r w:rsidR="0007590C">
        <w:rPr>
          <w:bCs/>
          <w:sz w:val="24"/>
          <w:szCs w:val="24"/>
        </w:rPr>
        <w:t>02</w:t>
      </w:r>
      <w:r w:rsidR="00811786" w:rsidRPr="00811786">
        <w:rPr>
          <w:bCs/>
          <w:sz w:val="24"/>
          <w:szCs w:val="24"/>
        </w:rPr>
        <w:t>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24B31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7590C" w:rsidRPr="0007590C">
        <w:rPr>
          <w:bCs/>
          <w:sz w:val="24"/>
          <w:szCs w:val="24"/>
        </w:rPr>
        <w:t>01/07/2024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DAA941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07590C">
        <w:rPr>
          <w:b/>
          <w:sz w:val="24"/>
          <w:szCs w:val="24"/>
        </w:rPr>
        <w:t xml:space="preserve"> </w:t>
      </w:r>
      <w:r w:rsidR="0007590C" w:rsidRPr="0007590C">
        <w:rPr>
          <w:bCs/>
          <w:sz w:val="24"/>
          <w:szCs w:val="24"/>
        </w:rPr>
        <w:t>Swansea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224C3D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7590C">
        <w:rPr>
          <w:b/>
          <w:sz w:val="24"/>
          <w:szCs w:val="24"/>
        </w:rPr>
        <w:t xml:space="preserve"> </w:t>
      </w:r>
      <w:r w:rsidR="0007590C" w:rsidRPr="0007590C">
        <w:rPr>
          <w:bCs/>
          <w:sz w:val="24"/>
          <w:szCs w:val="24"/>
        </w:rPr>
        <w:t>The Guildhall Swansea, SA1 4PE</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19CE49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7590C">
        <w:rPr>
          <w:b/>
          <w:sz w:val="24"/>
          <w:szCs w:val="24"/>
        </w:rPr>
        <w:t xml:space="preserve"> </w:t>
      </w:r>
      <w:r w:rsidR="0007590C" w:rsidRPr="0007590C">
        <w:rPr>
          <w:bCs/>
          <w:sz w:val="24"/>
          <w:szCs w:val="24"/>
        </w:rPr>
        <w:t>Anna Rees</w:t>
      </w:r>
      <w:r w:rsidR="0007590C">
        <w:rPr>
          <w:bCs/>
          <w:sz w:val="24"/>
          <w:szCs w:val="24"/>
        </w:rPr>
        <w:t xml:space="preserve"> (Academic mentor and </w:t>
      </w:r>
      <w:r w:rsidR="00237F2F">
        <w:rPr>
          <w:bCs/>
          <w:sz w:val="24"/>
          <w:szCs w:val="24"/>
        </w:rPr>
        <w:t>line manager</w:t>
      </w:r>
      <w:r w:rsidR="0007590C">
        <w:rPr>
          <w:bCs/>
          <w:sz w:val="24"/>
          <w:szCs w:val="24"/>
        </w:rPr>
        <w:t>)</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A5EE7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7590C">
        <w:rPr>
          <w:b/>
          <w:sz w:val="24"/>
          <w:szCs w:val="24"/>
        </w:rPr>
        <w:t xml:space="preserve"> </w:t>
      </w:r>
      <w:r w:rsidR="0007590C" w:rsidRPr="0007590C">
        <w:rPr>
          <w:bCs/>
          <w:sz w:val="24"/>
          <w:szCs w:val="24"/>
        </w:rPr>
        <w:t>The Guildhall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64BD3C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5417A" w:rsidRPr="0095417A">
        <w:rPr>
          <w:b/>
          <w:bCs/>
          <w:color w:val="174E86"/>
        </w:rPr>
        <w:t xml:space="preserve"> </w:t>
      </w:r>
      <w:r w:rsidR="0095417A" w:rsidRPr="0095417A">
        <w:rPr>
          <w:color w:val="000000" w:themeColor="text1"/>
        </w:rPr>
        <w:t>07890 323803</w:t>
      </w:r>
      <w:r w:rsidR="0095417A" w:rsidRPr="0095417A">
        <w:rPr>
          <w:color w:val="000000" w:themeColor="text1"/>
          <w:sz w:val="22"/>
          <w:szCs w:val="22"/>
        </w:rPr>
        <w:t xml:space="preserve">/ </w:t>
      </w:r>
      <w:r w:rsidR="0095417A" w:rsidRPr="0095417A">
        <w:rPr>
          <w:color w:val="000000" w:themeColor="text1"/>
        </w:rPr>
        <w:t>01792 637494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103B9DD" w:rsidR="004923DA" w:rsidRPr="003A7FAB" w:rsidRDefault="004923DA" w:rsidP="00C65921">
      <w:pPr>
        <w:pBdr>
          <w:top w:val="single" w:sz="6" w:space="1" w:color="auto"/>
          <w:left w:val="single" w:sz="6" w:space="1" w:color="auto"/>
          <w:bottom w:val="single" w:sz="6" w:space="1" w:color="auto"/>
          <w:right w:val="single" w:sz="6" w:space="1" w:color="auto"/>
        </w:pBdr>
        <w:jc w:val="both"/>
      </w:pPr>
      <w:r>
        <w:rPr>
          <w:b/>
          <w:sz w:val="24"/>
          <w:szCs w:val="24"/>
        </w:rPr>
        <w:t xml:space="preserve">E-Mail address: </w:t>
      </w:r>
      <w:hyperlink r:id="rId50" w:history="1">
        <w:r w:rsidR="003A7FAB" w:rsidRPr="00F75379">
          <w:rPr>
            <w:rStyle w:val="Hyperlink"/>
          </w:rPr>
          <w:t>anna.rees2@swansea.gov.uk</w:t>
        </w:r>
      </w:hyperlink>
      <w:r w:rsidR="003A7FAB">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C98DC8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3A7FAB">
        <w:rPr>
          <w:b/>
          <w:sz w:val="24"/>
          <w:szCs w:val="24"/>
        </w:rPr>
        <w:sym w:font="Wingdings" w:char="F0F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B19A24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C2289">
        <w:rPr>
          <w:b/>
          <w:sz w:val="24"/>
          <w:szCs w:val="24"/>
        </w:rPr>
        <w:t xml:space="preserve"> </w:t>
      </w:r>
      <w:r w:rsidR="009C2289" w:rsidRPr="00F7002F">
        <w:rPr>
          <w:bCs/>
          <w:sz w:val="24"/>
          <w:szCs w:val="24"/>
        </w:rPr>
        <w:t>Anna Rees</w:t>
      </w:r>
      <w:r w:rsidR="009C2289">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A7C33B0" w:rsidR="004923DA" w:rsidRPr="00F7002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9C2289">
        <w:rPr>
          <w:b/>
          <w:sz w:val="24"/>
          <w:szCs w:val="24"/>
        </w:rPr>
        <w:t xml:space="preserve"> </w:t>
      </w:r>
      <w:r w:rsidR="009C2289" w:rsidRPr="00F7002F">
        <w:rPr>
          <w:bCs/>
          <w:sz w:val="24"/>
          <w:szCs w:val="24"/>
        </w:rPr>
        <w:t xml:space="preserve">Guildhall Swansea </w:t>
      </w:r>
    </w:p>
    <w:p w14:paraId="7FECFA3D" w14:textId="77777777" w:rsidR="004923DA" w:rsidRPr="00F7002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9A15A9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40AFB">
        <w:rPr>
          <w:b/>
          <w:sz w:val="24"/>
          <w:szCs w:val="24"/>
        </w:rPr>
        <w:t xml:space="preserve"> </w:t>
      </w:r>
      <w:r w:rsidR="00440AFB" w:rsidRPr="00F7002F">
        <w:rPr>
          <w:sz w:val="24"/>
          <w:szCs w:val="24"/>
        </w:rPr>
        <w:t>07890 323803/ 01792 637494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E077C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40AFB">
        <w:rPr>
          <w:b/>
          <w:sz w:val="24"/>
          <w:szCs w:val="24"/>
        </w:rPr>
        <w:t xml:space="preserve"> </w:t>
      </w:r>
      <w:hyperlink r:id="rId51" w:history="1">
        <w:r w:rsidR="00440AFB" w:rsidRPr="00F52569">
          <w:rPr>
            <w:rStyle w:val="Hyperlink"/>
            <w:b/>
            <w:sz w:val="24"/>
            <w:szCs w:val="24"/>
          </w:rPr>
          <w:t>anna.rees2@swansea.gov.uk</w:t>
        </w:r>
      </w:hyperlink>
    </w:p>
    <w:p w14:paraId="313FE5C8" w14:textId="77777777" w:rsidR="00440AFB" w:rsidRPr="008B28E7" w:rsidRDefault="00440AFB"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1356118" w:rsidR="004923DA" w:rsidRDefault="004923DA" w:rsidP="00FF7EBB">
            <w:pPr>
              <w:jc w:val="both"/>
              <w:rPr>
                <w:b/>
                <w:sz w:val="24"/>
                <w:szCs w:val="24"/>
              </w:rPr>
            </w:pPr>
            <w:r w:rsidRPr="008B28E7">
              <w:rPr>
                <w:b/>
                <w:sz w:val="24"/>
                <w:szCs w:val="24"/>
              </w:rPr>
              <w:t>Name:</w:t>
            </w:r>
            <w:r w:rsidR="006F50DD">
              <w:rPr>
                <w:b/>
                <w:sz w:val="24"/>
                <w:szCs w:val="24"/>
              </w:rPr>
              <w:t xml:space="preserve"> </w:t>
            </w:r>
            <w:r w:rsidR="006F50DD" w:rsidRPr="006F50DD">
              <w:rPr>
                <w:bCs/>
                <w:sz w:val="24"/>
                <w:szCs w:val="24"/>
              </w:rPr>
              <w:t>Ana Cristea</w:t>
            </w:r>
          </w:p>
          <w:p w14:paraId="4EF4A770" w14:textId="77777777" w:rsidR="004923DA" w:rsidRPr="008B28E7" w:rsidRDefault="004923DA" w:rsidP="00FF7EBB">
            <w:pPr>
              <w:jc w:val="both"/>
              <w:rPr>
                <w:b/>
                <w:sz w:val="24"/>
                <w:szCs w:val="24"/>
              </w:rPr>
            </w:pPr>
          </w:p>
          <w:p w14:paraId="1AC8522D" w14:textId="392624C4" w:rsidR="004923DA" w:rsidRDefault="004923DA" w:rsidP="00FF7EBB">
            <w:pPr>
              <w:jc w:val="both"/>
              <w:rPr>
                <w:b/>
                <w:sz w:val="24"/>
                <w:szCs w:val="24"/>
              </w:rPr>
            </w:pPr>
            <w:r w:rsidRPr="008B28E7">
              <w:rPr>
                <w:b/>
                <w:sz w:val="24"/>
                <w:szCs w:val="24"/>
              </w:rPr>
              <w:t xml:space="preserve">Work Address: </w:t>
            </w:r>
            <w:r w:rsidR="006F50DD">
              <w:rPr>
                <w:b/>
                <w:sz w:val="24"/>
                <w:szCs w:val="24"/>
              </w:rPr>
              <w:t xml:space="preserve"> </w:t>
            </w:r>
            <w:r w:rsidR="006F50DD" w:rsidRPr="006F50DD">
              <w:rPr>
                <w:bCs/>
                <w:sz w:val="24"/>
                <w:szCs w:val="24"/>
              </w:rPr>
              <w:t>The Guildhall, Swansea, SA1 4PE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1D87369" w:rsidR="004923DA" w:rsidRPr="006179AA" w:rsidRDefault="004923DA" w:rsidP="00FF7EBB">
            <w:pPr>
              <w:jc w:val="both"/>
              <w:rPr>
                <w:bCs/>
                <w:sz w:val="24"/>
                <w:szCs w:val="24"/>
              </w:rPr>
            </w:pPr>
            <w:r w:rsidRPr="008B28E7">
              <w:rPr>
                <w:b/>
                <w:sz w:val="24"/>
                <w:szCs w:val="24"/>
              </w:rPr>
              <w:t>Professional Qualification and date of qualification:</w:t>
            </w:r>
            <w:r w:rsidR="009145F0">
              <w:rPr>
                <w:b/>
                <w:sz w:val="24"/>
                <w:szCs w:val="24"/>
              </w:rPr>
              <w:t xml:space="preserve"> </w:t>
            </w:r>
            <w:r w:rsidR="009145F0" w:rsidRPr="006179AA">
              <w:rPr>
                <w:bCs/>
                <w:sz w:val="24"/>
                <w:szCs w:val="24"/>
              </w:rPr>
              <w:t>Social Work Degree 2010</w:t>
            </w:r>
          </w:p>
          <w:p w14:paraId="5F68A3CF" w14:textId="77777777" w:rsidR="004923DA" w:rsidRPr="006179AA" w:rsidRDefault="004923DA" w:rsidP="00FF7EBB">
            <w:pPr>
              <w:jc w:val="both"/>
              <w:rPr>
                <w:bCs/>
                <w:sz w:val="24"/>
                <w:szCs w:val="24"/>
              </w:rPr>
            </w:pPr>
          </w:p>
          <w:p w14:paraId="4C6113F1" w14:textId="4A52FCA3" w:rsidR="004923DA" w:rsidRDefault="009D59C2" w:rsidP="00FF7EBB">
            <w:pPr>
              <w:jc w:val="both"/>
              <w:rPr>
                <w:b/>
                <w:sz w:val="24"/>
                <w:szCs w:val="24"/>
              </w:rPr>
            </w:pPr>
            <w:r>
              <w:rPr>
                <w:b/>
                <w:sz w:val="24"/>
                <w:szCs w:val="24"/>
              </w:rPr>
              <w:t>T</w:t>
            </w:r>
            <w:r w:rsidR="004923DA" w:rsidRPr="008B28E7">
              <w:rPr>
                <w:b/>
                <w:sz w:val="24"/>
                <w:szCs w:val="24"/>
              </w:rPr>
              <w:t>elephone number:</w:t>
            </w:r>
            <w:r w:rsidR="00932C16">
              <w:rPr>
                <w:rFonts w:ascii="Calibri" w:hAnsi="Calibri" w:cs="Calibri"/>
                <w:color w:val="1F497D"/>
                <w:sz w:val="24"/>
                <w:szCs w:val="24"/>
              </w:rPr>
              <w:t xml:space="preserve"> </w:t>
            </w:r>
            <w:r w:rsidR="00932C16" w:rsidRPr="00932C16">
              <w:rPr>
                <w:rFonts w:ascii="Calibri" w:hAnsi="Calibri" w:cs="Calibri"/>
                <w:color w:val="auto"/>
                <w:sz w:val="24"/>
                <w:szCs w:val="24"/>
              </w:rPr>
              <w:t>07721819449</w:t>
            </w:r>
          </w:p>
          <w:p w14:paraId="0BB87919" w14:textId="548A11EF" w:rsidR="009D59C2" w:rsidRDefault="009D59C2" w:rsidP="00FF7EBB">
            <w:pPr>
              <w:jc w:val="both"/>
              <w:rPr>
                <w:b/>
                <w:sz w:val="24"/>
                <w:szCs w:val="24"/>
              </w:rPr>
            </w:pPr>
          </w:p>
          <w:p w14:paraId="4FDEE73F" w14:textId="14F8EB23" w:rsidR="009D59C2" w:rsidRPr="008B28E7" w:rsidRDefault="009D59C2" w:rsidP="00FF7EBB">
            <w:pPr>
              <w:jc w:val="both"/>
              <w:rPr>
                <w:b/>
                <w:sz w:val="24"/>
                <w:szCs w:val="24"/>
              </w:rPr>
            </w:pPr>
            <w:r>
              <w:rPr>
                <w:b/>
                <w:sz w:val="24"/>
                <w:szCs w:val="24"/>
              </w:rPr>
              <w:t>Email address:</w:t>
            </w:r>
            <w:r w:rsidR="00A9669D">
              <w:rPr>
                <w:rFonts w:ascii="Calibri" w:hAnsi="Calibri" w:cs="Calibri"/>
                <w:color w:val="0000FF"/>
                <w:sz w:val="24"/>
                <w:szCs w:val="24"/>
                <w:u w:val="single"/>
              </w:rPr>
              <w:t xml:space="preserve"> </w:t>
            </w:r>
            <w:hyperlink r:id="rId52" w:history="1">
              <w:r w:rsidR="00A9669D">
                <w:rPr>
                  <w:rStyle w:val="Hyperlink"/>
                  <w:rFonts w:ascii="Calibri" w:hAnsi="Calibri" w:cs="Calibri"/>
                  <w:color w:val="0563C1"/>
                  <w:sz w:val="24"/>
                  <w:szCs w:val="24"/>
                </w:rPr>
                <w:t>Ana.Cristea@swansea.gov.uk</w:t>
              </w:r>
            </w:hyperlink>
            <w:r w:rsidR="00A9669D">
              <w:rPr>
                <w:rFonts w:ascii="Calibri" w:hAnsi="Calibri" w:cs="Calibri"/>
                <w:color w:val="1F497D"/>
              </w:rPr>
              <w:t>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7C9754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CE0768">
        <w:rPr>
          <w:noProof/>
        </w:rPr>
        <w:drawing>
          <wp:inline distT="0" distB="0" distL="0" distR="0" wp14:anchorId="58B4C4F7" wp14:editId="37746371">
            <wp:extent cx="1593850" cy="374650"/>
            <wp:effectExtent l="0" t="0" r="6350" b="6350"/>
            <wp:docPr id="1752420398"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20398" name="Picture 1" descr="A close-up of a word&#10;&#10;Description automatically generated"/>
                    <pic:cNvPicPr/>
                  </pic:nvPicPr>
                  <pic:blipFill>
                    <a:blip r:embed="rId53"/>
                    <a:stretch>
                      <a:fillRect/>
                    </a:stretch>
                  </pic:blipFill>
                  <pic:spPr>
                    <a:xfrm>
                      <a:off x="0" y="0"/>
                      <a:ext cx="1593850" cy="374650"/>
                    </a:xfrm>
                    <a:prstGeom prst="rect">
                      <a:avLst/>
                    </a:prstGeom>
                  </pic:spPr>
                </pic:pic>
              </a:graphicData>
            </a:graphic>
          </wp:inline>
        </w:drawing>
      </w:r>
      <w:r>
        <w:rPr>
          <w:sz w:val="24"/>
          <w:szCs w:val="24"/>
        </w:rPr>
        <w:t xml:space="preserve">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DF8813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CE0768">
        <w:rPr>
          <w:sz w:val="24"/>
          <w:szCs w:val="24"/>
        </w:rPr>
        <w:t>01/10/2</w:t>
      </w:r>
      <w:r w:rsidR="009145F0">
        <w:rPr>
          <w:sz w:val="24"/>
          <w:szCs w:val="24"/>
        </w:rPr>
        <w:t>02</w:t>
      </w:r>
      <w:r w:rsidR="00CE0768">
        <w:rPr>
          <w:sz w:val="24"/>
          <w:szCs w:val="24"/>
        </w:rPr>
        <w:t>6</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5369D1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w:t>
      </w:r>
      <w:r w:rsidR="009145F0">
        <w:rPr>
          <w:noProof/>
        </w:rPr>
        <w:drawing>
          <wp:inline distT="0" distB="0" distL="0" distR="0" wp14:anchorId="1D5864CE" wp14:editId="16A3E13C">
            <wp:extent cx="990600" cy="298285"/>
            <wp:effectExtent l="0" t="0" r="0" b="6985"/>
            <wp:docPr id="654859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07198" cy="303283"/>
                    </a:xfrm>
                    <a:prstGeom prst="rect">
                      <a:avLst/>
                    </a:prstGeom>
                    <a:noFill/>
                    <a:ln>
                      <a:noFill/>
                    </a:ln>
                  </pic:spPr>
                </pic:pic>
              </a:graphicData>
            </a:graphic>
          </wp:inline>
        </w:drawing>
      </w:r>
      <w:r w:rsidR="00B577D3">
        <w:rPr>
          <w:sz w:val="24"/>
          <w:szCs w:val="24"/>
        </w:rPr>
        <w:t xml:space="preserve">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0B3C24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9145F0">
        <w:rPr>
          <w:sz w:val="24"/>
          <w:szCs w:val="24"/>
        </w:rPr>
        <w:t xml:space="preserve"> </w:t>
      </w:r>
      <w:r>
        <w:rPr>
          <w:sz w:val="24"/>
          <w:szCs w:val="24"/>
        </w:rPr>
        <w:t xml:space="preserve">_ _ </w:t>
      </w:r>
      <w:r w:rsidR="009145F0">
        <w:rPr>
          <w:sz w:val="24"/>
          <w:szCs w:val="24"/>
        </w:rPr>
        <w:t>01/10/2026</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D9965EF" w:rsidR="00335C41" w:rsidRPr="00D3203C" w:rsidRDefault="00335C41" w:rsidP="00335C41">
            <w:pPr>
              <w:ind w:right="180"/>
              <w:jc w:val="both"/>
              <w:rPr>
                <w:sz w:val="24"/>
                <w:szCs w:val="24"/>
              </w:rPr>
            </w:pPr>
            <w:r w:rsidRPr="00D3203C">
              <w:rPr>
                <w:sz w:val="24"/>
                <w:szCs w:val="24"/>
              </w:rPr>
              <w:t>Signed________________________ (Mentor)</w:t>
            </w:r>
          </w:p>
          <w:p w14:paraId="5D3F0767" w14:textId="1212F4F2" w:rsidR="00335C41" w:rsidRPr="00D3203C" w:rsidRDefault="00335C41" w:rsidP="00335C41">
            <w:pPr>
              <w:ind w:right="180"/>
              <w:jc w:val="both"/>
              <w:rPr>
                <w:sz w:val="24"/>
                <w:szCs w:val="24"/>
              </w:rPr>
            </w:pPr>
          </w:p>
          <w:p w14:paraId="24E1B8A5" w14:textId="2CB1B17C" w:rsidR="00335C41" w:rsidRPr="00D3203C" w:rsidRDefault="00335C41" w:rsidP="00335C41">
            <w:pPr>
              <w:ind w:right="180"/>
              <w:jc w:val="both"/>
              <w:rPr>
                <w:sz w:val="24"/>
                <w:szCs w:val="24"/>
              </w:rPr>
            </w:pPr>
            <w:r w:rsidRPr="00D3203C">
              <w:rPr>
                <w:sz w:val="24"/>
                <w:szCs w:val="24"/>
              </w:rPr>
              <w:t>Date ____</w:t>
            </w:r>
            <w:r w:rsidR="00E37B73">
              <w:rPr>
                <w:sz w:val="24"/>
                <w:szCs w:val="24"/>
              </w:rPr>
              <w:t>7</w:t>
            </w:r>
            <w:r w:rsidR="00F327F2">
              <w:rPr>
                <w:sz w:val="24"/>
                <w:szCs w:val="24"/>
              </w:rPr>
              <w:t>/10/202</w:t>
            </w:r>
            <w:r w:rsidR="00E37B73">
              <w:rPr>
                <w:sz w:val="24"/>
                <w:szCs w:val="24"/>
              </w:rPr>
              <w:t>5</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10E861A9" w:rsidR="009C7342" w:rsidRDefault="00DF24F1" w:rsidP="00FF7EBB">
      <w:pPr>
        <w:ind w:right="180"/>
        <w:jc w:val="both"/>
        <w:rPr>
          <w:b/>
          <w:sz w:val="24"/>
          <w:szCs w:val="24"/>
        </w:rPr>
      </w:pPr>
      <w:r>
        <w:rPr>
          <w:noProof/>
          <w:sz w:val="24"/>
          <w:szCs w:val="24"/>
          <w14:ligatures w14:val="standardContextual"/>
        </w:rPr>
        <w:lastRenderedPageBreak/>
        <mc:AlternateContent>
          <mc:Choice Requires="wpi">
            <w:drawing>
              <wp:anchor distT="0" distB="0" distL="114300" distR="114300" simplePos="0" relativeHeight="251659264" behindDoc="0" locked="0" layoutInCell="1" allowOverlap="1" wp14:anchorId="29F216BB" wp14:editId="3345E3CF">
                <wp:simplePos x="0" y="0"/>
                <wp:positionH relativeFrom="column">
                  <wp:posOffset>827405</wp:posOffset>
                </wp:positionH>
                <wp:positionV relativeFrom="paragraph">
                  <wp:posOffset>-1191260</wp:posOffset>
                </wp:positionV>
                <wp:extent cx="847450" cy="663615"/>
                <wp:effectExtent l="38100" t="38100" r="29210" b="41275"/>
                <wp:wrapNone/>
                <wp:docPr id="1188195842" name="Ink 7"/>
                <wp:cNvGraphicFramePr/>
                <a:graphic xmlns:a="http://schemas.openxmlformats.org/drawingml/2006/main">
                  <a:graphicData uri="http://schemas.microsoft.com/office/word/2010/wordprocessingInk">
                    <w14:contentPart bwMode="auto" r:id="rId55">
                      <w14:nvContentPartPr>
                        <w14:cNvContentPartPr/>
                      </w14:nvContentPartPr>
                      <w14:xfrm>
                        <a:off x="0" y="0"/>
                        <a:ext cx="847450" cy="663615"/>
                      </w14:xfrm>
                    </w14:contentPart>
                  </a:graphicData>
                </a:graphic>
              </wp:anchor>
            </w:drawing>
          </mc:Choice>
          <mc:Fallback>
            <w:pict>
              <v:shapetype w14:anchorId="0F2620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64.8pt;margin-top:-94.15pt;width:67.45pt;height:52.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">
                <v:imagedata r:id="rId56" o:title=""/>
              </v:shape>
            </w:pict>
          </mc:Fallback>
        </mc:AlternateContent>
      </w: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977C35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8131E8">
        <w:rPr>
          <w:caps/>
          <w:sz w:val="24"/>
          <w:szCs w:val="24"/>
        </w:rPr>
        <w:t>Anna Rees</w:t>
      </w:r>
      <w:r w:rsidR="00B577D3">
        <w:rPr>
          <w:caps/>
          <w:sz w:val="24"/>
          <w:szCs w:val="24"/>
        </w:rPr>
        <w:t>_ _ _ _ _ _ _ _ _ _ _ _ _ _ _ _ _ _ _ _ _ _ _ _</w:t>
      </w:r>
    </w:p>
    <w:p w14:paraId="7C11F360" w14:textId="7E356185" w:rsidR="004923DA" w:rsidRPr="008B28E7" w:rsidRDefault="008131E8"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14:ligatures w14:val="standardContextual"/>
        </w:rPr>
        <mc:AlternateContent>
          <mc:Choice Requires="wpi">
            <w:drawing>
              <wp:anchor distT="0" distB="0" distL="114300" distR="114300" simplePos="0" relativeHeight="251665408" behindDoc="0" locked="0" layoutInCell="1" allowOverlap="1" wp14:anchorId="600670B2" wp14:editId="7BAFFD3B">
                <wp:simplePos x="0" y="0"/>
                <wp:positionH relativeFrom="column">
                  <wp:posOffset>3162300</wp:posOffset>
                </wp:positionH>
                <wp:positionV relativeFrom="paragraph">
                  <wp:posOffset>-146685</wp:posOffset>
                </wp:positionV>
                <wp:extent cx="847450" cy="663615"/>
                <wp:effectExtent l="38100" t="38100" r="29210" b="41275"/>
                <wp:wrapNone/>
                <wp:docPr id="2082889027" name="Ink 7"/>
                <wp:cNvGraphicFramePr/>
                <a:graphic xmlns:a="http://schemas.openxmlformats.org/drawingml/2006/main">
                  <a:graphicData uri="http://schemas.microsoft.com/office/word/2010/wordprocessingInk">
                    <w14:contentPart bwMode="auto" r:id="rId57">
                      <w14:nvContentPartPr>
                        <w14:cNvContentPartPr/>
                      </w14:nvContentPartPr>
                      <w14:xfrm>
                        <a:off x="0" y="0"/>
                        <a:ext cx="847450" cy="663615"/>
                      </w14:xfrm>
                    </w14:contentPart>
                  </a:graphicData>
                </a:graphic>
              </wp:anchor>
            </w:drawing>
          </mc:Choice>
          <mc:Fallback>
            <w:pict>
              <v:shape w14:anchorId="1A245EF2" id="Ink 7" o:spid="_x0000_s1026" type="#_x0000_t75" style="position:absolute;margin-left:248.65pt;margin-top:-11.9pt;width:67.45pt;height:52.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">
                <v:imagedata r:id="rId56" o:title=""/>
              </v:shape>
            </w:pict>
          </mc:Fallback>
        </mc:AlternateContent>
      </w:r>
      <w:r w:rsidR="004923DA"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7ABE5D8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_ _ _ </w:t>
      </w:r>
      <w:r w:rsidR="00C61886">
        <w:rPr>
          <w:sz w:val="24"/>
          <w:szCs w:val="24"/>
        </w:rPr>
        <w:t>01/10/2</w:t>
      </w:r>
      <w:r w:rsidR="00BF5974">
        <w:rPr>
          <w:sz w:val="24"/>
          <w:szCs w:val="24"/>
        </w:rPr>
        <w:t>02</w:t>
      </w:r>
      <w:r w:rsidR="00C61886">
        <w:rPr>
          <w:sz w:val="24"/>
          <w:szCs w:val="24"/>
        </w:rPr>
        <w:t>6</w:t>
      </w:r>
      <w:r w:rsidR="00B577D3" w:rsidRPr="00B577D3">
        <w:rPr>
          <w:sz w:val="24"/>
          <w:szCs w:val="24"/>
        </w:rPr>
        <w:t>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AA84A90" w:rsidR="00D05A5D" w:rsidRPr="00DA5682" w:rsidRDefault="001352E2" w:rsidP="00CC14B6">
            <w:pPr>
              <w:rPr>
                <w:sz w:val="24"/>
                <w:szCs w:val="24"/>
              </w:rPr>
            </w:pPr>
            <w:r>
              <w:rPr>
                <w:sz w:val="24"/>
                <w:szCs w:val="24"/>
              </w:rPr>
              <w:t>Helen Westermark</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7FE2926" w:rsidR="00D05A5D" w:rsidRPr="00DA5682" w:rsidRDefault="001352E2" w:rsidP="00CC14B6">
            <w:pPr>
              <w:rPr>
                <w:sz w:val="24"/>
                <w:szCs w:val="24"/>
              </w:rPr>
            </w:pPr>
            <w:r>
              <w:rPr>
                <w:sz w:val="24"/>
                <w:szCs w:val="24"/>
              </w:rPr>
              <w:t>CAP Assessment</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D31B5D6" w:rsidR="00D05A5D" w:rsidRPr="00DA5682" w:rsidRDefault="00694A5B" w:rsidP="00CC14B6">
            <w:pPr>
              <w:rPr>
                <w:sz w:val="24"/>
                <w:szCs w:val="24"/>
              </w:rPr>
            </w:pPr>
            <w:r>
              <w:rPr>
                <w:sz w:val="24"/>
                <w:szCs w:val="24"/>
              </w:rPr>
              <w:t xml:space="preserve">Anna Rees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7F4DCC0" w:rsidR="00D05A5D" w:rsidRPr="00DA5682" w:rsidRDefault="00EC3B2D" w:rsidP="00CC14B6">
            <w:pPr>
              <w:rPr>
                <w:sz w:val="24"/>
                <w:szCs w:val="24"/>
              </w:rPr>
            </w:pPr>
            <w:r>
              <w:rPr>
                <w:sz w:val="24"/>
                <w:szCs w:val="24"/>
              </w:rPr>
              <w:t>Anna Rees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F06094B" w:rsidR="00D05A5D" w:rsidRPr="00DA5682" w:rsidRDefault="00D05A5D" w:rsidP="00D05A5D">
      <w:pPr>
        <w:rPr>
          <w:sz w:val="24"/>
          <w:szCs w:val="24"/>
        </w:rPr>
      </w:pPr>
      <w:r w:rsidRPr="00DA5682">
        <w:rPr>
          <w:sz w:val="24"/>
          <w:szCs w:val="24"/>
        </w:rPr>
        <w:t>Signed:……</w:t>
      </w:r>
      <w:r w:rsidR="00250B2A" w:rsidRPr="00250B2A">
        <w:rPr>
          <w:noProof/>
        </w:rPr>
        <w:t xml:space="preserve"> </w:t>
      </w:r>
      <w:r w:rsidR="00250B2A">
        <w:rPr>
          <w:noProof/>
        </w:rPr>
        <w:drawing>
          <wp:inline distT="0" distB="0" distL="0" distR="0" wp14:anchorId="4C909E59" wp14:editId="2596D45F">
            <wp:extent cx="1276350" cy="285750"/>
            <wp:effectExtent l="0" t="0" r="0" b="0"/>
            <wp:docPr id="87017281"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20398" name="Picture 1" descr="A close-up of a word&#10;&#10;Description automatically generated"/>
                    <pic:cNvPicPr/>
                  </pic:nvPicPr>
                  <pic:blipFill>
                    <a:blip r:embed="rId53"/>
                    <a:stretch>
                      <a:fillRect/>
                    </a:stretch>
                  </pic:blipFill>
                  <pic:spPr>
                    <a:xfrm>
                      <a:off x="0" y="0"/>
                      <a:ext cx="1276350" cy="285750"/>
                    </a:xfrm>
                    <a:prstGeom prst="rect">
                      <a:avLst/>
                    </a:prstGeom>
                  </pic:spPr>
                </pic:pic>
              </a:graphicData>
            </a:graphic>
          </wp:inline>
        </w:drawing>
      </w:r>
      <w:r w:rsidRPr="00DA5682">
        <w:rPr>
          <w:sz w:val="24"/>
          <w:szCs w:val="24"/>
        </w:rPr>
        <w:t>….. Print Name:</w:t>
      </w:r>
      <w:r w:rsidR="00250B2A">
        <w:rPr>
          <w:sz w:val="24"/>
          <w:szCs w:val="24"/>
        </w:rPr>
        <w:t xml:space="preserve"> Helen Westermark</w:t>
      </w:r>
      <w:r w:rsidRPr="00DA5682">
        <w:rPr>
          <w:sz w:val="24"/>
          <w:szCs w:val="24"/>
        </w:rPr>
        <w:t xml:space="preserve"> Date:</w:t>
      </w:r>
      <w:r w:rsidR="00B65D94">
        <w:rPr>
          <w:sz w:val="24"/>
          <w:szCs w:val="24"/>
        </w:rPr>
        <w:t>03/10/2</w:t>
      </w:r>
      <w:r w:rsidR="00DA14AC">
        <w:rPr>
          <w:sz w:val="24"/>
          <w:szCs w:val="24"/>
        </w:rPr>
        <w:t>02</w:t>
      </w:r>
      <w:r w:rsidR="00B65D94">
        <w:rPr>
          <w:sz w:val="24"/>
          <w:szCs w:val="24"/>
        </w:rPr>
        <w:t>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031ABFE" w:rsidR="00D05A5D" w:rsidRPr="00DA5682" w:rsidRDefault="00EC3B2D" w:rsidP="00D05A5D">
      <w:pPr>
        <w:rPr>
          <w:sz w:val="24"/>
          <w:szCs w:val="24"/>
        </w:rPr>
      </w:pPr>
      <w:r>
        <w:rPr>
          <w:noProof/>
          <w:sz w:val="24"/>
          <w:szCs w:val="24"/>
          <w14:ligatures w14:val="standardContextual"/>
        </w:rPr>
        <mc:AlternateContent>
          <mc:Choice Requires="wpi">
            <w:drawing>
              <wp:anchor distT="0" distB="0" distL="114300" distR="114300" simplePos="0" relativeHeight="251663360" behindDoc="0" locked="0" layoutInCell="1" allowOverlap="1" wp14:anchorId="1151253E" wp14:editId="3958F2B9">
                <wp:simplePos x="0" y="0"/>
                <wp:positionH relativeFrom="column">
                  <wp:posOffset>736600</wp:posOffset>
                </wp:positionH>
                <wp:positionV relativeFrom="paragraph">
                  <wp:posOffset>-304800</wp:posOffset>
                </wp:positionV>
                <wp:extent cx="847450" cy="663615"/>
                <wp:effectExtent l="38100" t="38100" r="29210" b="41275"/>
                <wp:wrapNone/>
                <wp:docPr id="1358397599" name="Ink 7"/>
                <wp:cNvGraphicFramePr/>
                <a:graphic xmlns:a="http://schemas.openxmlformats.org/drawingml/2006/main">
                  <a:graphicData uri="http://schemas.microsoft.com/office/word/2010/wordprocessingInk">
                    <w14:contentPart bwMode="auto" r:id="rId58">
                      <w14:nvContentPartPr>
                        <w14:cNvContentPartPr/>
                      </w14:nvContentPartPr>
                      <w14:xfrm>
                        <a:off x="0" y="0"/>
                        <a:ext cx="847450" cy="663615"/>
                      </w14:xfrm>
                    </w14:contentPart>
                  </a:graphicData>
                </a:graphic>
              </wp:anchor>
            </w:drawing>
          </mc:Choice>
          <mc:Fallback>
            <w:pict>
              <v:shape w14:anchorId="013C048D" id="Ink 7" o:spid="_x0000_s1026" type="#_x0000_t75" style="position:absolute;margin-left:57.65pt;margin-top:-24.35pt;width:67.45pt;height:52.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">
                <v:imagedata r:id="rId56" o:title=""/>
              </v:shape>
            </w:pict>
          </mc:Fallback>
        </mc:AlternateContent>
      </w:r>
      <w:r w:rsidR="00D05A5D" w:rsidRPr="00DA5682">
        <w:rPr>
          <w:sz w:val="24"/>
          <w:szCs w:val="24"/>
        </w:rPr>
        <w:t>Signed:……</w:t>
      </w:r>
      <w:r w:rsidRPr="00EC3B2D">
        <w:rPr>
          <w:noProof/>
          <w:sz w:val="24"/>
          <w:szCs w:val="24"/>
          <w14:ligatures w14:val="standardContextual"/>
        </w:rPr>
        <w:t xml:space="preserve"> </w:t>
      </w:r>
      <w:r w:rsidR="00D05A5D" w:rsidRPr="00DA5682">
        <w:rPr>
          <w:sz w:val="24"/>
          <w:szCs w:val="24"/>
        </w:rPr>
        <w:t>………………….. Print Name:……</w:t>
      </w:r>
      <w:r>
        <w:rPr>
          <w:sz w:val="24"/>
          <w:szCs w:val="24"/>
        </w:rPr>
        <w:t>Anna Rees</w:t>
      </w:r>
      <w:r w:rsidR="00D05A5D" w:rsidRPr="00DA5682">
        <w:rPr>
          <w:sz w:val="24"/>
          <w:szCs w:val="24"/>
        </w:rPr>
        <w:t>……….Date:…</w:t>
      </w:r>
      <w:r>
        <w:rPr>
          <w:sz w:val="24"/>
          <w:szCs w:val="24"/>
        </w:rPr>
        <w:t>07/10/2</w:t>
      </w:r>
      <w:r w:rsidR="00DA14AC">
        <w:rPr>
          <w:sz w:val="24"/>
          <w:szCs w:val="24"/>
        </w:rPr>
        <w:t>02</w:t>
      </w:r>
      <w:r>
        <w:rPr>
          <w:sz w:val="24"/>
          <w:szCs w:val="24"/>
        </w:rPr>
        <w:t>5</w:t>
      </w:r>
      <w:r w:rsidR="00D05A5D" w:rsidRPr="00DA5682">
        <w:rPr>
          <w:sz w:val="24"/>
          <w:szCs w:val="24"/>
        </w:rPr>
        <w:t xml:space="preserve">……. </w:t>
      </w:r>
    </w:p>
    <w:p w14:paraId="0E2F64AB" w14:textId="4A356609" w:rsidR="00D05A5D" w:rsidRPr="00DA5682" w:rsidRDefault="00D05A5D" w:rsidP="00D05A5D">
      <w:pPr>
        <w:rPr>
          <w:sz w:val="24"/>
          <w:szCs w:val="24"/>
        </w:rPr>
      </w:pPr>
      <w:r w:rsidRPr="00DA5682">
        <w:rPr>
          <w:sz w:val="24"/>
          <w:szCs w:val="24"/>
        </w:rPr>
        <w:t>(Line Manager/Mentor)</w:t>
      </w:r>
    </w:p>
    <w:p w14:paraId="4B359EC1" w14:textId="71D3D11C" w:rsidR="00D05A5D" w:rsidRPr="00DA5682" w:rsidRDefault="00D05A5D" w:rsidP="00D05A5D">
      <w:pPr>
        <w:rPr>
          <w:sz w:val="24"/>
          <w:szCs w:val="24"/>
        </w:rPr>
      </w:pPr>
    </w:p>
    <w:p w14:paraId="63183983" w14:textId="50A70602" w:rsidR="00D05A5D" w:rsidRPr="00DA5682" w:rsidRDefault="00085A1B" w:rsidP="00D05A5D">
      <w:pPr>
        <w:rPr>
          <w:sz w:val="24"/>
          <w:szCs w:val="24"/>
        </w:rPr>
      </w:pPr>
      <w:r>
        <w:rPr>
          <w:noProof/>
          <w:sz w:val="24"/>
          <w:szCs w:val="24"/>
          <w14:ligatures w14:val="standardContextual"/>
        </w:rPr>
        <mc:AlternateContent>
          <mc:Choice Requires="wpi">
            <w:drawing>
              <wp:anchor distT="0" distB="0" distL="114300" distR="114300" simplePos="0" relativeHeight="251661312" behindDoc="0" locked="0" layoutInCell="1" allowOverlap="1" wp14:anchorId="62FF6658" wp14:editId="54F58BB1">
                <wp:simplePos x="0" y="0"/>
                <wp:positionH relativeFrom="column">
                  <wp:posOffset>660400</wp:posOffset>
                </wp:positionH>
                <wp:positionV relativeFrom="paragraph">
                  <wp:posOffset>-304800</wp:posOffset>
                </wp:positionV>
                <wp:extent cx="847450" cy="663615"/>
                <wp:effectExtent l="38100" t="38100" r="29210" b="41275"/>
                <wp:wrapNone/>
                <wp:docPr id="573878898" name="Ink 7"/>
                <wp:cNvGraphicFramePr/>
                <a:graphic xmlns:a="http://schemas.openxmlformats.org/drawingml/2006/main">
                  <a:graphicData uri="http://schemas.microsoft.com/office/word/2010/wordprocessingInk">
                    <w14:contentPart bwMode="auto" r:id="rId59">
                      <w14:nvContentPartPr>
                        <w14:cNvContentPartPr/>
                      </w14:nvContentPartPr>
                      <w14:xfrm>
                        <a:off x="0" y="0"/>
                        <a:ext cx="847450" cy="663615"/>
                      </w14:xfrm>
                    </w14:contentPart>
                  </a:graphicData>
                </a:graphic>
              </wp:anchor>
            </w:drawing>
          </mc:Choice>
          <mc:Fallback>
            <w:pict>
              <v:shape w14:anchorId="11BF8325" id="Ink 7" o:spid="_x0000_s1026" type="#_x0000_t75" style="position:absolute;margin-left:51.65pt;margin-top:-24.35pt;width:67.45pt;height:52.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">
                <v:imagedata r:id="rId56" o:title=""/>
              </v:shape>
            </w:pict>
          </mc:Fallback>
        </mc:AlternateContent>
      </w:r>
      <w:r w:rsidR="00D05A5D" w:rsidRPr="00DA5682">
        <w:rPr>
          <w:sz w:val="24"/>
          <w:szCs w:val="24"/>
        </w:rPr>
        <w:t>Signed:………</w:t>
      </w:r>
      <w:r w:rsidRPr="00085A1B">
        <w:rPr>
          <w:noProof/>
          <w:sz w:val="24"/>
          <w:szCs w:val="24"/>
          <w14:ligatures w14:val="standardContextual"/>
        </w:rPr>
        <w:t xml:space="preserve"> </w:t>
      </w:r>
      <w:r w:rsidR="00D05A5D" w:rsidRPr="00DA5682">
        <w:rPr>
          <w:sz w:val="24"/>
          <w:szCs w:val="24"/>
        </w:rPr>
        <w:t>……………….. Print Name:…</w:t>
      </w:r>
      <w:r w:rsidR="00694A5B">
        <w:rPr>
          <w:sz w:val="24"/>
          <w:szCs w:val="24"/>
        </w:rPr>
        <w:t>Anna Rees</w:t>
      </w:r>
      <w:r w:rsidR="00D05A5D" w:rsidRPr="00DA5682">
        <w:rPr>
          <w:sz w:val="24"/>
          <w:szCs w:val="24"/>
        </w:rPr>
        <w:t>…………Date:…</w:t>
      </w:r>
      <w:r w:rsidR="00A57C61">
        <w:rPr>
          <w:sz w:val="24"/>
          <w:szCs w:val="24"/>
        </w:rPr>
        <w:t>7</w:t>
      </w:r>
      <w:r w:rsidR="00694A5B">
        <w:rPr>
          <w:sz w:val="24"/>
          <w:szCs w:val="24"/>
        </w:rPr>
        <w:t>/10/202</w:t>
      </w:r>
      <w:r w:rsidR="00A57C61">
        <w:rPr>
          <w:sz w:val="24"/>
          <w:szCs w:val="24"/>
        </w:rPr>
        <w:t>5</w:t>
      </w:r>
      <w:r w:rsidR="00D05A5D" w:rsidRPr="00DA5682">
        <w:rPr>
          <w:sz w:val="24"/>
          <w:szCs w:val="24"/>
        </w:rPr>
        <w:t>…….</w:t>
      </w:r>
    </w:p>
    <w:p w14:paraId="336349E8" w14:textId="0B5AE991" w:rsidR="00D05A5D" w:rsidRPr="00DA5682" w:rsidRDefault="00D05A5D" w:rsidP="00D05A5D">
      <w:pPr>
        <w:rPr>
          <w:sz w:val="24"/>
          <w:szCs w:val="24"/>
        </w:rPr>
      </w:pPr>
      <w:r w:rsidRPr="00DA5682">
        <w:rPr>
          <w:sz w:val="24"/>
          <w:szCs w:val="24"/>
        </w:rPr>
        <w:t>(Mentor, if different to above)</w:t>
      </w:r>
    </w:p>
    <w:p w14:paraId="031711AB" w14:textId="3A09DAA9"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7DDE2D63"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0"/>
      <w:footerReference w:type="default" r:id="rId6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C2F82" w14:textId="77777777" w:rsidR="003F6359" w:rsidRDefault="003F6359">
      <w:r>
        <w:separator/>
      </w:r>
    </w:p>
  </w:endnote>
  <w:endnote w:type="continuationSeparator" w:id="0">
    <w:p w14:paraId="19F82820" w14:textId="77777777" w:rsidR="003F6359" w:rsidRDefault="003F6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33897" w14:textId="77777777" w:rsidR="003F6359" w:rsidRDefault="003F6359">
      <w:r>
        <w:separator/>
      </w:r>
    </w:p>
  </w:footnote>
  <w:footnote w:type="continuationSeparator" w:id="0">
    <w:p w14:paraId="137882DA" w14:textId="77777777" w:rsidR="003F6359" w:rsidRDefault="003F6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4D0F"/>
    <w:rsid w:val="00045B87"/>
    <w:rsid w:val="00045C07"/>
    <w:rsid w:val="00045C40"/>
    <w:rsid w:val="00046861"/>
    <w:rsid w:val="00050492"/>
    <w:rsid w:val="00054A07"/>
    <w:rsid w:val="0005504D"/>
    <w:rsid w:val="00055D43"/>
    <w:rsid w:val="00056FAC"/>
    <w:rsid w:val="00057751"/>
    <w:rsid w:val="00062E39"/>
    <w:rsid w:val="00064063"/>
    <w:rsid w:val="0006581A"/>
    <w:rsid w:val="00074461"/>
    <w:rsid w:val="0007590C"/>
    <w:rsid w:val="000766EC"/>
    <w:rsid w:val="00080E58"/>
    <w:rsid w:val="00083D99"/>
    <w:rsid w:val="00084DA6"/>
    <w:rsid w:val="00085699"/>
    <w:rsid w:val="00085A1B"/>
    <w:rsid w:val="00090160"/>
    <w:rsid w:val="00091F52"/>
    <w:rsid w:val="00092970"/>
    <w:rsid w:val="00093720"/>
    <w:rsid w:val="000938E6"/>
    <w:rsid w:val="00093B3C"/>
    <w:rsid w:val="0009488C"/>
    <w:rsid w:val="00095C1B"/>
    <w:rsid w:val="00096DEA"/>
    <w:rsid w:val="000A4240"/>
    <w:rsid w:val="000A469A"/>
    <w:rsid w:val="000A584A"/>
    <w:rsid w:val="000A6089"/>
    <w:rsid w:val="000A6458"/>
    <w:rsid w:val="000C378F"/>
    <w:rsid w:val="000C6892"/>
    <w:rsid w:val="000C6FFE"/>
    <w:rsid w:val="000D0BB6"/>
    <w:rsid w:val="000D2ED2"/>
    <w:rsid w:val="000D2FFC"/>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2E2"/>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D85"/>
    <w:rsid w:val="001E2EB6"/>
    <w:rsid w:val="001F4552"/>
    <w:rsid w:val="002019EB"/>
    <w:rsid w:val="00204B58"/>
    <w:rsid w:val="00205051"/>
    <w:rsid w:val="00211F65"/>
    <w:rsid w:val="00214047"/>
    <w:rsid w:val="00216563"/>
    <w:rsid w:val="0021792F"/>
    <w:rsid w:val="00220627"/>
    <w:rsid w:val="00220D06"/>
    <w:rsid w:val="00222595"/>
    <w:rsid w:val="002246A0"/>
    <w:rsid w:val="00230439"/>
    <w:rsid w:val="00232A09"/>
    <w:rsid w:val="00235176"/>
    <w:rsid w:val="00235334"/>
    <w:rsid w:val="00236061"/>
    <w:rsid w:val="00237F2F"/>
    <w:rsid w:val="0024100E"/>
    <w:rsid w:val="00241C1B"/>
    <w:rsid w:val="0024288B"/>
    <w:rsid w:val="00243DB0"/>
    <w:rsid w:val="00247265"/>
    <w:rsid w:val="00250B2A"/>
    <w:rsid w:val="00260663"/>
    <w:rsid w:val="002657E9"/>
    <w:rsid w:val="0026665E"/>
    <w:rsid w:val="0027147E"/>
    <w:rsid w:val="002761F4"/>
    <w:rsid w:val="002764D6"/>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4C5C"/>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7882"/>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4D36"/>
    <w:rsid w:val="003A600E"/>
    <w:rsid w:val="003A6513"/>
    <w:rsid w:val="003A7FAB"/>
    <w:rsid w:val="003B16C7"/>
    <w:rsid w:val="003B3115"/>
    <w:rsid w:val="003B5B5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359"/>
    <w:rsid w:val="003F67A4"/>
    <w:rsid w:val="00400786"/>
    <w:rsid w:val="00401FDA"/>
    <w:rsid w:val="004046F0"/>
    <w:rsid w:val="0040668F"/>
    <w:rsid w:val="00411EF7"/>
    <w:rsid w:val="00412677"/>
    <w:rsid w:val="00425160"/>
    <w:rsid w:val="00430DE3"/>
    <w:rsid w:val="004348AE"/>
    <w:rsid w:val="004376C0"/>
    <w:rsid w:val="00440AFB"/>
    <w:rsid w:val="0044223A"/>
    <w:rsid w:val="00450B67"/>
    <w:rsid w:val="004517A3"/>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113F"/>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3ED"/>
    <w:rsid w:val="005C28D3"/>
    <w:rsid w:val="005C6CE5"/>
    <w:rsid w:val="005D3F07"/>
    <w:rsid w:val="005D4A1E"/>
    <w:rsid w:val="005D4F72"/>
    <w:rsid w:val="005E13EA"/>
    <w:rsid w:val="005E17F1"/>
    <w:rsid w:val="005F64AA"/>
    <w:rsid w:val="005F7851"/>
    <w:rsid w:val="00606E27"/>
    <w:rsid w:val="006108C9"/>
    <w:rsid w:val="00614DF7"/>
    <w:rsid w:val="006179AA"/>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4A5B"/>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748"/>
    <w:rsid w:val="006F2A9E"/>
    <w:rsid w:val="006F50DD"/>
    <w:rsid w:val="006F5ED3"/>
    <w:rsid w:val="00700249"/>
    <w:rsid w:val="007069CD"/>
    <w:rsid w:val="00706BB5"/>
    <w:rsid w:val="0071231A"/>
    <w:rsid w:val="00712E90"/>
    <w:rsid w:val="00713B7E"/>
    <w:rsid w:val="0072678F"/>
    <w:rsid w:val="007276E5"/>
    <w:rsid w:val="00727C4C"/>
    <w:rsid w:val="00732F22"/>
    <w:rsid w:val="00734809"/>
    <w:rsid w:val="0073714E"/>
    <w:rsid w:val="007374EF"/>
    <w:rsid w:val="007406E1"/>
    <w:rsid w:val="00743E40"/>
    <w:rsid w:val="00745016"/>
    <w:rsid w:val="0075031F"/>
    <w:rsid w:val="00751263"/>
    <w:rsid w:val="00753AA7"/>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2FB"/>
    <w:rsid w:val="007F10BD"/>
    <w:rsid w:val="007F312E"/>
    <w:rsid w:val="007F3F7E"/>
    <w:rsid w:val="007F4BA4"/>
    <w:rsid w:val="00811786"/>
    <w:rsid w:val="008131E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002"/>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45F0"/>
    <w:rsid w:val="00916FB2"/>
    <w:rsid w:val="00920E5B"/>
    <w:rsid w:val="00926436"/>
    <w:rsid w:val="00926C53"/>
    <w:rsid w:val="0093018C"/>
    <w:rsid w:val="00932C16"/>
    <w:rsid w:val="0094495F"/>
    <w:rsid w:val="0095417A"/>
    <w:rsid w:val="009544C0"/>
    <w:rsid w:val="00954FA4"/>
    <w:rsid w:val="00956AE9"/>
    <w:rsid w:val="00964CC6"/>
    <w:rsid w:val="00967BFA"/>
    <w:rsid w:val="0098262C"/>
    <w:rsid w:val="0098427C"/>
    <w:rsid w:val="0098480B"/>
    <w:rsid w:val="00986B43"/>
    <w:rsid w:val="00986C0B"/>
    <w:rsid w:val="00986D46"/>
    <w:rsid w:val="00991FDA"/>
    <w:rsid w:val="00992ACA"/>
    <w:rsid w:val="009A5F3B"/>
    <w:rsid w:val="009A5F79"/>
    <w:rsid w:val="009A6F87"/>
    <w:rsid w:val="009B0B61"/>
    <w:rsid w:val="009B28C0"/>
    <w:rsid w:val="009B3178"/>
    <w:rsid w:val="009B3E46"/>
    <w:rsid w:val="009B7136"/>
    <w:rsid w:val="009C2289"/>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C61"/>
    <w:rsid w:val="00A60103"/>
    <w:rsid w:val="00A603E4"/>
    <w:rsid w:val="00A652F6"/>
    <w:rsid w:val="00A65861"/>
    <w:rsid w:val="00A732EA"/>
    <w:rsid w:val="00A7489E"/>
    <w:rsid w:val="00A8015F"/>
    <w:rsid w:val="00A85039"/>
    <w:rsid w:val="00A906AA"/>
    <w:rsid w:val="00A94C5E"/>
    <w:rsid w:val="00A9669D"/>
    <w:rsid w:val="00A977E8"/>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429"/>
    <w:rsid w:val="00AF61C2"/>
    <w:rsid w:val="00AF6CC6"/>
    <w:rsid w:val="00B0242D"/>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5D94"/>
    <w:rsid w:val="00B71A32"/>
    <w:rsid w:val="00B7502A"/>
    <w:rsid w:val="00B77305"/>
    <w:rsid w:val="00B774BD"/>
    <w:rsid w:val="00B81F7C"/>
    <w:rsid w:val="00B82408"/>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FE9"/>
    <w:rsid w:val="00BE0F7B"/>
    <w:rsid w:val="00BE10C2"/>
    <w:rsid w:val="00BF0D6C"/>
    <w:rsid w:val="00BF5974"/>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88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768"/>
    <w:rsid w:val="00CE4BC4"/>
    <w:rsid w:val="00CE5026"/>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4591E"/>
    <w:rsid w:val="00D51FD5"/>
    <w:rsid w:val="00D54FE7"/>
    <w:rsid w:val="00D55DE0"/>
    <w:rsid w:val="00D607EF"/>
    <w:rsid w:val="00D60F88"/>
    <w:rsid w:val="00D646BD"/>
    <w:rsid w:val="00D65558"/>
    <w:rsid w:val="00D71201"/>
    <w:rsid w:val="00D720C7"/>
    <w:rsid w:val="00D84841"/>
    <w:rsid w:val="00D876E6"/>
    <w:rsid w:val="00D90958"/>
    <w:rsid w:val="00DA1025"/>
    <w:rsid w:val="00DA14AC"/>
    <w:rsid w:val="00DA22EC"/>
    <w:rsid w:val="00DA5682"/>
    <w:rsid w:val="00DA5860"/>
    <w:rsid w:val="00DA5C0C"/>
    <w:rsid w:val="00DB2767"/>
    <w:rsid w:val="00DC1B10"/>
    <w:rsid w:val="00DC2924"/>
    <w:rsid w:val="00DC4729"/>
    <w:rsid w:val="00DD31C5"/>
    <w:rsid w:val="00DD5020"/>
    <w:rsid w:val="00DD63BE"/>
    <w:rsid w:val="00DE4296"/>
    <w:rsid w:val="00DF2469"/>
    <w:rsid w:val="00DF24F1"/>
    <w:rsid w:val="00DF7899"/>
    <w:rsid w:val="00E0524C"/>
    <w:rsid w:val="00E15751"/>
    <w:rsid w:val="00E17160"/>
    <w:rsid w:val="00E17D41"/>
    <w:rsid w:val="00E231D1"/>
    <w:rsid w:val="00E3288D"/>
    <w:rsid w:val="00E35112"/>
    <w:rsid w:val="00E35BEC"/>
    <w:rsid w:val="00E3675C"/>
    <w:rsid w:val="00E37B73"/>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56E"/>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3B2D"/>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7F2"/>
    <w:rsid w:val="00F32B82"/>
    <w:rsid w:val="00F34C86"/>
    <w:rsid w:val="00F4043E"/>
    <w:rsid w:val="00F41795"/>
    <w:rsid w:val="00F41BBC"/>
    <w:rsid w:val="00F444F0"/>
    <w:rsid w:val="00F446FF"/>
    <w:rsid w:val="00F45521"/>
    <w:rsid w:val="00F46DCD"/>
    <w:rsid w:val="00F50847"/>
    <w:rsid w:val="00F53F27"/>
    <w:rsid w:val="00F546D1"/>
    <w:rsid w:val="00F60281"/>
    <w:rsid w:val="00F66272"/>
    <w:rsid w:val="00F7002F"/>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6F2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7496535.2017.1290814" TargetMode="External"/><Relationship Id="rId18" Type="http://schemas.openxmlformats.org/officeDocument/2006/relationships/hyperlink" Target="https://doi.org/10.1093/bjsw/bcad180" TargetMode="External"/><Relationship Id="rId26" Type="http://schemas.openxmlformats.org/officeDocument/2006/relationships/hyperlink" Target="https://pmc.ncbi.nlm.nih.gov/articles/PMC11190650/" TargetMode="External"/><Relationship Id="rId39" Type="http://schemas.openxmlformats.org/officeDocument/2006/relationships/hyperlink" Target="https://www.legislation.gov.uk/anaw/2014/4/contents" TargetMode="External"/><Relationship Id="rId21" Type="http://schemas.openxmlformats.org/officeDocument/2006/relationships/hyperlink" Target="https://www.researchgate.net/publication/262295366_Safeguarding_vulnerable_adults_Exploring_the_challenges_to_best_practice_across_multi-agency_settings" TargetMode="External"/><Relationship Id="rId34" Type="http://schemas.openxmlformats.org/officeDocument/2006/relationships/hyperlink" Target="https://www.scie.org.uk/mca/introduction/mental-capacity-act-2005-at-a-glance/" TargetMode="External"/><Relationship Id="rId42" Type="http://schemas.openxmlformats.org/officeDocument/2006/relationships/hyperlink" Target="https://www.ceeol.com/search/article-detail?id=599718&amp;gathStatIcon=true" TargetMode="External"/><Relationship Id="rId47" Type="http://schemas.openxmlformats.org/officeDocument/2006/relationships/hyperlink" Target="https://www.legislation.gov.uk/mwa/2011/1/contents" TargetMode="External"/><Relationship Id="rId50" Type="http://schemas.openxmlformats.org/officeDocument/2006/relationships/hyperlink" Target="mailto:anna.rees2@swansea.gov.uk" TargetMode="External"/><Relationship Id="rId55" Type="http://schemas.openxmlformats.org/officeDocument/2006/relationships/customXml" Target="ink/ink1.xm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journals.sagepub.com/doi/10.1177/1473325016656751" TargetMode="External"/><Relationship Id="rId29" Type="http://schemas.openxmlformats.org/officeDocument/2006/relationships/hyperlink" Target="https://learning.nspcc.org.uk/child-protection-system/gillick-competence-fraser-guidelines" TargetMode="External"/><Relationship Id="rId11" Type="http://schemas.openxmlformats.org/officeDocument/2006/relationships/hyperlink" Target="https://www.sciencedirect.com/science/article/abs/pii/S1357303918300914" TargetMode="External"/><Relationship Id="rId24" Type="http://schemas.openxmlformats.org/officeDocument/2006/relationships/hyperlink" Target="https://www.gov.uk/government/publications/the-protection-of-children-in-england-a-progress-report" TargetMode="External"/><Relationship Id="rId32" Type="http://schemas.openxmlformats.org/officeDocument/2006/relationships/hyperlink" Target="https://www.emerald.com/jap/article-abstract/22/4/227/224018/Practitioners-experiences-of-the-mental-capacity?redirectedFrom=fulltext" TargetMode="External"/><Relationship Id="rId37" Type="http://schemas.openxmlformats.org/officeDocument/2006/relationships/hyperlink" Target="https://socialcare.wales/resources-guidance/improving-care-and-support/strengths-based-practice/about-strengths-based-practice?utm_source=copilot.com" TargetMode="External"/><Relationship Id="rId40" Type="http://schemas.openxmlformats.org/officeDocument/2006/relationships/hyperlink" Target="https://doi.org/10.1080/00981389.2015.1025122" TargetMode="External"/><Relationship Id="rId45" Type="http://schemas.openxmlformats.org/officeDocument/2006/relationships/hyperlink" Target="https://www.gov.wales/written-statement-more-just-words-strategic-framework-welsh-language-services-health-social" TargetMode="External"/><Relationship Id="rId53" Type="http://schemas.openxmlformats.org/officeDocument/2006/relationships/image" Target="media/image2.png"/><Relationship Id="rId58" Type="http://schemas.openxmlformats.org/officeDocument/2006/relationships/customXml" Target="ink/ink3.xm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ww.gov.uk/government/publications/mental-capacity-act-code-of-practice" TargetMode="External"/><Relationship Id="rId14" Type="http://schemas.openxmlformats.org/officeDocument/2006/relationships/hyperlink" Target="https://www.legislation.gov.uk/ukpga/1989/41/contents" TargetMode="External"/><Relationship Id="rId22" Type="http://schemas.openxmlformats.org/officeDocument/2006/relationships/hyperlink" Target="https://doi.org/10.1016/j.childyouth.2010.10.002"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s://www.ofhcare.co.uk/alcohol-and-mental-capacity-how-drinking-can-affect-decision-making/" TargetMode="External"/><Relationship Id="rId35" Type="http://schemas.openxmlformats.org/officeDocument/2006/relationships/hyperlink" Target="https://socialcare.wales/cms-assets/documents/Code-of-Professional-Practice-for-Social-Care-web-version.pdf" TargetMode="External"/><Relationship Id="rId43" Type="http://schemas.openxmlformats.org/officeDocument/2006/relationships/hyperlink" Target="https://www.safeguarding.wales/en/" TargetMode="External"/><Relationship Id="rId48" Type="http://schemas.openxmlformats.org/officeDocument/2006/relationships/hyperlink" Target="https://view.officeapps.live.com/op/view.aspx?src=https%3A%2F%2Fwww.wgsb.wales%2Fmedia%2Flr2jzpum%2Fwgsb-self-neglect-policy.docx%3Fts%3D20260211165841%26utm_source%3Dcopilot.com&amp;wdOrigin=BROWSELINK" TargetMode="External"/><Relationship Id="rId56" Type="http://schemas.openxmlformats.org/officeDocument/2006/relationships/image" Target="media/image3.emf"/><Relationship Id="rId8" Type="http://schemas.openxmlformats.org/officeDocument/2006/relationships/footnotes" Target="footnotes.xml"/><Relationship Id="rId51" Type="http://schemas.openxmlformats.org/officeDocument/2006/relationships/hyperlink" Target="mailto:anna.rees2@swansea.gov.uk" TargetMode="External"/><Relationship Id="rId3" Type="http://schemas.openxmlformats.org/officeDocument/2006/relationships/customXml" Target="../customXml/item3.xml"/><Relationship Id="rId12" Type="http://schemas.openxmlformats.org/officeDocument/2006/relationships/hyperlink" Target="https://www.researchinpractice.org.uk/adults/news-views/2022/may/the-power-of-small-gestures-home-visits-and-social-work/" TargetMode="External"/><Relationship Id="rId17" Type="http://schemas.openxmlformats.org/officeDocument/2006/relationships/hyperlink" Target="https://doi.org/10.1080/02615479.2017.1413083" TargetMode="External"/><Relationship Id="rId25" Type="http://schemas.openxmlformats.org/officeDocument/2006/relationships/hyperlink" Target="https://doi.org/10.46853/001c.27434" TargetMode="External"/><Relationship Id="rId33" Type="http://schemas.openxmlformats.org/officeDocument/2006/relationships/hyperlink" Target="https://www.scie.org.uk/safeguarding/children/education/serious-case-reviews/2020-analysis/multi-agency-working/" TargetMode="External"/><Relationship Id="rId38" Type="http://schemas.openxmlformats.org/officeDocument/2006/relationships/hyperlink" Target="https://socialcare.wales/dealing-with-concerns/codes-of-practice-and-guidance/code-of-professional-practice-for-social-care-workers" TargetMode="External"/><Relationship Id="rId46" Type="http://schemas.openxmlformats.org/officeDocument/2006/relationships/hyperlink" Target="https://www.gov.wales/sites/default/files/publications/2022-07/more-than-just-words-action-plan-2022-2027.pdf" TargetMode="External"/><Relationship Id="rId59" Type="http://schemas.openxmlformats.org/officeDocument/2006/relationships/customXml" Target="ink/ink4.xml"/><Relationship Id="rId20" Type="http://schemas.openxmlformats.org/officeDocument/2006/relationships/hyperlink" Target="https://assets.publishing.service.gov.uk/government/uploads/system/uploads/attachment_data/file/778134/stengths-based-approach-practice-framework-and-handbook.pdf?source=post_page---------------------------&amp;utm_source=copilot.com" TargetMode="External"/><Relationship Id="rId41" Type="http://schemas.openxmlformats.org/officeDocument/2006/relationships/hyperlink" Target="https://www.unicef.org.uk/what-we-do/un-convention-child-rights/" TargetMode="External"/><Relationship Id="rId54" Type="http://schemas.openxmlformats.org/officeDocument/2006/relationships/image" Target="media/image3.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2004/31/contents"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assets.publishing.service.gov.uk/media/5a7b455ee5274a34770ea939/Munro-Review.pdf" TargetMode="External"/><Relationship Id="rId36" Type="http://schemas.openxmlformats.org/officeDocument/2006/relationships/hyperlink" Target="https://socialcare.wales/resources-guidance/improving-care-and-support/people-with-dementia/understanding-language-needs" TargetMode="External"/><Relationship Id="rId49" Type="http://schemas.openxmlformats.org/officeDocument/2006/relationships/hyperlink" Target="https://link.springer.com/rwe/10.1007/978-981-19-1015-9_3" TargetMode="External"/><Relationship Id="rId57" Type="http://schemas.openxmlformats.org/officeDocument/2006/relationships/customXml" Target="ink/ink2.xml"/><Relationship Id="rId10" Type="http://schemas.openxmlformats.org/officeDocument/2006/relationships/image" Target="media/image1.png"/><Relationship Id="rId31" Type="http://schemas.openxmlformats.org/officeDocument/2006/relationships/hyperlink" Target="https://doi.org/10.1093/bjsw/bch277" TargetMode="External"/><Relationship Id="rId44" Type="http://schemas.openxmlformats.org/officeDocument/2006/relationships/hyperlink" Target="https://www.gov.wales/working-together-safeguard-people-code-safeguarding-practice" TargetMode="External"/><Relationship Id="rId52" Type="http://schemas.openxmlformats.org/officeDocument/2006/relationships/hyperlink" Target="mailto:Ana.Cristea@swansea.gov.uk"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0:57:33.289"/>
    </inkml:context>
    <inkml:brush xml:id="br0">
      <inkml:brushProperty name="width" value="0.025" units="cm"/>
      <inkml:brushProperty name="height" value="0.025" units="cm"/>
    </inkml:brush>
  </inkml:definitions>
  <inkml:trace contextRef="#ctx0" brushRef="#br0">396 1090 24575,'0'1'0,"0"0"0,0 0 0,0-1 0,0 1 0,0 0 0,0 0 0,0 0 0,0 0 0,0-1 0,0 1 0,1 0 0,-1 0 0,0-1 0,0 1 0,1 0 0,-1 0 0,1-1 0,-1 1 0,1 0 0,-1-1 0,1 1 0,-1-1 0,1 1 0,-1 0 0,1-1 0,0 1 0,1 0 0,-1-1 0,0 0 0,0 0 0,1 0 0,-1 0 0,0 0 0,1 0 0,-1 0 0,0-1 0,0 1 0,1 0 0,-1-1 0,0 1 0,0-1 0,0 1 0,2-2 0,4-2 0,-1 0 0,0-1 0,0 0 0,10-10 0,-4 0 0,0 0 0,-1-1 0,-1 0 0,-1 0 0,0-1 0,6-19 0,31-110 0,-35 105 0,1 0 0,33-72 0,-35 93 0,6-10 0,13-36 0,-25 54 0,0 0 0,-1 0 0,0-1 0,-1 1 0,-1-1 0,0-18 0,-2-107 0,9 205 0,3-1 0,3 0 0,43 122 0,-31-100 0,-9-27 0,-11-48 0,1 1 0,-1-1 0,2 0 0,0 0 0,1-1 0,14 17 0,-11-15 0,0 1 0,-2 0 0,14 26 0,-10-16 4,1 0 0,1-1 0,27 33 0,-9-14-1385,-22-28-5445</inkml:trace>
  <inkml:trace contextRef="#ctx0" brushRef="#br0" timeOffset="1659.66">238 807 24575,'22'-2'0,"-1"-1"0,1-1 0,-1-1 0,0 0 0,-1-2 0,27-12 0,-9 4 0,168-52 0,-200 65 0,116-31 0,-100 25 0,1-1 0,-1-1 0,22-13 0,3-2 0,-20 12-1365,-2 0-5461</inkml:trace>
  <inkml:trace contextRef="#ctx0" brushRef="#br0" timeOffset="2837.96">924 332 24575,'0'742'-1365,"0"-727"-5461</inkml:trace>
  <inkml:trace contextRef="#ctx0" brushRef="#br0" timeOffset="4428.7">854 703 24575,'21'-458'0,"-19"433"0,0-1 0,2 1 0,1 0 0,1 1 0,13-35 0,-16 56 0,-1-1 0,0 1 0,1-1 0,0 1 0,0 0 0,0 0 0,0 0 0,1 1 0,-1-1 0,0 1 0,1 0 0,0 0 0,0 0 0,4-2 0,1 1 0,0 0 0,0 0 0,1 0 0,-1 1 0,11-1 0,-17 3 0,0 0 0,0 0 0,0 0 0,1 0 0,-1 1 0,0-1 0,0 1 0,0 0 0,0 0 0,0 0 0,-1 0 0,1 1 0,0-1 0,0 1 0,3 2 0,-1 0 0,-1 0 0,0 0 0,0 0 0,-1 1 0,0 0 0,1-1 0,-1 1 0,2 5 0,4 11 0,-2 0 0,0 0 0,6 33 0,-9-36 0,8 36 0,-2-1 0,-3 2 0,-3-1 0,-3 105 0,-2-150 0,-1 0 0,0 1 0,0-1 0,0 0 0,-1-1 0,-1 1 0,0 0 0,0-1 0,0 0 0,-1 0 0,-6 8 0,-8 7 0,0-2 0,-27 24 0,30-30 0,15-14 0,0 0 0,0 0 0,0 0 0,0 0 0,1 0 0,-1 0 0,0 0 0,0 1 0,1-1 0,-1 0 0,1 0 0,0 1 0,-1-1 0,1 0 0,0 1 0,0-1 0,-1 0 0,1 1 0,0-1 0,0 0 0,1 1 0,-1-1 0,0 0 0,0 1 0,1-1 0,-1 0 0,1 1 0,-1-1 0,1 0 0,-1 0 0,1 0 0,0 1 0,-1-1 0,1 0 0,0 0 0,2 1 0,4 6 0,0-1 0,1 0 0,0-1 0,9 6 0,-2 0 0,95 63 283,-39-29-1931,-52-32-5178</inkml:trace>
  <inkml:trace contextRef="#ctx0" brushRef="#br0" timeOffset="6569.34">1278 915 24575,'-1'-1'0,"1"0"0,-1-1 0,0 1 0,1 0 0,-1-1 0,1 1 0,0-1 0,-1 1 0,1-1 0,0 1 0,0 0 0,0-1 0,0 1 0,0-1 0,0 1 0,1-3 0,6-30 0,-4 22 0,2-13 0,18-96 0,-21 103 0,-1 0 0,0 1 0,-1-1 0,-5-33 0,4 45 0,-1 1 0,1 0 0,-1 0 0,0 0 0,-1 0 0,-4-7 0,7 11 0,-1 0 0,1 0 0,-1 0 0,1 1 0,-1-1 0,1 0 0,-1 0 0,1 1 0,-1-1 0,0 0 0,1 1 0,-1-1 0,0 1 0,0-1 0,1 1 0,-1-1 0,0 1 0,0-1 0,0 1 0,0 0 0,1 0 0,-1-1 0,0 1 0,0 0 0,0 0 0,0 0 0,0 0 0,0 0 0,0 0 0,0 0 0,1 0 0,-1 0 0,0 1 0,0-1 0,0 0 0,0 1 0,0-1 0,0 0 0,1 1 0,-1-1 0,0 1 0,0-1 0,1 1 0,-1 0 0,0-1 0,1 1 0,-2 0 0,0 3 0,0-1 0,-1 1 0,1 0 0,0 0 0,1 0 0,-1 0 0,1 0 0,0 0 0,-2 7 0,-3 41 0,5-40 0,-1 6 0,0 0 0,2 0 0,0 0 0,1 0 0,1 0 0,5 20 0,-5-30 0,1 1 0,0-1 0,1 0 0,-1-1 0,1 1 0,1-1 0,0 1 0,0-1 0,0-1 0,1 1 0,0-1 0,0 0 0,0 0 0,1 0 0,7 4 0,1-1 0,-1-1 0,29 13 0,-38-19 0,1 0 0,0 0 0,0 0 0,1 0 0,-1-1 0,0 0 0,1-1 0,-1 1 0,0-1 0,11-1 0,-15 0 0,0 0 0,0 0 0,1 1 0,-1-2 0,0 1 0,0 0 0,-1 0 0,1-1 0,0 1 0,0-1 0,-1 1 0,1-1 0,-1 0 0,1 1 0,-1-1 0,0 0 0,1 0 0,-1 0 0,0 0 0,0 0 0,-1 0 0,1-1 0,0 1 0,0-4 0,1-6 0,0 0 0,-1 0 0,-1-17 0,0 22 0,1-19 0,0 7 0,-1 0 0,-1 1 0,0-1 0,-7-28 0,8 45 0,-1 0 0,1 1 0,-1-1 0,0 0 0,0 0 0,1 1 0,-1-1 0,-1 0 0,1 1 0,0 0 0,0-1 0,0 1 0,-1-1 0,1 1 0,-1 0 0,1 0 0,-1 0 0,1 0 0,-1 0 0,0 0 0,0 0 0,1 1 0,-3-1 0,2 0 0,1 1 0,0 1 0,0-1 0,-1 0 0,1 0 0,0 0 0,0 1 0,0-1 0,-1 0 0,1 1 0,0-1 0,0 1 0,0 0 0,0-1 0,0 1 0,0 0 0,0 0 0,0-1 0,0 1 0,0 0 0,0 0 0,1 0 0,-1 0 0,0 0 0,1 0 0,-1 0 0,1 0 0,-1 1 0,1-1 0,-1 0 0,1 0 0,0 0 0,0 1 0,-1-1 0,1 0 0,0 2 0,-1 4 0,1-1 0,0 1 0,0 0 0,1 0 0,-1 0 0,2-1 0,-1 1 0,1 0 0,0-1 0,0 1 0,0-1 0,1 0 0,0 0 0,0 0 0,1 0 0,0 0 0,0-1 0,7 7 0,3 5 0,2-2 0,0 0 0,1-1 0,26 18 0,-32-25 0,-1-1 0,1 0 0,1 0 0,-1-1 0,15 4 0,-22-7 0,1-1 0,0 0 0,0 0 0,-1 0 0,1-1 0,0 0 0,0 0 0,0 0 0,0-1 0,-1 1 0,1-1 0,0 0 0,0-1 0,-1 1 0,1-1 0,7-3 0,5-7 0,-1-1 0,0 0 0,-1-1 0,0-1 0,-1-1 0,18-24 0,-12 15 0,43-52 0,-3-2 0,70-124 0,-128 199 0,17-37 0,-18 39 0,0-1 0,-1 1 0,1 0 0,-1-1 0,1 1 0,-1 0 0,0-1 0,0 1 0,0 0 0,0-1 0,-1 1 0,1 0 0,0-1 0,-1 1 0,-1-4 0,2 6 0,-1-1 0,1 1 0,0-1 0,0 1 0,-1-1 0,1 1 0,-1 0 0,1-1 0,0 1 0,-1-1 0,1 1 0,-1 0 0,1-1 0,-1 1 0,1 0 0,-1-1 0,1 1 0,-1 0 0,1 0 0,-1 0 0,1 0 0,-1-1 0,1 1 0,-1 0 0,0 0 0,1 0 0,-1 0 0,1 0 0,-1 0 0,1 0 0,-1 1 0,1-1 0,-1 0 0,0 0 0,-21 12 0,19-10 0,-274 193 0,251-176 0,-9 6 0,-46 36 0,69-52 0,2 1 0,-1 1 0,1 0 0,-13 18 0,22-28 0,0 0 0,0 1 0,0-1 0,0 1 0,0-1 0,1 1 0,-1-1 0,0 1 0,1-1 0,0 1 0,-1 0 0,1-1 0,0 1 0,0 0 0,-1-1 0,1 1 0,1 0 0,-1-1 0,0 1 0,0 0 0,1-1 0,-1 1 0,0 0 0,1-1 0,0 1 0,-1-1 0,1 1 0,0-1 0,0 1 0,0-1 0,0 0 0,0 1 0,0-1 0,0 0 0,1 0 0,-1 0 0,0 0 0,1 0 0,-1 0 0,0 0 0,1 0 0,2 1 0,8 3 0,1 0 0,-1 0 0,1-1 0,19 3 0,-16-3 0,33 7 0,63 18 0,-109-28 0,0 0 0,-1 0 0,1 0 0,0 0 0,-1 1 0,1-1 0,-1 1 0,1-1 0,-1 1 0,3 2 0,-5-4 0,0 0 0,0 1 0,1-1 0,-1 1 0,0-1 0,0 0 0,0 1 0,0-1 0,0 0 0,0 1 0,0-1 0,0 1 0,0-1 0,0 0 0,0 1 0,0-1 0,0 0 0,0 1 0,0-1 0,0 1 0,0-1 0,0 0 0,0 1 0,-1-1 0,1 0 0,0 1 0,0-1 0,-1 1 0,-17 12 0,-168 71 0,81-40 0,-1402 684-1594,1470-709 1594,24-14 0,1 1 0,-1 1 0,2 0 0,-1 1 0,1 0 0,-17 16 0,23-16 0,11-5 0,4-4 0,-1-1 0,0 0 0,0 0 0,0-1 0,0-1 0,0 1 0,15-10 0,3 0 0,419-223-23,7-2 312,-418 222 64,46-22-548,153-49 0,-204 80-6631</inkml:trace>
  <inkml:trace contextRef="#ctx0" brushRef="#br0" timeOffset="7053.39">2353 720 24575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2T08:38:43.766"/>
    </inkml:context>
    <inkml:brush xml:id="br0">
      <inkml:brushProperty name="width" value="0.025" units="cm"/>
      <inkml:brushProperty name="height" value="0.025" units="cm"/>
    </inkml:brush>
  </inkml:definitions>
  <inkml:trace contextRef="#ctx0" brushRef="#br0">396 1090 24575,'0'1'0,"0"0"0,0 0 0,0-1 0,0 1 0,0 0 0,0 0 0,0 0 0,0 0 0,0-1 0,0 1 0,1 0 0,-1 0 0,0-1 0,0 1 0,1 0 0,-1 0 0,1-1 0,-1 1 0,1 0 0,-1-1 0,1 1 0,-1-1 0,1 1 0,-1 0 0,1-1 0,0 1 0,1 0 0,-1-1 0,0 0 0,0 0 0,1 0 0,-1 0 0,0 0 0,1 0 0,-1 0 0,0-1 0,0 1 0,1 0 0,-1-1 0,0 1 0,0-1 0,0 1 0,2-2 0,4-2 0,-1 0 0,0-1 0,0 0 0,10-10 0,-4 0 0,0 0 0,-1-1 0,-1 0 0,-1 0 0,0-1 0,6-19 0,31-110 0,-35 105 0,1 0 0,33-72 0,-35 93 0,6-10 0,13-36 0,-25 54 0,0 0 0,-1 0 0,0-1 0,-1 1 0,-1-1 0,0-18 0,-2-107 0,9 205 0,3-1 0,3 0 0,43 122 0,-31-100 0,-9-27 0,-11-48 0,1 1 0,-1-1 0,2 0 0,0 0 0,1-1 0,14 17 0,-11-15 0,0 1 0,-2 0 0,14 26 0,-10-16 4,1 0 0,1-1 0,27 33 0,-9-14-1385,-22-28-5445</inkml:trace>
  <inkml:trace contextRef="#ctx0" brushRef="#br0" timeOffset="1">238 807 24575,'22'-2'0,"-1"-1"0,1-1 0,-1-1 0,0 0 0,-1-2 0,27-12 0,-9 4 0,168-52 0,-200 65 0,116-31 0,-100 25 0,1-1 0,-1-1 0,22-13 0,3-2 0,-20 12-1365,-2 0-5461</inkml:trace>
  <inkml:trace contextRef="#ctx0" brushRef="#br0" timeOffset="2">924 332 24575,'0'742'-1365,"0"-727"-5461</inkml:trace>
  <inkml:trace contextRef="#ctx0" brushRef="#br0" timeOffset="3">854 703 24575,'21'-458'0,"-19"433"0,0-1 0,2 1 0,1 0 0,1 1 0,13-35 0,-16 56 0,-1-1 0,0 1 0,1-1 0,0 1 0,0 0 0,0 0 0,0 0 0,1 1 0,-1-1 0,0 1 0,1 0 0,0 0 0,0 0 0,4-2 0,1 1 0,0 0 0,0 0 0,1 0 0,-1 1 0,11-1 0,-17 3 0,0 0 0,0 0 0,0 0 0,1 0 0,-1 1 0,0-1 0,0 1 0,0 0 0,0 0 0,0 0 0,-1 0 0,1 1 0,0-1 0,0 1 0,3 2 0,-1 0 0,-1 0 0,0 0 0,0 0 0,-1 1 0,0 0 0,1-1 0,-1 1 0,2 5 0,4 11 0,-2 0 0,0 0 0,6 33 0,-9-36 0,8 36 0,-2-1 0,-3 2 0,-3-1 0,-3 105 0,-2-150 0,-1 0 0,0 1 0,0-1 0,0 0 0,-1-1 0,-1 1 0,0 0 0,0-1 0,0 0 0,-1 0 0,-6 8 0,-8 7 0,0-2 0,-27 24 0,30-30 0,15-14 0,0 0 0,0 0 0,0 0 0,0 0 0,1 0 0,-1 0 0,0 0 0,0 1 0,1-1 0,-1 0 0,1 0 0,0 1 0,-1-1 0,1 0 0,0 1 0,0-1 0,-1 0 0,1 1 0,0-1 0,0 0 0,1 1 0,-1-1 0,0 0 0,0 1 0,1-1 0,-1 0 0,1 1 0,-1-1 0,1 0 0,-1 0 0,1 0 0,0 1 0,-1-1 0,1 0 0,0 0 0,2 1 0,4 6 0,0-1 0,1 0 0,0-1 0,9 6 0,-2 0 0,95 63 283,-39-29-1931,-52-32-5178</inkml:trace>
  <inkml:trace contextRef="#ctx0" brushRef="#br0" timeOffset="4">1278 915 24575,'-1'-1'0,"1"0"0,-1-1 0,0 1 0,1 0 0,-1-1 0,1 1 0,0-1 0,-1 1 0,1-1 0,0 1 0,0 0 0,0-1 0,0 1 0,0-1 0,0 1 0,1-3 0,6-30 0,-4 22 0,2-13 0,18-96 0,-21 103 0,-1 0 0,0 1 0,-1-1 0,-5-33 0,4 45 0,-1 1 0,1 0 0,-1 0 0,0 0 0,-1 0 0,-4-7 0,7 11 0,-1 0 0,1 0 0,-1 0 0,1 1 0,-1-1 0,1 0 0,-1 0 0,1 1 0,-1-1 0,0 0 0,1 1 0,-1-1 0,0 1 0,0-1 0,1 1 0,-1-1 0,0 1 0,0-1 0,0 1 0,0 0 0,1 0 0,-1-1 0,0 1 0,0 0 0,0 0 0,0 0 0,0 0 0,0 0 0,0 0 0,0 0 0,1 0 0,-1 0 0,0 1 0,0-1 0,0 0 0,0 1 0,0-1 0,0 0 0,1 1 0,-1-1 0,0 1 0,0-1 0,1 1 0,-1 0 0,0-1 0,1 1 0,-2 0 0,0 3 0,0-1 0,-1 1 0,1 0 0,0 0 0,1 0 0,-1 0 0,1 0 0,0 0 0,-2 7 0,-3 41 0,5-40 0,-1 6 0,0 0 0,2 0 0,0 0 0,1 0 0,1 0 0,5 20 0,-5-30 0,1 1 0,0-1 0,1 0 0,-1-1 0,1 1 0,1-1 0,0 1 0,0-1 0,0-1 0,1 1 0,0-1 0,0 0 0,0 0 0,1 0 0,7 4 0,1-1 0,-1-1 0,29 13 0,-38-19 0,1 0 0,0 0 0,0 0 0,1 0 0,-1-1 0,0 0 0,1-1 0,-1 1 0,0-1 0,11-1 0,-15 0 0,0 0 0,0 0 0,1 1 0,-1-2 0,0 1 0,0 0 0,-1 0 0,1-1 0,0 1 0,0-1 0,-1 1 0,1-1 0,-1 0 0,1 1 0,-1-1 0,0 0 0,1 0 0,-1 0 0,0 0 0,0 0 0,-1 0 0,1-1 0,0 1 0,0-4 0,1-6 0,0 0 0,-1 0 0,-1-17 0,0 22 0,1-19 0,0 7 0,-1 0 0,-1 1 0,0-1 0,-7-28 0,8 45 0,-1 0 0,1 1 0,-1-1 0,0 0 0,0 0 0,1 1 0,-1-1 0,-1 0 0,1 1 0,0 0 0,0-1 0,0 1 0,-1-1 0,1 1 0,-1 0 0,1 0 0,-1 0 0,1 0 0,-1 0 0,0 0 0,0 0 0,1 1 0,-3-1 0,2 0 0,1 1 0,0 1 0,0-1 0,-1 0 0,1 0 0,0 0 0,0 1 0,0-1 0,-1 0 0,1 1 0,0-1 0,0 1 0,0 0 0,0-1 0,0 1 0,0 0 0,0 0 0,0-1 0,0 1 0,0 0 0,0 0 0,1 0 0,-1 0 0,0 0 0,1 0 0,-1 0 0,1 0 0,-1 1 0,1-1 0,-1 0 0,1 0 0,0 0 0,0 1 0,-1-1 0,1 0 0,0 2 0,-1 4 0,1-1 0,0 1 0,0 0 0,1 0 0,-1 0 0,2-1 0,-1 1 0,1 0 0,0-1 0,0 1 0,0-1 0,1 0 0,0 0 0,0 0 0,1 0 0,0 0 0,0-1 0,7 7 0,3 5 0,2-2 0,0 0 0,1-1 0,26 18 0,-32-25 0,-1-1 0,1 0 0,1 0 0,-1-1 0,15 4 0,-22-7 0,1-1 0,0 0 0,0 0 0,-1 0 0,1-1 0,0 0 0,0 0 0,0 0 0,0-1 0,-1 1 0,1-1 0,0 0 0,0-1 0,-1 1 0,1-1 0,7-3 0,5-7 0,-1-1 0,0 0 0,-1-1 0,0-1 0,-1-1 0,18-24 0,-12 15 0,43-52 0,-3-2 0,70-124 0,-128 199 0,17-37 0,-18 39 0,0-1 0,-1 1 0,1 0 0,-1-1 0,1 1 0,-1 0 0,0-1 0,0 1 0,0 0 0,0-1 0,-1 1 0,1 0 0,0-1 0,-1 1 0,-1-4 0,2 6 0,-1-1 0,1 1 0,0-1 0,0 1 0,-1-1 0,1 1 0,-1 0 0,1-1 0,0 1 0,-1-1 0,1 1 0,-1 0 0,1-1 0,-1 1 0,1 0 0,-1-1 0,1 1 0,-1 0 0,1 0 0,-1 0 0,1 0 0,-1-1 0,1 1 0,-1 0 0,0 0 0,1 0 0,-1 0 0,1 0 0,-1 0 0,1 0 0,-1 1 0,1-1 0,-1 0 0,0 0 0,-21 12 0,19-10 0,-274 193 0,251-176 0,-9 6 0,-46 36 0,69-52 0,2 1 0,-1 1 0,1 0 0,-13 18 0,22-28 0,0 0 0,0 1 0,0-1 0,0 1 0,0-1 0,1 1 0,-1-1 0,0 1 0,1-1 0,0 1 0,-1 0 0,1-1 0,0 1 0,0 0 0,-1-1 0,1 1 0,1 0 0,-1-1 0,0 1 0,0 0 0,1-1 0,-1 1 0,0 0 0,1-1 0,0 1 0,-1-1 0,1 1 0,0-1 0,0 1 0,0-1 0,0 0 0,0 1 0,0-1 0,0 0 0,1 0 0,-1 0 0,0 0 0,1 0 0,-1 0 0,0 0 0,1 0 0,2 1 0,8 3 0,1 0 0,-1 0 0,1-1 0,19 3 0,-16-3 0,33 7 0,63 18 0,-109-28 0,0 0 0,-1 0 0,1 0 0,0 0 0,-1 1 0,1-1 0,-1 1 0,1-1 0,-1 1 0,3 2 0,-5-4 0,0 0 0,0 1 0,1-1 0,-1 1 0,0-1 0,0 0 0,0 1 0,0-1 0,0 0 0,0 1 0,0-1 0,0 1 0,0-1 0,0 0 0,0 1 0,0-1 0,0 0 0,0 1 0,0-1 0,0 1 0,0-1 0,0 0 0,0 1 0,-1-1 0,1 0 0,0 1 0,0-1 0,-1 1 0,-17 12 0,-168 71 0,81-40 0,-1402 684-1594,1470-709 1594,24-14 0,1 1 0,-1 1 0,2 0 0,-1 1 0,1 0 0,-17 16 0,23-16 0,11-5 0,4-4 0,-1-1 0,0 0 0,0 0 0,0-1 0,0-1 0,0 1 0,15-10 0,3 0 0,419-223-23,7-2 312,-418 222 64,46-22-548,153-49 0,-204 80-6631</inkml:trace>
  <inkml:trace contextRef="#ctx0" brushRef="#br0" timeOffset="5">2353 720 24575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2T08:36:28.421"/>
    </inkml:context>
    <inkml:brush xml:id="br0">
      <inkml:brushProperty name="width" value="0.025" units="cm"/>
      <inkml:brushProperty name="height" value="0.025" units="cm"/>
    </inkml:brush>
  </inkml:definitions>
  <inkml:trace contextRef="#ctx0" brushRef="#br0">396 1090 24575,'0'1'0,"0"0"0,0 0 0,0-1 0,0 1 0,0 0 0,0 0 0,0 0 0,0 0 0,0-1 0,0 1 0,1 0 0,-1 0 0,0-1 0,0 1 0,1 0 0,-1 0 0,1-1 0,-1 1 0,1 0 0,-1-1 0,1 1 0,-1-1 0,1 1 0,-1 0 0,1-1 0,0 1 0,1 0 0,-1-1 0,0 0 0,0 0 0,1 0 0,-1 0 0,0 0 0,1 0 0,-1 0 0,0-1 0,0 1 0,1 0 0,-1-1 0,0 1 0,0-1 0,0 1 0,2-2 0,4-2 0,-1 0 0,0-1 0,0 0 0,10-10 0,-4 0 0,0 0 0,-1-1 0,-1 0 0,-1 0 0,0-1 0,6-19 0,31-110 0,-35 105 0,1 0 0,33-72 0,-35 93 0,6-10 0,13-36 0,-25 54 0,0 0 0,-1 0 0,0-1 0,-1 1 0,-1-1 0,0-18 0,-2-107 0,9 205 0,3-1 0,3 0 0,43 122 0,-31-100 0,-9-27 0,-11-48 0,1 1 0,-1-1 0,2 0 0,0 0 0,1-1 0,14 17 0,-11-15 0,0 1 0,-2 0 0,14 26 0,-10-16 4,1 0 0,1-1 0,27 33 0,-9-14-1385,-22-28-5445</inkml:trace>
  <inkml:trace contextRef="#ctx0" brushRef="#br0" timeOffset="1">238 807 24575,'22'-2'0,"-1"-1"0,1-1 0,-1-1 0,0 0 0,-1-2 0,27-12 0,-9 4 0,168-52 0,-200 65 0,116-31 0,-100 25 0,1-1 0,-1-1 0,22-13 0,3-2 0,-20 12-1365,-2 0-5461</inkml:trace>
  <inkml:trace contextRef="#ctx0" brushRef="#br0" timeOffset="2">924 332 24575,'0'742'-1365,"0"-727"-5461</inkml:trace>
  <inkml:trace contextRef="#ctx0" brushRef="#br0" timeOffset="3">854 703 24575,'21'-458'0,"-19"433"0,0-1 0,2 1 0,1 0 0,1 1 0,13-35 0,-16 56 0,-1-1 0,0 1 0,1-1 0,0 1 0,0 0 0,0 0 0,0 0 0,1 1 0,-1-1 0,0 1 0,1 0 0,0 0 0,0 0 0,4-2 0,1 1 0,0 0 0,0 0 0,1 0 0,-1 1 0,11-1 0,-17 3 0,0 0 0,0 0 0,0 0 0,1 0 0,-1 1 0,0-1 0,0 1 0,0 0 0,0 0 0,0 0 0,-1 0 0,1 1 0,0-1 0,0 1 0,3 2 0,-1 0 0,-1 0 0,0 0 0,0 0 0,-1 1 0,0 0 0,1-1 0,-1 1 0,2 5 0,4 11 0,-2 0 0,0 0 0,6 33 0,-9-36 0,8 36 0,-2-1 0,-3 2 0,-3-1 0,-3 105 0,-2-150 0,-1 0 0,0 1 0,0-1 0,0 0 0,-1-1 0,-1 1 0,0 0 0,0-1 0,0 0 0,-1 0 0,-6 8 0,-8 7 0,0-2 0,-27 24 0,30-30 0,15-14 0,0 0 0,0 0 0,0 0 0,0 0 0,1 0 0,-1 0 0,0 0 0,0 1 0,1-1 0,-1 0 0,1 0 0,0 1 0,-1-1 0,1 0 0,0 1 0,0-1 0,-1 0 0,1 1 0,0-1 0,0 0 0,1 1 0,-1-1 0,0 0 0,0 1 0,1-1 0,-1 0 0,1 1 0,-1-1 0,1 0 0,-1 0 0,1 0 0,0 1 0,-1-1 0,1 0 0,0 0 0,2 1 0,4 6 0,0-1 0,1 0 0,0-1 0,9 6 0,-2 0 0,95 63 283,-39-29-1931,-52-32-5178</inkml:trace>
  <inkml:trace contextRef="#ctx0" brushRef="#br0" timeOffset="4">1278 915 24575,'-1'-1'0,"1"0"0,-1-1 0,0 1 0,1 0 0,-1-1 0,1 1 0,0-1 0,-1 1 0,1-1 0,0 1 0,0 0 0,0-1 0,0 1 0,0-1 0,0 1 0,1-3 0,6-30 0,-4 22 0,2-13 0,18-96 0,-21 103 0,-1 0 0,0 1 0,-1-1 0,-5-33 0,4 45 0,-1 1 0,1 0 0,-1 0 0,0 0 0,-1 0 0,-4-7 0,7 11 0,-1 0 0,1 0 0,-1 0 0,1 1 0,-1-1 0,1 0 0,-1 0 0,1 1 0,-1-1 0,0 0 0,1 1 0,-1-1 0,0 1 0,0-1 0,1 1 0,-1-1 0,0 1 0,0-1 0,0 1 0,0 0 0,1 0 0,-1-1 0,0 1 0,0 0 0,0 0 0,0 0 0,0 0 0,0 0 0,0 0 0,0 0 0,1 0 0,-1 0 0,0 1 0,0-1 0,0 0 0,0 1 0,0-1 0,0 0 0,1 1 0,-1-1 0,0 1 0,0-1 0,1 1 0,-1 0 0,0-1 0,1 1 0,-2 0 0,0 3 0,0-1 0,-1 1 0,1 0 0,0 0 0,1 0 0,-1 0 0,1 0 0,0 0 0,-2 7 0,-3 41 0,5-40 0,-1 6 0,0 0 0,2 0 0,0 0 0,1 0 0,1 0 0,5 20 0,-5-30 0,1 1 0,0-1 0,1 0 0,-1-1 0,1 1 0,1-1 0,0 1 0,0-1 0,0-1 0,1 1 0,0-1 0,0 0 0,0 0 0,1 0 0,7 4 0,1-1 0,-1-1 0,29 13 0,-38-19 0,1 0 0,0 0 0,0 0 0,1 0 0,-1-1 0,0 0 0,1-1 0,-1 1 0,0-1 0,11-1 0,-15 0 0,0 0 0,0 0 0,1 1 0,-1-2 0,0 1 0,0 0 0,-1 0 0,1-1 0,0 1 0,0-1 0,-1 1 0,1-1 0,-1 0 0,1 1 0,-1-1 0,0 0 0,1 0 0,-1 0 0,0 0 0,0 0 0,-1 0 0,1-1 0,0 1 0,0-4 0,1-6 0,0 0 0,-1 0 0,-1-17 0,0 22 0,1-19 0,0 7 0,-1 0 0,-1 1 0,0-1 0,-7-28 0,8 45 0,-1 0 0,1 1 0,-1-1 0,0 0 0,0 0 0,1 1 0,-1-1 0,-1 0 0,1 1 0,0 0 0,0-1 0,0 1 0,-1-1 0,1 1 0,-1 0 0,1 0 0,-1 0 0,1 0 0,-1 0 0,0 0 0,0 0 0,1 1 0,-3-1 0,2 0 0,1 1 0,0 1 0,0-1 0,-1 0 0,1 0 0,0 0 0,0 1 0,0-1 0,-1 0 0,1 1 0,0-1 0,0 1 0,0 0 0,0-1 0,0 1 0,0 0 0,0 0 0,0-1 0,0 1 0,0 0 0,0 0 0,1 0 0,-1 0 0,0 0 0,1 0 0,-1 0 0,1 0 0,-1 1 0,1-1 0,-1 0 0,1 0 0,0 0 0,0 1 0,-1-1 0,1 0 0,0 2 0,-1 4 0,1-1 0,0 1 0,0 0 0,1 0 0,-1 0 0,2-1 0,-1 1 0,1 0 0,0-1 0,0 1 0,0-1 0,1 0 0,0 0 0,0 0 0,1 0 0,0 0 0,0-1 0,7 7 0,3 5 0,2-2 0,0 0 0,1-1 0,26 18 0,-32-25 0,-1-1 0,1 0 0,1 0 0,-1-1 0,15 4 0,-22-7 0,1-1 0,0 0 0,0 0 0,-1 0 0,1-1 0,0 0 0,0 0 0,0 0 0,0-1 0,-1 1 0,1-1 0,0 0 0,0-1 0,-1 1 0,1-1 0,7-3 0,5-7 0,-1-1 0,0 0 0,-1-1 0,0-1 0,-1-1 0,18-24 0,-12 15 0,43-52 0,-3-2 0,70-124 0,-128 199 0,17-37 0,-18 39 0,0-1 0,-1 1 0,1 0 0,-1-1 0,1 1 0,-1 0 0,0-1 0,0 1 0,0 0 0,0-1 0,-1 1 0,1 0 0,0-1 0,-1 1 0,-1-4 0,2 6 0,-1-1 0,1 1 0,0-1 0,0 1 0,-1-1 0,1 1 0,-1 0 0,1-1 0,0 1 0,-1-1 0,1 1 0,-1 0 0,1-1 0,-1 1 0,1 0 0,-1-1 0,1 1 0,-1 0 0,1 0 0,-1 0 0,1 0 0,-1-1 0,1 1 0,-1 0 0,0 0 0,1 0 0,-1 0 0,1 0 0,-1 0 0,1 0 0,-1 1 0,1-1 0,-1 0 0,0 0 0,-21 12 0,19-10 0,-274 193 0,251-176 0,-9 6 0,-46 36 0,69-52 0,2 1 0,-1 1 0,1 0 0,-13 18 0,22-28 0,0 0 0,0 1 0,0-1 0,0 1 0,0-1 0,1 1 0,-1-1 0,0 1 0,1-1 0,0 1 0,-1 0 0,1-1 0,0 1 0,0 0 0,-1-1 0,1 1 0,1 0 0,-1-1 0,0 1 0,0 0 0,1-1 0,-1 1 0,0 0 0,1-1 0,0 1 0,-1-1 0,1 1 0,0-1 0,0 1 0,0-1 0,0 0 0,0 1 0,0-1 0,0 0 0,1 0 0,-1 0 0,0 0 0,1 0 0,-1 0 0,0 0 0,1 0 0,2 1 0,8 3 0,1 0 0,-1 0 0,1-1 0,19 3 0,-16-3 0,33 7 0,63 18 0,-109-28 0,0 0 0,-1 0 0,1 0 0,0 0 0,-1 1 0,1-1 0,-1 1 0,1-1 0,-1 1 0,3 2 0,-5-4 0,0 0 0,0 1 0,1-1 0,-1 1 0,0-1 0,0 0 0,0 1 0,0-1 0,0 0 0,0 1 0,0-1 0,0 1 0,0-1 0,0 0 0,0 1 0,0-1 0,0 0 0,0 1 0,0-1 0,0 1 0,0-1 0,0 0 0,0 1 0,-1-1 0,1 0 0,0 1 0,0-1 0,-1 1 0,-17 12 0,-168 71 0,81-40 0,-1402 684-1594,1470-709 1594,24-14 0,1 1 0,-1 1 0,2 0 0,-1 1 0,1 0 0,-17 16 0,23-16 0,11-5 0,4-4 0,-1-1 0,0 0 0,0 0 0,0-1 0,0-1 0,0 1 0,15-10 0,3 0 0,419-223-23,7-2 312,-418 222 64,46-22-548,153-49 0,-204 80-6631</inkml:trace>
  <inkml:trace contextRef="#ctx0" brushRef="#br0" timeOffset="5">2353 720 24575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2T08:22:50.970"/>
    </inkml:context>
    <inkml:brush xml:id="br0">
      <inkml:brushProperty name="width" value="0.025" units="cm"/>
      <inkml:brushProperty name="height" value="0.025" units="cm"/>
    </inkml:brush>
  </inkml:definitions>
  <inkml:trace contextRef="#ctx0" brushRef="#br0">396 1090 24575,'0'1'0,"0"0"0,0 0 0,0-1 0,0 1 0,0 0 0,0 0 0,0 0 0,0 0 0,0-1 0,0 1 0,1 0 0,-1 0 0,0-1 0,0 1 0,1 0 0,-1 0 0,1-1 0,-1 1 0,1 0 0,-1-1 0,1 1 0,-1-1 0,1 1 0,-1 0 0,1-1 0,0 1 0,1 0 0,-1-1 0,0 0 0,0 0 0,1 0 0,-1 0 0,0 0 0,1 0 0,-1 0 0,0-1 0,0 1 0,1 0 0,-1-1 0,0 1 0,0-1 0,0 1 0,2-2 0,4-2 0,-1 0 0,0-1 0,0 0 0,10-10 0,-4 0 0,0 0 0,-1-1 0,-1 0 0,-1 0 0,0-1 0,6-19 0,31-110 0,-35 105 0,1 0 0,33-72 0,-35 93 0,6-10 0,13-36 0,-25 54 0,0 0 0,-1 0 0,0-1 0,-1 1 0,-1-1 0,0-18 0,-2-107 0,9 205 0,3-1 0,3 0 0,43 122 0,-31-100 0,-9-27 0,-11-48 0,1 1 0,-1-1 0,2 0 0,0 0 0,1-1 0,14 17 0,-11-15 0,0 1 0,-2 0 0,14 26 0,-10-16 4,1 0 0,1-1 0,27 33 0,-9-14-1385,-22-28-5445</inkml:trace>
  <inkml:trace contextRef="#ctx0" brushRef="#br0" timeOffset="1">238 807 24575,'22'-2'0,"-1"-1"0,1-1 0,-1-1 0,0 0 0,-1-2 0,27-12 0,-9 4 0,168-52 0,-200 65 0,116-31 0,-100 25 0,1-1 0,-1-1 0,22-13 0,3-2 0,-20 12-1365,-2 0-5461</inkml:trace>
  <inkml:trace contextRef="#ctx0" brushRef="#br0" timeOffset="2">924 332 24575,'0'742'-1365,"0"-727"-5461</inkml:trace>
  <inkml:trace contextRef="#ctx0" brushRef="#br0" timeOffset="3">854 703 24575,'21'-458'0,"-19"433"0,0-1 0,2 1 0,1 0 0,1 1 0,13-35 0,-16 56 0,-1-1 0,0 1 0,1-1 0,0 1 0,0 0 0,0 0 0,0 0 0,1 1 0,-1-1 0,0 1 0,1 0 0,0 0 0,0 0 0,4-2 0,1 1 0,0 0 0,0 0 0,1 0 0,-1 1 0,11-1 0,-17 3 0,0 0 0,0 0 0,0 0 0,1 0 0,-1 1 0,0-1 0,0 1 0,0 0 0,0 0 0,0 0 0,-1 0 0,1 1 0,0-1 0,0 1 0,3 2 0,-1 0 0,-1 0 0,0 0 0,0 0 0,-1 1 0,0 0 0,1-1 0,-1 1 0,2 5 0,4 11 0,-2 0 0,0 0 0,6 33 0,-9-36 0,8 36 0,-2-1 0,-3 2 0,-3-1 0,-3 105 0,-2-150 0,-1 0 0,0 1 0,0-1 0,0 0 0,-1-1 0,-1 1 0,0 0 0,0-1 0,0 0 0,-1 0 0,-6 8 0,-8 7 0,0-2 0,-27 24 0,30-30 0,15-14 0,0 0 0,0 0 0,0 0 0,0 0 0,1 0 0,-1 0 0,0 0 0,0 1 0,1-1 0,-1 0 0,1 0 0,0 1 0,-1-1 0,1 0 0,0 1 0,0-1 0,-1 0 0,1 1 0,0-1 0,0 0 0,1 1 0,-1-1 0,0 0 0,0 1 0,1-1 0,-1 0 0,1 1 0,-1-1 0,1 0 0,-1 0 0,1 0 0,0 1 0,-1-1 0,1 0 0,0 0 0,2 1 0,4 6 0,0-1 0,1 0 0,0-1 0,9 6 0,-2 0 0,95 63 283,-39-29-1931,-52-32-5178</inkml:trace>
  <inkml:trace contextRef="#ctx0" brushRef="#br0" timeOffset="4">1278 915 24575,'-1'-1'0,"1"0"0,-1-1 0,0 1 0,1 0 0,-1-1 0,1 1 0,0-1 0,-1 1 0,1-1 0,0 1 0,0 0 0,0-1 0,0 1 0,0-1 0,0 1 0,1-3 0,6-30 0,-4 22 0,2-13 0,18-96 0,-21 103 0,-1 0 0,0 1 0,-1-1 0,-5-33 0,4 45 0,-1 1 0,1 0 0,-1 0 0,0 0 0,-1 0 0,-4-7 0,7 11 0,-1 0 0,1 0 0,-1 0 0,1 1 0,-1-1 0,1 0 0,-1 0 0,1 1 0,-1-1 0,0 0 0,1 1 0,-1-1 0,0 1 0,0-1 0,1 1 0,-1-1 0,0 1 0,0-1 0,0 1 0,0 0 0,1 0 0,-1-1 0,0 1 0,0 0 0,0 0 0,0 0 0,0 0 0,0 0 0,0 0 0,0 0 0,1 0 0,-1 0 0,0 1 0,0-1 0,0 0 0,0 1 0,0-1 0,0 0 0,1 1 0,-1-1 0,0 1 0,0-1 0,1 1 0,-1 0 0,0-1 0,1 1 0,-2 0 0,0 3 0,0-1 0,-1 1 0,1 0 0,0 0 0,1 0 0,-1 0 0,1 0 0,0 0 0,-2 7 0,-3 41 0,5-40 0,-1 6 0,0 0 0,2 0 0,0 0 0,1 0 0,1 0 0,5 20 0,-5-30 0,1 1 0,0-1 0,1 0 0,-1-1 0,1 1 0,1-1 0,0 1 0,0-1 0,0-1 0,1 1 0,0-1 0,0 0 0,0 0 0,1 0 0,7 4 0,1-1 0,-1-1 0,29 13 0,-38-19 0,1 0 0,0 0 0,0 0 0,1 0 0,-1-1 0,0 0 0,1-1 0,-1 1 0,0-1 0,11-1 0,-15 0 0,0 0 0,0 0 0,1 1 0,-1-2 0,0 1 0,0 0 0,-1 0 0,1-1 0,0 1 0,0-1 0,-1 1 0,1-1 0,-1 0 0,1 1 0,-1-1 0,0 0 0,1 0 0,-1 0 0,0 0 0,0 0 0,-1 0 0,1-1 0,0 1 0,0-4 0,1-6 0,0 0 0,-1 0 0,-1-17 0,0 22 0,1-19 0,0 7 0,-1 0 0,-1 1 0,0-1 0,-7-28 0,8 45 0,-1 0 0,1 1 0,-1-1 0,0 0 0,0 0 0,1 1 0,-1-1 0,-1 0 0,1 1 0,0 0 0,0-1 0,0 1 0,-1-1 0,1 1 0,-1 0 0,1 0 0,-1 0 0,1 0 0,-1 0 0,0 0 0,0 0 0,1 1 0,-3-1 0,2 0 0,1 1 0,0 1 0,0-1 0,-1 0 0,1 0 0,0 0 0,0 1 0,0-1 0,-1 0 0,1 1 0,0-1 0,0 1 0,0 0 0,0-1 0,0 1 0,0 0 0,0 0 0,0-1 0,0 1 0,0 0 0,0 0 0,1 0 0,-1 0 0,0 0 0,1 0 0,-1 0 0,1 0 0,-1 1 0,1-1 0,-1 0 0,1 0 0,0 0 0,0 1 0,-1-1 0,1 0 0,0 2 0,-1 4 0,1-1 0,0 1 0,0 0 0,1 0 0,-1 0 0,2-1 0,-1 1 0,1 0 0,0-1 0,0 1 0,0-1 0,1 0 0,0 0 0,0 0 0,1 0 0,0 0 0,0-1 0,7 7 0,3 5 0,2-2 0,0 0 0,1-1 0,26 18 0,-32-25 0,-1-1 0,1 0 0,1 0 0,-1-1 0,15 4 0,-22-7 0,1-1 0,0 0 0,0 0 0,-1 0 0,1-1 0,0 0 0,0 0 0,0 0 0,0-1 0,-1 1 0,1-1 0,0 0 0,0-1 0,-1 1 0,1-1 0,7-3 0,5-7 0,-1-1 0,0 0 0,-1-1 0,0-1 0,-1-1 0,18-24 0,-12 15 0,43-52 0,-3-2 0,70-124 0,-128 199 0,17-37 0,-18 39 0,0-1 0,-1 1 0,1 0 0,-1-1 0,1 1 0,-1 0 0,0-1 0,0 1 0,0 0 0,0-1 0,-1 1 0,1 0 0,0-1 0,-1 1 0,-1-4 0,2 6 0,-1-1 0,1 1 0,0-1 0,0 1 0,-1-1 0,1 1 0,-1 0 0,1-1 0,0 1 0,-1-1 0,1 1 0,-1 0 0,1-1 0,-1 1 0,1 0 0,-1-1 0,1 1 0,-1 0 0,1 0 0,-1 0 0,1 0 0,-1-1 0,1 1 0,-1 0 0,0 0 0,1 0 0,-1 0 0,1 0 0,-1 0 0,1 0 0,-1 1 0,1-1 0,-1 0 0,0 0 0,-21 12 0,19-10 0,-274 193 0,251-176 0,-9 6 0,-46 36 0,69-52 0,2 1 0,-1 1 0,1 0 0,-13 18 0,22-28 0,0 0 0,0 1 0,0-1 0,0 1 0,0-1 0,1 1 0,-1-1 0,0 1 0,1-1 0,0 1 0,-1 0 0,1-1 0,0 1 0,0 0 0,-1-1 0,1 1 0,1 0 0,-1-1 0,0 1 0,0 0 0,1-1 0,-1 1 0,0 0 0,1-1 0,0 1 0,-1-1 0,1 1 0,0-1 0,0 1 0,0-1 0,0 0 0,0 1 0,0-1 0,0 0 0,1 0 0,-1 0 0,0 0 0,1 0 0,-1 0 0,0 0 0,1 0 0,2 1 0,8 3 0,1 0 0,-1 0 0,1-1 0,19 3 0,-16-3 0,33 7 0,63 18 0,-109-28 0,0 0 0,-1 0 0,1 0 0,0 0 0,-1 1 0,1-1 0,-1 1 0,1-1 0,-1 1 0,3 2 0,-5-4 0,0 0 0,0 1 0,1-1 0,-1 1 0,0-1 0,0 0 0,0 1 0,0-1 0,0 0 0,0 1 0,0-1 0,0 1 0,0-1 0,0 0 0,0 1 0,0-1 0,0 0 0,0 1 0,0-1 0,0 1 0,0-1 0,0 0 0,0 1 0,-1-1 0,1 0 0,0 1 0,0-1 0,-1 1 0,-17 12 0,-168 71 0,81-40 0,-1402 684-1594,1470-709 1594,24-14 0,1 1 0,-1 1 0,2 0 0,-1 1 0,1 0 0,-17 16 0,23-16 0,11-5 0,4-4 0,-1-1 0,0 0 0,0 0 0,0-1 0,0-1 0,0 1 0,15-10 0,3 0 0,419-223-23,7-2 312,-418 222 64,46-22-548,153-49 0,-204 80-6631</inkml:trace>
  <inkml:trace contextRef="#ctx0" brushRef="#br0" timeOffset="5">2353 720 24575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TotalTime>
  <Pages>22</Pages>
  <Words>3626</Words>
  <Characters>32129</Characters>
  <Application>Microsoft Office Word</Application>
  <DocSecurity>0</DocSecurity>
  <Lines>747</Lines>
  <Paragraphs>209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Westermark</cp:lastModifiedBy>
  <cp:revision>11</cp:revision>
  <cp:lastPrinted>2020-02-11T19:20:00Z</cp:lastPrinted>
  <dcterms:created xsi:type="dcterms:W3CDTF">2026-10-02T14:34:00Z</dcterms:created>
  <dcterms:modified xsi:type="dcterms:W3CDTF">2026-10-04T10:25:00Z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