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10888137"/>
        <w:docPartObj>
          <w:docPartGallery w:val="Cover Pages"/>
          <w:docPartUnique/>
        </w:docPartObj>
      </w:sdtPr>
      <w:sdtContent>
        <w:p w14:paraId="73884A3E" w14:textId="46AE5C01" w:rsidR="009B6FA0" w:rsidRDefault="009B6FA0">
          <w:r>
            <w:rPr>
              <w:noProof/>
            </w:rPr>
            <mc:AlternateContent>
              <mc:Choice Requires="wpg">
                <w:drawing>
                  <wp:anchor distT="0" distB="0" distL="114300" distR="114300" simplePos="0" relativeHeight="251659264" behindDoc="1" locked="0" layoutInCell="1" allowOverlap="1" wp14:anchorId="4E951666" wp14:editId="26F5C32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a:solidFill>
                              <a:schemeClr val="bg2"/>
                            </a:solidFill>
                          </wpg:grpSpPr>
                          <wps:wsp>
                            <wps:cNvPr id="194" name="Rectangle 194"/>
                            <wps:cNvSpPr/>
                            <wps:spPr>
                              <a:xfrm>
                                <a:off x="0" y="0"/>
                                <a:ext cx="6858000" cy="13716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000000" w:themeColor="text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9BF0AE3" w14:textId="4A0F9CF5" w:rsidR="009B6FA0" w:rsidRPr="009B6FA0" w:rsidRDefault="009B6FA0" w:rsidP="009B6FA0">
                                      <w:pPr>
                                        <w:pStyle w:val="NoSpacing"/>
                                        <w:spacing w:before="120"/>
                                        <w:jc w:val="center"/>
                                        <w:rPr>
                                          <w:rFonts w:ascii="Arial" w:hAnsi="Arial" w:cs="Arial"/>
                                          <w:color w:val="000000" w:themeColor="text1"/>
                                          <w:sz w:val="32"/>
                                          <w:szCs w:val="32"/>
                                        </w:rPr>
                                      </w:pPr>
                                      <w:r w:rsidRPr="009B6FA0">
                                        <w:rPr>
                                          <w:rFonts w:ascii="Arial" w:hAnsi="Arial" w:cs="Arial"/>
                                          <w:color w:val="000000" w:themeColor="text1"/>
                                          <w:sz w:val="32"/>
                                          <w:szCs w:val="32"/>
                                        </w:rPr>
                                        <w:t>BA (Hons) Business Management</w:t>
                                      </w:r>
                                      <w:r>
                                        <w:rPr>
                                          <w:rFonts w:ascii="Arial" w:hAnsi="Arial" w:cs="Arial"/>
                                          <w:color w:val="000000" w:themeColor="text1"/>
                                          <w:sz w:val="32"/>
                                          <w:szCs w:val="32"/>
                                        </w:rPr>
                                        <w:t xml:space="preserve">                                        </w:t>
                                      </w:r>
                                      <w:r w:rsidRPr="009B6FA0">
                                        <w:rPr>
                                          <w:rFonts w:ascii="Arial" w:hAnsi="Arial" w:cs="Arial"/>
                                          <w:color w:val="000000" w:themeColor="text1"/>
                                          <w:sz w:val="32"/>
                                          <w:szCs w:val="32"/>
                                        </w:rPr>
                                        <w:t>LCBB5014 Data Handling &amp; Business Intelligence</w:t>
                                      </w:r>
                                      <w:r>
                                        <w:rPr>
                                          <w:rFonts w:ascii="Arial" w:hAnsi="Arial" w:cs="Arial"/>
                                          <w:color w:val="000000" w:themeColor="text1"/>
                                          <w:sz w:val="32"/>
                                          <w:szCs w:val="32"/>
                                        </w:rPr>
                                        <w:t xml:space="preserve">                             Nutu Pricop                                                                                </w:t>
                                      </w:r>
                                      <w:r w:rsidRPr="009B6FA0">
                                        <w:rPr>
                                          <w:rFonts w:ascii="Arial" w:hAnsi="Arial" w:cs="Arial"/>
                                          <w:color w:val="000000" w:themeColor="text1"/>
                                          <w:sz w:val="32"/>
                                          <w:szCs w:val="32"/>
                                        </w:rPr>
                                        <w:t>Student ID: 2</w:t>
                                      </w:r>
                                      <w:r>
                                        <w:rPr>
                                          <w:rFonts w:ascii="Arial" w:hAnsi="Arial" w:cs="Arial"/>
                                          <w:color w:val="000000" w:themeColor="text1"/>
                                          <w:sz w:val="32"/>
                                          <w:szCs w:val="32"/>
                                        </w:rPr>
                                        <w:t>525996</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grp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aps/>
                                      <w:color w:val="000000" w:themeColor="tex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19210DB" w14:textId="368325FF" w:rsidR="009B6FA0" w:rsidRPr="009B6FA0" w:rsidRDefault="009B6FA0">
                                      <w:pPr>
                                        <w:pStyle w:val="NoSpacing"/>
                                        <w:jc w:val="center"/>
                                        <w:rPr>
                                          <w:rFonts w:ascii="Arial" w:eastAsiaTheme="majorEastAsia" w:hAnsi="Arial" w:cs="Arial"/>
                                          <w:b/>
                                          <w:bCs/>
                                          <w:caps/>
                                          <w:color w:val="000000" w:themeColor="text1"/>
                                          <w:sz w:val="52"/>
                                          <w:szCs w:val="52"/>
                                        </w:rPr>
                                      </w:pPr>
                                      <w:r w:rsidRPr="009B6FA0">
                                        <w:rPr>
                                          <w:rFonts w:ascii="Arial" w:eastAsiaTheme="majorEastAsia" w:hAnsi="Arial" w:cs="Arial"/>
                                          <w:b/>
                                          <w:bCs/>
                                          <w:caps/>
                                          <w:color w:val="000000" w:themeColor="text1"/>
                                          <w:sz w:val="52"/>
                                          <w:szCs w:val="52"/>
                                        </w:rPr>
                                        <w:t>BUSINESS INTELLIGENCE FOR STRATEGIC DECISION MAKING IN A HIGHER EDUCATION INSTITUTION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E95166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" fillcolor="white [3212]"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" filled="f" stroked="f" strokeweight="1pt">
                      <v:textbox inset="36pt,57.6pt,36pt,36pt">
                        <w:txbxContent>
                          <w:sdt>
                            <w:sdtPr>
                              <w:rPr>
                                <w:rFonts w:ascii="Arial" w:hAnsi="Arial" w:cs="Arial"/>
                                <w:color w:val="000000" w:themeColor="text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9BF0AE3" w14:textId="4A0F9CF5" w:rsidR="009B6FA0" w:rsidRPr="009B6FA0" w:rsidRDefault="009B6FA0" w:rsidP="009B6FA0">
                                <w:pPr>
                                  <w:pStyle w:val="NoSpacing"/>
                                  <w:spacing w:before="120"/>
                                  <w:jc w:val="center"/>
                                  <w:rPr>
                                    <w:rFonts w:ascii="Arial" w:hAnsi="Arial" w:cs="Arial"/>
                                    <w:color w:val="000000" w:themeColor="text1"/>
                                    <w:sz w:val="32"/>
                                    <w:szCs w:val="32"/>
                                  </w:rPr>
                                </w:pPr>
                                <w:r w:rsidRPr="009B6FA0">
                                  <w:rPr>
                                    <w:rFonts w:ascii="Arial" w:hAnsi="Arial" w:cs="Arial"/>
                                    <w:color w:val="000000" w:themeColor="text1"/>
                                    <w:sz w:val="32"/>
                                    <w:szCs w:val="32"/>
                                  </w:rPr>
                                  <w:t>BA (Hons) Business Management</w:t>
                                </w:r>
                                <w:r>
                                  <w:rPr>
                                    <w:rFonts w:ascii="Arial" w:hAnsi="Arial" w:cs="Arial"/>
                                    <w:color w:val="000000" w:themeColor="text1"/>
                                    <w:sz w:val="32"/>
                                    <w:szCs w:val="32"/>
                                  </w:rPr>
                                  <w:t xml:space="preserve">                                        </w:t>
                                </w:r>
                                <w:r w:rsidRPr="009B6FA0">
                                  <w:rPr>
                                    <w:rFonts w:ascii="Arial" w:hAnsi="Arial" w:cs="Arial"/>
                                    <w:color w:val="000000" w:themeColor="text1"/>
                                    <w:sz w:val="32"/>
                                    <w:szCs w:val="32"/>
                                  </w:rPr>
                                  <w:t>LCBB5014 Data Handling &amp; Business Intelligence</w:t>
                                </w:r>
                                <w:r>
                                  <w:rPr>
                                    <w:rFonts w:ascii="Arial" w:hAnsi="Arial" w:cs="Arial"/>
                                    <w:color w:val="000000" w:themeColor="text1"/>
                                    <w:sz w:val="32"/>
                                    <w:szCs w:val="32"/>
                                  </w:rPr>
                                  <w:t xml:space="preserve">                             Nutu Pricop                                                                                </w:t>
                                </w:r>
                                <w:r w:rsidRPr="009B6FA0">
                                  <w:rPr>
                                    <w:rFonts w:ascii="Arial" w:hAnsi="Arial" w:cs="Arial"/>
                                    <w:color w:val="000000" w:themeColor="text1"/>
                                    <w:sz w:val="32"/>
                                    <w:szCs w:val="32"/>
                                  </w:rPr>
                                  <w:t>Student ID: 2</w:t>
                                </w:r>
                                <w:r>
                                  <w:rPr>
                                    <w:rFonts w:ascii="Arial" w:hAnsi="Arial" w:cs="Arial"/>
                                    <w:color w:val="000000" w:themeColor="text1"/>
                                    <w:sz w:val="32"/>
                                    <w:szCs w:val="32"/>
                                  </w:rPr>
                                  <w:t>525996</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" filled="f" stroked="f" strokeweight=".5pt">
                      <v:textbox inset="36pt,7.2pt,36pt,7.2pt">
                        <w:txbxContent>
                          <w:sdt>
                            <w:sdtPr>
                              <w:rPr>
                                <w:rFonts w:ascii="Arial" w:eastAsiaTheme="majorEastAsia" w:hAnsi="Arial" w:cs="Arial"/>
                                <w:b/>
                                <w:bCs/>
                                <w:caps/>
                                <w:color w:val="000000" w:themeColor="tex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19210DB" w14:textId="368325FF" w:rsidR="009B6FA0" w:rsidRPr="009B6FA0" w:rsidRDefault="009B6FA0">
                                <w:pPr>
                                  <w:pStyle w:val="NoSpacing"/>
                                  <w:jc w:val="center"/>
                                  <w:rPr>
                                    <w:rFonts w:ascii="Arial" w:eastAsiaTheme="majorEastAsia" w:hAnsi="Arial" w:cs="Arial"/>
                                    <w:b/>
                                    <w:bCs/>
                                    <w:caps/>
                                    <w:color w:val="000000" w:themeColor="text1"/>
                                    <w:sz w:val="52"/>
                                    <w:szCs w:val="52"/>
                                  </w:rPr>
                                </w:pPr>
                                <w:r w:rsidRPr="009B6FA0">
                                  <w:rPr>
                                    <w:rFonts w:ascii="Arial" w:eastAsiaTheme="majorEastAsia" w:hAnsi="Arial" w:cs="Arial"/>
                                    <w:b/>
                                    <w:bCs/>
                                    <w:caps/>
                                    <w:color w:val="000000" w:themeColor="text1"/>
                                    <w:sz w:val="52"/>
                                    <w:szCs w:val="52"/>
                                  </w:rPr>
                                  <w:t>BUSINESS INTELLIGENCE FOR STRATEGIC DECISION MAKING IN A HIGHER EDUCATION INSTITUTION</w:t>
                                </w:r>
                              </w:p>
                            </w:sdtContent>
                          </w:sdt>
                        </w:txbxContent>
                      </v:textbox>
                    </v:shape>
                    <w10:wrap anchorx="page" anchory="page"/>
                  </v:group>
                </w:pict>
              </mc:Fallback>
            </mc:AlternateContent>
          </w:r>
        </w:p>
        <w:p w14:paraId="2848FE31" w14:textId="4DCB995E" w:rsidR="009B6FA0" w:rsidRDefault="009B6FA0">
          <w:r>
            <w:br w:type="page"/>
          </w:r>
        </w:p>
      </w:sdtContent>
    </w:sdt>
    <w:p w14:paraId="05F6ECE0" w14:textId="56CF65DB" w:rsidR="003D1087" w:rsidRPr="009B6FA0" w:rsidRDefault="009B6FA0">
      <w:pPr>
        <w:rPr>
          <w:rFonts w:ascii="Arial" w:hAnsi="Arial" w:cs="Arial"/>
          <w:b/>
          <w:bCs/>
          <w:sz w:val="24"/>
          <w:szCs w:val="24"/>
          <w:u w:val="single"/>
        </w:rPr>
      </w:pPr>
      <w:r w:rsidRPr="009B6FA0">
        <w:rPr>
          <w:rFonts w:ascii="Arial" w:hAnsi="Arial" w:cs="Arial"/>
          <w:b/>
          <w:bCs/>
          <w:sz w:val="24"/>
          <w:szCs w:val="24"/>
          <w:u w:val="single"/>
        </w:rPr>
        <w:lastRenderedPageBreak/>
        <w:t>Executive Summary</w:t>
      </w:r>
    </w:p>
    <w:p w14:paraId="6D835521" w14:textId="77777777" w:rsidR="009B6FA0" w:rsidRDefault="009B6FA0">
      <w:pPr>
        <w:rPr>
          <w:rFonts w:ascii="Arial" w:hAnsi="Arial" w:cs="Arial"/>
          <w:b/>
          <w:bCs/>
          <w:u w:val="single"/>
        </w:rPr>
      </w:pPr>
    </w:p>
    <w:p w14:paraId="63A3FF6C" w14:textId="6265B345" w:rsidR="009B6FA0" w:rsidRPr="009B6FA0" w:rsidRDefault="009B6FA0" w:rsidP="009B6FA0">
      <w:pPr>
        <w:spacing w:line="360" w:lineRule="auto"/>
        <w:rPr>
          <w:rFonts w:ascii="Arial" w:hAnsi="Arial" w:cs="Arial"/>
          <w:sz w:val="24"/>
          <w:szCs w:val="24"/>
        </w:rPr>
      </w:pPr>
      <w:r w:rsidRPr="009B6FA0">
        <w:rPr>
          <w:rFonts w:ascii="Arial" w:hAnsi="Arial" w:cs="Arial"/>
          <w:sz w:val="24"/>
          <w:szCs w:val="24"/>
        </w:rPr>
        <w:t xml:space="preserve">This paper carefully examines the implementation of Business Intelligence (BI), Data Warehousing (DW), and Data Mining (DM) at a medium-sized UK institution. The higher education industry is becoming more reliant on data to improve student outcomes, </w:t>
      </w:r>
      <w:proofErr w:type="spellStart"/>
      <w:r w:rsidRPr="009B6FA0">
        <w:rPr>
          <w:rFonts w:ascii="Arial" w:hAnsi="Arial" w:cs="Arial"/>
          <w:sz w:val="24"/>
          <w:szCs w:val="24"/>
        </w:rPr>
        <w:t>maximise</w:t>
      </w:r>
      <w:proofErr w:type="spellEnd"/>
      <w:r w:rsidRPr="009B6FA0">
        <w:rPr>
          <w:rFonts w:ascii="Arial" w:hAnsi="Arial" w:cs="Arial"/>
          <w:sz w:val="24"/>
          <w:szCs w:val="24"/>
        </w:rPr>
        <w:t xml:space="preserve"> resource allocation, and improve institutional performance.</w:t>
      </w:r>
    </w:p>
    <w:p w14:paraId="64F944CF" w14:textId="27EB61EE" w:rsidR="009B6FA0" w:rsidRPr="009B6FA0" w:rsidRDefault="009B6FA0" w:rsidP="009B6FA0">
      <w:pPr>
        <w:spacing w:line="360" w:lineRule="auto"/>
        <w:rPr>
          <w:rFonts w:ascii="Arial" w:hAnsi="Arial" w:cs="Arial"/>
          <w:sz w:val="24"/>
          <w:szCs w:val="24"/>
        </w:rPr>
      </w:pPr>
      <w:r w:rsidRPr="009B6FA0">
        <w:rPr>
          <w:rFonts w:ascii="Arial" w:hAnsi="Arial" w:cs="Arial"/>
          <w:sz w:val="24"/>
          <w:szCs w:val="24"/>
        </w:rPr>
        <w:t xml:space="preserve">The paper reveals major trends such as learning analytics, cloud-based data infrastructures, and AI-powered insights. It is claimed that a </w:t>
      </w:r>
      <w:proofErr w:type="spellStart"/>
      <w:r w:rsidRPr="009B6FA0">
        <w:rPr>
          <w:rFonts w:ascii="Arial" w:hAnsi="Arial" w:cs="Arial"/>
          <w:sz w:val="24"/>
          <w:szCs w:val="24"/>
        </w:rPr>
        <w:t>centralised</w:t>
      </w:r>
      <w:proofErr w:type="spellEnd"/>
      <w:r w:rsidRPr="009B6FA0">
        <w:rPr>
          <w:rFonts w:ascii="Arial" w:hAnsi="Arial" w:cs="Arial"/>
          <w:sz w:val="24"/>
          <w:szCs w:val="24"/>
        </w:rPr>
        <w:t xml:space="preserve"> data warehouse may greatly improve data integration across academic, administrative, and financial systems, improving decision-making skills. Data mining approaches, including as classification and clustering, have been discovered as useful for </w:t>
      </w:r>
      <w:proofErr w:type="spellStart"/>
      <w:r w:rsidRPr="009B6FA0">
        <w:rPr>
          <w:rFonts w:ascii="Arial" w:hAnsi="Arial" w:cs="Arial"/>
          <w:sz w:val="24"/>
          <w:szCs w:val="24"/>
        </w:rPr>
        <w:t>analysing</w:t>
      </w:r>
      <w:proofErr w:type="spellEnd"/>
      <w:r w:rsidRPr="009B6FA0">
        <w:rPr>
          <w:rFonts w:ascii="Arial" w:hAnsi="Arial" w:cs="Arial"/>
          <w:sz w:val="24"/>
          <w:szCs w:val="24"/>
        </w:rPr>
        <w:t xml:space="preserve"> student retention and predicting performance.</w:t>
      </w:r>
      <w:r>
        <w:rPr>
          <w:rFonts w:ascii="Arial" w:hAnsi="Arial" w:cs="Arial"/>
          <w:sz w:val="24"/>
          <w:szCs w:val="24"/>
        </w:rPr>
        <w:t xml:space="preserve"> </w:t>
      </w:r>
      <w:r w:rsidRPr="009B6FA0">
        <w:rPr>
          <w:rFonts w:ascii="Arial" w:hAnsi="Arial" w:cs="Arial"/>
          <w:sz w:val="24"/>
          <w:szCs w:val="24"/>
        </w:rPr>
        <w:t>Predictive analytics technologies such as Tableau, Python, and IBM SPSS are compared, with a combination of methods advised. Ethical issues, including data protection, student permission, and algorithmic prejudice, are thoroughly examined.</w:t>
      </w:r>
    </w:p>
    <w:p w14:paraId="3B00F42A" w14:textId="0A2D7F59" w:rsidR="009B6FA0" w:rsidRPr="009B6FA0" w:rsidRDefault="009B6FA0" w:rsidP="009B6FA0">
      <w:pPr>
        <w:spacing w:line="360" w:lineRule="auto"/>
        <w:rPr>
          <w:rFonts w:ascii="Arial" w:hAnsi="Arial" w:cs="Arial"/>
          <w:sz w:val="24"/>
          <w:szCs w:val="24"/>
        </w:rPr>
      </w:pPr>
      <w:r w:rsidRPr="009B6FA0">
        <w:rPr>
          <w:rFonts w:ascii="Arial" w:hAnsi="Arial" w:cs="Arial"/>
          <w:sz w:val="24"/>
          <w:szCs w:val="24"/>
        </w:rPr>
        <w:t xml:space="preserve">The paper indicates that BI may improve institutional efficacy and student achievement if data governance, ethical protections, and </w:t>
      </w:r>
      <w:proofErr w:type="spellStart"/>
      <w:r w:rsidRPr="009B6FA0">
        <w:rPr>
          <w:rFonts w:ascii="Arial" w:hAnsi="Arial" w:cs="Arial"/>
          <w:sz w:val="24"/>
          <w:szCs w:val="24"/>
        </w:rPr>
        <w:t>organisational</w:t>
      </w:r>
      <w:proofErr w:type="spellEnd"/>
      <w:r w:rsidRPr="009B6FA0">
        <w:rPr>
          <w:rFonts w:ascii="Arial" w:hAnsi="Arial" w:cs="Arial"/>
          <w:sz w:val="24"/>
          <w:szCs w:val="24"/>
        </w:rPr>
        <w:t xml:space="preserve"> preparation are </w:t>
      </w:r>
      <w:proofErr w:type="spellStart"/>
      <w:r w:rsidRPr="009B6FA0">
        <w:rPr>
          <w:rFonts w:ascii="Arial" w:hAnsi="Arial" w:cs="Arial"/>
          <w:sz w:val="24"/>
          <w:szCs w:val="24"/>
        </w:rPr>
        <w:t>emphasised</w:t>
      </w:r>
      <w:proofErr w:type="spellEnd"/>
      <w:r w:rsidRPr="009B6FA0">
        <w:rPr>
          <w:rFonts w:ascii="Arial" w:hAnsi="Arial" w:cs="Arial"/>
          <w:sz w:val="24"/>
          <w:szCs w:val="24"/>
        </w:rPr>
        <w:t>.</w:t>
      </w:r>
    </w:p>
    <w:p w14:paraId="28932F29" w14:textId="0C18BE15" w:rsidR="009B6FA0" w:rsidRDefault="009B6FA0">
      <w:pPr>
        <w:rPr>
          <w:rFonts w:ascii="Arial" w:hAnsi="Arial" w:cs="Arial"/>
          <w:b/>
          <w:bCs/>
        </w:rPr>
      </w:pPr>
    </w:p>
    <w:p w14:paraId="2C40DE35" w14:textId="4F996208" w:rsidR="009B6FA0" w:rsidRDefault="009B6FA0">
      <w:pPr>
        <w:rPr>
          <w:rFonts w:ascii="Arial" w:hAnsi="Arial" w:cs="Arial"/>
          <w:b/>
          <w:bCs/>
        </w:rPr>
      </w:pPr>
    </w:p>
    <w:p w14:paraId="4A52B163" w14:textId="616BECB1" w:rsidR="009B6FA0" w:rsidRDefault="009B6FA0">
      <w:pPr>
        <w:rPr>
          <w:rFonts w:ascii="Arial" w:hAnsi="Arial" w:cs="Arial"/>
          <w:b/>
          <w:bCs/>
        </w:rPr>
      </w:pPr>
    </w:p>
    <w:p w14:paraId="04643851" w14:textId="13D13220" w:rsidR="009B6FA0" w:rsidRDefault="009B6FA0">
      <w:pPr>
        <w:rPr>
          <w:rFonts w:ascii="Arial" w:hAnsi="Arial" w:cs="Arial"/>
          <w:b/>
          <w:bCs/>
        </w:rPr>
      </w:pPr>
    </w:p>
    <w:p w14:paraId="5B7CC007" w14:textId="5BDFB48B" w:rsidR="009B6FA0" w:rsidRDefault="009B6FA0">
      <w:pPr>
        <w:rPr>
          <w:rFonts w:ascii="Arial" w:hAnsi="Arial" w:cs="Arial"/>
          <w:b/>
          <w:bCs/>
        </w:rPr>
      </w:pPr>
    </w:p>
    <w:p w14:paraId="301E16D5" w14:textId="0D5EB728" w:rsidR="009B6FA0" w:rsidRDefault="009B6FA0">
      <w:pPr>
        <w:rPr>
          <w:rFonts w:ascii="Arial" w:hAnsi="Arial" w:cs="Arial"/>
          <w:b/>
          <w:bCs/>
        </w:rPr>
      </w:pPr>
    </w:p>
    <w:p w14:paraId="05A541D7" w14:textId="2FDB9372" w:rsidR="009B6FA0" w:rsidRDefault="009B6FA0">
      <w:pPr>
        <w:rPr>
          <w:rFonts w:ascii="Arial" w:hAnsi="Arial" w:cs="Arial"/>
          <w:b/>
          <w:bCs/>
        </w:rPr>
      </w:pPr>
    </w:p>
    <w:p w14:paraId="15B45B0D" w14:textId="4315C502" w:rsidR="009B6FA0" w:rsidRDefault="009B6FA0">
      <w:pPr>
        <w:rPr>
          <w:rFonts w:ascii="Arial" w:hAnsi="Arial" w:cs="Arial"/>
          <w:b/>
          <w:bCs/>
        </w:rPr>
      </w:pPr>
    </w:p>
    <w:p w14:paraId="3533BBEA" w14:textId="1CBCBFD9" w:rsidR="009B6FA0" w:rsidRDefault="009B6FA0">
      <w:pPr>
        <w:rPr>
          <w:rFonts w:ascii="Arial" w:hAnsi="Arial" w:cs="Arial"/>
          <w:b/>
          <w:bCs/>
        </w:rPr>
      </w:pPr>
    </w:p>
    <w:p w14:paraId="1018B862" w14:textId="1F664532" w:rsidR="009B6FA0" w:rsidRDefault="009B6FA0">
      <w:pPr>
        <w:rPr>
          <w:rFonts w:ascii="Arial" w:hAnsi="Arial" w:cs="Arial"/>
          <w:b/>
          <w:bCs/>
        </w:rPr>
      </w:pPr>
    </w:p>
    <w:p w14:paraId="31794E7B" w14:textId="15C48AD2" w:rsidR="009B6FA0" w:rsidRDefault="009B6FA0">
      <w:pPr>
        <w:rPr>
          <w:rFonts w:ascii="Arial" w:hAnsi="Arial" w:cs="Arial"/>
          <w:b/>
          <w:bCs/>
        </w:rPr>
      </w:pPr>
    </w:p>
    <w:p w14:paraId="300E4E5E" w14:textId="2FE128D7" w:rsidR="009B6FA0" w:rsidRDefault="009B6FA0">
      <w:pPr>
        <w:rPr>
          <w:rFonts w:ascii="Arial" w:hAnsi="Arial" w:cs="Arial"/>
          <w:b/>
          <w:bCs/>
        </w:rPr>
      </w:pPr>
    </w:p>
    <w:p w14:paraId="4CD262AA" w14:textId="45FCD353" w:rsidR="009B6FA0" w:rsidRPr="009B6FA0" w:rsidRDefault="009B6FA0">
      <w:pPr>
        <w:rPr>
          <w:rFonts w:ascii="Arial" w:hAnsi="Arial" w:cs="Arial"/>
          <w:b/>
          <w:bCs/>
          <w:sz w:val="24"/>
          <w:szCs w:val="24"/>
          <w:u w:val="single"/>
        </w:rPr>
      </w:pPr>
      <w:r w:rsidRPr="009B6FA0">
        <w:rPr>
          <w:rFonts w:ascii="Arial" w:hAnsi="Arial" w:cs="Arial"/>
          <w:b/>
          <w:bCs/>
          <w:sz w:val="24"/>
          <w:szCs w:val="24"/>
          <w:u w:val="single"/>
        </w:rPr>
        <w:lastRenderedPageBreak/>
        <w:t>Introduction</w:t>
      </w:r>
    </w:p>
    <w:p w14:paraId="0F43E5C1" w14:textId="3AD1E558" w:rsidR="009B6FA0" w:rsidRDefault="009B6FA0">
      <w:pPr>
        <w:rPr>
          <w:rFonts w:ascii="Arial" w:hAnsi="Arial" w:cs="Arial"/>
          <w:b/>
          <w:bCs/>
          <w:u w:val="single"/>
        </w:rPr>
      </w:pPr>
    </w:p>
    <w:p w14:paraId="7B7C5D80" w14:textId="77777777" w:rsidR="009B6FA0" w:rsidRPr="009B6FA0" w:rsidRDefault="009B6FA0" w:rsidP="009B6FA0">
      <w:pPr>
        <w:spacing w:line="360" w:lineRule="auto"/>
        <w:rPr>
          <w:rFonts w:ascii="Arial" w:hAnsi="Arial" w:cs="Arial"/>
          <w:sz w:val="24"/>
          <w:szCs w:val="24"/>
        </w:rPr>
      </w:pPr>
      <w:r w:rsidRPr="009B6FA0">
        <w:rPr>
          <w:rFonts w:ascii="Arial" w:hAnsi="Arial" w:cs="Arial"/>
          <w:sz w:val="24"/>
          <w:szCs w:val="24"/>
        </w:rPr>
        <w:t>This paper explores a medium-sized UK institution that offers undergraduate and postgraduate programs across a variety of fields. Higher education institutions have begun to operate in a competitive and data-driven world, with effective decision-making critical to enhancing student outcomes, financial sustainability, and institutional success.</w:t>
      </w:r>
    </w:p>
    <w:p w14:paraId="21583EB5" w14:textId="29C97E91" w:rsidR="009B6FA0" w:rsidRDefault="009B6FA0" w:rsidP="009B6FA0">
      <w:pPr>
        <w:spacing w:line="360" w:lineRule="auto"/>
        <w:rPr>
          <w:rFonts w:ascii="Arial" w:hAnsi="Arial" w:cs="Arial"/>
          <w:sz w:val="24"/>
          <w:szCs w:val="24"/>
        </w:rPr>
      </w:pPr>
      <w:r w:rsidRPr="009B6FA0">
        <w:rPr>
          <w:rFonts w:ascii="Arial" w:hAnsi="Arial" w:cs="Arial"/>
          <w:sz w:val="24"/>
          <w:szCs w:val="24"/>
        </w:rPr>
        <w:t>The goal of this paper is to critically examine how Business Intelligence (BI), Data Warehousing (DW), and Data Mining (DM) might aid strategic and operational decision-making at the institution</w:t>
      </w:r>
      <w:r>
        <w:rPr>
          <w:rFonts w:ascii="Arial" w:hAnsi="Arial" w:cs="Arial"/>
          <w:sz w:val="24"/>
          <w:szCs w:val="24"/>
        </w:rPr>
        <w:t>; it aims to take</w:t>
      </w:r>
      <w:r w:rsidRPr="009B6FA0">
        <w:rPr>
          <w:rFonts w:ascii="Arial" w:hAnsi="Arial" w:cs="Arial"/>
          <w:sz w:val="24"/>
          <w:szCs w:val="24"/>
        </w:rPr>
        <w:t xml:space="preserve"> a critical approach, combining theoretical frameworks with actual applications in the educational system.</w:t>
      </w:r>
    </w:p>
    <w:p w14:paraId="32093919" w14:textId="3F28104A" w:rsidR="00644001" w:rsidRPr="009B6FA0" w:rsidRDefault="00644001" w:rsidP="009B6FA0">
      <w:pPr>
        <w:spacing w:line="360" w:lineRule="auto"/>
        <w:rPr>
          <w:rFonts w:ascii="Arial" w:hAnsi="Arial" w:cs="Arial"/>
          <w:sz w:val="24"/>
          <w:szCs w:val="24"/>
        </w:rPr>
      </w:pPr>
      <w:r w:rsidRPr="00644001">
        <w:rPr>
          <w:rFonts w:ascii="Arial" w:hAnsi="Arial" w:cs="Arial"/>
          <w:sz w:val="24"/>
          <w:szCs w:val="24"/>
        </w:rPr>
        <w:t xml:space="preserve">The report is </w:t>
      </w:r>
      <w:proofErr w:type="spellStart"/>
      <w:r w:rsidRPr="00644001">
        <w:rPr>
          <w:rFonts w:ascii="Arial" w:hAnsi="Arial" w:cs="Arial"/>
          <w:sz w:val="24"/>
          <w:szCs w:val="24"/>
        </w:rPr>
        <w:t>organi</w:t>
      </w:r>
      <w:r>
        <w:rPr>
          <w:rFonts w:ascii="Arial" w:hAnsi="Arial" w:cs="Arial"/>
          <w:sz w:val="24"/>
          <w:szCs w:val="24"/>
        </w:rPr>
        <w:t>s</w:t>
      </w:r>
      <w:r w:rsidRPr="00644001">
        <w:rPr>
          <w:rFonts w:ascii="Arial" w:hAnsi="Arial" w:cs="Arial"/>
          <w:sz w:val="24"/>
          <w:szCs w:val="24"/>
        </w:rPr>
        <w:t>ed</w:t>
      </w:r>
      <w:proofErr w:type="spellEnd"/>
      <w:r w:rsidRPr="00644001">
        <w:rPr>
          <w:rFonts w:ascii="Arial" w:hAnsi="Arial" w:cs="Arial"/>
          <w:sz w:val="24"/>
          <w:szCs w:val="24"/>
        </w:rPr>
        <w:t xml:space="preserve"> into the following sections: BI, DW and DM trends, applications of data warehousing and data mining, the effectiveness of data mining methods, predictive analytics tools, BI ethics and security, and reporting. Insights and recommendations were derived from literature reviews on Business Intelligence in Higher Education Institutions and from case studies that were conducted in local public and private higher education institutions.</w:t>
      </w:r>
    </w:p>
    <w:p w14:paraId="56D8840F" w14:textId="7F05C5BD" w:rsidR="009B6FA0" w:rsidRDefault="009B6FA0">
      <w:pPr>
        <w:rPr>
          <w:rFonts w:ascii="Arial" w:hAnsi="Arial" w:cs="Arial"/>
          <w:b/>
          <w:bCs/>
          <w:sz w:val="24"/>
          <w:szCs w:val="24"/>
        </w:rPr>
      </w:pPr>
    </w:p>
    <w:p w14:paraId="1B7FE237" w14:textId="6DD6E549" w:rsidR="00644001" w:rsidRDefault="00644001">
      <w:pPr>
        <w:rPr>
          <w:rFonts w:ascii="Arial" w:hAnsi="Arial" w:cs="Arial"/>
          <w:b/>
          <w:bCs/>
          <w:sz w:val="24"/>
          <w:szCs w:val="24"/>
          <w:u w:val="single"/>
        </w:rPr>
      </w:pPr>
      <w:r>
        <w:rPr>
          <w:rFonts w:ascii="Arial" w:hAnsi="Arial" w:cs="Arial"/>
          <w:b/>
          <w:bCs/>
          <w:sz w:val="24"/>
          <w:szCs w:val="24"/>
          <w:u w:val="single"/>
        </w:rPr>
        <w:t>BI, DW and DM Trends</w:t>
      </w:r>
    </w:p>
    <w:p w14:paraId="05805AA6" w14:textId="28225119" w:rsidR="00644001" w:rsidRDefault="00644001">
      <w:pPr>
        <w:rPr>
          <w:rFonts w:ascii="Arial" w:hAnsi="Arial" w:cs="Arial"/>
          <w:b/>
          <w:bCs/>
          <w:sz w:val="24"/>
          <w:szCs w:val="24"/>
          <w:u w:val="single"/>
        </w:rPr>
      </w:pPr>
    </w:p>
    <w:p w14:paraId="79E06174" w14:textId="77777777" w:rsidR="00644001" w:rsidRPr="00644001" w:rsidRDefault="00644001" w:rsidP="00644001">
      <w:pPr>
        <w:spacing w:line="360" w:lineRule="auto"/>
        <w:rPr>
          <w:rFonts w:ascii="Arial" w:hAnsi="Arial" w:cs="Arial"/>
          <w:sz w:val="24"/>
          <w:szCs w:val="24"/>
        </w:rPr>
      </w:pPr>
      <w:r w:rsidRPr="00644001">
        <w:rPr>
          <w:rFonts w:ascii="Arial" w:hAnsi="Arial" w:cs="Arial"/>
          <w:sz w:val="24"/>
          <w:szCs w:val="24"/>
        </w:rPr>
        <w:t>Business intelligence (BI) refers to technology and procedures that convert data into actionable insights for decision-making (Sharda, Delen, &amp; Turban, 2018). Data Warehousing (DW) is the aggregation of data from several sources into a single repository, whereas Data Mining (DM) is the extraction of trends and predictive correlations from huge datasets (Han, Pei, and Kamber, 2011).</w:t>
      </w:r>
    </w:p>
    <w:p w14:paraId="50204E99" w14:textId="77777777" w:rsidR="00644001" w:rsidRDefault="00644001" w:rsidP="00644001">
      <w:pPr>
        <w:spacing w:line="360" w:lineRule="auto"/>
        <w:rPr>
          <w:rFonts w:ascii="Arial" w:hAnsi="Arial" w:cs="Arial"/>
          <w:sz w:val="24"/>
          <w:szCs w:val="24"/>
        </w:rPr>
      </w:pPr>
      <w:r w:rsidRPr="00644001">
        <w:rPr>
          <w:rFonts w:ascii="Arial" w:hAnsi="Arial" w:cs="Arial"/>
          <w:sz w:val="24"/>
          <w:szCs w:val="24"/>
        </w:rPr>
        <w:t xml:space="preserve">A notable trend in higher education is the increasing use of learning analytics, a business intelligence-driven strategy that evaluates student </w:t>
      </w:r>
      <w:proofErr w:type="spellStart"/>
      <w:r w:rsidRPr="00644001">
        <w:rPr>
          <w:rFonts w:ascii="Arial" w:hAnsi="Arial" w:cs="Arial"/>
          <w:sz w:val="24"/>
          <w:szCs w:val="24"/>
        </w:rPr>
        <w:t>behaviour</w:t>
      </w:r>
      <w:proofErr w:type="spellEnd"/>
      <w:r w:rsidRPr="00644001">
        <w:rPr>
          <w:rFonts w:ascii="Arial" w:hAnsi="Arial" w:cs="Arial"/>
          <w:sz w:val="24"/>
          <w:szCs w:val="24"/>
        </w:rPr>
        <w:t xml:space="preserve"> and performance data to improve academic outcomes. While learning analytics helps early detection of at-risk pupils, it raises questions about monitoring and ethical data usage.</w:t>
      </w:r>
    </w:p>
    <w:p w14:paraId="7709EE4E" w14:textId="4A1CDB92" w:rsidR="00644001" w:rsidRPr="00644001" w:rsidRDefault="00644001" w:rsidP="00644001">
      <w:pPr>
        <w:spacing w:line="360" w:lineRule="auto"/>
        <w:rPr>
          <w:rFonts w:ascii="Arial" w:hAnsi="Arial" w:cs="Arial"/>
          <w:sz w:val="24"/>
          <w:szCs w:val="24"/>
        </w:rPr>
      </w:pPr>
      <w:r w:rsidRPr="00644001">
        <w:rPr>
          <w:rFonts w:ascii="Arial" w:hAnsi="Arial" w:cs="Arial"/>
          <w:sz w:val="24"/>
          <w:szCs w:val="24"/>
        </w:rPr>
        <w:lastRenderedPageBreak/>
        <w:t>The shift to cloud-based data warehousing is another key advancement. Cloud infrastructures provide scalability, flexibility, and cost savings (Armbrust et al., 2010). However, relying on third-party suppliers poses threats to data sovereignty and institutional control, particularly in regulated sectors like education.</w:t>
      </w:r>
    </w:p>
    <w:p w14:paraId="6C5B4E18" w14:textId="791A318A" w:rsidR="00644001" w:rsidRDefault="00644001" w:rsidP="00644001">
      <w:pPr>
        <w:spacing w:line="360" w:lineRule="auto"/>
        <w:rPr>
          <w:rFonts w:ascii="Arial" w:hAnsi="Arial" w:cs="Arial"/>
          <w:sz w:val="24"/>
          <w:szCs w:val="24"/>
        </w:rPr>
      </w:pPr>
      <w:r w:rsidRPr="00644001">
        <w:rPr>
          <w:rFonts w:ascii="Arial" w:hAnsi="Arial" w:cs="Arial"/>
          <w:sz w:val="24"/>
          <w:szCs w:val="24"/>
        </w:rPr>
        <w:t xml:space="preserve">The use of artificial intelligence (AI) into BI systems has enhanced ability to forecast. AI-powered analytics can help predict student retention, enhance course offerings, and facilitate </w:t>
      </w:r>
      <w:proofErr w:type="spellStart"/>
      <w:r w:rsidRPr="00644001">
        <w:rPr>
          <w:rFonts w:ascii="Arial" w:hAnsi="Arial" w:cs="Arial"/>
          <w:sz w:val="24"/>
          <w:szCs w:val="24"/>
        </w:rPr>
        <w:t>individualised</w:t>
      </w:r>
      <w:proofErr w:type="spellEnd"/>
      <w:r w:rsidRPr="00644001">
        <w:rPr>
          <w:rFonts w:ascii="Arial" w:hAnsi="Arial" w:cs="Arial"/>
          <w:sz w:val="24"/>
          <w:szCs w:val="24"/>
        </w:rPr>
        <w:t xml:space="preserve"> learning (Holmes et al., 2019). Nonetheless, the opacity of AI models may diminish interpretability, lowering confidence among academic stakeholders.</w:t>
      </w:r>
    </w:p>
    <w:p w14:paraId="20F7C83E" w14:textId="77777777" w:rsidR="00644001" w:rsidRPr="00644001" w:rsidRDefault="00644001" w:rsidP="00644001">
      <w:pPr>
        <w:spacing w:line="360" w:lineRule="auto"/>
        <w:rPr>
          <w:rFonts w:ascii="Arial" w:hAnsi="Arial" w:cs="Arial"/>
          <w:sz w:val="24"/>
          <w:szCs w:val="24"/>
        </w:rPr>
      </w:pPr>
      <w:r w:rsidRPr="00644001">
        <w:rPr>
          <w:rFonts w:ascii="Arial" w:hAnsi="Arial" w:cs="Arial"/>
          <w:sz w:val="24"/>
          <w:szCs w:val="24"/>
        </w:rPr>
        <w:t>Kimball's dimensional modelling technique promotes effective data management, allowing for flexible querying and reporting (Kimball and Ross, 2013). In contrast, the CRISP-DM framework offers a formal technique for data mining, but it may need to be adapted for iterative and dynamic educational situations.</w:t>
      </w:r>
    </w:p>
    <w:p w14:paraId="7CEB86F2" w14:textId="3D7F87D3" w:rsidR="00644001" w:rsidRPr="00644001" w:rsidRDefault="00644001" w:rsidP="00644001">
      <w:pPr>
        <w:spacing w:line="360" w:lineRule="auto"/>
        <w:rPr>
          <w:rFonts w:ascii="Arial" w:hAnsi="Arial" w:cs="Arial"/>
          <w:sz w:val="24"/>
          <w:szCs w:val="24"/>
        </w:rPr>
      </w:pPr>
      <w:r w:rsidRPr="00644001">
        <w:rPr>
          <w:rFonts w:ascii="Arial" w:hAnsi="Arial" w:cs="Arial"/>
          <w:sz w:val="24"/>
          <w:szCs w:val="24"/>
        </w:rPr>
        <w:t xml:space="preserve">Overall, current BI trends indicate </w:t>
      </w:r>
      <w:r w:rsidRPr="00644001">
        <w:rPr>
          <w:rFonts w:ascii="Arial" w:hAnsi="Arial" w:cs="Arial"/>
          <w:sz w:val="24"/>
          <w:szCs w:val="24"/>
        </w:rPr>
        <w:t>drive toward real-time, scalable, and predictive analytics</w:t>
      </w:r>
      <w:r w:rsidRPr="00644001">
        <w:rPr>
          <w:rFonts w:ascii="Arial" w:hAnsi="Arial" w:cs="Arial"/>
          <w:sz w:val="24"/>
          <w:szCs w:val="24"/>
        </w:rPr>
        <w:t>. However, their successful application necessitates combining technical innovation with ethical issues, data governance, and institutional skills.</w:t>
      </w:r>
    </w:p>
    <w:p w14:paraId="16787688" w14:textId="608A7122" w:rsidR="00644001" w:rsidRDefault="00644001">
      <w:pPr>
        <w:rPr>
          <w:rFonts w:ascii="Arial" w:hAnsi="Arial" w:cs="Arial"/>
          <w:b/>
          <w:bCs/>
          <w:sz w:val="24"/>
          <w:szCs w:val="24"/>
          <w:u w:val="single"/>
        </w:rPr>
      </w:pPr>
    </w:p>
    <w:p w14:paraId="3A230A21" w14:textId="26F6AB26" w:rsidR="00644001" w:rsidRPr="00644001" w:rsidRDefault="00644001">
      <w:pPr>
        <w:rPr>
          <w:rFonts w:ascii="Arial" w:hAnsi="Arial" w:cs="Arial"/>
          <w:b/>
          <w:bCs/>
          <w:sz w:val="24"/>
          <w:szCs w:val="24"/>
          <w:u w:val="single"/>
        </w:rPr>
      </w:pPr>
      <w:r>
        <w:rPr>
          <w:rFonts w:ascii="Arial" w:hAnsi="Arial" w:cs="Arial"/>
          <w:b/>
          <w:bCs/>
          <w:sz w:val="24"/>
          <w:szCs w:val="24"/>
          <w:u w:val="single"/>
        </w:rPr>
        <w:t>Applications of Data Warehousing and Data Mining</w:t>
      </w:r>
    </w:p>
    <w:p w14:paraId="00898F7D" w14:textId="1F45178B" w:rsidR="00644001" w:rsidRDefault="00644001">
      <w:pPr>
        <w:rPr>
          <w:rFonts w:ascii="Arial" w:hAnsi="Arial" w:cs="Arial"/>
          <w:sz w:val="24"/>
          <w:szCs w:val="24"/>
        </w:rPr>
      </w:pPr>
    </w:p>
    <w:p w14:paraId="38A4E5AC" w14:textId="77189876" w:rsidR="00B371A0" w:rsidRDefault="00B371A0" w:rsidP="00B371A0">
      <w:pPr>
        <w:spacing w:line="360" w:lineRule="auto"/>
        <w:rPr>
          <w:rFonts w:ascii="Arial" w:hAnsi="Arial" w:cs="Arial"/>
          <w:sz w:val="24"/>
          <w:szCs w:val="24"/>
        </w:rPr>
      </w:pPr>
      <w:r w:rsidRPr="00B371A0">
        <w:rPr>
          <w:rFonts w:ascii="Arial" w:hAnsi="Arial" w:cs="Arial"/>
          <w:sz w:val="24"/>
          <w:szCs w:val="24"/>
        </w:rPr>
        <w:t xml:space="preserve">Data warehousing (DW) is a fundamental infrastructure for integrating and managing data in higher education </w:t>
      </w:r>
      <w:proofErr w:type="spellStart"/>
      <w:r w:rsidRPr="00B371A0">
        <w:rPr>
          <w:rFonts w:ascii="Arial" w:hAnsi="Arial" w:cs="Arial"/>
          <w:sz w:val="24"/>
          <w:szCs w:val="24"/>
        </w:rPr>
        <w:t>organisations</w:t>
      </w:r>
      <w:proofErr w:type="spellEnd"/>
      <w:r w:rsidRPr="00B371A0">
        <w:rPr>
          <w:rFonts w:ascii="Arial" w:hAnsi="Arial" w:cs="Arial"/>
          <w:sz w:val="24"/>
          <w:szCs w:val="24"/>
        </w:rPr>
        <w:t>. It entails extracting, transforming, and loading (ETL) data from several systems into a single repository to facilitate analytical processing and decision-making (Inmon, 2005). In a university setting, data sources include student information systems, learning management systems (LMS), financial platforms, and human resource databases.</w:t>
      </w:r>
    </w:p>
    <w:p w14:paraId="7839AFF7" w14:textId="77777777" w:rsidR="00B371A0" w:rsidRDefault="00B371A0" w:rsidP="00B371A0">
      <w:pPr>
        <w:spacing w:line="360" w:lineRule="auto"/>
        <w:rPr>
          <w:rFonts w:ascii="Arial" w:hAnsi="Arial" w:cs="Arial"/>
          <w:sz w:val="24"/>
          <w:szCs w:val="24"/>
        </w:rPr>
      </w:pPr>
      <w:r w:rsidRPr="00B371A0">
        <w:rPr>
          <w:rFonts w:ascii="Arial" w:hAnsi="Arial" w:cs="Arial"/>
          <w:sz w:val="24"/>
          <w:szCs w:val="24"/>
        </w:rPr>
        <w:t xml:space="preserve">The fundamental advantage of a data warehouse is its ability to improve data consistency and accessibility. Universities frequently use fragmented data silos across departments, which can lead to inconsistencies and inefficiencies. A </w:t>
      </w:r>
      <w:proofErr w:type="spellStart"/>
      <w:r w:rsidRPr="00B371A0">
        <w:rPr>
          <w:rFonts w:ascii="Arial" w:hAnsi="Arial" w:cs="Arial"/>
          <w:sz w:val="24"/>
          <w:szCs w:val="24"/>
        </w:rPr>
        <w:t>centralised</w:t>
      </w:r>
      <w:proofErr w:type="spellEnd"/>
      <w:r w:rsidRPr="00B371A0">
        <w:rPr>
          <w:rFonts w:ascii="Arial" w:hAnsi="Arial" w:cs="Arial"/>
          <w:sz w:val="24"/>
          <w:szCs w:val="24"/>
        </w:rPr>
        <w:t xml:space="preserve"> data warehouse creates a unified data architecture, guaranteeing stakeholders can rely on a </w:t>
      </w:r>
      <w:r w:rsidRPr="00B371A0">
        <w:rPr>
          <w:rFonts w:ascii="Arial" w:hAnsi="Arial" w:cs="Arial"/>
          <w:sz w:val="24"/>
          <w:szCs w:val="24"/>
        </w:rPr>
        <w:lastRenderedPageBreak/>
        <w:t>"single version of the truth" (</w:t>
      </w:r>
      <w:proofErr w:type="spellStart"/>
      <w:r w:rsidRPr="00B371A0">
        <w:rPr>
          <w:rFonts w:ascii="Arial" w:hAnsi="Arial" w:cs="Arial"/>
          <w:sz w:val="24"/>
          <w:szCs w:val="24"/>
        </w:rPr>
        <w:t>Batini</w:t>
      </w:r>
      <w:proofErr w:type="spellEnd"/>
      <w:r w:rsidRPr="00B371A0">
        <w:rPr>
          <w:rFonts w:ascii="Arial" w:hAnsi="Arial" w:cs="Arial"/>
          <w:sz w:val="24"/>
          <w:szCs w:val="24"/>
        </w:rPr>
        <w:t xml:space="preserve"> and Scannapieco, 2016). However, this necessitates a significant investment in data cleansing and standards operations.</w:t>
      </w:r>
    </w:p>
    <w:p w14:paraId="059DD218" w14:textId="582097AE" w:rsidR="00B371A0" w:rsidRDefault="00B371A0" w:rsidP="00B371A0">
      <w:pPr>
        <w:spacing w:line="360" w:lineRule="auto"/>
        <w:rPr>
          <w:rFonts w:ascii="Arial" w:hAnsi="Arial" w:cs="Arial"/>
          <w:sz w:val="24"/>
          <w:szCs w:val="24"/>
        </w:rPr>
      </w:pPr>
      <w:r w:rsidRPr="00B371A0">
        <w:rPr>
          <w:rFonts w:ascii="Arial" w:hAnsi="Arial" w:cs="Arial"/>
          <w:sz w:val="24"/>
          <w:szCs w:val="24"/>
        </w:rPr>
        <w:t xml:space="preserve">DW enhances operational efficiency by providing fast access to integrated data. For instance, by evaluating registration trends and course demand, institutions may </w:t>
      </w:r>
      <w:proofErr w:type="spellStart"/>
      <w:r w:rsidRPr="00B371A0">
        <w:rPr>
          <w:rFonts w:ascii="Arial" w:hAnsi="Arial" w:cs="Arial"/>
          <w:sz w:val="24"/>
          <w:szCs w:val="24"/>
        </w:rPr>
        <w:t>maximise</w:t>
      </w:r>
      <w:proofErr w:type="spellEnd"/>
      <w:r w:rsidRPr="00B371A0">
        <w:rPr>
          <w:rFonts w:ascii="Arial" w:hAnsi="Arial" w:cs="Arial"/>
          <w:sz w:val="24"/>
          <w:szCs w:val="24"/>
        </w:rPr>
        <w:t xml:space="preserve"> timetables and resource allocation. In the same way, combining financial and academic data makes it easier to </w:t>
      </w:r>
      <w:proofErr w:type="spellStart"/>
      <w:r w:rsidRPr="00B371A0">
        <w:rPr>
          <w:rFonts w:ascii="Arial" w:hAnsi="Arial" w:cs="Arial"/>
          <w:sz w:val="24"/>
          <w:szCs w:val="24"/>
        </w:rPr>
        <w:t>analyse</w:t>
      </w:r>
      <w:proofErr w:type="spellEnd"/>
      <w:r w:rsidRPr="00B371A0">
        <w:rPr>
          <w:rFonts w:ascii="Arial" w:hAnsi="Arial" w:cs="Arial"/>
          <w:sz w:val="24"/>
          <w:szCs w:val="24"/>
        </w:rPr>
        <w:t xml:space="preserve"> costs and </w:t>
      </w:r>
      <w:proofErr w:type="spellStart"/>
      <w:r w:rsidRPr="00B371A0">
        <w:rPr>
          <w:rFonts w:ascii="Arial" w:hAnsi="Arial" w:cs="Arial"/>
          <w:sz w:val="24"/>
          <w:szCs w:val="24"/>
        </w:rPr>
        <w:t>optimise</w:t>
      </w:r>
      <w:proofErr w:type="spellEnd"/>
      <w:r w:rsidRPr="00B371A0">
        <w:rPr>
          <w:rFonts w:ascii="Arial" w:hAnsi="Arial" w:cs="Arial"/>
          <w:sz w:val="24"/>
          <w:szCs w:val="24"/>
        </w:rPr>
        <w:t xml:space="preserve"> spending. While these advantages improve institutional performance, they are largely dependent on data quality and system dependability.</w:t>
      </w:r>
    </w:p>
    <w:p w14:paraId="1033A76A" w14:textId="77777777" w:rsidR="00B371A0" w:rsidRPr="00B371A0" w:rsidRDefault="00B371A0" w:rsidP="00B371A0">
      <w:pPr>
        <w:spacing w:line="360" w:lineRule="auto"/>
        <w:rPr>
          <w:rFonts w:ascii="Arial" w:hAnsi="Arial" w:cs="Arial"/>
          <w:sz w:val="24"/>
          <w:szCs w:val="24"/>
        </w:rPr>
      </w:pPr>
      <w:r w:rsidRPr="00B371A0">
        <w:rPr>
          <w:rFonts w:ascii="Arial" w:hAnsi="Arial" w:cs="Arial"/>
          <w:sz w:val="24"/>
          <w:szCs w:val="24"/>
        </w:rPr>
        <w:t>In strategic terms, data warehousing facilitates evidence-based decision-making by providing historical and aggregated data for trend analysis. Universities can use student retention rates, progression patterns, and graduation outcomes to improve long-term planning. Dimensional modelling, as presented by Kimball and Ross (2013), divides data into fact and dimension tables, allowing for quick querying and easy reporting. This method is especially useful in academic settings where non-technical stakeholders demand accessible information.</w:t>
      </w:r>
    </w:p>
    <w:p w14:paraId="7567DF46" w14:textId="1A28D436" w:rsidR="00B371A0" w:rsidRDefault="00B371A0" w:rsidP="00B371A0">
      <w:pPr>
        <w:spacing w:line="360" w:lineRule="auto"/>
        <w:rPr>
          <w:rFonts w:ascii="Arial" w:hAnsi="Arial" w:cs="Arial"/>
          <w:sz w:val="24"/>
          <w:szCs w:val="24"/>
        </w:rPr>
      </w:pPr>
      <w:r w:rsidRPr="00B371A0">
        <w:rPr>
          <w:rFonts w:ascii="Arial" w:hAnsi="Arial" w:cs="Arial"/>
          <w:sz w:val="24"/>
          <w:szCs w:val="24"/>
        </w:rPr>
        <w:t>Despite these advantages, DW implementation poses substantial hurdles. Adoption might be limited due to high startup costs, legacy system integration, and the necessity for experienced staff. Moreover, colleges must comply with data privacy requirements and maintain stringent governance structures to secure sensitive student information.</w:t>
      </w:r>
    </w:p>
    <w:p w14:paraId="2B61EA4B" w14:textId="6EBB12E3" w:rsidR="00B371A0" w:rsidRDefault="00B371A0" w:rsidP="00B371A0">
      <w:pPr>
        <w:spacing w:line="360" w:lineRule="auto"/>
        <w:rPr>
          <w:rFonts w:ascii="Arial" w:hAnsi="Arial" w:cs="Arial"/>
          <w:sz w:val="24"/>
          <w:szCs w:val="24"/>
        </w:rPr>
      </w:pPr>
      <w:r w:rsidRPr="00B371A0">
        <w:rPr>
          <w:rFonts w:ascii="Arial" w:hAnsi="Arial" w:cs="Arial"/>
          <w:sz w:val="24"/>
          <w:szCs w:val="24"/>
        </w:rPr>
        <w:t>Data warehousing improves data integration, operational efficiency, and strategic planning in higher education. Nevertheless, its performance is contingent upon strong governance, data quality control, and alignment with institutional goals.</w:t>
      </w:r>
    </w:p>
    <w:p w14:paraId="19D09171" w14:textId="7DDDB796" w:rsidR="00B371A0" w:rsidRDefault="00B371A0" w:rsidP="00B371A0">
      <w:pPr>
        <w:spacing w:line="360" w:lineRule="auto"/>
        <w:rPr>
          <w:rFonts w:ascii="Arial" w:hAnsi="Arial" w:cs="Arial"/>
          <w:sz w:val="24"/>
          <w:szCs w:val="24"/>
        </w:rPr>
      </w:pPr>
    </w:p>
    <w:p w14:paraId="3DD8F180" w14:textId="46B586A7" w:rsidR="00B371A0" w:rsidRDefault="00B371A0" w:rsidP="00B371A0">
      <w:pPr>
        <w:spacing w:line="360" w:lineRule="auto"/>
        <w:rPr>
          <w:rFonts w:ascii="Arial" w:hAnsi="Arial" w:cs="Arial"/>
          <w:sz w:val="24"/>
          <w:szCs w:val="24"/>
        </w:rPr>
      </w:pPr>
    </w:p>
    <w:p w14:paraId="3CFB95A0" w14:textId="1AA7F69D" w:rsidR="00B371A0" w:rsidRDefault="00B371A0" w:rsidP="00B371A0">
      <w:pPr>
        <w:spacing w:line="360" w:lineRule="auto"/>
        <w:rPr>
          <w:rFonts w:ascii="Arial" w:hAnsi="Arial" w:cs="Arial"/>
          <w:sz w:val="24"/>
          <w:szCs w:val="24"/>
        </w:rPr>
      </w:pPr>
    </w:p>
    <w:p w14:paraId="38ACB68F" w14:textId="54E45767" w:rsidR="00B371A0" w:rsidRDefault="00B371A0" w:rsidP="00B371A0">
      <w:pPr>
        <w:spacing w:line="360" w:lineRule="auto"/>
        <w:rPr>
          <w:rFonts w:ascii="Arial" w:hAnsi="Arial" w:cs="Arial"/>
          <w:sz w:val="24"/>
          <w:szCs w:val="24"/>
        </w:rPr>
      </w:pPr>
    </w:p>
    <w:p w14:paraId="56F9E0E2" w14:textId="77777777" w:rsidR="00B371A0" w:rsidRDefault="00B371A0" w:rsidP="00B371A0">
      <w:pPr>
        <w:spacing w:line="360" w:lineRule="auto"/>
        <w:rPr>
          <w:rFonts w:ascii="Arial" w:hAnsi="Arial" w:cs="Arial"/>
          <w:sz w:val="24"/>
          <w:szCs w:val="24"/>
        </w:rPr>
      </w:pPr>
    </w:p>
    <w:p w14:paraId="4CAB1E17" w14:textId="2F05A733" w:rsidR="00B371A0" w:rsidRDefault="00B371A0" w:rsidP="00B371A0">
      <w:pPr>
        <w:spacing w:line="360" w:lineRule="auto"/>
        <w:rPr>
          <w:rFonts w:ascii="Arial" w:hAnsi="Arial" w:cs="Arial"/>
          <w:b/>
          <w:bCs/>
          <w:sz w:val="24"/>
          <w:szCs w:val="24"/>
          <w:u w:val="single"/>
        </w:rPr>
      </w:pPr>
      <w:r>
        <w:rPr>
          <w:rFonts w:ascii="Arial" w:hAnsi="Arial" w:cs="Arial"/>
          <w:b/>
          <w:bCs/>
          <w:sz w:val="24"/>
          <w:szCs w:val="24"/>
          <w:u w:val="single"/>
        </w:rPr>
        <w:lastRenderedPageBreak/>
        <w:t>Data Mining Techniques</w:t>
      </w:r>
    </w:p>
    <w:p w14:paraId="06EC28EC" w14:textId="4B352F78" w:rsidR="00B371A0" w:rsidRDefault="00B371A0" w:rsidP="00B371A0">
      <w:pPr>
        <w:spacing w:line="360" w:lineRule="auto"/>
        <w:rPr>
          <w:rFonts w:ascii="Arial" w:hAnsi="Arial" w:cs="Arial"/>
          <w:b/>
          <w:bCs/>
          <w:sz w:val="24"/>
          <w:szCs w:val="24"/>
          <w:u w:val="single"/>
        </w:rPr>
      </w:pPr>
    </w:p>
    <w:p w14:paraId="5F885885" w14:textId="088B7E11" w:rsidR="00B371A0" w:rsidRPr="00B371A0" w:rsidRDefault="00B371A0" w:rsidP="00B371A0">
      <w:pPr>
        <w:spacing w:line="360" w:lineRule="auto"/>
        <w:rPr>
          <w:rFonts w:ascii="Arial" w:hAnsi="Arial" w:cs="Arial"/>
          <w:sz w:val="24"/>
          <w:szCs w:val="24"/>
        </w:rPr>
      </w:pPr>
      <w:r w:rsidRPr="00B371A0">
        <w:rPr>
          <w:rFonts w:ascii="Arial" w:hAnsi="Arial" w:cs="Arial"/>
          <w:sz w:val="24"/>
          <w:szCs w:val="24"/>
        </w:rPr>
        <w:t xml:space="preserve">Data mining (DM) is the </w:t>
      </w:r>
      <w:proofErr w:type="spellStart"/>
      <w:r w:rsidRPr="00B371A0">
        <w:rPr>
          <w:rFonts w:ascii="Arial" w:hAnsi="Arial" w:cs="Arial"/>
          <w:sz w:val="24"/>
          <w:szCs w:val="24"/>
        </w:rPr>
        <w:t>utilisation</w:t>
      </w:r>
      <w:proofErr w:type="spellEnd"/>
      <w:r w:rsidRPr="00B371A0">
        <w:rPr>
          <w:rFonts w:ascii="Arial" w:hAnsi="Arial" w:cs="Arial"/>
          <w:sz w:val="24"/>
          <w:szCs w:val="24"/>
        </w:rPr>
        <w:t xml:space="preserve"> of analytical tools to identify patterns, correlations, and insights in massive datasets (Han</w:t>
      </w:r>
      <w:r w:rsidR="00296922">
        <w:rPr>
          <w:rFonts w:ascii="Arial" w:hAnsi="Arial" w:cs="Arial"/>
          <w:sz w:val="24"/>
          <w:szCs w:val="24"/>
        </w:rPr>
        <w:t xml:space="preserve"> et al.</w:t>
      </w:r>
      <w:r w:rsidRPr="00B371A0">
        <w:rPr>
          <w:rFonts w:ascii="Arial" w:hAnsi="Arial" w:cs="Arial"/>
          <w:sz w:val="24"/>
          <w:szCs w:val="24"/>
        </w:rPr>
        <w:t>, 2011). In higher education, DM lets institutions to use student and operational data to make better decisions and improve academic achievements.</w:t>
      </w:r>
    </w:p>
    <w:p w14:paraId="526AE19D" w14:textId="21A05F89" w:rsidR="00B371A0" w:rsidRDefault="00B371A0" w:rsidP="00B371A0">
      <w:pPr>
        <w:spacing w:line="360" w:lineRule="auto"/>
        <w:rPr>
          <w:rFonts w:ascii="Arial" w:hAnsi="Arial" w:cs="Arial"/>
          <w:sz w:val="24"/>
          <w:szCs w:val="24"/>
        </w:rPr>
      </w:pPr>
      <w:r w:rsidRPr="00B371A0">
        <w:rPr>
          <w:rFonts w:ascii="Arial" w:hAnsi="Arial" w:cs="Arial"/>
          <w:sz w:val="24"/>
          <w:szCs w:val="24"/>
        </w:rPr>
        <w:t xml:space="preserve">Classification and clustering are two particularly relevant strategies. Classification is a supervised learning technique that predicts categorical outcomes based on past data. In a university context, classification models can </w:t>
      </w:r>
      <w:proofErr w:type="spellStart"/>
      <w:r w:rsidRPr="00B371A0">
        <w:rPr>
          <w:rFonts w:ascii="Arial" w:hAnsi="Arial" w:cs="Arial"/>
          <w:sz w:val="24"/>
          <w:szCs w:val="24"/>
        </w:rPr>
        <w:t>recognise</w:t>
      </w:r>
      <w:proofErr w:type="spellEnd"/>
      <w:r w:rsidRPr="00B371A0">
        <w:rPr>
          <w:rFonts w:ascii="Arial" w:hAnsi="Arial" w:cs="Arial"/>
          <w:sz w:val="24"/>
          <w:szCs w:val="24"/>
        </w:rPr>
        <w:t xml:space="preserve"> students at risk of academic failure or dropout, allowing for early intervention methods (Witten</w:t>
      </w:r>
      <w:r w:rsidR="00296922">
        <w:rPr>
          <w:rFonts w:ascii="Arial" w:hAnsi="Arial" w:cs="Arial"/>
          <w:sz w:val="24"/>
          <w:szCs w:val="24"/>
        </w:rPr>
        <w:t xml:space="preserve"> et al.,</w:t>
      </w:r>
      <w:r w:rsidRPr="00B371A0">
        <w:rPr>
          <w:rFonts w:ascii="Arial" w:hAnsi="Arial" w:cs="Arial"/>
          <w:sz w:val="24"/>
          <w:szCs w:val="24"/>
        </w:rPr>
        <w:t xml:space="preserve"> 2016). Decision trees and logistic regression are two approaches that give probabilistic predictions to aid with targeted academic help. In contrast, classification algorithms are sensitive to data quality and might generate biased results if the training data is not representative.</w:t>
      </w:r>
    </w:p>
    <w:p w14:paraId="4D92D56D" w14:textId="7FF9395C" w:rsidR="00B371A0" w:rsidRPr="00B371A0" w:rsidRDefault="00B371A0" w:rsidP="00B371A0">
      <w:pPr>
        <w:spacing w:line="360" w:lineRule="auto"/>
        <w:rPr>
          <w:rFonts w:ascii="Arial" w:hAnsi="Arial" w:cs="Arial"/>
          <w:sz w:val="24"/>
          <w:szCs w:val="24"/>
        </w:rPr>
      </w:pPr>
      <w:r w:rsidRPr="00B371A0">
        <w:rPr>
          <w:rFonts w:ascii="Arial" w:hAnsi="Arial" w:cs="Arial"/>
          <w:sz w:val="24"/>
          <w:szCs w:val="24"/>
        </w:rPr>
        <w:t>Clustering, by contrast, is an unsupervised technique that groups data points based on similarity (Tan</w:t>
      </w:r>
      <w:r w:rsidR="00296922">
        <w:rPr>
          <w:rFonts w:ascii="Arial" w:hAnsi="Arial" w:cs="Arial"/>
          <w:sz w:val="24"/>
          <w:szCs w:val="24"/>
        </w:rPr>
        <w:t xml:space="preserve"> et al.</w:t>
      </w:r>
      <w:r w:rsidRPr="00B371A0">
        <w:rPr>
          <w:rFonts w:ascii="Arial" w:hAnsi="Arial" w:cs="Arial"/>
          <w:sz w:val="24"/>
          <w:szCs w:val="24"/>
        </w:rPr>
        <w:t xml:space="preserve">, 2019). In higher education, clustering can segment students according to learning </w:t>
      </w:r>
      <w:proofErr w:type="spellStart"/>
      <w:r w:rsidRPr="00B371A0">
        <w:rPr>
          <w:rFonts w:ascii="Arial" w:hAnsi="Arial" w:cs="Arial"/>
          <w:sz w:val="24"/>
          <w:szCs w:val="24"/>
        </w:rPr>
        <w:t>behaviour</w:t>
      </w:r>
      <w:proofErr w:type="spellEnd"/>
      <w:r w:rsidRPr="00B371A0">
        <w:rPr>
          <w:rFonts w:ascii="Arial" w:hAnsi="Arial" w:cs="Arial"/>
          <w:sz w:val="24"/>
          <w:szCs w:val="24"/>
        </w:rPr>
        <w:t>, engagement levels, or demographic characteristics. This enables institutions to tailor teaching strategies and support services to specific student groups. Nevertheless, clustering outcomes may be difficult to interpret, and results can vary depending on algorithm selection and parameter settings.</w:t>
      </w:r>
    </w:p>
    <w:p w14:paraId="594A6570" w14:textId="7F7C9EF4" w:rsidR="00B371A0" w:rsidRDefault="00B371A0" w:rsidP="00B371A0">
      <w:pPr>
        <w:spacing w:line="360" w:lineRule="auto"/>
        <w:rPr>
          <w:rFonts w:ascii="Arial" w:hAnsi="Arial" w:cs="Arial"/>
          <w:sz w:val="24"/>
          <w:szCs w:val="24"/>
        </w:rPr>
      </w:pPr>
      <w:r w:rsidRPr="00B371A0">
        <w:rPr>
          <w:rFonts w:ascii="Arial" w:hAnsi="Arial" w:cs="Arial"/>
          <w:sz w:val="24"/>
          <w:szCs w:val="24"/>
        </w:rPr>
        <w:t>The combined use of classification and clustering supports both predictive and exploratory analytics, providing a comprehensive understanding of student data. Tools such as Python, R, and IBM SPSS facilitate the implementation of these techniques, offering flexibility and scalability.</w:t>
      </w:r>
    </w:p>
    <w:p w14:paraId="6AEAFB30" w14:textId="32C90CBD" w:rsidR="00B371A0" w:rsidRDefault="00B371A0" w:rsidP="00B371A0">
      <w:pPr>
        <w:spacing w:line="360" w:lineRule="auto"/>
        <w:rPr>
          <w:rFonts w:ascii="Arial" w:hAnsi="Arial" w:cs="Arial"/>
          <w:sz w:val="24"/>
          <w:szCs w:val="24"/>
        </w:rPr>
      </w:pPr>
      <w:r w:rsidRPr="00B371A0">
        <w:rPr>
          <w:rFonts w:ascii="Arial" w:hAnsi="Arial" w:cs="Arial"/>
          <w:sz w:val="24"/>
          <w:szCs w:val="24"/>
        </w:rPr>
        <w:t xml:space="preserve">Regardless of their promise, data mining techniques need rigorous validation and subject expertise to assure proper interpretation. As a result, its implementation should be led by both technical </w:t>
      </w:r>
      <w:proofErr w:type="spellStart"/>
      <w:r w:rsidRPr="00B371A0">
        <w:rPr>
          <w:rFonts w:ascii="Arial" w:hAnsi="Arial" w:cs="Arial"/>
          <w:sz w:val="24"/>
          <w:szCs w:val="24"/>
        </w:rPr>
        <w:t>rigour</w:t>
      </w:r>
      <w:proofErr w:type="spellEnd"/>
      <w:r w:rsidRPr="00B371A0">
        <w:rPr>
          <w:rFonts w:ascii="Arial" w:hAnsi="Arial" w:cs="Arial"/>
          <w:sz w:val="24"/>
          <w:szCs w:val="24"/>
        </w:rPr>
        <w:t xml:space="preserve"> and pedagogical comprehension.</w:t>
      </w:r>
    </w:p>
    <w:p w14:paraId="65FA6D00" w14:textId="495EABFD" w:rsidR="00B371A0" w:rsidRDefault="00B371A0" w:rsidP="00B371A0">
      <w:pPr>
        <w:spacing w:line="360" w:lineRule="auto"/>
        <w:rPr>
          <w:rFonts w:ascii="Arial" w:hAnsi="Arial" w:cs="Arial"/>
          <w:b/>
          <w:bCs/>
          <w:sz w:val="24"/>
          <w:szCs w:val="24"/>
          <w:u w:val="single"/>
        </w:rPr>
      </w:pPr>
      <w:r>
        <w:rPr>
          <w:rFonts w:ascii="Arial" w:hAnsi="Arial" w:cs="Arial"/>
          <w:b/>
          <w:bCs/>
          <w:sz w:val="24"/>
          <w:szCs w:val="24"/>
          <w:u w:val="single"/>
        </w:rPr>
        <w:t>Predictive Analysis Tools</w:t>
      </w:r>
    </w:p>
    <w:p w14:paraId="4FF8F3FB" w14:textId="1CB4D3AE" w:rsidR="00B371A0" w:rsidRDefault="00B371A0" w:rsidP="00B371A0">
      <w:pPr>
        <w:spacing w:line="360" w:lineRule="auto"/>
        <w:rPr>
          <w:rFonts w:ascii="Arial" w:hAnsi="Arial" w:cs="Arial"/>
          <w:b/>
          <w:bCs/>
          <w:sz w:val="24"/>
          <w:szCs w:val="24"/>
          <w:u w:val="single"/>
        </w:rPr>
      </w:pPr>
    </w:p>
    <w:p w14:paraId="08ECD46D" w14:textId="77777777" w:rsidR="00B371A0" w:rsidRPr="00B371A0" w:rsidRDefault="00B371A0" w:rsidP="00B371A0">
      <w:pPr>
        <w:spacing w:line="360" w:lineRule="auto"/>
        <w:rPr>
          <w:rFonts w:ascii="Arial" w:hAnsi="Arial" w:cs="Arial"/>
          <w:sz w:val="24"/>
          <w:szCs w:val="24"/>
        </w:rPr>
      </w:pPr>
      <w:r w:rsidRPr="00B371A0">
        <w:rPr>
          <w:rFonts w:ascii="Arial" w:hAnsi="Arial" w:cs="Arial"/>
          <w:sz w:val="24"/>
          <w:szCs w:val="24"/>
        </w:rPr>
        <w:lastRenderedPageBreak/>
        <w:t xml:space="preserve">Predictive analytics enhances BI capabilities by allowing </w:t>
      </w:r>
      <w:proofErr w:type="spellStart"/>
      <w:r w:rsidRPr="00B371A0">
        <w:rPr>
          <w:rFonts w:ascii="Arial" w:hAnsi="Arial" w:cs="Arial"/>
          <w:sz w:val="24"/>
          <w:szCs w:val="24"/>
        </w:rPr>
        <w:t>organisations</w:t>
      </w:r>
      <w:proofErr w:type="spellEnd"/>
      <w:r w:rsidRPr="00B371A0">
        <w:rPr>
          <w:rFonts w:ascii="Arial" w:hAnsi="Arial" w:cs="Arial"/>
          <w:sz w:val="24"/>
          <w:szCs w:val="24"/>
        </w:rPr>
        <w:t xml:space="preserve"> to estimate future outcomes using past data and statistical modelling (Sharda, Delen, &amp; Turban, 2018). Predictive analytics is frequently </w:t>
      </w:r>
      <w:proofErr w:type="spellStart"/>
      <w:r w:rsidRPr="00B371A0">
        <w:rPr>
          <w:rFonts w:ascii="Arial" w:hAnsi="Arial" w:cs="Arial"/>
          <w:sz w:val="24"/>
          <w:szCs w:val="24"/>
        </w:rPr>
        <w:t>utilised</w:t>
      </w:r>
      <w:proofErr w:type="spellEnd"/>
      <w:r w:rsidRPr="00B371A0">
        <w:rPr>
          <w:rFonts w:ascii="Arial" w:hAnsi="Arial" w:cs="Arial"/>
          <w:sz w:val="24"/>
          <w:szCs w:val="24"/>
        </w:rPr>
        <w:t xml:space="preserve"> in higher education to forecast student performance, enrolment patterns, and resource requirements, allowing for more proactive decision-making.</w:t>
      </w:r>
    </w:p>
    <w:p w14:paraId="6029787A" w14:textId="59FCE189" w:rsidR="00B371A0" w:rsidRDefault="00B371A0" w:rsidP="00B371A0">
      <w:pPr>
        <w:spacing w:line="360" w:lineRule="auto"/>
        <w:rPr>
          <w:rFonts w:ascii="Arial" w:hAnsi="Arial" w:cs="Arial"/>
          <w:sz w:val="24"/>
          <w:szCs w:val="24"/>
        </w:rPr>
      </w:pPr>
      <w:r w:rsidRPr="00B371A0">
        <w:rPr>
          <w:rFonts w:ascii="Arial" w:hAnsi="Arial" w:cs="Arial"/>
          <w:sz w:val="24"/>
          <w:szCs w:val="24"/>
        </w:rPr>
        <w:t xml:space="preserve">Python, IBM SPSS, and Tableau provide comparable predictive analytics functionalities. Python has substantial machine learning packages such as scikit-learn and TensorFlow, which enable the creation of complex prediction models. IBM SPSS provides user-friendly statistical analysis tools, making it suitable for non-technical users. Tableau improves predictive analytics by providing easy </w:t>
      </w:r>
      <w:proofErr w:type="spellStart"/>
      <w:r w:rsidRPr="00B371A0">
        <w:rPr>
          <w:rFonts w:ascii="Arial" w:hAnsi="Arial" w:cs="Arial"/>
          <w:sz w:val="24"/>
          <w:szCs w:val="24"/>
        </w:rPr>
        <w:t>visualisation</w:t>
      </w:r>
      <w:proofErr w:type="spellEnd"/>
      <w:r w:rsidRPr="00B371A0">
        <w:rPr>
          <w:rFonts w:ascii="Arial" w:hAnsi="Arial" w:cs="Arial"/>
          <w:sz w:val="24"/>
          <w:szCs w:val="24"/>
        </w:rPr>
        <w:t xml:space="preserve"> and reporting capabilities, allowing stakeholders to successfully </w:t>
      </w:r>
      <w:proofErr w:type="spellStart"/>
      <w:r w:rsidRPr="00B371A0">
        <w:rPr>
          <w:rFonts w:ascii="Arial" w:hAnsi="Arial" w:cs="Arial"/>
          <w:sz w:val="24"/>
          <w:szCs w:val="24"/>
        </w:rPr>
        <w:t>analyse</w:t>
      </w:r>
      <w:proofErr w:type="spellEnd"/>
      <w:r w:rsidRPr="00B371A0">
        <w:rPr>
          <w:rFonts w:ascii="Arial" w:hAnsi="Arial" w:cs="Arial"/>
          <w:sz w:val="24"/>
          <w:szCs w:val="24"/>
        </w:rPr>
        <w:t xml:space="preserve"> complicated data sets.</w:t>
      </w:r>
    </w:p>
    <w:p w14:paraId="04399CF8" w14:textId="00988527" w:rsidR="00281731" w:rsidRPr="00281731" w:rsidRDefault="00281731" w:rsidP="00281731">
      <w:pPr>
        <w:spacing w:line="360" w:lineRule="auto"/>
        <w:rPr>
          <w:rFonts w:ascii="Arial" w:hAnsi="Arial" w:cs="Arial"/>
          <w:sz w:val="24"/>
          <w:szCs w:val="24"/>
        </w:rPr>
      </w:pPr>
      <w:r w:rsidRPr="00281731">
        <w:rPr>
          <w:rFonts w:ascii="Arial" w:hAnsi="Arial" w:cs="Arial"/>
          <w:sz w:val="24"/>
          <w:szCs w:val="24"/>
        </w:rPr>
        <w:t xml:space="preserve">A hybrid strategy integrating various tools is advised to </w:t>
      </w:r>
      <w:proofErr w:type="spellStart"/>
      <w:r w:rsidRPr="00281731">
        <w:rPr>
          <w:rFonts w:ascii="Arial" w:hAnsi="Arial" w:cs="Arial"/>
          <w:sz w:val="24"/>
          <w:szCs w:val="24"/>
        </w:rPr>
        <w:t>optimise</w:t>
      </w:r>
      <w:proofErr w:type="spellEnd"/>
      <w:r w:rsidRPr="00281731">
        <w:rPr>
          <w:rFonts w:ascii="Arial" w:hAnsi="Arial" w:cs="Arial"/>
          <w:sz w:val="24"/>
          <w:szCs w:val="24"/>
        </w:rPr>
        <w:t xml:space="preserve"> analytical capabilities. Python is suitable for model building, SPSS for statistical validation, and Tableau for </w:t>
      </w:r>
      <w:proofErr w:type="spellStart"/>
      <w:r w:rsidRPr="00281731">
        <w:rPr>
          <w:rFonts w:ascii="Arial" w:hAnsi="Arial" w:cs="Arial"/>
          <w:sz w:val="24"/>
          <w:szCs w:val="24"/>
        </w:rPr>
        <w:t>visualisation</w:t>
      </w:r>
      <w:proofErr w:type="spellEnd"/>
      <w:r w:rsidRPr="00281731">
        <w:rPr>
          <w:rFonts w:ascii="Arial" w:hAnsi="Arial" w:cs="Arial"/>
          <w:sz w:val="24"/>
          <w:szCs w:val="24"/>
        </w:rPr>
        <w:t xml:space="preserve"> and communication. This comprehensive methodology guarantees both analytical depth and usefulness.</w:t>
      </w:r>
      <w:r>
        <w:rPr>
          <w:rFonts w:ascii="Arial" w:hAnsi="Arial" w:cs="Arial"/>
          <w:sz w:val="24"/>
          <w:szCs w:val="24"/>
        </w:rPr>
        <w:t xml:space="preserve"> </w:t>
      </w:r>
      <w:r w:rsidRPr="00281731">
        <w:rPr>
          <w:rFonts w:ascii="Arial" w:hAnsi="Arial" w:cs="Arial"/>
          <w:sz w:val="24"/>
          <w:szCs w:val="24"/>
        </w:rPr>
        <w:t xml:space="preserve">Yet, predictive analytics has drawbacks, such as model accuracy, data quality, and ethical considerations. Models must be verified and modified on a regular basis to account for changing student </w:t>
      </w:r>
      <w:proofErr w:type="spellStart"/>
      <w:r w:rsidRPr="00281731">
        <w:rPr>
          <w:rFonts w:ascii="Arial" w:hAnsi="Arial" w:cs="Arial"/>
          <w:sz w:val="24"/>
          <w:szCs w:val="24"/>
        </w:rPr>
        <w:t>behaviours</w:t>
      </w:r>
      <w:proofErr w:type="spellEnd"/>
      <w:r w:rsidRPr="00281731">
        <w:rPr>
          <w:rFonts w:ascii="Arial" w:hAnsi="Arial" w:cs="Arial"/>
          <w:sz w:val="24"/>
          <w:szCs w:val="24"/>
        </w:rPr>
        <w:t xml:space="preserve"> and institutional circumstances. In addition, an excessive reliance on prediction algorithms may impair human judgement, particularly in academic decision-making.</w:t>
      </w:r>
    </w:p>
    <w:p w14:paraId="556526A0" w14:textId="1F3945F0" w:rsidR="00281731" w:rsidRPr="00B371A0" w:rsidRDefault="00281731" w:rsidP="00281731">
      <w:pPr>
        <w:spacing w:line="360" w:lineRule="auto"/>
        <w:rPr>
          <w:rFonts w:ascii="Arial" w:hAnsi="Arial" w:cs="Arial"/>
          <w:sz w:val="24"/>
          <w:szCs w:val="24"/>
        </w:rPr>
      </w:pPr>
      <w:r w:rsidRPr="00281731">
        <w:rPr>
          <w:rFonts w:ascii="Arial" w:hAnsi="Arial" w:cs="Arial"/>
          <w:sz w:val="24"/>
          <w:szCs w:val="24"/>
        </w:rPr>
        <w:t xml:space="preserve">As a result, predictive analytics should be considered as a decision-support tool that complements rather than replaces human expertise. When executed properly, it helps institutions to improve student results, </w:t>
      </w:r>
      <w:proofErr w:type="spellStart"/>
      <w:r w:rsidRPr="00281731">
        <w:rPr>
          <w:rFonts w:ascii="Arial" w:hAnsi="Arial" w:cs="Arial"/>
          <w:sz w:val="24"/>
          <w:szCs w:val="24"/>
        </w:rPr>
        <w:t>optimise</w:t>
      </w:r>
      <w:proofErr w:type="spellEnd"/>
      <w:r w:rsidRPr="00281731">
        <w:rPr>
          <w:rFonts w:ascii="Arial" w:hAnsi="Arial" w:cs="Arial"/>
          <w:sz w:val="24"/>
          <w:szCs w:val="24"/>
        </w:rPr>
        <w:t xml:space="preserve"> resource allocation, and increase strategic planning.</w:t>
      </w:r>
    </w:p>
    <w:p w14:paraId="3D46F256" w14:textId="7638D273" w:rsidR="00B371A0" w:rsidRDefault="00B371A0" w:rsidP="00B371A0">
      <w:pPr>
        <w:spacing w:line="360" w:lineRule="auto"/>
        <w:rPr>
          <w:rFonts w:ascii="Arial" w:hAnsi="Arial" w:cs="Arial"/>
          <w:sz w:val="24"/>
          <w:szCs w:val="24"/>
        </w:rPr>
      </w:pPr>
    </w:p>
    <w:p w14:paraId="7CEE8933" w14:textId="207DC2D1" w:rsidR="00281731" w:rsidRDefault="00281731" w:rsidP="00B371A0">
      <w:pPr>
        <w:spacing w:line="360" w:lineRule="auto"/>
        <w:rPr>
          <w:rFonts w:ascii="Arial" w:hAnsi="Arial" w:cs="Arial"/>
          <w:sz w:val="24"/>
          <w:szCs w:val="24"/>
        </w:rPr>
      </w:pPr>
    </w:p>
    <w:p w14:paraId="13A7A0AC" w14:textId="20CBAAAC" w:rsidR="00296922" w:rsidRDefault="00296922" w:rsidP="00B371A0">
      <w:pPr>
        <w:spacing w:line="360" w:lineRule="auto"/>
        <w:rPr>
          <w:rFonts w:ascii="Arial" w:hAnsi="Arial" w:cs="Arial"/>
          <w:sz w:val="24"/>
          <w:szCs w:val="24"/>
        </w:rPr>
      </w:pPr>
    </w:p>
    <w:p w14:paraId="405F4733" w14:textId="77777777" w:rsidR="00296922" w:rsidRDefault="00296922" w:rsidP="00B371A0">
      <w:pPr>
        <w:spacing w:line="360" w:lineRule="auto"/>
        <w:rPr>
          <w:rFonts w:ascii="Arial" w:hAnsi="Arial" w:cs="Arial"/>
          <w:sz w:val="24"/>
          <w:szCs w:val="24"/>
        </w:rPr>
      </w:pPr>
    </w:p>
    <w:p w14:paraId="6AD98367" w14:textId="106A012B" w:rsidR="00281731" w:rsidRDefault="00281731" w:rsidP="00B371A0">
      <w:pPr>
        <w:spacing w:line="360" w:lineRule="auto"/>
        <w:rPr>
          <w:rFonts w:ascii="Arial" w:hAnsi="Arial" w:cs="Arial"/>
          <w:b/>
          <w:bCs/>
          <w:sz w:val="24"/>
          <w:szCs w:val="24"/>
          <w:u w:val="single"/>
        </w:rPr>
      </w:pPr>
      <w:r>
        <w:rPr>
          <w:rFonts w:ascii="Arial" w:hAnsi="Arial" w:cs="Arial"/>
          <w:b/>
          <w:bCs/>
          <w:sz w:val="24"/>
          <w:szCs w:val="24"/>
          <w:u w:val="single"/>
        </w:rPr>
        <w:lastRenderedPageBreak/>
        <w:t xml:space="preserve">BI Ethics and Security  </w:t>
      </w:r>
    </w:p>
    <w:p w14:paraId="4DBB7728" w14:textId="2BD71DA3" w:rsidR="00281731" w:rsidRDefault="00281731" w:rsidP="00B371A0">
      <w:pPr>
        <w:spacing w:line="360" w:lineRule="auto"/>
        <w:rPr>
          <w:rFonts w:ascii="Arial" w:hAnsi="Arial" w:cs="Arial"/>
          <w:b/>
          <w:bCs/>
          <w:sz w:val="24"/>
          <w:szCs w:val="24"/>
          <w:u w:val="single"/>
        </w:rPr>
      </w:pPr>
    </w:p>
    <w:p w14:paraId="52F389EC" w14:textId="02E707EC" w:rsidR="00281731" w:rsidRPr="00281731" w:rsidRDefault="00281731" w:rsidP="00281731">
      <w:pPr>
        <w:spacing w:line="360" w:lineRule="auto"/>
        <w:rPr>
          <w:rFonts w:ascii="Arial" w:hAnsi="Arial" w:cs="Arial"/>
          <w:sz w:val="24"/>
          <w:szCs w:val="24"/>
        </w:rPr>
      </w:pPr>
      <w:r w:rsidRPr="00281731">
        <w:rPr>
          <w:rFonts w:ascii="Arial" w:hAnsi="Arial" w:cs="Arial"/>
          <w:sz w:val="24"/>
          <w:szCs w:val="24"/>
        </w:rPr>
        <w:t>The adoption of business intelligence and predictive analytics in higher education creates considerable ethical and data safety risks. Universities must follow data protection standards such as GDPR, which require that personal data be treated legitimately, openly, and for particular purposes (Information Commissioner's Office, 2023).</w:t>
      </w:r>
      <w:r>
        <w:rPr>
          <w:rFonts w:ascii="Arial" w:hAnsi="Arial" w:cs="Arial"/>
          <w:sz w:val="24"/>
          <w:szCs w:val="24"/>
        </w:rPr>
        <w:t xml:space="preserve"> </w:t>
      </w:r>
      <w:r w:rsidRPr="00281731">
        <w:rPr>
          <w:rFonts w:ascii="Arial" w:hAnsi="Arial" w:cs="Arial"/>
          <w:sz w:val="24"/>
          <w:szCs w:val="24"/>
        </w:rPr>
        <w:t>Student privacy and consent are important ethical considerations. Institutions must explicitly disclose how data is gathered, evaluated, and employed, especially for learning analytics applications. Failure to maintain openness can erode confidence and create fears about spying.</w:t>
      </w:r>
    </w:p>
    <w:p w14:paraId="7698C377" w14:textId="0AFFFCCF" w:rsidR="00281731" w:rsidRDefault="00281731" w:rsidP="00281731">
      <w:pPr>
        <w:spacing w:line="360" w:lineRule="auto"/>
        <w:rPr>
          <w:rFonts w:ascii="Arial" w:hAnsi="Arial" w:cs="Arial"/>
          <w:sz w:val="24"/>
          <w:szCs w:val="24"/>
        </w:rPr>
      </w:pPr>
      <w:r w:rsidRPr="00281731">
        <w:rPr>
          <w:rFonts w:ascii="Arial" w:hAnsi="Arial" w:cs="Arial"/>
          <w:sz w:val="24"/>
          <w:szCs w:val="24"/>
        </w:rPr>
        <w:t>Algorithmic bias is another important aspect. Predictive models that are trained on biased or inadequate data may disproportionately harm specific student groups (Holmes et al., 2019). This demands continuous auditing and validation to maintain equity and accountability.</w:t>
      </w:r>
    </w:p>
    <w:p w14:paraId="3360AA38" w14:textId="77777777" w:rsidR="00281731" w:rsidRPr="00281731" w:rsidRDefault="00281731" w:rsidP="00281731">
      <w:pPr>
        <w:spacing w:line="360" w:lineRule="auto"/>
        <w:rPr>
          <w:rFonts w:ascii="Arial" w:hAnsi="Arial" w:cs="Arial"/>
          <w:sz w:val="24"/>
          <w:szCs w:val="24"/>
        </w:rPr>
      </w:pPr>
      <w:r w:rsidRPr="00281731">
        <w:rPr>
          <w:rFonts w:ascii="Arial" w:hAnsi="Arial" w:cs="Arial"/>
          <w:sz w:val="24"/>
          <w:szCs w:val="24"/>
        </w:rPr>
        <w:t xml:space="preserve">From a security standpoint, institutions must adopt strong protections such as encryption, access limits, and secure authentication procedures. These safeguards protect sensitive information from </w:t>
      </w:r>
      <w:proofErr w:type="spellStart"/>
      <w:r w:rsidRPr="00281731">
        <w:rPr>
          <w:rFonts w:ascii="Arial" w:hAnsi="Arial" w:cs="Arial"/>
          <w:sz w:val="24"/>
          <w:szCs w:val="24"/>
        </w:rPr>
        <w:t>unauthorised</w:t>
      </w:r>
      <w:proofErr w:type="spellEnd"/>
      <w:r w:rsidRPr="00281731">
        <w:rPr>
          <w:rFonts w:ascii="Arial" w:hAnsi="Arial" w:cs="Arial"/>
          <w:sz w:val="24"/>
          <w:szCs w:val="24"/>
        </w:rPr>
        <w:t xml:space="preserve"> access and cyber threats.</w:t>
      </w:r>
    </w:p>
    <w:p w14:paraId="199249D9" w14:textId="7427A01B" w:rsidR="00281731" w:rsidRDefault="00281731" w:rsidP="00281731">
      <w:pPr>
        <w:spacing w:line="360" w:lineRule="auto"/>
        <w:rPr>
          <w:rFonts w:ascii="Arial" w:hAnsi="Arial" w:cs="Arial"/>
          <w:sz w:val="24"/>
          <w:szCs w:val="24"/>
        </w:rPr>
      </w:pPr>
      <w:r w:rsidRPr="00281731">
        <w:rPr>
          <w:rFonts w:ascii="Arial" w:hAnsi="Arial" w:cs="Arial"/>
          <w:sz w:val="24"/>
          <w:szCs w:val="24"/>
        </w:rPr>
        <w:t xml:space="preserve">Ultimately, ethical and safe BI deployment necessitates a delicate balance between data </w:t>
      </w:r>
      <w:proofErr w:type="spellStart"/>
      <w:r w:rsidRPr="00281731">
        <w:rPr>
          <w:rFonts w:ascii="Arial" w:hAnsi="Arial" w:cs="Arial"/>
          <w:sz w:val="24"/>
          <w:szCs w:val="24"/>
        </w:rPr>
        <w:t>utilisation</w:t>
      </w:r>
      <w:proofErr w:type="spellEnd"/>
      <w:r w:rsidRPr="00281731">
        <w:rPr>
          <w:rFonts w:ascii="Arial" w:hAnsi="Arial" w:cs="Arial"/>
          <w:sz w:val="24"/>
          <w:szCs w:val="24"/>
        </w:rPr>
        <w:t xml:space="preserve"> and individual rights protection, which must be backed by robust governance structures and institutional responsibility.</w:t>
      </w:r>
    </w:p>
    <w:p w14:paraId="2F360E91" w14:textId="51FCE05B" w:rsidR="00281731" w:rsidRDefault="00281731" w:rsidP="00281731">
      <w:pPr>
        <w:spacing w:line="360" w:lineRule="auto"/>
        <w:rPr>
          <w:rFonts w:ascii="Arial" w:hAnsi="Arial" w:cs="Arial"/>
          <w:sz w:val="24"/>
          <w:szCs w:val="24"/>
        </w:rPr>
      </w:pPr>
    </w:p>
    <w:p w14:paraId="6D37F5FF" w14:textId="16E529E8" w:rsidR="00281731" w:rsidRDefault="00281731" w:rsidP="00281731">
      <w:pPr>
        <w:spacing w:line="360" w:lineRule="auto"/>
        <w:rPr>
          <w:rFonts w:ascii="Arial" w:hAnsi="Arial" w:cs="Arial"/>
          <w:sz w:val="24"/>
          <w:szCs w:val="24"/>
        </w:rPr>
      </w:pPr>
    </w:p>
    <w:p w14:paraId="70855CE7" w14:textId="474A0FE4" w:rsidR="00281731" w:rsidRDefault="00281731" w:rsidP="00281731">
      <w:pPr>
        <w:spacing w:line="360" w:lineRule="auto"/>
        <w:rPr>
          <w:rFonts w:ascii="Arial" w:hAnsi="Arial" w:cs="Arial"/>
          <w:sz w:val="24"/>
          <w:szCs w:val="24"/>
        </w:rPr>
      </w:pPr>
    </w:p>
    <w:p w14:paraId="7F506EF9" w14:textId="4BBE3BCB" w:rsidR="00281731" w:rsidRDefault="00281731" w:rsidP="00281731">
      <w:pPr>
        <w:spacing w:line="360" w:lineRule="auto"/>
        <w:rPr>
          <w:rFonts w:ascii="Arial" w:hAnsi="Arial" w:cs="Arial"/>
          <w:sz w:val="24"/>
          <w:szCs w:val="24"/>
        </w:rPr>
      </w:pPr>
    </w:p>
    <w:p w14:paraId="5C08C5F8" w14:textId="579F9229" w:rsidR="00281731" w:rsidRDefault="00281731" w:rsidP="00281731">
      <w:pPr>
        <w:spacing w:line="360" w:lineRule="auto"/>
        <w:rPr>
          <w:rFonts w:ascii="Arial" w:hAnsi="Arial" w:cs="Arial"/>
          <w:sz w:val="24"/>
          <w:szCs w:val="24"/>
        </w:rPr>
      </w:pPr>
    </w:p>
    <w:p w14:paraId="1FB70B49" w14:textId="4C38A192" w:rsidR="00281731" w:rsidRDefault="00281731" w:rsidP="00281731">
      <w:pPr>
        <w:spacing w:line="360" w:lineRule="auto"/>
        <w:rPr>
          <w:rFonts w:ascii="Arial" w:hAnsi="Arial" w:cs="Arial"/>
          <w:sz w:val="24"/>
          <w:szCs w:val="24"/>
        </w:rPr>
      </w:pPr>
    </w:p>
    <w:p w14:paraId="339B44C4" w14:textId="77777777" w:rsidR="00281731" w:rsidRDefault="00281731" w:rsidP="00281731">
      <w:pPr>
        <w:spacing w:line="360" w:lineRule="auto"/>
        <w:rPr>
          <w:rFonts w:ascii="Arial" w:hAnsi="Arial" w:cs="Arial"/>
          <w:sz w:val="24"/>
          <w:szCs w:val="24"/>
        </w:rPr>
      </w:pPr>
    </w:p>
    <w:p w14:paraId="04751B5F" w14:textId="1C02CA30" w:rsidR="00281731" w:rsidRDefault="00281731" w:rsidP="00281731">
      <w:pPr>
        <w:spacing w:line="360" w:lineRule="auto"/>
        <w:rPr>
          <w:rFonts w:ascii="Arial" w:hAnsi="Arial" w:cs="Arial"/>
          <w:b/>
          <w:bCs/>
          <w:sz w:val="24"/>
          <w:szCs w:val="24"/>
          <w:u w:val="single"/>
        </w:rPr>
      </w:pPr>
      <w:r>
        <w:rPr>
          <w:rFonts w:ascii="Arial" w:hAnsi="Arial" w:cs="Arial"/>
          <w:b/>
          <w:bCs/>
          <w:sz w:val="24"/>
          <w:szCs w:val="24"/>
          <w:u w:val="single"/>
        </w:rPr>
        <w:lastRenderedPageBreak/>
        <w:t>Reporting and Dashboard</w:t>
      </w:r>
    </w:p>
    <w:p w14:paraId="3213432B" w14:textId="28049726" w:rsidR="00281731" w:rsidRDefault="00281731" w:rsidP="00281731">
      <w:pPr>
        <w:spacing w:line="360" w:lineRule="auto"/>
        <w:rPr>
          <w:rFonts w:ascii="Arial" w:hAnsi="Arial" w:cs="Arial"/>
          <w:b/>
          <w:bCs/>
          <w:sz w:val="24"/>
          <w:szCs w:val="24"/>
          <w:u w:val="single"/>
        </w:rPr>
      </w:pPr>
    </w:p>
    <w:p w14:paraId="15E8E115" w14:textId="77777777" w:rsidR="00281731" w:rsidRPr="00281731" w:rsidRDefault="00281731" w:rsidP="00281731">
      <w:pPr>
        <w:spacing w:line="360" w:lineRule="auto"/>
        <w:rPr>
          <w:rFonts w:ascii="Arial" w:hAnsi="Arial" w:cs="Arial"/>
          <w:sz w:val="24"/>
          <w:szCs w:val="24"/>
        </w:rPr>
      </w:pPr>
      <w:r w:rsidRPr="00281731">
        <w:rPr>
          <w:rFonts w:ascii="Arial" w:hAnsi="Arial" w:cs="Arial"/>
          <w:sz w:val="24"/>
          <w:szCs w:val="24"/>
        </w:rPr>
        <w:t>Business Intelligence (BI) reporting and dashboard solutions are a key interface for students, academics and leaders between data analysis and decision making within a higher education institution. Business Intelligence (BI) dashboards allow for presentation of large volumes of data in a meaningful way, in a structured, dynamic and interactive format, which is used for real time monitoring and decision making (Few, 2013).</w:t>
      </w:r>
    </w:p>
    <w:p w14:paraId="53274E11" w14:textId="163D1311" w:rsidR="00281731" w:rsidRDefault="00281731" w:rsidP="00281731">
      <w:pPr>
        <w:spacing w:line="360" w:lineRule="auto"/>
        <w:rPr>
          <w:rFonts w:ascii="Arial" w:hAnsi="Arial" w:cs="Arial"/>
          <w:sz w:val="24"/>
          <w:szCs w:val="24"/>
        </w:rPr>
      </w:pPr>
      <w:r w:rsidRPr="00281731">
        <w:rPr>
          <w:rFonts w:ascii="Arial" w:hAnsi="Arial" w:cs="Arial"/>
          <w:sz w:val="24"/>
          <w:szCs w:val="24"/>
        </w:rPr>
        <w:t xml:space="preserve">There are a number of data sources that support visual analytics through tools like Tableau and Power BI. Many of the data sources within an institution can be mashed up to create interactive </w:t>
      </w:r>
      <w:r w:rsidRPr="00281731">
        <w:rPr>
          <w:rFonts w:ascii="Arial" w:hAnsi="Arial" w:cs="Arial"/>
          <w:sz w:val="24"/>
          <w:szCs w:val="24"/>
        </w:rPr>
        <w:t>visuali</w:t>
      </w:r>
      <w:r>
        <w:rPr>
          <w:rFonts w:ascii="Arial" w:hAnsi="Arial" w:cs="Arial"/>
          <w:sz w:val="24"/>
          <w:szCs w:val="24"/>
        </w:rPr>
        <w:t>z</w:t>
      </w:r>
      <w:r w:rsidRPr="00281731">
        <w:rPr>
          <w:rFonts w:ascii="Arial" w:hAnsi="Arial" w:cs="Arial"/>
          <w:sz w:val="24"/>
          <w:szCs w:val="24"/>
        </w:rPr>
        <w:t>ations</w:t>
      </w:r>
      <w:r w:rsidRPr="00281731">
        <w:rPr>
          <w:rFonts w:ascii="Arial" w:hAnsi="Arial" w:cs="Arial"/>
          <w:sz w:val="24"/>
          <w:szCs w:val="24"/>
        </w:rPr>
        <w:t xml:space="preserve">. Data sources can be linked from institutional level to very detailed level of analysis which is important in higher education where institutions must balance the need for </w:t>
      </w:r>
      <w:r w:rsidRPr="00281731">
        <w:rPr>
          <w:rFonts w:ascii="Arial" w:hAnsi="Arial" w:cs="Arial"/>
          <w:sz w:val="24"/>
          <w:szCs w:val="24"/>
        </w:rPr>
        <w:t>a</w:t>
      </w:r>
      <w:r w:rsidRPr="00281731">
        <w:rPr>
          <w:rFonts w:ascii="Arial" w:hAnsi="Arial" w:cs="Arial"/>
          <w:sz w:val="24"/>
          <w:szCs w:val="24"/>
        </w:rPr>
        <w:t xml:space="preserve"> holistic view of the institution with an understanding of data at an operational level for effective decision-making.</w:t>
      </w:r>
    </w:p>
    <w:p w14:paraId="6B4FBE77" w14:textId="0C5109AA" w:rsidR="00281731" w:rsidRPr="00281731" w:rsidRDefault="00281731" w:rsidP="00281731">
      <w:pPr>
        <w:spacing w:line="360" w:lineRule="auto"/>
        <w:rPr>
          <w:rFonts w:ascii="Arial" w:hAnsi="Arial" w:cs="Arial"/>
          <w:sz w:val="24"/>
          <w:szCs w:val="24"/>
        </w:rPr>
      </w:pPr>
      <w:r w:rsidRPr="00281731">
        <w:rPr>
          <w:rFonts w:ascii="Arial" w:hAnsi="Arial" w:cs="Arial"/>
          <w:sz w:val="24"/>
          <w:szCs w:val="24"/>
        </w:rPr>
        <w:t xml:space="preserve">Key performance indicators (KPIs) include student retention, advancement rates, achievement levels, and resource allocation. Dashboards allow for the prompt detection of performance gaps and timely actions by providing </w:t>
      </w:r>
      <w:r w:rsidRPr="00281731">
        <w:rPr>
          <w:rFonts w:ascii="Arial" w:hAnsi="Arial" w:cs="Arial"/>
          <w:sz w:val="24"/>
          <w:szCs w:val="24"/>
        </w:rPr>
        <w:t>this information</w:t>
      </w:r>
      <w:r w:rsidRPr="00281731">
        <w:rPr>
          <w:rFonts w:ascii="Arial" w:hAnsi="Arial" w:cs="Arial"/>
          <w:sz w:val="24"/>
          <w:szCs w:val="24"/>
        </w:rPr>
        <w:t xml:space="preserve"> in real time. However, the efficacy of dashboards is determined by their design and alignment with business goals. Poorly </w:t>
      </w:r>
      <w:proofErr w:type="spellStart"/>
      <w:r w:rsidRPr="00281731">
        <w:rPr>
          <w:rFonts w:ascii="Arial" w:hAnsi="Arial" w:cs="Arial"/>
          <w:sz w:val="24"/>
          <w:szCs w:val="24"/>
        </w:rPr>
        <w:t>organised</w:t>
      </w:r>
      <w:proofErr w:type="spellEnd"/>
      <w:r w:rsidRPr="00281731">
        <w:rPr>
          <w:rFonts w:ascii="Arial" w:hAnsi="Arial" w:cs="Arial"/>
          <w:sz w:val="24"/>
          <w:szCs w:val="24"/>
        </w:rPr>
        <w:t xml:space="preserve"> dashboards might result in cognitive overload, misunderstanding, or selective data </w:t>
      </w:r>
      <w:proofErr w:type="spellStart"/>
      <w:r w:rsidRPr="00281731">
        <w:rPr>
          <w:rFonts w:ascii="Arial" w:hAnsi="Arial" w:cs="Arial"/>
          <w:sz w:val="24"/>
          <w:szCs w:val="24"/>
        </w:rPr>
        <w:t>utilisation</w:t>
      </w:r>
      <w:proofErr w:type="spellEnd"/>
      <w:r w:rsidRPr="00281731">
        <w:rPr>
          <w:rFonts w:ascii="Arial" w:hAnsi="Arial" w:cs="Arial"/>
          <w:sz w:val="24"/>
          <w:szCs w:val="24"/>
        </w:rPr>
        <w:t>.</w:t>
      </w:r>
    </w:p>
    <w:p w14:paraId="40113CD5" w14:textId="1BEC886B" w:rsidR="00281731" w:rsidRDefault="00281731" w:rsidP="00281731">
      <w:pPr>
        <w:spacing w:line="360" w:lineRule="auto"/>
        <w:rPr>
          <w:rFonts w:ascii="Arial" w:hAnsi="Arial" w:cs="Arial"/>
          <w:sz w:val="24"/>
          <w:szCs w:val="24"/>
        </w:rPr>
      </w:pPr>
      <w:r w:rsidRPr="00281731">
        <w:rPr>
          <w:rFonts w:ascii="Arial" w:hAnsi="Arial" w:cs="Arial"/>
          <w:sz w:val="24"/>
          <w:szCs w:val="24"/>
        </w:rPr>
        <w:t xml:space="preserve">Furthermore, successful adoption of BI dashboards necessitates the development of data literacy among personnel to guarantee proper interpretation and informed decision-making. Continuous review, user input, and alignment with institutional goals are all required to </w:t>
      </w:r>
      <w:proofErr w:type="spellStart"/>
      <w:r w:rsidRPr="00281731">
        <w:rPr>
          <w:rFonts w:ascii="Arial" w:hAnsi="Arial" w:cs="Arial"/>
          <w:sz w:val="24"/>
          <w:szCs w:val="24"/>
        </w:rPr>
        <w:t>optimise</w:t>
      </w:r>
      <w:proofErr w:type="spellEnd"/>
      <w:r w:rsidRPr="00281731">
        <w:rPr>
          <w:rFonts w:ascii="Arial" w:hAnsi="Arial" w:cs="Arial"/>
          <w:sz w:val="24"/>
          <w:szCs w:val="24"/>
        </w:rPr>
        <w:t xml:space="preserve"> their value.</w:t>
      </w:r>
    </w:p>
    <w:p w14:paraId="5C3A2A2E" w14:textId="3E7115F1" w:rsidR="00281731" w:rsidRDefault="00281731" w:rsidP="00281731">
      <w:pPr>
        <w:spacing w:line="360" w:lineRule="auto"/>
        <w:rPr>
          <w:rFonts w:ascii="Arial" w:hAnsi="Arial" w:cs="Arial"/>
          <w:sz w:val="24"/>
          <w:szCs w:val="24"/>
        </w:rPr>
      </w:pPr>
    </w:p>
    <w:p w14:paraId="13639E03" w14:textId="6FB19C4C" w:rsidR="00281731" w:rsidRDefault="00281731" w:rsidP="00281731">
      <w:pPr>
        <w:spacing w:line="360" w:lineRule="auto"/>
        <w:rPr>
          <w:rFonts w:ascii="Arial" w:hAnsi="Arial" w:cs="Arial"/>
          <w:sz w:val="24"/>
          <w:szCs w:val="24"/>
        </w:rPr>
      </w:pPr>
    </w:p>
    <w:p w14:paraId="0BC60D31" w14:textId="47F4D4C3" w:rsidR="00281731" w:rsidRDefault="00281731" w:rsidP="00281731">
      <w:pPr>
        <w:spacing w:line="360" w:lineRule="auto"/>
        <w:rPr>
          <w:rFonts w:ascii="Arial" w:hAnsi="Arial" w:cs="Arial"/>
          <w:sz w:val="24"/>
          <w:szCs w:val="24"/>
        </w:rPr>
      </w:pPr>
    </w:p>
    <w:p w14:paraId="16930D04" w14:textId="22671391" w:rsidR="00281731" w:rsidRDefault="00281731" w:rsidP="00281731">
      <w:pPr>
        <w:spacing w:line="360" w:lineRule="auto"/>
        <w:rPr>
          <w:rFonts w:ascii="Arial" w:hAnsi="Arial" w:cs="Arial"/>
          <w:sz w:val="24"/>
          <w:szCs w:val="24"/>
        </w:rPr>
      </w:pPr>
    </w:p>
    <w:p w14:paraId="67667598" w14:textId="0367101B" w:rsidR="00281731" w:rsidRDefault="00281731" w:rsidP="00281731">
      <w:pPr>
        <w:spacing w:line="360" w:lineRule="auto"/>
        <w:rPr>
          <w:rFonts w:ascii="Arial" w:hAnsi="Arial" w:cs="Arial"/>
          <w:b/>
          <w:bCs/>
          <w:sz w:val="24"/>
          <w:szCs w:val="24"/>
          <w:u w:val="single"/>
        </w:rPr>
      </w:pPr>
      <w:r>
        <w:rPr>
          <w:rFonts w:ascii="Arial" w:hAnsi="Arial" w:cs="Arial"/>
          <w:b/>
          <w:bCs/>
          <w:sz w:val="24"/>
          <w:szCs w:val="24"/>
          <w:u w:val="single"/>
        </w:rPr>
        <w:lastRenderedPageBreak/>
        <w:t>Conclusion</w:t>
      </w:r>
    </w:p>
    <w:p w14:paraId="23E19967" w14:textId="20C6C3BC" w:rsidR="00281731" w:rsidRDefault="00281731" w:rsidP="00281731">
      <w:pPr>
        <w:spacing w:line="360" w:lineRule="auto"/>
        <w:rPr>
          <w:rFonts w:ascii="Arial" w:hAnsi="Arial" w:cs="Arial"/>
          <w:b/>
          <w:bCs/>
          <w:sz w:val="24"/>
          <w:szCs w:val="24"/>
          <w:u w:val="single"/>
        </w:rPr>
      </w:pPr>
    </w:p>
    <w:p w14:paraId="310240BA" w14:textId="0FE26C40" w:rsidR="00296922" w:rsidRPr="00296922" w:rsidRDefault="00296922" w:rsidP="00296922">
      <w:pPr>
        <w:spacing w:line="360" w:lineRule="auto"/>
        <w:rPr>
          <w:rFonts w:ascii="Arial" w:hAnsi="Arial" w:cs="Arial"/>
          <w:sz w:val="24"/>
          <w:szCs w:val="24"/>
        </w:rPr>
      </w:pPr>
      <w:r w:rsidRPr="00296922">
        <w:rPr>
          <w:rFonts w:ascii="Arial" w:hAnsi="Arial" w:cs="Arial"/>
          <w:sz w:val="24"/>
          <w:szCs w:val="24"/>
        </w:rPr>
        <w:t>This paper has thoroughly examined the use of Business Intelligence (BI), Data Warehousing (DW), and Data Mining (DM) in a higher education institution, highlighting its strategic importance in improving decision-making and institutional performance.</w:t>
      </w:r>
    </w:p>
    <w:p w14:paraId="044FC96F" w14:textId="6F121B6F" w:rsidR="00281731" w:rsidRDefault="00296922" w:rsidP="00296922">
      <w:pPr>
        <w:spacing w:line="360" w:lineRule="auto"/>
        <w:rPr>
          <w:rFonts w:ascii="Arial" w:hAnsi="Arial" w:cs="Arial"/>
          <w:sz w:val="24"/>
          <w:szCs w:val="24"/>
        </w:rPr>
      </w:pPr>
      <w:r w:rsidRPr="00296922">
        <w:rPr>
          <w:rFonts w:ascii="Arial" w:hAnsi="Arial" w:cs="Arial"/>
          <w:sz w:val="24"/>
          <w:szCs w:val="24"/>
        </w:rPr>
        <w:t xml:space="preserve">According to the findings, data warehousing provides a basis for integrating varied datasets, whilst data mining and predictive analytics provide more in-depth insights into student </w:t>
      </w:r>
      <w:proofErr w:type="spellStart"/>
      <w:r w:rsidRPr="00296922">
        <w:rPr>
          <w:rFonts w:ascii="Arial" w:hAnsi="Arial" w:cs="Arial"/>
          <w:sz w:val="24"/>
          <w:szCs w:val="24"/>
        </w:rPr>
        <w:t>behaviour</w:t>
      </w:r>
      <w:proofErr w:type="spellEnd"/>
      <w:r w:rsidRPr="00296922">
        <w:rPr>
          <w:rFonts w:ascii="Arial" w:hAnsi="Arial" w:cs="Arial"/>
          <w:sz w:val="24"/>
          <w:szCs w:val="24"/>
        </w:rPr>
        <w:t xml:space="preserve"> and </w:t>
      </w:r>
      <w:proofErr w:type="spellStart"/>
      <w:r w:rsidRPr="00296922">
        <w:rPr>
          <w:rFonts w:ascii="Arial" w:hAnsi="Arial" w:cs="Arial"/>
          <w:sz w:val="24"/>
          <w:szCs w:val="24"/>
        </w:rPr>
        <w:t>organisational</w:t>
      </w:r>
      <w:proofErr w:type="spellEnd"/>
      <w:r w:rsidRPr="00296922">
        <w:rPr>
          <w:rFonts w:ascii="Arial" w:hAnsi="Arial" w:cs="Arial"/>
          <w:sz w:val="24"/>
          <w:szCs w:val="24"/>
        </w:rPr>
        <w:t xml:space="preserve"> patterns. Nonetheless, these advantages do not occur spontaneously; they are dependent on data quality, suitable methodological application, and </w:t>
      </w:r>
      <w:proofErr w:type="spellStart"/>
      <w:r w:rsidRPr="00296922">
        <w:rPr>
          <w:rFonts w:ascii="Arial" w:hAnsi="Arial" w:cs="Arial"/>
          <w:sz w:val="24"/>
          <w:szCs w:val="24"/>
        </w:rPr>
        <w:t>organisational</w:t>
      </w:r>
      <w:proofErr w:type="spellEnd"/>
      <w:r w:rsidRPr="00296922">
        <w:rPr>
          <w:rFonts w:ascii="Arial" w:hAnsi="Arial" w:cs="Arial"/>
          <w:sz w:val="24"/>
          <w:szCs w:val="24"/>
        </w:rPr>
        <w:t xml:space="preserve"> preparation.</w:t>
      </w:r>
      <w:r>
        <w:rPr>
          <w:rFonts w:ascii="Arial" w:hAnsi="Arial" w:cs="Arial"/>
          <w:sz w:val="24"/>
          <w:szCs w:val="24"/>
        </w:rPr>
        <w:t xml:space="preserve"> </w:t>
      </w:r>
      <w:r w:rsidRPr="00296922">
        <w:rPr>
          <w:rFonts w:ascii="Arial" w:hAnsi="Arial" w:cs="Arial"/>
          <w:sz w:val="24"/>
          <w:szCs w:val="24"/>
        </w:rPr>
        <w:t xml:space="preserve">More importantly, the research </w:t>
      </w:r>
      <w:proofErr w:type="spellStart"/>
      <w:r w:rsidRPr="00296922">
        <w:rPr>
          <w:rFonts w:ascii="Arial" w:hAnsi="Arial" w:cs="Arial"/>
          <w:sz w:val="24"/>
          <w:szCs w:val="24"/>
        </w:rPr>
        <w:t>emphasises</w:t>
      </w:r>
      <w:proofErr w:type="spellEnd"/>
      <w:r w:rsidRPr="00296922">
        <w:rPr>
          <w:rFonts w:ascii="Arial" w:hAnsi="Arial" w:cs="Arial"/>
          <w:sz w:val="24"/>
          <w:szCs w:val="24"/>
        </w:rPr>
        <w:t xml:space="preserve"> that ethical factors like as data protection, consent, and algorithmic bias are critical challenges that must be addressed through strong governance structures.</w:t>
      </w:r>
    </w:p>
    <w:p w14:paraId="24B364F1" w14:textId="125163A8" w:rsidR="00296922" w:rsidRDefault="00296922" w:rsidP="00296922">
      <w:pPr>
        <w:spacing w:line="360" w:lineRule="auto"/>
        <w:rPr>
          <w:rFonts w:ascii="Arial" w:hAnsi="Arial" w:cs="Arial"/>
          <w:sz w:val="24"/>
          <w:szCs w:val="24"/>
        </w:rPr>
      </w:pPr>
      <w:r w:rsidRPr="00296922">
        <w:rPr>
          <w:rFonts w:ascii="Arial" w:hAnsi="Arial" w:cs="Arial"/>
          <w:sz w:val="24"/>
          <w:szCs w:val="24"/>
        </w:rPr>
        <w:t xml:space="preserve">Therefore, BI should be </w:t>
      </w:r>
      <w:proofErr w:type="spellStart"/>
      <w:r w:rsidRPr="00296922">
        <w:rPr>
          <w:rFonts w:ascii="Arial" w:hAnsi="Arial" w:cs="Arial"/>
          <w:sz w:val="24"/>
          <w:szCs w:val="24"/>
        </w:rPr>
        <w:t>conceptualised</w:t>
      </w:r>
      <w:proofErr w:type="spellEnd"/>
      <w:r w:rsidRPr="00296922">
        <w:rPr>
          <w:rFonts w:ascii="Arial" w:hAnsi="Arial" w:cs="Arial"/>
          <w:sz w:val="24"/>
          <w:szCs w:val="24"/>
        </w:rPr>
        <w:t xml:space="preserve"> not merely as a technological solution, but as a strategic capability that requires alignment with institutional goals, investment in skills, and ongoing evaluation. When implemented effectively, BI can significantly enhance both academic outcomes and operational efficiency.</w:t>
      </w:r>
    </w:p>
    <w:p w14:paraId="5768CC91" w14:textId="6A7CBAC7" w:rsidR="00296922" w:rsidRDefault="00296922" w:rsidP="00296922">
      <w:pPr>
        <w:spacing w:line="360" w:lineRule="auto"/>
        <w:rPr>
          <w:rFonts w:ascii="Arial" w:hAnsi="Arial" w:cs="Arial"/>
          <w:sz w:val="24"/>
          <w:szCs w:val="24"/>
        </w:rPr>
      </w:pPr>
    </w:p>
    <w:p w14:paraId="4E1657E8" w14:textId="4A374389" w:rsidR="00296922" w:rsidRDefault="00296922" w:rsidP="00296922">
      <w:pPr>
        <w:spacing w:line="360" w:lineRule="auto"/>
        <w:rPr>
          <w:rFonts w:ascii="Arial" w:hAnsi="Arial" w:cs="Arial"/>
          <w:sz w:val="24"/>
          <w:szCs w:val="24"/>
        </w:rPr>
      </w:pPr>
    </w:p>
    <w:p w14:paraId="4526B9F5" w14:textId="79B8C803" w:rsidR="00296922" w:rsidRDefault="00296922" w:rsidP="00296922">
      <w:pPr>
        <w:spacing w:line="360" w:lineRule="auto"/>
        <w:rPr>
          <w:rFonts w:ascii="Arial" w:hAnsi="Arial" w:cs="Arial"/>
          <w:sz w:val="24"/>
          <w:szCs w:val="24"/>
        </w:rPr>
      </w:pPr>
    </w:p>
    <w:p w14:paraId="40DE1D64" w14:textId="241A5A60" w:rsidR="00296922" w:rsidRDefault="00296922" w:rsidP="00296922">
      <w:pPr>
        <w:spacing w:line="360" w:lineRule="auto"/>
        <w:rPr>
          <w:rFonts w:ascii="Arial" w:hAnsi="Arial" w:cs="Arial"/>
          <w:sz w:val="24"/>
          <w:szCs w:val="24"/>
        </w:rPr>
      </w:pPr>
    </w:p>
    <w:p w14:paraId="2209CE92" w14:textId="6D468BA1" w:rsidR="00296922" w:rsidRDefault="00296922" w:rsidP="00296922">
      <w:pPr>
        <w:spacing w:line="360" w:lineRule="auto"/>
        <w:rPr>
          <w:rFonts w:ascii="Arial" w:hAnsi="Arial" w:cs="Arial"/>
          <w:sz w:val="24"/>
          <w:szCs w:val="24"/>
        </w:rPr>
      </w:pPr>
    </w:p>
    <w:p w14:paraId="4667A276" w14:textId="10D07631" w:rsidR="00296922" w:rsidRDefault="00296922" w:rsidP="00296922">
      <w:pPr>
        <w:spacing w:line="360" w:lineRule="auto"/>
        <w:rPr>
          <w:rFonts w:ascii="Arial" w:hAnsi="Arial" w:cs="Arial"/>
          <w:sz w:val="24"/>
          <w:szCs w:val="24"/>
        </w:rPr>
      </w:pPr>
    </w:p>
    <w:p w14:paraId="2852E9CE" w14:textId="0FE03990" w:rsidR="00296922" w:rsidRDefault="00296922" w:rsidP="00296922">
      <w:pPr>
        <w:spacing w:line="360" w:lineRule="auto"/>
        <w:rPr>
          <w:rFonts w:ascii="Arial" w:hAnsi="Arial" w:cs="Arial"/>
          <w:sz w:val="24"/>
          <w:szCs w:val="24"/>
        </w:rPr>
      </w:pPr>
    </w:p>
    <w:p w14:paraId="280D05DB" w14:textId="16A67369" w:rsidR="00296922" w:rsidRDefault="00296922" w:rsidP="00296922">
      <w:pPr>
        <w:spacing w:line="360" w:lineRule="auto"/>
        <w:rPr>
          <w:rFonts w:ascii="Arial" w:hAnsi="Arial" w:cs="Arial"/>
          <w:sz w:val="24"/>
          <w:szCs w:val="24"/>
        </w:rPr>
      </w:pPr>
    </w:p>
    <w:p w14:paraId="0AA63640" w14:textId="257BE415" w:rsidR="00296922" w:rsidRDefault="00296922" w:rsidP="00296922">
      <w:pPr>
        <w:spacing w:line="360" w:lineRule="auto"/>
        <w:rPr>
          <w:rFonts w:ascii="Arial" w:hAnsi="Arial" w:cs="Arial"/>
          <w:sz w:val="24"/>
          <w:szCs w:val="24"/>
        </w:rPr>
      </w:pPr>
    </w:p>
    <w:p w14:paraId="6FA2CCFF" w14:textId="539F58D5" w:rsidR="00296922" w:rsidRDefault="00296922" w:rsidP="00296922">
      <w:pPr>
        <w:spacing w:line="360" w:lineRule="auto"/>
        <w:rPr>
          <w:rFonts w:ascii="Arial" w:hAnsi="Arial" w:cs="Arial"/>
          <w:sz w:val="24"/>
          <w:szCs w:val="24"/>
        </w:rPr>
      </w:pPr>
    </w:p>
    <w:p w14:paraId="231FC982" w14:textId="512FAC38" w:rsidR="00296922" w:rsidRDefault="00296922" w:rsidP="00296922">
      <w:pPr>
        <w:spacing w:line="360" w:lineRule="auto"/>
        <w:rPr>
          <w:rFonts w:ascii="Arial" w:hAnsi="Arial" w:cs="Arial"/>
          <w:b/>
          <w:bCs/>
          <w:sz w:val="24"/>
          <w:szCs w:val="24"/>
          <w:u w:val="single"/>
        </w:rPr>
      </w:pPr>
      <w:r>
        <w:rPr>
          <w:rFonts w:ascii="Arial" w:hAnsi="Arial" w:cs="Arial"/>
          <w:b/>
          <w:bCs/>
          <w:sz w:val="24"/>
          <w:szCs w:val="24"/>
          <w:u w:val="single"/>
        </w:rPr>
        <w:lastRenderedPageBreak/>
        <w:t>References</w:t>
      </w:r>
    </w:p>
    <w:p w14:paraId="2CEEB0BE" w14:textId="5BFF3F0A" w:rsidR="00296922" w:rsidRDefault="00296922" w:rsidP="00296922">
      <w:pPr>
        <w:spacing w:line="360" w:lineRule="auto"/>
        <w:rPr>
          <w:rFonts w:ascii="Arial" w:hAnsi="Arial" w:cs="Arial"/>
          <w:b/>
          <w:bCs/>
          <w:sz w:val="24"/>
          <w:szCs w:val="24"/>
          <w:u w:val="single"/>
        </w:rPr>
      </w:pPr>
    </w:p>
    <w:p w14:paraId="0982279E" w14:textId="59C512DC" w:rsidR="00296922" w:rsidRPr="00296922" w:rsidRDefault="00296922" w:rsidP="00296922">
      <w:pPr>
        <w:pStyle w:val="NormalWeb"/>
        <w:spacing w:before="0" w:beforeAutospacing="0" w:after="0" w:afterAutospacing="0" w:line="480" w:lineRule="auto"/>
        <w:ind w:left="720" w:hanging="720"/>
        <w:rPr>
          <w:rFonts w:ascii="Arial" w:hAnsi="Arial" w:cs="Arial"/>
        </w:rPr>
      </w:pPr>
      <w:r w:rsidRPr="00296922">
        <w:rPr>
          <w:rFonts w:ascii="Arial" w:hAnsi="Arial" w:cs="Arial"/>
        </w:rPr>
        <w:t xml:space="preserve">Armbrust, M. </w:t>
      </w:r>
      <w:r w:rsidRPr="00296922">
        <w:rPr>
          <w:rFonts w:ascii="Arial" w:hAnsi="Arial" w:cs="Arial"/>
          <w:i/>
          <w:iCs/>
        </w:rPr>
        <w:t>et al.</w:t>
      </w:r>
      <w:r w:rsidRPr="00296922">
        <w:rPr>
          <w:rFonts w:ascii="Arial" w:hAnsi="Arial" w:cs="Arial"/>
        </w:rPr>
        <w:t xml:space="preserve"> (2010) 'A view of cloud computing,' </w:t>
      </w:r>
      <w:r w:rsidRPr="00296922">
        <w:rPr>
          <w:rFonts w:ascii="Arial" w:hAnsi="Arial" w:cs="Arial"/>
          <w:i/>
          <w:iCs/>
        </w:rPr>
        <w:t>Communications of the ACM</w:t>
      </w:r>
      <w:r w:rsidRPr="00296922">
        <w:rPr>
          <w:rFonts w:ascii="Arial" w:hAnsi="Arial" w:cs="Arial"/>
        </w:rPr>
        <w:t xml:space="preserve">, 53(4), pp. 50–58. </w:t>
      </w:r>
      <w:hyperlink r:id="rId6" w:history="1">
        <w:r w:rsidRPr="00296922">
          <w:rPr>
            <w:rStyle w:val="Hyperlink"/>
            <w:rFonts w:ascii="Arial" w:hAnsi="Arial" w:cs="Arial"/>
          </w:rPr>
          <w:t>https://doi.org/10.1145/1721654.1721672</w:t>
        </w:r>
      </w:hyperlink>
      <w:r w:rsidRPr="00296922">
        <w:rPr>
          <w:rFonts w:ascii="Arial" w:hAnsi="Arial" w:cs="Arial"/>
        </w:rPr>
        <w:t>.</w:t>
      </w:r>
    </w:p>
    <w:p w14:paraId="6A8C0A90" w14:textId="77777777" w:rsidR="00296922" w:rsidRPr="00296922" w:rsidRDefault="00296922" w:rsidP="00296922">
      <w:pPr>
        <w:spacing w:line="360" w:lineRule="auto"/>
        <w:rPr>
          <w:rFonts w:ascii="Arial" w:hAnsi="Arial" w:cs="Arial"/>
          <w:sz w:val="24"/>
          <w:szCs w:val="24"/>
        </w:rPr>
      </w:pPr>
    </w:p>
    <w:p w14:paraId="15B42908" w14:textId="16FC9371" w:rsidR="00296922" w:rsidRPr="00296922" w:rsidRDefault="00296922" w:rsidP="00296922">
      <w:pPr>
        <w:spacing w:line="360" w:lineRule="auto"/>
        <w:rPr>
          <w:rFonts w:ascii="Arial" w:hAnsi="Arial" w:cs="Arial"/>
          <w:sz w:val="24"/>
          <w:szCs w:val="24"/>
        </w:rPr>
      </w:pPr>
      <w:proofErr w:type="spellStart"/>
      <w:r w:rsidRPr="00296922">
        <w:rPr>
          <w:rFonts w:ascii="Arial" w:hAnsi="Arial" w:cs="Arial"/>
          <w:sz w:val="24"/>
          <w:szCs w:val="24"/>
        </w:rPr>
        <w:t>Batini</w:t>
      </w:r>
      <w:proofErr w:type="spellEnd"/>
      <w:r w:rsidRPr="00296922">
        <w:rPr>
          <w:rFonts w:ascii="Arial" w:hAnsi="Arial" w:cs="Arial"/>
          <w:sz w:val="24"/>
          <w:szCs w:val="24"/>
        </w:rPr>
        <w:t xml:space="preserve">, C. and Scannapieco, M. (2016) 'Data quality dimensions,' in Data-centric systems and applications, pp. 21–51. </w:t>
      </w:r>
      <w:hyperlink r:id="rId7" w:history="1">
        <w:r w:rsidRPr="00296922">
          <w:rPr>
            <w:rStyle w:val="Hyperlink"/>
            <w:rFonts w:ascii="Arial" w:hAnsi="Arial" w:cs="Arial"/>
            <w:sz w:val="24"/>
            <w:szCs w:val="24"/>
          </w:rPr>
          <w:t>https://doi.org/10.1007/978-3-319-24106-7_2</w:t>
        </w:r>
      </w:hyperlink>
      <w:r w:rsidRPr="00296922">
        <w:rPr>
          <w:rFonts w:ascii="Arial" w:hAnsi="Arial" w:cs="Arial"/>
          <w:sz w:val="24"/>
          <w:szCs w:val="24"/>
        </w:rPr>
        <w:t>.</w:t>
      </w:r>
    </w:p>
    <w:p w14:paraId="62F53948" w14:textId="77777777" w:rsidR="00296922" w:rsidRPr="00296922" w:rsidRDefault="00296922" w:rsidP="00296922">
      <w:pPr>
        <w:spacing w:line="360" w:lineRule="auto"/>
        <w:rPr>
          <w:rFonts w:ascii="Arial" w:hAnsi="Arial" w:cs="Arial"/>
          <w:sz w:val="24"/>
          <w:szCs w:val="24"/>
        </w:rPr>
      </w:pPr>
    </w:p>
    <w:p w14:paraId="3B96CC48" w14:textId="77777777" w:rsidR="00296922" w:rsidRPr="00296922" w:rsidRDefault="00296922" w:rsidP="00296922">
      <w:pPr>
        <w:spacing w:line="360" w:lineRule="auto"/>
        <w:rPr>
          <w:rFonts w:ascii="Arial" w:hAnsi="Arial" w:cs="Arial"/>
          <w:sz w:val="24"/>
          <w:szCs w:val="24"/>
        </w:rPr>
      </w:pPr>
      <w:r w:rsidRPr="00296922">
        <w:rPr>
          <w:rFonts w:ascii="Arial" w:hAnsi="Arial" w:cs="Arial"/>
          <w:sz w:val="24"/>
          <w:szCs w:val="24"/>
        </w:rPr>
        <w:t xml:space="preserve">Few, S. (2013) Information Dashboard Design: The Effective Visual Communication of Data. 2nd </w:t>
      </w:r>
      <w:proofErr w:type="spellStart"/>
      <w:r w:rsidRPr="00296922">
        <w:rPr>
          <w:rFonts w:ascii="Arial" w:hAnsi="Arial" w:cs="Arial"/>
          <w:sz w:val="24"/>
          <w:szCs w:val="24"/>
        </w:rPr>
        <w:t>edn</w:t>
      </w:r>
      <w:proofErr w:type="spellEnd"/>
      <w:r w:rsidRPr="00296922">
        <w:rPr>
          <w:rFonts w:ascii="Arial" w:hAnsi="Arial" w:cs="Arial"/>
          <w:sz w:val="24"/>
          <w:szCs w:val="24"/>
        </w:rPr>
        <w:t>. Burlingame, CA: Analytics Press, pp. 75–102.</w:t>
      </w:r>
    </w:p>
    <w:p w14:paraId="2327BEB9" w14:textId="77777777" w:rsidR="00296922" w:rsidRPr="00296922" w:rsidRDefault="00296922" w:rsidP="00296922">
      <w:pPr>
        <w:spacing w:line="360" w:lineRule="auto"/>
        <w:rPr>
          <w:rFonts w:ascii="Arial" w:hAnsi="Arial" w:cs="Arial"/>
          <w:sz w:val="24"/>
          <w:szCs w:val="24"/>
        </w:rPr>
      </w:pPr>
    </w:p>
    <w:p w14:paraId="46CC8D82" w14:textId="77777777" w:rsidR="00296922" w:rsidRPr="00296922" w:rsidRDefault="00296922" w:rsidP="00296922">
      <w:pPr>
        <w:spacing w:line="360" w:lineRule="auto"/>
        <w:rPr>
          <w:rFonts w:ascii="Arial" w:hAnsi="Arial" w:cs="Arial"/>
          <w:sz w:val="24"/>
          <w:szCs w:val="24"/>
        </w:rPr>
      </w:pPr>
      <w:r w:rsidRPr="00296922">
        <w:rPr>
          <w:rFonts w:ascii="Arial" w:hAnsi="Arial" w:cs="Arial"/>
          <w:sz w:val="24"/>
          <w:szCs w:val="24"/>
        </w:rPr>
        <w:t xml:space="preserve">Han, J., Pei, J. and Kamber, M. (2011) Data Mining: Concepts and Techniques. 3rd </w:t>
      </w:r>
      <w:proofErr w:type="spellStart"/>
      <w:r w:rsidRPr="00296922">
        <w:rPr>
          <w:rFonts w:ascii="Arial" w:hAnsi="Arial" w:cs="Arial"/>
          <w:sz w:val="24"/>
          <w:szCs w:val="24"/>
        </w:rPr>
        <w:t>edn</w:t>
      </w:r>
      <w:proofErr w:type="spellEnd"/>
      <w:r w:rsidRPr="00296922">
        <w:rPr>
          <w:rFonts w:ascii="Arial" w:hAnsi="Arial" w:cs="Arial"/>
          <w:sz w:val="24"/>
          <w:szCs w:val="24"/>
        </w:rPr>
        <w:t>. Burlington, MA: Morgan Kaufmann, pp. 25–50, 145–170.</w:t>
      </w:r>
    </w:p>
    <w:p w14:paraId="305D86F3" w14:textId="77777777" w:rsidR="00296922" w:rsidRPr="00296922" w:rsidRDefault="00296922" w:rsidP="00296922">
      <w:pPr>
        <w:spacing w:line="360" w:lineRule="auto"/>
        <w:rPr>
          <w:rFonts w:ascii="Arial" w:hAnsi="Arial" w:cs="Arial"/>
          <w:sz w:val="24"/>
          <w:szCs w:val="24"/>
        </w:rPr>
      </w:pPr>
    </w:p>
    <w:p w14:paraId="48B9599C" w14:textId="701B150F" w:rsidR="00296922" w:rsidRPr="00296922" w:rsidRDefault="00296922" w:rsidP="00296922">
      <w:pPr>
        <w:spacing w:line="360" w:lineRule="auto"/>
        <w:rPr>
          <w:rFonts w:ascii="Arial" w:hAnsi="Arial" w:cs="Arial"/>
          <w:sz w:val="24"/>
          <w:szCs w:val="24"/>
        </w:rPr>
      </w:pPr>
      <w:r w:rsidRPr="00296922">
        <w:rPr>
          <w:rFonts w:ascii="Arial" w:hAnsi="Arial" w:cs="Arial"/>
          <w:sz w:val="24"/>
          <w:szCs w:val="24"/>
        </w:rPr>
        <w:t>Holmes, W., Bialik, M. and Fadel, C. (2019) Artificial intelligence in education: Promises and Implications for Teaching and Learning.</w:t>
      </w:r>
    </w:p>
    <w:p w14:paraId="09AF86AC" w14:textId="77777777" w:rsidR="00296922" w:rsidRPr="00296922" w:rsidRDefault="00296922" w:rsidP="00296922">
      <w:pPr>
        <w:spacing w:line="360" w:lineRule="auto"/>
        <w:rPr>
          <w:rFonts w:ascii="Arial" w:hAnsi="Arial" w:cs="Arial"/>
          <w:sz w:val="24"/>
          <w:szCs w:val="24"/>
        </w:rPr>
      </w:pPr>
      <w:r w:rsidRPr="00296922">
        <w:rPr>
          <w:rFonts w:ascii="Arial" w:hAnsi="Arial" w:cs="Arial"/>
          <w:sz w:val="24"/>
          <w:szCs w:val="24"/>
        </w:rPr>
        <w:t xml:space="preserve">Inmon, W.H. (2005) Building the Data Warehouse. 4th </w:t>
      </w:r>
      <w:proofErr w:type="spellStart"/>
      <w:r w:rsidRPr="00296922">
        <w:rPr>
          <w:rFonts w:ascii="Arial" w:hAnsi="Arial" w:cs="Arial"/>
          <w:sz w:val="24"/>
          <w:szCs w:val="24"/>
        </w:rPr>
        <w:t>edn</w:t>
      </w:r>
      <w:proofErr w:type="spellEnd"/>
      <w:r w:rsidRPr="00296922">
        <w:rPr>
          <w:rFonts w:ascii="Arial" w:hAnsi="Arial" w:cs="Arial"/>
          <w:sz w:val="24"/>
          <w:szCs w:val="24"/>
        </w:rPr>
        <w:t>. Indianapolis, IN: Wiley, pp. 45–80.</w:t>
      </w:r>
    </w:p>
    <w:p w14:paraId="631E4855" w14:textId="77777777" w:rsidR="00296922" w:rsidRPr="00296922" w:rsidRDefault="00296922" w:rsidP="00296922">
      <w:pPr>
        <w:spacing w:line="360" w:lineRule="auto"/>
        <w:rPr>
          <w:rFonts w:ascii="Arial" w:hAnsi="Arial" w:cs="Arial"/>
          <w:sz w:val="24"/>
          <w:szCs w:val="24"/>
        </w:rPr>
      </w:pPr>
    </w:p>
    <w:p w14:paraId="5AE822A1" w14:textId="77777777" w:rsidR="00296922" w:rsidRPr="00296922" w:rsidRDefault="00296922" w:rsidP="00296922">
      <w:pPr>
        <w:spacing w:line="360" w:lineRule="auto"/>
        <w:rPr>
          <w:rFonts w:ascii="Arial" w:hAnsi="Arial" w:cs="Arial"/>
          <w:sz w:val="24"/>
          <w:szCs w:val="24"/>
        </w:rPr>
      </w:pPr>
      <w:r w:rsidRPr="00296922">
        <w:rPr>
          <w:rFonts w:ascii="Arial" w:hAnsi="Arial" w:cs="Arial"/>
          <w:sz w:val="24"/>
          <w:szCs w:val="24"/>
        </w:rPr>
        <w:t>Information Commissioner’s Office (ICO) (2023) Guide to GDPR. Available at: https://ico.org.uk/for-organisations/guide-to-data-protection/</w:t>
      </w:r>
    </w:p>
    <w:p w14:paraId="1685693C" w14:textId="77777777" w:rsidR="00296922" w:rsidRPr="00296922" w:rsidRDefault="00296922" w:rsidP="00296922">
      <w:pPr>
        <w:spacing w:line="360" w:lineRule="auto"/>
        <w:rPr>
          <w:rFonts w:ascii="Arial" w:hAnsi="Arial" w:cs="Arial"/>
          <w:sz w:val="24"/>
          <w:szCs w:val="24"/>
        </w:rPr>
      </w:pPr>
      <w:r w:rsidRPr="00296922">
        <w:rPr>
          <w:rFonts w:ascii="Arial" w:hAnsi="Arial" w:cs="Arial"/>
          <w:sz w:val="24"/>
          <w:szCs w:val="24"/>
        </w:rPr>
        <w:t xml:space="preserve"> (Accessed: 22 March 2026), pp. 10–35.</w:t>
      </w:r>
    </w:p>
    <w:p w14:paraId="1722E81C" w14:textId="77777777" w:rsidR="00296922" w:rsidRPr="00296922" w:rsidRDefault="00296922" w:rsidP="00296922">
      <w:pPr>
        <w:spacing w:line="360" w:lineRule="auto"/>
        <w:rPr>
          <w:rFonts w:ascii="Arial" w:hAnsi="Arial" w:cs="Arial"/>
          <w:sz w:val="24"/>
          <w:szCs w:val="24"/>
        </w:rPr>
      </w:pPr>
    </w:p>
    <w:p w14:paraId="198DE40D" w14:textId="08AE53B7" w:rsidR="00296922" w:rsidRPr="00296922" w:rsidRDefault="00296922" w:rsidP="00296922">
      <w:pPr>
        <w:spacing w:line="360" w:lineRule="auto"/>
        <w:rPr>
          <w:rFonts w:ascii="Arial" w:hAnsi="Arial" w:cs="Arial"/>
          <w:sz w:val="24"/>
          <w:szCs w:val="24"/>
        </w:rPr>
      </w:pPr>
      <w:r w:rsidRPr="00296922">
        <w:rPr>
          <w:rFonts w:ascii="Arial" w:hAnsi="Arial" w:cs="Arial"/>
          <w:sz w:val="24"/>
          <w:szCs w:val="24"/>
        </w:rPr>
        <w:t>Kimball, R. and Ross, M. (2013) The Data Warehouse Toolkit: The Definitive Guide to Dimensional Modeling. John Wiley &amp; Sons.</w:t>
      </w:r>
    </w:p>
    <w:p w14:paraId="75E6AB39" w14:textId="77777777" w:rsidR="00296922" w:rsidRPr="00296922" w:rsidRDefault="00296922" w:rsidP="00296922">
      <w:pPr>
        <w:spacing w:line="360" w:lineRule="auto"/>
        <w:rPr>
          <w:rFonts w:ascii="Arial" w:hAnsi="Arial" w:cs="Arial"/>
          <w:sz w:val="24"/>
          <w:szCs w:val="24"/>
        </w:rPr>
      </w:pPr>
      <w:r w:rsidRPr="00296922">
        <w:rPr>
          <w:rFonts w:ascii="Arial" w:hAnsi="Arial" w:cs="Arial"/>
          <w:sz w:val="24"/>
          <w:szCs w:val="24"/>
        </w:rPr>
        <w:lastRenderedPageBreak/>
        <w:t xml:space="preserve">Sharda, R., Delen, D. and Turban, E. (2018) Business Intelligence, Analytics, and Data Science: A Managerial Perspective. 4th </w:t>
      </w:r>
      <w:proofErr w:type="spellStart"/>
      <w:r w:rsidRPr="00296922">
        <w:rPr>
          <w:rFonts w:ascii="Arial" w:hAnsi="Arial" w:cs="Arial"/>
          <w:sz w:val="24"/>
          <w:szCs w:val="24"/>
        </w:rPr>
        <w:t>edn</w:t>
      </w:r>
      <w:proofErr w:type="spellEnd"/>
      <w:r w:rsidRPr="00296922">
        <w:rPr>
          <w:rFonts w:ascii="Arial" w:hAnsi="Arial" w:cs="Arial"/>
          <w:sz w:val="24"/>
          <w:szCs w:val="24"/>
        </w:rPr>
        <w:t>. Boston, MA: Pearson, pp. 78–120.</w:t>
      </w:r>
    </w:p>
    <w:p w14:paraId="2D43A1D2" w14:textId="77777777" w:rsidR="00296922" w:rsidRPr="00296922" w:rsidRDefault="00296922" w:rsidP="00296922">
      <w:pPr>
        <w:spacing w:line="360" w:lineRule="auto"/>
        <w:rPr>
          <w:rFonts w:ascii="Arial" w:hAnsi="Arial" w:cs="Arial"/>
          <w:sz w:val="24"/>
          <w:szCs w:val="24"/>
        </w:rPr>
      </w:pPr>
    </w:p>
    <w:p w14:paraId="16A3AF5D" w14:textId="77777777" w:rsidR="00296922" w:rsidRPr="00296922" w:rsidRDefault="00296922" w:rsidP="00296922">
      <w:pPr>
        <w:spacing w:line="360" w:lineRule="auto"/>
        <w:rPr>
          <w:rFonts w:ascii="Arial" w:hAnsi="Arial" w:cs="Arial"/>
          <w:sz w:val="24"/>
          <w:szCs w:val="24"/>
        </w:rPr>
      </w:pPr>
      <w:r w:rsidRPr="00296922">
        <w:rPr>
          <w:rFonts w:ascii="Arial" w:hAnsi="Arial" w:cs="Arial"/>
          <w:sz w:val="24"/>
          <w:szCs w:val="24"/>
        </w:rPr>
        <w:t>Siemens, G. and Long, P. (2011) ‘Penetrating the fog: Analytics in learning and education’, EDUCAUSE Review, 46(5), pp. 30–40.</w:t>
      </w:r>
    </w:p>
    <w:p w14:paraId="208B2D7F" w14:textId="77777777" w:rsidR="00296922" w:rsidRPr="00296922" w:rsidRDefault="00296922" w:rsidP="00296922">
      <w:pPr>
        <w:spacing w:line="360" w:lineRule="auto"/>
        <w:rPr>
          <w:rFonts w:ascii="Arial" w:hAnsi="Arial" w:cs="Arial"/>
          <w:sz w:val="24"/>
          <w:szCs w:val="24"/>
        </w:rPr>
      </w:pPr>
    </w:p>
    <w:p w14:paraId="165D2925" w14:textId="77777777" w:rsidR="00296922" w:rsidRPr="00296922" w:rsidRDefault="00296922" w:rsidP="00296922">
      <w:pPr>
        <w:spacing w:line="360" w:lineRule="auto"/>
        <w:rPr>
          <w:rFonts w:ascii="Arial" w:hAnsi="Arial" w:cs="Arial"/>
          <w:sz w:val="24"/>
          <w:szCs w:val="24"/>
        </w:rPr>
      </w:pPr>
      <w:r w:rsidRPr="00296922">
        <w:rPr>
          <w:rFonts w:ascii="Arial" w:hAnsi="Arial" w:cs="Arial"/>
          <w:sz w:val="24"/>
          <w:szCs w:val="24"/>
        </w:rPr>
        <w:t xml:space="preserve">Tan, P.-N., Steinbach, M. and Kumar, V. (2019) Introduction to Data Mining. 2nd </w:t>
      </w:r>
      <w:proofErr w:type="spellStart"/>
      <w:r w:rsidRPr="00296922">
        <w:rPr>
          <w:rFonts w:ascii="Arial" w:hAnsi="Arial" w:cs="Arial"/>
          <w:sz w:val="24"/>
          <w:szCs w:val="24"/>
        </w:rPr>
        <w:t>edn</w:t>
      </w:r>
      <w:proofErr w:type="spellEnd"/>
      <w:r w:rsidRPr="00296922">
        <w:rPr>
          <w:rFonts w:ascii="Arial" w:hAnsi="Arial" w:cs="Arial"/>
          <w:sz w:val="24"/>
          <w:szCs w:val="24"/>
        </w:rPr>
        <w:t>. London: Pearson, pp. 210–245.</w:t>
      </w:r>
    </w:p>
    <w:p w14:paraId="0F003946" w14:textId="77777777" w:rsidR="00296922" w:rsidRPr="00296922" w:rsidRDefault="00296922" w:rsidP="00296922">
      <w:pPr>
        <w:spacing w:line="360" w:lineRule="auto"/>
        <w:rPr>
          <w:rFonts w:ascii="Arial" w:hAnsi="Arial" w:cs="Arial"/>
          <w:sz w:val="24"/>
          <w:szCs w:val="24"/>
        </w:rPr>
      </w:pPr>
    </w:p>
    <w:p w14:paraId="6A22508D" w14:textId="16A1FB30" w:rsidR="00296922" w:rsidRPr="00296922" w:rsidRDefault="00296922" w:rsidP="00296922">
      <w:pPr>
        <w:spacing w:line="360" w:lineRule="auto"/>
        <w:rPr>
          <w:rFonts w:ascii="Arial" w:hAnsi="Arial" w:cs="Arial"/>
          <w:sz w:val="24"/>
          <w:szCs w:val="24"/>
        </w:rPr>
      </w:pPr>
      <w:r w:rsidRPr="00296922">
        <w:rPr>
          <w:rFonts w:ascii="Arial" w:hAnsi="Arial" w:cs="Arial"/>
          <w:sz w:val="24"/>
          <w:szCs w:val="24"/>
        </w:rPr>
        <w:t xml:space="preserve">Witten, I.H., Frank, E. and Hall, M. (2016) Data Mining: Practical Machine Learning Tools and Techniques. 4th </w:t>
      </w:r>
      <w:proofErr w:type="spellStart"/>
      <w:r w:rsidRPr="00296922">
        <w:rPr>
          <w:rFonts w:ascii="Arial" w:hAnsi="Arial" w:cs="Arial"/>
          <w:sz w:val="24"/>
          <w:szCs w:val="24"/>
        </w:rPr>
        <w:t>edn</w:t>
      </w:r>
      <w:proofErr w:type="spellEnd"/>
      <w:r w:rsidRPr="00296922">
        <w:rPr>
          <w:rFonts w:ascii="Arial" w:hAnsi="Arial" w:cs="Arial"/>
          <w:sz w:val="24"/>
          <w:szCs w:val="24"/>
        </w:rPr>
        <w:t>. Burlington, MA: Morgan Kaufmann, pp. 50–95, 160–180.</w:t>
      </w:r>
    </w:p>
    <w:sectPr w:rsidR="00296922" w:rsidRPr="00296922" w:rsidSect="009B6FA0">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2A3E46" w14:textId="77777777" w:rsidR="00010410" w:rsidRDefault="00010410" w:rsidP="00296922">
      <w:pPr>
        <w:spacing w:after="0" w:line="240" w:lineRule="auto"/>
      </w:pPr>
      <w:r>
        <w:separator/>
      </w:r>
    </w:p>
  </w:endnote>
  <w:endnote w:type="continuationSeparator" w:id="0">
    <w:p w14:paraId="5F35D432" w14:textId="77777777" w:rsidR="00010410" w:rsidRDefault="00010410" w:rsidP="00296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73856"/>
      <w:docPartObj>
        <w:docPartGallery w:val="Page Numbers (Bottom of Page)"/>
        <w:docPartUnique/>
      </w:docPartObj>
    </w:sdtPr>
    <w:sdtEndPr>
      <w:rPr>
        <w:rFonts w:ascii="Arial" w:hAnsi="Arial" w:cs="Arial"/>
        <w:noProof/>
        <w:sz w:val="24"/>
        <w:szCs w:val="24"/>
      </w:rPr>
    </w:sdtEndPr>
    <w:sdtContent>
      <w:p w14:paraId="1C721EAE" w14:textId="351822CE" w:rsidR="00296922" w:rsidRPr="00296922" w:rsidRDefault="00296922">
        <w:pPr>
          <w:pStyle w:val="Footer"/>
          <w:jc w:val="center"/>
          <w:rPr>
            <w:rFonts w:ascii="Arial" w:hAnsi="Arial" w:cs="Arial"/>
            <w:sz w:val="24"/>
            <w:szCs w:val="24"/>
          </w:rPr>
        </w:pPr>
        <w:r w:rsidRPr="00296922">
          <w:rPr>
            <w:rFonts w:ascii="Arial" w:hAnsi="Arial" w:cs="Arial"/>
            <w:sz w:val="24"/>
            <w:szCs w:val="24"/>
          </w:rPr>
          <w:fldChar w:fldCharType="begin"/>
        </w:r>
        <w:r w:rsidRPr="00296922">
          <w:rPr>
            <w:rFonts w:ascii="Arial" w:hAnsi="Arial" w:cs="Arial"/>
            <w:sz w:val="24"/>
            <w:szCs w:val="24"/>
          </w:rPr>
          <w:instrText xml:space="preserve"> PAGE   \* MERGEFORMAT </w:instrText>
        </w:r>
        <w:r w:rsidRPr="00296922">
          <w:rPr>
            <w:rFonts w:ascii="Arial" w:hAnsi="Arial" w:cs="Arial"/>
            <w:sz w:val="24"/>
            <w:szCs w:val="24"/>
          </w:rPr>
          <w:fldChar w:fldCharType="separate"/>
        </w:r>
        <w:r w:rsidRPr="00296922">
          <w:rPr>
            <w:rFonts w:ascii="Arial" w:hAnsi="Arial" w:cs="Arial"/>
            <w:noProof/>
            <w:sz w:val="24"/>
            <w:szCs w:val="24"/>
          </w:rPr>
          <w:t>2</w:t>
        </w:r>
        <w:r w:rsidRPr="00296922">
          <w:rPr>
            <w:rFonts w:ascii="Arial" w:hAnsi="Arial" w:cs="Arial"/>
            <w:noProof/>
            <w:sz w:val="24"/>
            <w:szCs w:val="24"/>
          </w:rPr>
          <w:fldChar w:fldCharType="end"/>
        </w:r>
      </w:p>
    </w:sdtContent>
  </w:sdt>
  <w:p w14:paraId="0F2F23E4" w14:textId="77777777" w:rsidR="00296922" w:rsidRDefault="00296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38086" w14:textId="77777777" w:rsidR="00010410" w:rsidRDefault="00010410" w:rsidP="00296922">
      <w:pPr>
        <w:spacing w:after="0" w:line="240" w:lineRule="auto"/>
      </w:pPr>
      <w:r>
        <w:separator/>
      </w:r>
    </w:p>
  </w:footnote>
  <w:footnote w:type="continuationSeparator" w:id="0">
    <w:p w14:paraId="384A0806" w14:textId="77777777" w:rsidR="00010410" w:rsidRDefault="00010410" w:rsidP="002969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FA0"/>
    <w:rsid w:val="00010410"/>
    <w:rsid w:val="00281731"/>
    <w:rsid w:val="00296922"/>
    <w:rsid w:val="003D1087"/>
    <w:rsid w:val="00644001"/>
    <w:rsid w:val="009B6FA0"/>
    <w:rsid w:val="00B371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71860"/>
  <w15:chartTrackingRefBased/>
  <w15:docId w15:val="{7E623FF2-294A-4675-BD0F-653FEE759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6FA0"/>
    <w:pPr>
      <w:spacing w:after="0" w:line="240" w:lineRule="auto"/>
    </w:pPr>
    <w:rPr>
      <w:rFonts w:eastAsiaTheme="minorEastAsia"/>
    </w:rPr>
  </w:style>
  <w:style w:type="character" w:customStyle="1" w:styleId="NoSpacingChar">
    <w:name w:val="No Spacing Char"/>
    <w:basedOn w:val="DefaultParagraphFont"/>
    <w:link w:val="NoSpacing"/>
    <w:uiPriority w:val="1"/>
    <w:rsid w:val="009B6FA0"/>
    <w:rPr>
      <w:rFonts w:eastAsiaTheme="minorEastAsia"/>
    </w:rPr>
  </w:style>
  <w:style w:type="paragraph" w:styleId="NormalWeb">
    <w:name w:val="Normal (Web)"/>
    <w:basedOn w:val="Normal"/>
    <w:uiPriority w:val="99"/>
    <w:semiHidden/>
    <w:unhideWhenUsed/>
    <w:rsid w:val="002969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url">
    <w:name w:val="url"/>
    <w:basedOn w:val="DefaultParagraphFont"/>
    <w:rsid w:val="00296922"/>
  </w:style>
  <w:style w:type="character" w:styleId="Hyperlink">
    <w:name w:val="Hyperlink"/>
    <w:basedOn w:val="DefaultParagraphFont"/>
    <w:uiPriority w:val="99"/>
    <w:unhideWhenUsed/>
    <w:rsid w:val="00296922"/>
    <w:rPr>
      <w:color w:val="0563C1" w:themeColor="hyperlink"/>
      <w:u w:val="single"/>
    </w:rPr>
  </w:style>
  <w:style w:type="character" w:styleId="UnresolvedMention">
    <w:name w:val="Unresolved Mention"/>
    <w:basedOn w:val="DefaultParagraphFont"/>
    <w:uiPriority w:val="99"/>
    <w:semiHidden/>
    <w:unhideWhenUsed/>
    <w:rsid w:val="00296922"/>
    <w:rPr>
      <w:color w:val="605E5C"/>
      <w:shd w:val="clear" w:color="auto" w:fill="E1DFDD"/>
    </w:rPr>
  </w:style>
  <w:style w:type="paragraph" w:styleId="Header">
    <w:name w:val="header"/>
    <w:basedOn w:val="Normal"/>
    <w:link w:val="HeaderChar"/>
    <w:uiPriority w:val="99"/>
    <w:unhideWhenUsed/>
    <w:rsid w:val="002969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6922"/>
  </w:style>
  <w:style w:type="paragraph" w:styleId="Footer">
    <w:name w:val="footer"/>
    <w:basedOn w:val="Normal"/>
    <w:link w:val="FooterChar"/>
    <w:uiPriority w:val="99"/>
    <w:unhideWhenUsed/>
    <w:rsid w:val="002969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69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7635376">
      <w:bodyDiv w:val="1"/>
      <w:marLeft w:val="0"/>
      <w:marRight w:val="0"/>
      <w:marTop w:val="0"/>
      <w:marBottom w:val="0"/>
      <w:divBdr>
        <w:top w:val="none" w:sz="0" w:space="0" w:color="auto"/>
        <w:left w:val="none" w:sz="0" w:space="0" w:color="auto"/>
        <w:bottom w:val="none" w:sz="0" w:space="0" w:color="auto"/>
        <w:right w:val="none" w:sz="0" w:space="0" w:color="auto"/>
      </w:divBdr>
      <w:divsChild>
        <w:div w:id="135149017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doi.org/10.1007/978-3-319-24106-7_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145/1721654.1721672"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12</Pages>
  <Words>2505</Words>
  <Characters>14280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INTELLIGENCE FOR STRATEGIC DECISION MAKING IN A HIGHER EDUCATION INSTITUTION</dc:title>
  <dc:subject/>
  <dc:creator>BA (Hons) Business Management                                        LCBB5014 Data Handling &amp; Business Intelligence                             Nutu Pricop                                                                                Student ID: 2525996</dc:creator>
  <cp:keywords/>
  <dc:description/>
  <cp:lastModifiedBy>klm</cp:lastModifiedBy>
  <cp:revision>1</cp:revision>
  <dcterms:created xsi:type="dcterms:W3CDTF">2026-03-22T20:48:00Z</dcterms:created>
  <dcterms:modified xsi:type="dcterms:W3CDTF">2026-03-22T21:40:00Z</dcterms:modified>
</cp:coreProperties>
</file>