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041" w:rsidRDefault="00045041"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2F013F">
      <w:pPr>
        <w:jc w:val="center"/>
        <w:rPr>
          <w:rFonts w:ascii="Arial" w:hAnsi="Arial" w:cs="Arial"/>
          <w:sz w:val="40"/>
        </w:rPr>
      </w:pPr>
      <w:r>
        <w:rPr>
          <w:rFonts w:ascii="Arial" w:hAnsi="Arial" w:cs="Arial"/>
          <w:sz w:val="40"/>
        </w:rPr>
        <w:t>Have asylums had an impact socially and historically on our nowadays knowledge of mental illnesses?</w:t>
      </w:r>
    </w:p>
    <w:p w:rsidR="002F013F" w:rsidRDefault="002F013F" w:rsidP="002F013F">
      <w:pPr>
        <w:jc w:val="center"/>
        <w:rPr>
          <w:rFonts w:ascii="Arial" w:hAnsi="Arial" w:cs="Arial"/>
          <w:sz w:val="40"/>
        </w:rPr>
      </w:pPr>
      <w:r>
        <w:rPr>
          <w:rFonts w:ascii="Arial" w:hAnsi="Arial" w:cs="Arial"/>
          <w:sz w:val="40"/>
        </w:rPr>
        <w:t>University of Wales Trinity St David</w:t>
      </w:r>
    </w:p>
    <w:p w:rsidR="002F013F" w:rsidRPr="002F013F" w:rsidRDefault="002F013F" w:rsidP="002F013F">
      <w:pPr>
        <w:jc w:val="center"/>
        <w:rPr>
          <w:rFonts w:ascii="Arial" w:hAnsi="Arial" w:cs="Arial"/>
          <w:sz w:val="40"/>
        </w:rPr>
      </w:pPr>
      <w:r>
        <w:rPr>
          <w:rFonts w:ascii="Arial" w:hAnsi="Arial" w:cs="Arial"/>
          <w:sz w:val="40"/>
        </w:rPr>
        <w:t>1702765</w:t>
      </w: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Default="002F013F" w:rsidP="00045041">
      <w:pPr>
        <w:jc w:val="both"/>
        <w:rPr>
          <w:rFonts w:ascii="Arial" w:hAnsi="Arial" w:cs="Arial"/>
          <w:sz w:val="24"/>
        </w:rPr>
      </w:pPr>
    </w:p>
    <w:p w:rsidR="002F013F" w:rsidRPr="002F013F" w:rsidRDefault="002F013F" w:rsidP="002F013F">
      <w:pPr>
        <w:jc w:val="center"/>
        <w:rPr>
          <w:rFonts w:ascii="Arial" w:hAnsi="Arial" w:cs="Arial"/>
          <w:sz w:val="24"/>
          <w:szCs w:val="24"/>
          <w:u w:val="single"/>
        </w:rPr>
      </w:pPr>
      <w:r w:rsidRPr="002F013F">
        <w:rPr>
          <w:rFonts w:ascii="Arial" w:hAnsi="Arial" w:cs="Arial"/>
          <w:sz w:val="24"/>
          <w:szCs w:val="24"/>
          <w:u w:val="single"/>
        </w:rPr>
        <w:lastRenderedPageBreak/>
        <w:t xml:space="preserve">Have asylums had an impact socially and historically on our nowadays knowledge of mental </w:t>
      </w:r>
      <w:bookmarkStart w:id="0" w:name="_GoBack"/>
      <w:bookmarkEnd w:id="0"/>
      <w:r w:rsidRPr="002F013F">
        <w:rPr>
          <w:rFonts w:ascii="Arial" w:hAnsi="Arial" w:cs="Arial"/>
          <w:sz w:val="24"/>
          <w:szCs w:val="24"/>
          <w:u w:val="single"/>
        </w:rPr>
        <w:t>illnesses?</w:t>
      </w:r>
    </w:p>
    <w:p w:rsidR="002F013F" w:rsidRDefault="002F013F" w:rsidP="00045041">
      <w:pPr>
        <w:jc w:val="both"/>
        <w:rPr>
          <w:rFonts w:ascii="Arial" w:hAnsi="Arial" w:cs="Arial"/>
          <w:sz w:val="24"/>
        </w:rPr>
      </w:pPr>
    </w:p>
    <w:p w:rsidR="00045041" w:rsidRPr="00045041" w:rsidRDefault="00045041" w:rsidP="00045041">
      <w:pPr>
        <w:spacing w:after="0" w:line="480" w:lineRule="auto"/>
        <w:rPr>
          <w:rFonts w:ascii="Arial" w:hAnsi="Arial" w:cs="Arial"/>
          <w:color w:val="000000" w:themeColor="text1"/>
          <w:sz w:val="24"/>
          <w:szCs w:val="24"/>
          <w:shd w:val="clear" w:color="auto" w:fill="FFFFFF"/>
        </w:rPr>
      </w:pPr>
      <w:r>
        <w:tab/>
      </w:r>
      <w:r w:rsidRPr="00045041">
        <w:rPr>
          <w:rFonts w:ascii="Arial" w:hAnsi="Arial" w:cs="Arial"/>
          <w:sz w:val="24"/>
          <w:szCs w:val="24"/>
        </w:rPr>
        <w:t>Throughout the years, the treatment and care for the mentally unstable has improved significantly in comparison to its earlier days in asylums. In the 18</w:t>
      </w:r>
      <w:r w:rsidRPr="00045041">
        <w:rPr>
          <w:rFonts w:ascii="Arial" w:hAnsi="Arial" w:cs="Arial"/>
          <w:sz w:val="24"/>
          <w:szCs w:val="24"/>
          <w:vertAlign w:val="superscript"/>
        </w:rPr>
        <w:t>th</w:t>
      </w:r>
      <w:r w:rsidRPr="00045041">
        <w:rPr>
          <w:rFonts w:ascii="Arial" w:hAnsi="Arial" w:cs="Arial"/>
          <w:sz w:val="24"/>
          <w:szCs w:val="24"/>
        </w:rPr>
        <w:t xml:space="preserve"> century, treatment was undergoing a revolution and being pushed to the extreme, and in many cases resulted in agonising death, which was usually due to procedures going wrong. Several of these barbaric treatments came from asylums all over the world, especially in Britian, for example Bedlam and High Royds. Once these institutions were shut down, it was a moment in history that changed many people’s views and knowledge of mental health, especially scientists who looked for treatments for depression, anxiety, schizophrenia etc. for decades. The World Health Organisation, describe mental health as “a state of wellbeing in which every individual realises their own potential and is able to cope with everyday stresses of life.” (</w:t>
      </w:r>
      <w:r w:rsidRPr="00045041">
        <w:rPr>
          <w:rFonts w:ascii="Arial" w:hAnsi="Arial" w:cs="Arial"/>
          <w:color w:val="000000" w:themeColor="text1"/>
          <w:sz w:val="24"/>
          <w:szCs w:val="24"/>
          <w:shd w:val="clear" w:color="auto" w:fill="FFFFFF"/>
        </w:rPr>
        <w:t>WHO, 2014) Conditions in these institutions were horrendous including the hygiene of the asylums, treatments and the way nurses and doctors treated the patients. Asylums in the United Kingdom became popular in the early 18</w:t>
      </w:r>
      <w:r w:rsidRPr="00045041">
        <w:rPr>
          <w:rFonts w:ascii="Arial" w:hAnsi="Arial" w:cs="Arial"/>
          <w:color w:val="000000" w:themeColor="text1"/>
          <w:sz w:val="24"/>
          <w:szCs w:val="24"/>
          <w:shd w:val="clear" w:color="auto" w:fill="FFFFFF"/>
          <w:vertAlign w:val="superscript"/>
        </w:rPr>
        <w:t>th</w:t>
      </w:r>
      <w:r w:rsidRPr="00045041">
        <w:rPr>
          <w:rFonts w:ascii="Arial" w:hAnsi="Arial" w:cs="Arial"/>
          <w:color w:val="000000" w:themeColor="text1"/>
          <w:sz w:val="24"/>
          <w:szCs w:val="24"/>
          <w:shd w:val="clear" w:color="auto" w:fill="FFFFFF"/>
        </w:rPr>
        <w:t xml:space="preserve"> century, for example the most well-known being Bedlam and High Royds, which were both located in England. However, asylums have been around since the 15</w:t>
      </w:r>
      <w:r w:rsidRPr="00045041">
        <w:rPr>
          <w:rFonts w:ascii="Arial" w:hAnsi="Arial" w:cs="Arial"/>
          <w:color w:val="000000" w:themeColor="text1"/>
          <w:sz w:val="24"/>
          <w:szCs w:val="24"/>
          <w:shd w:val="clear" w:color="auto" w:fill="FFFFFF"/>
          <w:vertAlign w:val="superscript"/>
        </w:rPr>
        <w:t>th</w:t>
      </w:r>
      <w:r w:rsidRPr="00045041">
        <w:rPr>
          <w:rFonts w:ascii="Arial" w:hAnsi="Arial" w:cs="Arial"/>
          <w:color w:val="000000" w:themeColor="text1"/>
          <w:sz w:val="24"/>
          <w:szCs w:val="24"/>
          <w:shd w:val="clear" w:color="auto" w:fill="FFFFFF"/>
        </w:rPr>
        <w:t xml:space="preserve"> century in parts of Europe, one of the first being the Dutch Madhouse. This institution first began as a small house but soon grew as the community wanted rid of the madmen from their civilisation. </w:t>
      </w:r>
      <w:proofErr w:type="spellStart"/>
      <w:r w:rsidRPr="00045041">
        <w:rPr>
          <w:rFonts w:ascii="Arial" w:hAnsi="Arial" w:cs="Arial"/>
          <w:color w:val="000000" w:themeColor="text1"/>
          <w:sz w:val="24"/>
          <w:szCs w:val="24"/>
          <w:shd w:val="clear" w:color="auto" w:fill="FFFFFF"/>
        </w:rPr>
        <w:t>Lowenberg-Doornbos</w:t>
      </w:r>
      <w:proofErr w:type="spellEnd"/>
      <w:r w:rsidRPr="00045041">
        <w:rPr>
          <w:rFonts w:ascii="Arial" w:hAnsi="Arial" w:cs="Arial"/>
          <w:color w:val="000000" w:themeColor="text1"/>
          <w:sz w:val="24"/>
          <w:szCs w:val="24"/>
          <w:shd w:val="clear" w:color="auto" w:fill="FFFFFF"/>
        </w:rPr>
        <w:t>, J., &amp; Freedman, R. (2008) believe that the reason for the growth of madhouses was due to these so called “madmen” being outcasts of society as they did not fit the standards of other people, this being calm and content, which they were not, in fact the opposite. However, as time got on, many of these private institutions became known for horrific abuse, scandals, misconducts and mistreating their patients which lead to the Madhouse Act, 1774.</w:t>
      </w:r>
    </w:p>
    <w:p w:rsidR="00045041" w:rsidRPr="00045041" w:rsidRDefault="00045041" w:rsidP="00045041">
      <w:pPr>
        <w:spacing w:after="0" w:line="480" w:lineRule="auto"/>
        <w:rPr>
          <w:rFonts w:ascii="Arial" w:hAnsi="Arial" w:cs="Arial"/>
          <w:color w:val="000000" w:themeColor="text1"/>
          <w:sz w:val="24"/>
          <w:szCs w:val="24"/>
          <w:shd w:val="clear" w:color="auto" w:fill="FFFFFF"/>
        </w:rPr>
      </w:pPr>
    </w:p>
    <w:p w:rsidR="00045041" w:rsidRPr="00045041" w:rsidRDefault="00045041" w:rsidP="00045041">
      <w:pPr>
        <w:spacing w:after="0" w:line="480" w:lineRule="auto"/>
        <w:ind w:firstLine="720"/>
        <w:rPr>
          <w:rFonts w:ascii="Arial" w:hAnsi="Arial" w:cs="Arial"/>
          <w:sz w:val="24"/>
          <w:szCs w:val="24"/>
        </w:rPr>
      </w:pPr>
      <w:r w:rsidRPr="00045041">
        <w:rPr>
          <w:rFonts w:ascii="Arial" w:hAnsi="Arial" w:cs="Arial"/>
          <w:color w:val="000000" w:themeColor="text1"/>
          <w:sz w:val="24"/>
          <w:szCs w:val="24"/>
          <w:shd w:val="clear" w:color="auto" w:fill="FFFFFF"/>
        </w:rPr>
        <w:t xml:space="preserve">A study was conducted in 1763 by the parliament. This study showed that a distressingly large amount of sane people </w:t>
      </w:r>
      <w:proofErr w:type="gramStart"/>
      <w:r w:rsidRPr="00045041">
        <w:rPr>
          <w:rFonts w:ascii="Arial" w:hAnsi="Arial" w:cs="Arial"/>
          <w:color w:val="000000" w:themeColor="text1"/>
          <w:sz w:val="24"/>
          <w:szCs w:val="24"/>
          <w:shd w:val="clear" w:color="auto" w:fill="FFFFFF"/>
        </w:rPr>
        <w:t>were</w:t>
      </w:r>
      <w:proofErr w:type="gramEnd"/>
      <w:r w:rsidRPr="00045041">
        <w:rPr>
          <w:rFonts w:ascii="Arial" w:hAnsi="Arial" w:cs="Arial"/>
          <w:color w:val="000000" w:themeColor="text1"/>
          <w:sz w:val="24"/>
          <w:szCs w:val="24"/>
          <w:shd w:val="clear" w:color="auto" w:fill="FFFFFF"/>
        </w:rPr>
        <w:t xml:space="preserve"> “stowed away within private asylums for the financial or social benefit of their so-called friends and relatives.” (Crane, J. 2013) The study also found a woman </w:t>
      </w:r>
      <w:r w:rsidRPr="00045041">
        <w:rPr>
          <w:rFonts w:ascii="Arial" w:hAnsi="Arial" w:cs="Arial"/>
          <w:color w:val="000000" w:themeColor="text1"/>
          <w:sz w:val="24"/>
          <w:szCs w:val="24"/>
          <w:shd w:val="clear" w:color="auto" w:fill="FFFFFF"/>
        </w:rPr>
        <w:lastRenderedPageBreak/>
        <w:t xml:space="preserve">that was imprisoned by her husband for not showing love towards him, and two girls were found, around the age of sixteen, who were locked up because their parents did not approve of their choices of lovers. These disturbing statistics and sightings led to the </w:t>
      </w:r>
      <w:r w:rsidRPr="00045041">
        <w:rPr>
          <w:rFonts w:ascii="Arial" w:hAnsi="Arial" w:cs="Arial"/>
          <w:color w:val="000000"/>
          <w:sz w:val="24"/>
          <w:szCs w:val="24"/>
        </w:rPr>
        <w:t xml:space="preserve">1774 Madhouse Act. </w:t>
      </w:r>
      <w:r w:rsidRPr="00045041">
        <w:rPr>
          <w:rFonts w:ascii="Arial" w:hAnsi="Arial" w:cs="Arial"/>
          <w:sz w:val="24"/>
          <w:szCs w:val="24"/>
        </w:rPr>
        <w:t xml:space="preserve">This act had three key areas which were required to confine the private trade in lunacy. The act set limits on the number of patients admitted into the asylums, made sure that the madhouses were inspected on a regular basis which ensured every individual was being treated properly in safe and clean environments. The act insured all institutions had medical certification for each patient to be imprisoned. However, the act did not involve any punishment or analyse the asylums performing highly dangerous and life-threatening treatments, to attempt to “cure” mental illnesses, which most were done without any </w:t>
      </w:r>
      <w:r w:rsidRPr="00045041">
        <w:rPr>
          <w:rFonts w:ascii="Arial" w:hAnsi="Arial" w:cs="Arial"/>
          <w:sz w:val="24"/>
          <w:szCs w:val="24"/>
        </w:rPr>
        <w:t>anaesthetic</w:t>
      </w:r>
      <w:r w:rsidRPr="00045041">
        <w:rPr>
          <w:rFonts w:ascii="Arial" w:hAnsi="Arial" w:cs="Arial"/>
          <w:sz w:val="24"/>
          <w:szCs w:val="24"/>
        </w:rPr>
        <w:t xml:space="preserve"> or drug to help with any pain. </w:t>
      </w: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r w:rsidRPr="00045041">
        <w:rPr>
          <w:rFonts w:ascii="Arial" w:hAnsi="Arial" w:cs="Arial"/>
          <w:sz w:val="24"/>
          <w:szCs w:val="24"/>
        </w:rPr>
        <w:tab/>
        <w:t xml:space="preserve">Numerous treatments were conducted by doctors in asylums, the most well-known, Electric Convulsive Therapy (ECT). The procedure was invented in Italy in 1938 and brought to England in 1939. Using ECT induced a seizure and patients remained unconscious for 15 seconds. Doctors believed that ECT would ‘jump start’ the brain and cure mental illnesses such as depression or schizophrenia. The procedure sent powerful shocks to the patients’ brain using two electrodes (paddles). As this was a highly dangerous and violent procedure, mouth guards, drugs and body restraints were used to prevent any fractures due to the patient shaking aggressively. Following the end of world war two, great advancements were made in technology, most noticeably in the procedure of ECT, which became safer and much more comfortable for patients. However, even after the breakthrough in technology, questions were raised as to why a patient did not remember receiving ECT or whether they had even given informed consent. Consequently, ECT was used less frequently as patients and doctors criticised the cruelty of the procedure. ECT is still used today, however, only in severe cases.  Moreover, as the procedure was originally thought to be painful, to combat this, doctors now administer anaesthetic. </w:t>
      </w: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color w:val="000000" w:themeColor="text1"/>
          <w:sz w:val="24"/>
          <w:szCs w:val="24"/>
        </w:rPr>
      </w:pPr>
      <w:r w:rsidRPr="00045041">
        <w:rPr>
          <w:rFonts w:ascii="Arial" w:hAnsi="Arial" w:cs="Arial"/>
          <w:sz w:val="24"/>
          <w:szCs w:val="24"/>
        </w:rPr>
        <w:lastRenderedPageBreak/>
        <w:tab/>
        <w:t xml:space="preserve">ECT was not the only procedure used to treat mental illness, there was also lobotomy, which began in the 1930’s. Like ECT, lobotomy was theorised as an effective treatment for various mental disorders such as depression, anxiety, aggression and insomnia. Freeman, J., W. (1930) performed over 3000 lobotomies, from its peak 1930 to its fall in 1960. He claimed that this was the best way to cure many forms of mental illnesses. The procedure consisted the frontal lobes of the brain being detached by inserting tools through the eye socket. The idea behind this form of psychosurgery is that significant cases of mental illnesses can be cured by adapting the way the brain functions. However, it was not as simple as this. According to Caruso, P., J. &amp; Sheehan, P., J. (2017), </w:t>
      </w:r>
      <w:r w:rsidRPr="00045041">
        <w:rPr>
          <w:rFonts w:ascii="Arial" w:hAnsi="Arial" w:cs="Arial"/>
          <w:color w:val="000000" w:themeColor="text1"/>
          <w:sz w:val="24"/>
          <w:szCs w:val="24"/>
        </w:rPr>
        <w:t>a large amount of lobotomy patients “suffered devastating complications, including intracranial haemorrhage, epilepsy, alterations in affect and personality, brain abscess, dementia, and in some cases, death.” This resulted in lobotomy declining in popularity and even to this day not being carried out at all. However, this treatment helped scientists and doctors nowadays learn the different functions of the brain and what areas are not to be operated on to cure mental health, which is impossible to do without correct treatment such as counselling and/or medication.</w:t>
      </w: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color w:val="000000" w:themeColor="text1"/>
          <w:sz w:val="24"/>
          <w:szCs w:val="24"/>
        </w:rPr>
      </w:pPr>
      <w:r w:rsidRPr="00045041">
        <w:rPr>
          <w:rFonts w:ascii="Arial" w:hAnsi="Arial" w:cs="Arial"/>
          <w:sz w:val="24"/>
          <w:szCs w:val="24"/>
        </w:rPr>
        <w:tab/>
        <w:t>In 1834, the parliament created the Poor Law Amendment Act, which intended on reducing the cost of caring for the poor, to do this, the parliament stopped money going to poor people, except those in desperate need. They made it law that if poor people needed money for food, medicine, water etc. they would need to go to a workhouse and get it, however conditions in these workhouses were not pleasant. According to Smith, L., H.  (2014), a 91-year-old who remembers life</w:t>
      </w:r>
      <w:r w:rsidRPr="00045041">
        <w:rPr>
          <w:rFonts w:ascii="Arial" w:hAnsi="Arial" w:cs="Arial"/>
          <w:color w:val="000000" w:themeColor="text1"/>
          <w:sz w:val="24"/>
          <w:szCs w:val="24"/>
        </w:rPr>
        <w:t xml:space="preserve"> during this time of the act, states that a</w:t>
      </w:r>
      <w:r w:rsidRPr="00045041">
        <w:rPr>
          <w:rFonts w:ascii="Arial" w:hAnsi="Arial" w:cs="Arial"/>
          <w:color w:val="000000" w:themeColor="text1"/>
          <w:sz w:val="24"/>
          <w:szCs w:val="24"/>
          <w:shd w:val="clear" w:color="auto" w:fill="FFFFFF"/>
        </w:rPr>
        <w:t xml:space="preserve"> “doctor’s visit could cost equal to half a week’s wage, so most people relied on good wealth rather than medical guidance to see them safely through an illness.” This shows just how bad it was to live in this </w:t>
      </w:r>
      <w:proofErr w:type="gramStart"/>
      <w:r w:rsidRPr="00045041">
        <w:rPr>
          <w:rFonts w:ascii="Arial" w:hAnsi="Arial" w:cs="Arial"/>
          <w:color w:val="000000" w:themeColor="text1"/>
          <w:sz w:val="24"/>
          <w:szCs w:val="24"/>
          <w:shd w:val="clear" w:color="auto" w:fill="FFFFFF"/>
        </w:rPr>
        <w:t>period of time</w:t>
      </w:r>
      <w:proofErr w:type="gramEnd"/>
      <w:r w:rsidRPr="00045041">
        <w:rPr>
          <w:rFonts w:ascii="Arial" w:hAnsi="Arial" w:cs="Arial"/>
          <w:color w:val="000000" w:themeColor="text1"/>
          <w:sz w:val="24"/>
          <w:szCs w:val="24"/>
          <w:shd w:val="clear" w:color="auto" w:fill="FFFFFF"/>
        </w:rPr>
        <w:t xml:space="preserve"> and why there were so many deaths during this act. However, 100 years later came a new health scheme that would change </w:t>
      </w:r>
      <w:proofErr w:type="gramStart"/>
      <w:r w:rsidRPr="00045041">
        <w:rPr>
          <w:rFonts w:ascii="Arial" w:hAnsi="Arial" w:cs="Arial"/>
          <w:color w:val="000000" w:themeColor="text1"/>
          <w:sz w:val="24"/>
          <w:szCs w:val="24"/>
          <w:shd w:val="clear" w:color="auto" w:fill="FFFFFF"/>
        </w:rPr>
        <w:t>individuals</w:t>
      </w:r>
      <w:proofErr w:type="gramEnd"/>
      <w:r w:rsidRPr="00045041">
        <w:rPr>
          <w:rFonts w:ascii="Arial" w:hAnsi="Arial" w:cs="Arial"/>
          <w:color w:val="000000" w:themeColor="text1"/>
          <w:sz w:val="24"/>
          <w:szCs w:val="24"/>
          <w:shd w:val="clear" w:color="auto" w:fill="FFFFFF"/>
        </w:rPr>
        <w:t xml:space="preserve"> health for the better, the NHS. </w:t>
      </w:r>
      <w:r w:rsidRPr="00045041">
        <w:rPr>
          <w:rFonts w:ascii="Arial" w:hAnsi="Arial" w:cs="Arial"/>
          <w:sz w:val="24"/>
          <w:szCs w:val="24"/>
        </w:rPr>
        <w:t>Following the introduction of the National Health Service (</w:t>
      </w:r>
      <w:r w:rsidRPr="00045041">
        <w:rPr>
          <w:rFonts w:ascii="Arial" w:hAnsi="Arial" w:cs="Arial"/>
          <w:color w:val="000000" w:themeColor="text1"/>
          <w:sz w:val="24"/>
          <w:szCs w:val="24"/>
        </w:rPr>
        <w:t xml:space="preserve">NHS) in 1948, asylums and institutions changed forever. Moreover, health care became more accessible and free to all regardless of financial status. </w:t>
      </w:r>
    </w:p>
    <w:p w:rsidR="00045041" w:rsidRPr="00045041" w:rsidRDefault="00045041" w:rsidP="00045041">
      <w:pPr>
        <w:spacing w:after="0" w:line="480" w:lineRule="auto"/>
        <w:rPr>
          <w:rFonts w:ascii="Arial" w:hAnsi="Arial" w:cs="Arial"/>
          <w:color w:val="000000" w:themeColor="text1"/>
          <w:sz w:val="24"/>
          <w:szCs w:val="24"/>
        </w:rPr>
      </w:pPr>
    </w:p>
    <w:p w:rsidR="00045041" w:rsidRPr="00045041" w:rsidRDefault="00045041" w:rsidP="00045041">
      <w:pPr>
        <w:spacing w:after="0" w:line="480" w:lineRule="auto"/>
        <w:ind w:firstLine="720"/>
        <w:rPr>
          <w:rFonts w:ascii="Arial" w:hAnsi="Arial" w:cs="Arial"/>
          <w:color w:val="000000" w:themeColor="text1"/>
          <w:sz w:val="24"/>
          <w:szCs w:val="24"/>
        </w:rPr>
      </w:pPr>
      <w:r w:rsidRPr="00045041">
        <w:rPr>
          <w:rFonts w:ascii="Arial" w:hAnsi="Arial" w:cs="Arial"/>
          <w:color w:val="000000" w:themeColor="text1"/>
          <w:sz w:val="24"/>
          <w:szCs w:val="24"/>
        </w:rPr>
        <w:t>Whilst the NHS was in its early days, there was questioning as to whether mental institutions would be included in the plan. After a lot of debating in parliament, it was decided that it would become part of the NHS which brought hospitals and asylums together to achieve equality of membership. The NHS consisted of some basic principles, that it would be free and that it met the needs of every individual, whatever social status they were. Aneurin Bevan, who was the creator of the NHS, first launched the NHS at the Park Hospital in Manchester, to test and see how the public would react to the plan. Overall, the public responded significantly to the NHS which resulted in the scheme being produced all over the United Kingdom. Another law that changed the way healthcare was given was the Human Rights Act 1998 and came into force on 2</w:t>
      </w:r>
      <w:r w:rsidRPr="00045041">
        <w:rPr>
          <w:rFonts w:ascii="Arial" w:hAnsi="Arial" w:cs="Arial"/>
          <w:color w:val="000000" w:themeColor="text1"/>
          <w:sz w:val="24"/>
          <w:szCs w:val="24"/>
          <w:vertAlign w:val="superscript"/>
        </w:rPr>
        <w:t>nd</w:t>
      </w:r>
      <w:r w:rsidRPr="00045041">
        <w:rPr>
          <w:rFonts w:ascii="Arial" w:hAnsi="Arial" w:cs="Arial"/>
          <w:color w:val="000000" w:themeColor="text1"/>
          <w:sz w:val="24"/>
          <w:szCs w:val="24"/>
        </w:rPr>
        <w:t xml:space="preserve"> October 2000. The act allows individuals to go into court if they believe their fundamental rights have been breached, which was not the case before the act came about. There are thirty human rights, some examples of these include freedom of thought, social security, workers’ rights and many more. (Ashworth, A. 2014). Due to the treatment of the mentally ill in asylums being inhumane and broke many of the Human Rights, this act was one of the many reasons why asylums were shut down. </w:t>
      </w: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r w:rsidRPr="00045041">
        <w:rPr>
          <w:rFonts w:ascii="Arial" w:hAnsi="Arial" w:cs="Arial"/>
          <w:sz w:val="24"/>
          <w:szCs w:val="24"/>
        </w:rPr>
        <w:tab/>
        <w:t xml:space="preserve">To conclude, in the past, treatments for mental health, although invasive, have helped informed modern days understanding of how to treat mental illness. The Human Rights Act 1998 and the opening of the NHS, 1948, contributed greatly to the closing of asylums which changed history forever. Doctors and scientists acted on previous mistakes on attempting to cure mental illness and came up with new and safer ways to help those overcome mental health. Even though some treatments from the asylums were deadly and barbaric, many of the techniques are still used today such as ECT, but in a much safer way. Nowadays, mental illness is usually treated less physically compared to back then, with many doctors subscribing medications or counselling sessions, which have been proven to help greatly for many patients. From these treatments, it has been shown that there is no easy way to ‘cure’ mental illness, in fact there is no cure, just options </w:t>
      </w:r>
      <w:r w:rsidRPr="00045041">
        <w:rPr>
          <w:rFonts w:ascii="Arial" w:hAnsi="Arial" w:cs="Arial"/>
          <w:sz w:val="24"/>
          <w:szCs w:val="24"/>
        </w:rPr>
        <w:lastRenderedPageBreak/>
        <w:t xml:space="preserve">to help those who are suffering with mental illness to cope with day to day </w:t>
      </w:r>
      <w:r w:rsidRPr="00045041">
        <w:rPr>
          <w:rFonts w:ascii="Arial" w:hAnsi="Arial" w:cs="Arial"/>
          <w:sz w:val="24"/>
          <w:szCs w:val="24"/>
        </w:rPr>
        <w:t>things and</w:t>
      </w:r>
      <w:r w:rsidRPr="00045041">
        <w:rPr>
          <w:rFonts w:ascii="Arial" w:hAnsi="Arial" w:cs="Arial"/>
          <w:sz w:val="24"/>
          <w:szCs w:val="24"/>
        </w:rPr>
        <w:t xml:space="preserve"> help make them feel happier with life. </w:t>
      </w:r>
    </w:p>
    <w:p w:rsidR="00045041" w:rsidRPr="00045041" w:rsidRDefault="00045041" w:rsidP="00045041">
      <w:pPr>
        <w:spacing w:after="0" w:line="480" w:lineRule="auto"/>
        <w:rPr>
          <w:rFonts w:ascii="Arial" w:hAnsi="Arial" w:cs="Arial"/>
          <w:sz w:val="24"/>
          <w:szCs w:val="24"/>
        </w:rPr>
      </w:pPr>
    </w:p>
    <w:p w:rsidR="00045041" w:rsidRDefault="00045041" w:rsidP="00045041">
      <w:pPr>
        <w:spacing w:after="0" w:line="480" w:lineRule="auto"/>
        <w:rPr>
          <w:rFonts w:ascii="Arial" w:hAnsi="Arial" w:cs="Arial"/>
          <w:sz w:val="24"/>
          <w:szCs w:val="24"/>
        </w:rPr>
      </w:pPr>
      <w:r w:rsidRPr="00045041">
        <w:rPr>
          <w:rFonts w:ascii="Arial" w:hAnsi="Arial" w:cs="Arial"/>
          <w:sz w:val="24"/>
          <w:szCs w:val="24"/>
        </w:rPr>
        <w:t xml:space="preserve"> </w:t>
      </w: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045041">
      <w:pPr>
        <w:spacing w:after="0" w:line="480" w:lineRule="auto"/>
        <w:rPr>
          <w:rFonts w:ascii="Arial" w:hAnsi="Arial" w:cs="Arial"/>
          <w:sz w:val="24"/>
          <w:szCs w:val="24"/>
        </w:rPr>
      </w:pPr>
    </w:p>
    <w:p w:rsidR="006C7CFE" w:rsidRDefault="006C7CFE" w:rsidP="006C7CFE">
      <w:pPr>
        <w:spacing w:after="0" w:line="480" w:lineRule="auto"/>
        <w:jc w:val="center"/>
        <w:rPr>
          <w:rFonts w:ascii="Arial" w:hAnsi="Arial" w:cs="Arial"/>
          <w:sz w:val="24"/>
          <w:szCs w:val="24"/>
          <w:u w:val="single"/>
        </w:rPr>
      </w:pPr>
      <w:r>
        <w:rPr>
          <w:rFonts w:ascii="Arial" w:hAnsi="Arial" w:cs="Arial"/>
          <w:sz w:val="24"/>
          <w:szCs w:val="24"/>
          <w:u w:val="single"/>
        </w:rPr>
        <w:lastRenderedPageBreak/>
        <w:t>References</w:t>
      </w:r>
    </w:p>
    <w:p w:rsidR="006C7CFE" w:rsidRDefault="008A53AB" w:rsidP="006C7CFE">
      <w:pPr>
        <w:spacing w:after="0" w:line="480" w:lineRule="auto"/>
        <w:ind w:left="720" w:hanging="720"/>
        <w:rPr>
          <w:rFonts w:ascii="Arial" w:hAnsi="Arial" w:cs="Arial"/>
          <w:sz w:val="24"/>
          <w:szCs w:val="24"/>
        </w:rPr>
      </w:pPr>
      <w:r>
        <w:rPr>
          <w:rFonts w:ascii="Arial" w:hAnsi="Arial" w:cs="Arial"/>
          <w:sz w:val="24"/>
          <w:szCs w:val="24"/>
        </w:rPr>
        <w:t xml:space="preserve">Ashworth, A. (2014) Convention on Human Rights. </w:t>
      </w:r>
      <w:r>
        <w:rPr>
          <w:rFonts w:ascii="Arial" w:hAnsi="Arial" w:cs="Arial"/>
          <w:i/>
          <w:sz w:val="24"/>
          <w:szCs w:val="24"/>
        </w:rPr>
        <w:t>Criminal law review.</w:t>
      </w:r>
      <w:r>
        <w:rPr>
          <w:rFonts w:ascii="Arial" w:hAnsi="Arial" w:cs="Arial"/>
          <w:sz w:val="24"/>
          <w:szCs w:val="24"/>
        </w:rPr>
        <w:t xml:space="preserve"> (6) pp. 471-474. Retrieved from </w:t>
      </w:r>
      <w:hyperlink r:id="rId6" w:history="1">
        <w:r w:rsidRPr="008441B0">
          <w:rPr>
            <w:rStyle w:val="Hyperlink"/>
            <w:rFonts w:ascii="Arial" w:hAnsi="Arial" w:cs="Arial"/>
            <w:sz w:val="24"/>
            <w:szCs w:val="24"/>
          </w:rPr>
          <w:t>http://whel-primo.hosted.exlibrisgroup.com/primo_library/libweb/action/search.do?fn</w:t>
        </w:r>
      </w:hyperlink>
      <w:r w:rsidRPr="008A53AB">
        <w:rPr>
          <w:rFonts w:ascii="Arial" w:hAnsi="Arial" w:cs="Arial"/>
          <w:sz w:val="24"/>
          <w:szCs w:val="24"/>
        </w:rPr>
        <w:t>=</w:t>
      </w:r>
    </w:p>
    <w:p w:rsidR="008A53AB" w:rsidRDefault="008A53AB" w:rsidP="006C7CFE">
      <w:pPr>
        <w:spacing w:after="0" w:line="480" w:lineRule="auto"/>
        <w:ind w:left="720" w:hanging="720"/>
        <w:rPr>
          <w:rFonts w:ascii="Arial" w:hAnsi="Arial" w:cs="Arial"/>
          <w:sz w:val="24"/>
          <w:szCs w:val="24"/>
        </w:rPr>
      </w:pPr>
      <w:r>
        <w:rPr>
          <w:rFonts w:ascii="Arial" w:hAnsi="Arial" w:cs="Arial"/>
          <w:sz w:val="24"/>
          <w:szCs w:val="24"/>
        </w:rPr>
        <w:t xml:space="preserve">Caruso, J. P. &amp; Sheehan, J. P. (2017) Psychosurgery, Ethics and Media: A History of Walter Freeman and the Lobotomy. </w:t>
      </w:r>
      <w:r>
        <w:rPr>
          <w:rFonts w:ascii="Arial" w:hAnsi="Arial" w:cs="Arial"/>
          <w:i/>
          <w:sz w:val="24"/>
          <w:szCs w:val="24"/>
        </w:rPr>
        <w:t>Neurosurgical focus. 43(3)</w:t>
      </w:r>
      <w:r>
        <w:rPr>
          <w:rFonts w:ascii="Arial" w:hAnsi="Arial" w:cs="Arial"/>
          <w:sz w:val="24"/>
          <w:szCs w:val="24"/>
        </w:rPr>
        <w:t xml:space="preserve"> pp. 1-8</w:t>
      </w:r>
    </w:p>
    <w:p w:rsidR="008A53AB" w:rsidRDefault="008A53AB" w:rsidP="006C7CFE">
      <w:pPr>
        <w:spacing w:after="0" w:line="480" w:lineRule="auto"/>
        <w:ind w:left="720" w:hanging="720"/>
        <w:rPr>
          <w:rFonts w:ascii="Arial" w:hAnsi="Arial" w:cs="Arial"/>
          <w:sz w:val="24"/>
          <w:szCs w:val="24"/>
        </w:rPr>
      </w:pPr>
      <w:r>
        <w:rPr>
          <w:rFonts w:ascii="Arial" w:hAnsi="Arial" w:cs="Arial"/>
          <w:sz w:val="24"/>
          <w:szCs w:val="24"/>
        </w:rPr>
        <w:t xml:space="preserve">Crane, J. (26 November 2013) </w:t>
      </w:r>
      <w:r>
        <w:rPr>
          <w:rFonts w:ascii="Arial" w:hAnsi="Arial" w:cs="Arial"/>
          <w:i/>
          <w:sz w:val="24"/>
          <w:szCs w:val="24"/>
        </w:rPr>
        <w:t xml:space="preserve">1774 Madhouse Act. </w:t>
      </w:r>
      <w:r>
        <w:rPr>
          <w:rFonts w:ascii="Arial" w:hAnsi="Arial" w:cs="Arial"/>
          <w:sz w:val="24"/>
          <w:szCs w:val="24"/>
        </w:rPr>
        <w:t xml:space="preserve">Retrieved from </w:t>
      </w:r>
      <w:hyperlink r:id="rId7" w:history="1">
        <w:r w:rsidRPr="006C0655">
          <w:rPr>
            <w:rStyle w:val="Hyperlink"/>
            <w:rFonts w:ascii="Arial" w:hAnsi="Arial" w:cs="Arial"/>
            <w:sz w:val="24"/>
            <w:szCs w:val="24"/>
          </w:rPr>
          <w:t>https://warwick.ac.uk/fac/arts/history/chm/outreach/trade_in_lunacy/research/1774madhousesact/</w:t>
        </w:r>
      </w:hyperlink>
    </w:p>
    <w:p w:rsidR="008A53AB" w:rsidRDefault="008A53AB" w:rsidP="006C7CFE">
      <w:pPr>
        <w:spacing w:after="0" w:line="480" w:lineRule="auto"/>
        <w:ind w:left="720" w:hanging="720"/>
        <w:rPr>
          <w:rFonts w:ascii="Arial" w:hAnsi="Arial" w:cs="Arial"/>
          <w:sz w:val="24"/>
          <w:szCs w:val="24"/>
        </w:rPr>
      </w:pPr>
      <w:r>
        <w:rPr>
          <w:rFonts w:ascii="Arial" w:hAnsi="Arial" w:cs="Arial"/>
          <w:sz w:val="24"/>
          <w:szCs w:val="24"/>
        </w:rPr>
        <w:t xml:space="preserve">Grantham, E. G. (1950) Prefrontal Lobotomy for Relief of Pain with a Report of a New Operative Technique. </w:t>
      </w:r>
      <w:r>
        <w:rPr>
          <w:rFonts w:ascii="Arial" w:hAnsi="Arial" w:cs="Arial"/>
          <w:i/>
          <w:sz w:val="24"/>
          <w:szCs w:val="24"/>
        </w:rPr>
        <w:t xml:space="preserve">Journal of neurosurgery. 8(4) </w:t>
      </w:r>
      <w:r>
        <w:rPr>
          <w:rFonts w:ascii="Arial" w:hAnsi="Arial" w:cs="Arial"/>
          <w:sz w:val="24"/>
          <w:szCs w:val="24"/>
        </w:rPr>
        <w:t>pp. 405-410</w:t>
      </w:r>
    </w:p>
    <w:p w:rsidR="008A53AB" w:rsidRDefault="008A53AB" w:rsidP="006C7CFE">
      <w:pPr>
        <w:spacing w:after="0" w:line="480" w:lineRule="auto"/>
        <w:ind w:left="720" w:hanging="720"/>
        <w:rPr>
          <w:rFonts w:ascii="Arial" w:hAnsi="Arial" w:cs="Arial"/>
          <w:sz w:val="24"/>
          <w:szCs w:val="24"/>
        </w:rPr>
      </w:pPr>
      <w:r>
        <w:rPr>
          <w:rFonts w:ascii="Arial" w:hAnsi="Arial" w:cs="Arial"/>
          <w:sz w:val="24"/>
          <w:szCs w:val="24"/>
        </w:rPr>
        <w:t xml:space="preserve">Gruyter, W. (2004) </w:t>
      </w:r>
      <w:r>
        <w:rPr>
          <w:rFonts w:ascii="Arial" w:hAnsi="Arial" w:cs="Arial"/>
          <w:i/>
          <w:sz w:val="24"/>
          <w:szCs w:val="24"/>
        </w:rPr>
        <w:t xml:space="preserve">Philosophy and Psychiatry. </w:t>
      </w:r>
      <w:r>
        <w:rPr>
          <w:rFonts w:ascii="Arial" w:hAnsi="Arial" w:cs="Arial"/>
          <w:sz w:val="24"/>
          <w:szCs w:val="24"/>
        </w:rPr>
        <w:t xml:space="preserve">Berlin, New York: Die Deutsche </w:t>
      </w:r>
      <w:proofErr w:type="spellStart"/>
      <w:r>
        <w:rPr>
          <w:rFonts w:ascii="Arial" w:hAnsi="Arial" w:cs="Arial"/>
          <w:sz w:val="24"/>
          <w:szCs w:val="24"/>
        </w:rPr>
        <w:t>Bibliothek</w:t>
      </w:r>
      <w:proofErr w:type="spellEnd"/>
    </w:p>
    <w:p w:rsidR="00045041" w:rsidRDefault="008A53AB" w:rsidP="001A1F42">
      <w:pPr>
        <w:spacing w:after="0" w:line="480" w:lineRule="auto"/>
        <w:ind w:left="720" w:hanging="720"/>
        <w:rPr>
          <w:rFonts w:ascii="Arial" w:hAnsi="Arial" w:cs="Arial"/>
          <w:sz w:val="24"/>
          <w:szCs w:val="24"/>
        </w:rPr>
      </w:pPr>
      <w:r>
        <w:rPr>
          <w:rFonts w:ascii="Arial" w:hAnsi="Arial" w:cs="Arial"/>
          <w:sz w:val="24"/>
          <w:szCs w:val="24"/>
        </w:rPr>
        <w:t xml:space="preserve">Jack, J. (2017) A Rhetorical History by Jenell Johnson (review). </w:t>
      </w:r>
      <w:r>
        <w:rPr>
          <w:rFonts w:ascii="Arial" w:hAnsi="Arial" w:cs="Arial"/>
          <w:i/>
          <w:sz w:val="24"/>
          <w:szCs w:val="24"/>
        </w:rPr>
        <w:t xml:space="preserve">American lobotomy. 20(2) </w:t>
      </w:r>
      <w:r>
        <w:rPr>
          <w:rFonts w:ascii="Arial" w:hAnsi="Arial" w:cs="Arial"/>
          <w:sz w:val="24"/>
          <w:szCs w:val="24"/>
        </w:rPr>
        <w:t>pp.   369-372</w:t>
      </w:r>
    </w:p>
    <w:p w:rsidR="008A53AB" w:rsidRDefault="008A53AB" w:rsidP="001A1F42">
      <w:pPr>
        <w:spacing w:after="0" w:line="480" w:lineRule="auto"/>
        <w:ind w:left="720" w:hanging="720"/>
        <w:rPr>
          <w:rFonts w:ascii="Arial" w:hAnsi="Arial" w:cs="Arial"/>
          <w:sz w:val="24"/>
          <w:szCs w:val="24"/>
        </w:rPr>
      </w:pPr>
      <w:r>
        <w:rPr>
          <w:rFonts w:ascii="Arial" w:hAnsi="Arial" w:cs="Arial"/>
          <w:sz w:val="24"/>
          <w:szCs w:val="24"/>
        </w:rPr>
        <w:t xml:space="preserve">Lewis, T. &amp; Writer, S. (August 28, 2014) </w:t>
      </w:r>
      <w:r>
        <w:rPr>
          <w:rFonts w:ascii="Arial" w:hAnsi="Arial" w:cs="Arial"/>
          <w:i/>
          <w:sz w:val="24"/>
          <w:szCs w:val="24"/>
        </w:rPr>
        <w:t xml:space="preserve">Lobotomy: Definition, Procedure and History. </w:t>
      </w:r>
      <w:r>
        <w:rPr>
          <w:rFonts w:ascii="Arial" w:hAnsi="Arial" w:cs="Arial"/>
          <w:sz w:val="24"/>
          <w:szCs w:val="24"/>
        </w:rPr>
        <w:t>Retrieved fro</w:t>
      </w:r>
      <w:r w:rsidRPr="008A53AB">
        <w:rPr>
          <w:rFonts w:ascii="Arial" w:hAnsi="Arial" w:cs="Arial"/>
          <w:sz w:val="24"/>
          <w:szCs w:val="24"/>
        </w:rPr>
        <w:t xml:space="preserve">m </w:t>
      </w:r>
      <w:hyperlink r:id="rId8" w:history="1">
        <w:r w:rsidRPr="008A53AB">
          <w:rPr>
            <w:rStyle w:val="Hyperlink"/>
            <w:rFonts w:ascii="Arial" w:hAnsi="Arial" w:cs="Arial"/>
            <w:sz w:val="24"/>
            <w:szCs w:val="24"/>
          </w:rPr>
          <w:t>https://www.livescience.com/42199-lobotomy-definition.html</w:t>
        </w:r>
      </w:hyperlink>
    </w:p>
    <w:p w:rsidR="001A1F42" w:rsidRDefault="001A1F42" w:rsidP="001A1F42">
      <w:pPr>
        <w:pStyle w:val="citationpreview"/>
        <w:spacing w:before="0" w:beforeAutospacing="0" w:after="0" w:afterAutospacing="0" w:line="480" w:lineRule="auto"/>
        <w:ind w:left="720"/>
        <w:rPr>
          <w:rFonts w:ascii="Arial" w:hAnsi="Arial" w:cs="Arial"/>
          <w:color w:val="2E74B5" w:themeColor="accent5" w:themeShade="BF"/>
          <w:szCs w:val="20"/>
          <w:u w:val="single"/>
        </w:rPr>
      </w:pPr>
      <w:proofErr w:type="spellStart"/>
      <w:r w:rsidRPr="001A1F42">
        <w:rPr>
          <w:rFonts w:ascii="Arial" w:hAnsi="Arial" w:cs="Arial"/>
          <w:color w:val="000000"/>
          <w:szCs w:val="20"/>
        </w:rPr>
        <w:t>O'Cinneide</w:t>
      </w:r>
      <w:proofErr w:type="spellEnd"/>
      <w:r w:rsidRPr="001A1F42">
        <w:rPr>
          <w:rFonts w:ascii="Arial" w:hAnsi="Arial" w:cs="Arial"/>
          <w:color w:val="000000"/>
          <w:szCs w:val="20"/>
        </w:rPr>
        <w:t>, C.</w:t>
      </w:r>
      <w:r>
        <w:rPr>
          <w:rFonts w:ascii="Arial" w:hAnsi="Arial" w:cs="Arial"/>
          <w:color w:val="000000"/>
          <w:szCs w:val="20"/>
        </w:rPr>
        <w:t xml:space="preserve"> </w:t>
      </w:r>
      <w:r w:rsidRPr="001A1F42">
        <w:rPr>
          <w:rFonts w:ascii="Arial" w:hAnsi="Arial" w:cs="Arial"/>
          <w:color w:val="000000"/>
          <w:szCs w:val="20"/>
        </w:rPr>
        <w:t xml:space="preserve">(2008). </w:t>
      </w:r>
      <w:r w:rsidRPr="001A1F42">
        <w:rPr>
          <w:rFonts w:ascii="Arial" w:hAnsi="Arial" w:cs="Arial"/>
          <w:i/>
          <w:color w:val="000000"/>
          <w:szCs w:val="20"/>
        </w:rPr>
        <w:t>Human Rights Act 1998</w:t>
      </w:r>
      <w:r>
        <w:rPr>
          <w:rFonts w:ascii="Arial" w:hAnsi="Arial" w:cs="Arial"/>
          <w:color w:val="000000"/>
          <w:szCs w:val="20"/>
        </w:rPr>
        <w:t>. In t</w:t>
      </w:r>
      <w:r w:rsidRPr="001A1F42">
        <w:rPr>
          <w:rFonts w:ascii="Arial" w:hAnsi="Arial" w:cs="Arial"/>
          <w:color w:val="000000"/>
          <w:szCs w:val="20"/>
        </w:rPr>
        <w:t>h</w:t>
      </w:r>
      <w:r>
        <w:rPr>
          <w:rFonts w:ascii="Arial" w:hAnsi="Arial" w:cs="Arial"/>
          <w:color w:val="000000"/>
          <w:szCs w:val="20"/>
        </w:rPr>
        <w:t>e New Oxford Companion to Law.</w:t>
      </w:r>
      <w:r w:rsidRPr="001A1F42">
        <w:rPr>
          <w:rFonts w:ascii="Arial" w:hAnsi="Arial" w:cs="Arial"/>
          <w:color w:val="000000"/>
          <w:szCs w:val="20"/>
        </w:rPr>
        <w:t xml:space="preserve"> Oxford University Press. Retrieved 23 Apr. 2018, from </w:t>
      </w:r>
      <w:hyperlink r:id="rId9" w:history="1">
        <w:r w:rsidRPr="008441B0">
          <w:rPr>
            <w:rStyle w:val="Hyperlink"/>
            <w:rFonts w:ascii="Arial" w:hAnsi="Arial" w:cs="Arial"/>
            <w:color w:val="034990" w:themeColor="hyperlink" w:themeShade="BF"/>
            <w:szCs w:val="20"/>
          </w:rPr>
          <w:t>http://www.oxfordreference.com.ezproxy.uwtsd.ac.uk/view/10.1093/acref/9780199290543.001.0001/acref-9780199290543-e-1066</w:t>
        </w:r>
      </w:hyperlink>
      <w:r w:rsidRPr="001A1F42">
        <w:rPr>
          <w:rFonts w:ascii="Arial" w:hAnsi="Arial" w:cs="Arial"/>
          <w:color w:val="2E74B5" w:themeColor="accent5" w:themeShade="BF"/>
          <w:szCs w:val="20"/>
          <w:u w:val="single"/>
        </w:rPr>
        <w:t>.</w:t>
      </w:r>
    </w:p>
    <w:p w:rsidR="001A1F42" w:rsidRDefault="001A1F42" w:rsidP="001A1F42">
      <w:pPr>
        <w:spacing w:after="0" w:line="480" w:lineRule="auto"/>
        <w:ind w:left="720" w:hanging="720"/>
        <w:rPr>
          <w:rFonts w:ascii="Arial" w:hAnsi="Arial" w:cs="Arial"/>
          <w:color w:val="222222"/>
          <w:sz w:val="24"/>
          <w:szCs w:val="20"/>
          <w:shd w:val="clear" w:color="auto" w:fill="FFFFFF"/>
        </w:rPr>
      </w:pPr>
      <w:r w:rsidRPr="001A1F42">
        <w:rPr>
          <w:rFonts w:ascii="Arial" w:hAnsi="Arial" w:cs="Arial"/>
          <w:color w:val="222222"/>
          <w:sz w:val="24"/>
          <w:szCs w:val="20"/>
          <w:shd w:val="clear" w:color="auto" w:fill="FFFFFF"/>
        </w:rPr>
        <w:t>Poulter, S. (1998). </w:t>
      </w:r>
      <w:r w:rsidRPr="001A1F42">
        <w:rPr>
          <w:rFonts w:ascii="Arial" w:hAnsi="Arial" w:cs="Arial"/>
          <w:i/>
          <w:iCs/>
          <w:color w:val="222222"/>
          <w:sz w:val="24"/>
          <w:szCs w:val="20"/>
          <w:shd w:val="clear" w:color="auto" w:fill="FFFFFF"/>
        </w:rPr>
        <w:t>Ethnicity, law and human rights: The English experience</w:t>
      </w:r>
      <w:r w:rsidRPr="001A1F42">
        <w:rPr>
          <w:rFonts w:ascii="Arial" w:hAnsi="Arial" w:cs="Arial"/>
          <w:color w:val="222222"/>
          <w:sz w:val="24"/>
          <w:szCs w:val="20"/>
          <w:shd w:val="clear" w:color="auto" w:fill="FFFFFF"/>
        </w:rPr>
        <w:t> (p. 5960). Oxford: Oxford University Press.</w:t>
      </w:r>
    </w:p>
    <w:p w:rsidR="001A1F42" w:rsidRPr="002F013F" w:rsidRDefault="001A1F42" w:rsidP="001A1F42">
      <w:pPr>
        <w:spacing w:after="0" w:line="480" w:lineRule="auto"/>
        <w:ind w:left="720" w:hanging="720"/>
        <w:rPr>
          <w:rFonts w:ascii="Arial" w:hAnsi="Arial" w:cs="Arial"/>
          <w:color w:val="222222"/>
          <w:sz w:val="24"/>
          <w:szCs w:val="24"/>
          <w:shd w:val="clear" w:color="auto" w:fill="FFFFFF"/>
        </w:rPr>
      </w:pPr>
      <w:r w:rsidRPr="002F013F">
        <w:rPr>
          <w:rFonts w:ascii="Arial" w:hAnsi="Arial" w:cs="Arial"/>
          <w:color w:val="222222"/>
          <w:sz w:val="24"/>
          <w:szCs w:val="24"/>
          <w:shd w:val="clear" w:color="auto" w:fill="FFFFFF"/>
        </w:rPr>
        <w:t>Rosen, G. (1959). Social stress and mental disease from the eighteenth century to the present: some origins of social psychiatry. </w:t>
      </w:r>
      <w:r w:rsidRPr="002F013F">
        <w:rPr>
          <w:rFonts w:ascii="Arial" w:hAnsi="Arial" w:cs="Arial"/>
          <w:i/>
          <w:iCs/>
          <w:color w:val="222222"/>
          <w:sz w:val="24"/>
          <w:szCs w:val="24"/>
          <w:shd w:val="clear" w:color="auto" w:fill="FFFFFF"/>
        </w:rPr>
        <w:t>The Milbank Memorial Fund Quarterly</w:t>
      </w:r>
      <w:r w:rsidRPr="002F013F">
        <w:rPr>
          <w:rFonts w:ascii="Arial" w:hAnsi="Arial" w:cs="Arial"/>
          <w:color w:val="222222"/>
          <w:sz w:val="24"/>
          <w:szCs w:val="24"/>
          <w:shd w:val="clear" w:color="auto" w:fill="FFFFFF"/>
        </w:rPr>
        <w:t>, </w:t>
      </w:r>
      <w:r w:rsidRPr="002F013F">
        <w:rPr>
          <w:rFonts w:ascii="Arial" w:hAnsi="Arial" w:cs="Arial"/>
          <w:i/>
          <w:iCs/>
          <w:color w:val="222222"/>
          <w:sz w:val="24"/>
          <w:szCs w:val="24"/>
          <w:shd w:val="clear" w:color="auto" w:fill="FFFFFF"/>
        </w:rPr>
        <w:t>37</w:t>
      </w:r>
      <w:r w:rsidRPr="002F013F">
        <w:rPr>
          <w:rFonts w:ascii="Arial" w:hAnsi="Arial" w:cs="Arial"/>
          <w:color w:val="222222"/>
          <w:sz w:val="24"/>
          <w:szCs w:val="24"/>
          <w:shd w:val="clear" w:color="auto" w:fill="FFFFFF"/>
        </w:rPr>
        <w:t>(1), 5-32.</w:t>
      </w:r>
    </w:p>
    <w:p w:rsidR="001A1F42" w:rsidRPr="002F013F" w:rsidRDefault="001A1F42" w:rsidP="001A1F42">
      <w:pPr>
        <w:spacing w:after="0" w:line="480" w:lineRule="auto"/>
        <w:ind w:left="720" w:hanging="720"/>
        <w:rPr>
          <w:rFonts w:ascii="Arial" w:hAnsi="Arial" w:cs="Arial"/>
          <w:color w:val="222222"/>
          <w:sz w:val="24"/>
          <w:szCs w:val="24"/>
          <w:shd w:val="clear" w:color="auto" w:fill="FFFFFF"/>
        </w:rPr>
      </w:pPr>
      <w:r w:rsidRPr="002F013F">
        <w:rPr>
          <w:rFonts w:ascii="Arial" w:hAnsi="Arial" w:cs="Arial"/>
          <w:color w:val="222222"/>
          <w:sz w:val="24"/>
          <w:szCs w:val="24"/>
          <w:shd w:val="clear" w:color="auto" w:fill="FFFFFF"/>
        </w:rPr>
        <w:t xml:space="preserve">Scull, A. T. (1977). Madness and </w:t>
      </w:r>
      <w:proofErr w:type="spellStart"/>
      <w:r w:rsidRPr="002F013F">
        <w:rPr>
          <w:rFonts w:ascii="Arial" w:hAnsi="Arial" w:cs="Arial"/>
          <w:color w:val="222222"/>
          <w:sz w:val="24"/>
          <w:szCs w:val="24"/>
          <w:shd w:val="clear" w:color="auto" w:fill="FFFFFF"/>
        </w:rPr>
        <w:t>segregative</w:t>
      </w:r>
      <w:proofErr w:type="spellEnd"/>
      <w:r w:rsidRPr="002F013F">
        <w:rPr>
          <w:rFonts w:ascii="Arial" w:hAnsi="Arial" w:cs="Arial"/>
          <w:color w:val="222222"/>
          <w:sz w:val="24"/>
          <w:szCs w:val="24"/>
          <w:shd w:val="clear" w:color="auto" w:fill="FFFFFF"/>
        </w:rPr>
        <w:t xml:space="preserve"> control: The rise of the insane asylum. </w:t>
      </w:r>
      <w:r w:rsidRPr="002F013F">
        <w:rPr>
          <w:rFonts w:ascii="Arial" w:hAnsi="Arial" w:cs="Arial"/>
          <w:i/>
          <w:iCs/>
          <w:color w:val="222222"/>
          <w:sz w:val="24"/>
          <w:szCs w:val="24"/>
          <w:shd w:val="clear" w:color="auto" w:fill="FFFFFF"/>
        </w:rPr>
        <w:t>Social Problems</w:t>
      </w:r>
      <w:r w:rsidRPr="002F013F">
        <w:rPr>
          <w:rFonts w:ascii="Arial" w:hAnsi="Arial" w:cs="Arial"/>
          <w:color w:val="222222"/>
          <w:sz w:val="24"/>
          <w:szCs w:val="24"/>
          <w:shd w:val="clear" w:color="auto" w:fill="FFFFFF"/>
        </w:rPr>
        <w:t>, </w:t>
      </w:r>
      <w:r w:rsidRPr="002F013F">
        <w:rPr>
          <w:rFonts w:ascii="Arial" w:hAnsi="Arial" w:cs="Arial"/>
          <w:i/>
          <w:iCs/>
          <w:color w:val="222222"/>
          <w:sz w:val="24"/>
          <w:szCs w:val="24"/>
          <w:shd w:val="clear" w:color="auto" w:fill="FFFFFF"/>
        </w:rPr>
        <w:t>24</w:t>
      </w:r>
      <w:r w:rsidRPr="002F013F">
        <w:rPr>
          <w:rFonts w:ascii="Arial" w:hAnsi="Arial" w:cs="Arial"/>
          <w:color w:val="222222"/>
          <w:sz w:val="24"/>
          <w:szCs w:val="24"/>
          <w:shd w:val="clear" w:color="auto" w:fill="FFFFFF"/>
        </w:rPr>
        <w:t>(3), 337-351</w:t>
      </w:r>
    </w:p>
    <w:p w:rsidR="002F013F" w:rsidRPr="002F013F" w:rsidRDefault="002F013F" w:rsidP="001A1F42">
      <w:pPr>
        <w:spacing w:after="0" w:line="480" w:lineRule="auto"/>
        <w:ind w:left="720" w:hanging="720"/>
        <w:rPr>
          <w:rFonts w:ascii="Arial" w:hAnsi="Arial" w:cs="Arial"/>
          <w:color w:val="222222"/>
          <w:sz w:val="24"/>
          <w:szCs w:val="24"/>
          <w:shd w:val="clear" w:color="auto" w:fill="FFFFFF"/>
        </w:rPr>
      </w:pPr>
      <w:r w:rsidRPr="002F013F">
        <w:rPr>
          <w:rFonts w:ascii="Arial" w:hAnsi="Arial" w:cs="Arial"/>
          <w:color w:val="222222"/>
          <w:sz w:val="24"/>
          <w:szCs w:val="24"/>
          <w:shd w:val="clear" w:color="auto" w:fill="FFFFFF"/>
        </w:rPr>
        <w:t>Shorter, E., &amp; Marshall, J. C. (1997). A history of psychiatry. </w:t>
      </w:r>
      <w:r w:rsidRPr="002F013F">
        <w:rPr>
          <w:rFonts w:ascii="Arial" w:hAnsi="Arial" w:cs="Arial"/>
          <w:i/>
          <w:iCs/>
          <w:color w:val="222222"/>
          <w:sz w:val="24"/>
          <w:szCs w:val="24"/>
          <w:shd w:val="clear" w:color="auto" w:fill="FFFFFF"/>
        </w:rPr>
        <w:t>Nature</w:t>
      </w:r>
      <w:r w:rsidRPr="002F013F">
        <w:rPr>
          <w:rFonts w:ascii="Arial" w:hAnsi="Arial" w:cs="Arial"/>
          <w:color w:val="222222"/>
          <w:sz w:val="24"/>
          <w:szCs w:val="24"/>
          <w:shd w:val="clear" w:color="auto" w:fill="FFFFFF"/>
        </w:rPr>
        <w:t>, </w:t>
      </w:r>
      <w:r w:rsidRPr="002F013F">
        <w:rPr>
          <w:rFonts w:ascii="Arial" w:hAnsi="Arial" w:cs="Arial"/>
          <w:i/>
          <w:iCs/>
          <w:color w:val="222222"/>
          <w:sz w:val="24"/>
          <w:szCs w:val="24"/>
          <w:shd w:val="clear" w:color="auto" w:fill="FFFFFF"/>
        </w:rPr>
        <w:t>386</w:t>
      </w:r>
      <w:r w:rsidRPr="002F013F">
        <w:rPr>
          <w:rFonts w:ascii="Arial" w:hAnsi="Arial" w:cs="Arial"/>
          <w:color w:val="222222"/>
          <w:sz w:val="24"/>
          <w:szCs w:val="24"/>
          <w:shd w:val="clear" w:color="auto" w:fill="FFFFFF"/>
        </w:rPr>
        <w:t>(6623), 346-346.</w:t>
      </w:r>
    </w:p>
    <w:p w:rsidR="001A1F42" w:rsidRDefault="001A1F42" w:rsidP="001A1F42">
      <w:pPr>
        <w:pStyle w:val="citationpreview"/>
        <w:spacing w:before="0" w:beforeAutospacing="0" w:after="0" w:afterAutospacing="0" w:line="480" w:lineRule="auto"/>
        <w:ind w:firstLine="0"/>
        <w:rPr>
          <w:rFonts w:ascii="Arial" w:hAnsi="Arial" w:cs="Arial"/>
          <w:color w:val="000000"/>
          <w:szCs w:val="20"/>
        </w:rPr>
      </w:pPr>
      <w:r>
        <w:rPr>
          <w:rFonts w:ascii="Arial" w:hAnsi="Arial" w:cs="Arial"/>
          <w:color w:val="000000"/>
          <w:szCs w:val="20"/>
        </w:rPr>
        <w:t xml:space="preserve">Smith, A. (1998). </w:t>
      </w:r>
      <w:r>
        <w:rPr>
          <w:rFonts w:ascii="Arial" w:hAnsi="Arial" w:cs="Arial"/>
          <w:i/>
          <w:color w:val="000000"/>
          <w:szCs w:val="20"/>
        </w:rPr>
        <w:t xml:space="preserve">The Nation’s Health. </w:t>
      </w:r>
      <w:r>
        <w:rPr>
          <w:rFonts w:ascii="Arial" w:hAnsi="Arial" w:cs="Arial"/>
          <w:color w:val="000000"/>
          <w:szCs w:val="20"/>
        </w:rPr>
        <w:t xml:space="preserve">England, London: Bailey </w:t>
      </w:r>
      <w:proofErr w:type="spellStart"/>
      <w:r>
        <w:rPr>
          <w:rFonts w:ascii="Arial" w:hAnsi="Arial" w:cs="Arial"/>
          <w:color w:val="000000"/>
          <w:szCs w:val="20"/>
        </w:rPr>
        <w:t>Distrubution</w:t>
      </w:r>
      <w:proofErr w:type="spellEnd"/>
      <w:r>
        <w:rPr>
          <w:rFonts w:ascii="Arial" w:hAnsi="Arial" w:cs="Arial"/>
          <w:color w:val="000000"/>
          <w:szCs w:val="20"/>
        </w:rPr>
        <w:t xml:space="preserve"> Ltd.</w:t>
      </w:r>
    </w:p>
    <w:p w:rsidR="001A1F42" w:rsidRDefault="001A1F42" w:rsidP="001A1F42">
      <w:pPr>
        <w:spacing w:after="0" w:line="480" w:lineRule="auto"/>
        <w:ind w:left="720" w:hanging="720"/>
        <w:rPr>
          <w:rFonts w:ascii="Arial" w:hAnsi="Arial" w:cs="Arial"/>
          <w:color w:val="2E74B5" w:themeColor="accent5" w:themeShade="BF"/>
          <w:sz w:val="24"/>
        </w:rPr>
      </w:pPr>
      <w:r w:rsidRPr="001A1F42">
        <w:rPr>
          <w:rFonts w:ascii="Arial" w:hAnsi="Arial" w:cs="Arial"/>
          <w:color w:val="000000"/>
          <w:sz w:val="24"/>
          <w:szCs w:val="20"/>
        </w:rPr>
        <w:lastRenderedPageBreak/>
        <w:t xml:space="preserve">Smith, H. L. (October 31, 2014) </w:t>
      </w:r>
      <w:r w:rsidRPr="001A1F42">
        <w:rPr>
          <w:rFonts w:ascii="Arial" w:hAnsi="Arial" w:cs="Arial"/>
          <w:i/>
          <w:color w:val="000000"/>
          <w:sz w:val="24"/>
          <w:szCs w:val="20"/>
        </w:rPr>
        <w:t xml:space="preserve">Hunger, Filth, Fear and Death: Remembering life before the NHS. </w:t>
      </w:r>
      <w:r w:rsidRPr="001A1F42">
        <w:rPr>
          <w:rFonts w:ascii="Arial" w:hAnsi="Arial" w:cs="Arial"/>
          <w:color w:val="000000"/>
          <w:sz w:val="24"/>
          <w:szCs w:val="20"/>
        </w:rPr>
        <w:t>Retrieved from</w:t>
      </w:r>
      <w:r w:rsidRPr="001A1F42">
        <w:rPr>
          <w:rFonts w:ascii="Arial" w:hAnsi="Arial" w:cs="Arial"/>
          <w:color w:val="2E74B5" w:themeColor="accent5" w:themeShade="BF"/>
          <w:sz w:val="24"/>
          <w:szCs w:val="20"/>
        </w:rPr>
        <w:t xml:space="preserve"> </w:t>
      </w:r>
      <w:hyperlink r:id="rId10" w:history="1">
        <w:r w:rsidRPr="001A1F42">
          <w:rPr>
            <w:rStyle w:val="Hyperlink"/>
            <w:rFonts w:ascii="Arial" w:hAnsi="Arial" w:cs="Arial"/>
            <w:color w:val="2E74B5" w:themeColor="accent5" w:themeShade="BF"/>
            <w:sz w:val="24"/>
          </w:rPr>
          <w:t>https://www.newstatesman.com/politics/2014/10/hunger-filth-fear-and-death-remembering-life-nhs</w:t>
        </w:r>
      </w:hyperlink>
    </w:p>
    <w:p w:rsidR="001A1F42" w:rsidRDefault="001A1F42" w:rsidP="001A1F42">
      <w:pPr>
        <w:spacing w:after="0" w:line="480" w:lineRule="auto"/>
        <w:ind w:left="720" w:hanging="720"/>
        <w:rPr>
          <w:rFonts w:ascii="Arial" w:hAnsi="Arial" w:cs="Arial"/>
          <w:color w:val="000000" w:themeColor="text1"/>
          <w:sz w:val="24"/>
          <w:szCs w:val="20"/>
          <w:shd w:val="clear" w:color="auto" w:fill="FFFFFF"/>
        </w:rPr>
      </w:pPr>
      <w:r w:rsidRPr="001A1F42">
        <w:rPr>
          <w:rFonts w:ascii="Arial" w:hAnsi="Arial" w:cs="Arial"/>
          <w:color w:val="000000" w:themeColor="text1"/>
          <w:sz w:val="24"/>
          <w:szCs w:val="20"/>
          <w:shd w:val="clear" w:color="auto" w:fill="FFFFFF"/>
        </w:rPr>
        <w:t>Van Dijk, P., Hoof, G. J., &amp; Van Hoof, G. J. (1998). </w:t>
      </w:r>
      <w:r w:rsidRPr="001A1F42">
        <w:rPr>
          <w:rFonts w:ascii="Arial" w:hAnsi="Arial" w:cs="Arial"/>
          <w:i/>
          <w:iCs/>
          <w:color w:val="000000" w:themeColor="text1"/>
          <w:sz w:val="24"/>
          <w:szCs w:val="20"/>
          <w:shd w:val="clear" w:color="auto" w:fill="FFFFFF"/>
        </w:rPr>
        <w:t>Theory and practice of the European Convention on Human Rights</w:t>
      </w:r>
      <w:r w:rsidRPr="001A1F42">
        <w:rPr>
          <w:rFonts w:ascii="Arial" w:hAnsi="Arial" w:cs="Arial"/>
          <w:color w:val="000000" w:themeColor="text1"/>
          <w:sz w:val="24"/>
          <w:szCs w:val="20"/>
          <w:shd w:val="clear" w:color="auto" w:fill="FFFFFF"/>
        </w:rPr>
        <w:t xml:space="preserve">. </w:t>
      </w:r>
      <w:proofErr w:type="spellStart"/>
      <w:r w:rsidRPr="001A1F42">
        <w:rPr>
          <w:rFonts w:ascii="Arial" w:hAnsi="Arial" w:cs="Arial"/>
          <w:color w:val="000000" w:themeColor="text1"/>
          <w:sz w:val="24"/>
          <w:szCs w:val="20"/>
          <w:shd w:val="clear" w:color="auto" w:fill="FFFFFF"/>
        </w:rPr>
        <w:t>Martinus</w:t>
      </w:r>
      <w:proofErr w:type="spellEnd"/>
      <w:r w:rsidRPr="001A1F42">
        <w:rPr>
          <w:rFonts w:ascii="Arial" w:hAnsi="Arial" w:cs="Arial"/>
          <w:color w:val="000000" w:themeColor="text1"/>
          <w:sz w:val="24"/>
          <w:szCs w:val="20"/>
          <w:shd w:val="clear" w:color="auto" w:fill="FFFFFF"/>
        </w:rPr>
        <w:t xml:space="preserve"> </w:t>
      </w:r>
      <w:proofErr w:type="spellStart"/>
      <w:r w:rsidRPr="001A1F42">
        <w:rPr>
          <w:rFonts w:ascii="Arial" w:hAnsi="Arial" w:cs="Arial"/>
          <w:color w:val="000000" w:themeColor="text1"/>
          <w:sz w:val="24"/>
          <w:szCs w:val="20"/>
          <w:shd w:val="clear" w:color="auto" w:fill="FFFFFF"/>
        </w:rPr>
        <w:t>Nijhoff</w:t>
      </w:r>
      <w:proofErr w:type="spellEnd"/>
      <w:r w:rsidRPr="001A1F42">
        <w:rPr>
          <w:rFonts w:ascii="Arial" w:hAnsi="Arial" w:cs="Arial"/>
          <w:color w:val="000000" w:themeColor="text1"/>
          <w:sz w:val="24"/>
          <w:szCs w:val="20"/>
          <w:shd w:val="clear" w:color="auto" w:fill="FFFFFF"/>
        </w:rPr>
        <w:t xml:space="preserve"> Publishers.</w:t>
      </w:r>
    </w:p>
    <w:p w:rsidR="001A1F42" w:rsidRPr="001A1F42" w:rsidRDefault="001A1F42" w:rsidP="001A1F42">
      <w:pPr>
        <w:spacing w:after="0" w:line="480" w:lineRule="auto"/>
        <w:ind w:left="720" w:hanging="720"/>
        <w:rPr>
          <w:rFonts w:ascii="Arial" w:hAnsi="Arial" w:cs="Arial"/>
          <w:color w:val="000000" w:themeColor="text1"/>
          <w:sz w:val="24"/>
          <w:szCs w:val="20"/>
          <w:shd w:val="clear" w:color="auto" w:fill="FFFFFF"/>
        </w:rPr>
      </w:pPr>
    </w:p>
    <w:p w:rsidR="001A1F42" w:rsidRPr="001A1F42" w:rsidRDefault="001A1F42" w:rsidP="001A1F42">
      <w:pPr>
        <w:spacing w:after="0" w:line="480" w:lineRule="auto"/>
        <w:ind w:left="720" w:hanging="720"/>
        <w:rPr>
          <w:rFonts w:ascii="Arial" w:hAnsi="Arial" w:cs="Arial"/>
          <w:sz w:val="24"/>
        </w:rPr>
      </w:pPr>
    </w:p>
    <w:p w:rsidR="001A1F42" w:rsidRPr="001A1F42" w:rsidRDefault="001A1F42" w:rsidP="001A1F42">
      <w:pPr>
        <w:pStyle w:val="citationpreview"/>
        <w:spacing w:before="0" w:beforeAutospacing="0" w:after="0" w:afterAutospacing="0" w:line="480" w:lineRule="auto"/>
        <w:ind w:left="720"/>
        <w:rPr>
          <w:rFonts w:ascii="Arial" w:hAnsi="Arial" w:cs="Arial"/>
          <w:color w:val="000000"/>
          <w:szCs w:val="20"/>
        </w:rPr>
      </w:pPr>
    </w:p>
    <w:p w:rsidR="001A1F42" w:rsidRDefault="001A1F42" w:rsidP="001A1F42">
      <w:pPr>
        <w:spacing w:after="0" w:line="480" w:lineRule="auto"/>
        <w:ind w:left="720" w:hanging="720"/>
      </w:pPr>
    </w:p>
    <w:p w:rsidR="008A53AB" w:rsidRPr="008A53AB" w:rsidRDefault="008A53AB" w:rsidP="008A53AB">
      <w:pPr>
        <w:spacing w:after="0" w:line="480" w:lineRule="auto"/>
        <w:ind w:left="720" w:hanging="720"/>
        <w:rPr>
          <w:rFonts w:ascii="Arial" w:hAnsi="Arial" w:cs="Arial"/>
          <w:sz w:val="24"/>
          <w:szCs w:val="24"/>
        </w:rPr>
      </w:pPr>
    </w:p>
    <w:p w:rsidR="008A53AB" w:rsidRPr="008A53AB" w:rsidRDefault="008A53AB" w:rsidP="008A53AB">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r w:rsidRPr="00045041">
        <w:rPr>
          <w:rFonts w:ascii="Arial" w:hAnsi="Arial" w:cs="Arial"/>
          <w:sz w:val="24"/>
          <w:szCs w:val="24"/>
        </w:rPr>
        <w:tab/>
      </w: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p>
    <w:p w:rsidR="00045041" w:rsidRPr="00045041" w:rsidRDefault="00045041" w:rsidP="00045041">
      <w:pPr>
        <w:spacing w:after="0" w:line="480" w:lineRule="auto"/>
        <w:rPr>
          <w:rFonts w:ascii="Arial" w:hAnsi="Arial" w:cs="Arial"/>
          <w:sz w:val="24"/>
          <w:szCs w:val="24"/>
        </w:rPr>
      </w:pPr>
    </w:p>
    <w:p w:rsidR="00045041" w:rsidRDefault="00045041" w:rsidP="00045041">
      <w:pPr>
        <w:spacing w:after="0" w:line="480" w:lineRule="auto"/>
      </w:pPr>
    </w:p>
    <w:p w:rsidR="00045041" w:rsidRDefault="00045041" w:rsidP="00045041">
      <w:pPr>
        <w:spacing w:after="0" w:line="480" w:lineRule="auto"/>
      </w:pPr>
    </w:p>
    <w:p w:rsidR="00045041" w:rsidRDefault="00045041" w:rsidP="00045041">
      <w:pPr>
        <w:spacing w:after="0" w:line="480" w:lineRule="auto"/>
      </w:pPr>
    </w:p>
    <w:p w:rsidR="00045041" w:rsidRDefault="00045041" w:rsidP="00045041">
      <w:pPr>
        <w:spacing w:after="0" w:line="480" w:lineRule="auto"/>
      </w:pPr>
    </w:p>
    <w:p w:rsidR="00045041" w:rsidRDefault="00045041" w:rsidP="00045041">
      <w:pPr>
        <w:spacing w:after="0" w:line="480" w:lineRule="auto"/>
      </w:pPr>
    </w:p>
    <w:p w:rsidR="00045041" w:rsidRDefault="00045041" w:rsidP="00045041">
      <w:pPr>
        <w:spacing w:after="0" w:line="480" w:lineRule="auto"/>
      </w:pPr>
    </w:p>
    <w:p w:rsidR="00045041" w:rsidRDefault="00045041" w:rsidP="00045041">
      <w:pPr>
        <w:spacing w:after="0" w:line="480" w:lineRule="auto"/>
      </w:pPr>
    </w:p>
    <w:p w:rsidR="00045041" w:rsidRDefault="00045041" w:rsidP="00045041">
      <w:pPr>
        <w:spacing w:after="0" w:line="480" w:lineRule="auto"/>
      </w:pPr>
    </w:p>
    <w:sectPr w:rsidR="00045041" w:rsidSect="00045041">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984" w:rsidRDefault="00353984" w:rsidP="00045041">
      <w:pPr>
        <w:spacing w:after="0" w:line="240" w:lineRule="auto"/>
      </w:pPr>
      <w:r>
        <w:separator/>
      </w:r>
    </w:p>
  </w:endnote>
  <w:endnote w:type="continuationSeparator" w:id="0">
    <w:p w:rsidR="00353984" w:rsidRDefault="00353984" w:rsidP="00045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54770"/>
      <w:docPartObj>
        <w:docPartGallery w:val="Page Numbers (Bottom of Page)"/>
        <w:docPartUnique/>
      </w:docPartObj>
    </w:sdtPr>
    <w:sdtEndPr>
      <w:rPr>
        <w:noProof/>
      </w:rPr>
    </w:sdtEndPr>
    <w:sdtContent>
      <w:p w:rsidR="00045041" w:rsidRDefault="000450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45041" w:rsidRDefault="00045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984" w:rsidRDefault="00353984" w:rsidP="00045041">
      <w:pPr>
        <w:spacing w:after="0" w:line="240" w:lineRule="auto"/>
      </w:pPr>
      <w:r>
        <w:separator/>
      </w:r>
    </w:p>
  </w:footnote>
  <w:footnote w:type="continuationSeparator" w:id="0">
    <w:p w:rsidR="00353984" w:rsidRDefault="00353984" w:rsidP="000450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41"/>
    <w:rsid w:val="00001850"/>
    <w:rsid w:val="00045041"/>
    <w:rsid w:val="001A1F42"/>
    <w:rsid w:val="00284700"/>
    <w:rsid w:val="002F013F"/>
    <w:rsid w:val="00353984"/>
    <w:rsid w:val="00633F60"/>
    <w:rsid w:val="006C7CFE"/>
    <w:rsid w:val="008A53AB"/>
    <w:rsid w:val="00901E3B"/>
    <w:rsid w:val="009D2CB1"/>
    <w:rsid w:val="00B3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0F66"/>
  <w15:chartTrackingRefBased/>
  <w15:docId w15:val="{07391825-1765-4E4A-BE53-B443D6DA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504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041"/>
  </w:style>
  <w:style w:type="paragraph" w:styleId="Footer">
    <w:name w:val="footer"/>
    <w:basedOn w:val="Normal"/>
    <w:link w:val="FooterChar"/>
    <w:uiPriority w:val="99"/>
    <w:unhideWhenUsed/>
    <w:rsid w:val="00045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041"/>
  </w:style>
  <w:style w:type="character" w:styleId="Hyperlink">
    <w:name w:val="Hyperlink"/>
    <w:basedOn w:val="DefaultParagraphFont"/>
    <w:uiPriority w:val="99"/>
    <w:unhideWhenUsed/>
    <w:rsid w:val="008A53AB"/>
    <w:rPr>
      <w:color w:val="0563C1" w:themeColor="hyperlink"/>
      <w:u w:val="single"/>
    </w:rPr>
  </w:style>
  <w:style w:type="character" w:styleId="UnresolvedMention">
    <w:name w:val="Unresolved Mention"/>
    <w:basedOn w:val="DefaultParagraphFont"/>
    <w:uiPriority w:val="99"/>
    <w:semiHidden/>
    <w:unhideWhenUsed/>
    <w:rsid w:val="008A53AB"/>
    <w:rPr>
      <w:color w:val="808080"/>
      <w:shd w:val="clear" w:color="auto" w:fill="E6E6E6"/>
    </w:rPr>
  </w:style>
  <w:style w:type="paragraph" w:customStyle="1" w:styleId="citationpreview">
    <w:name w:val="citationpreview"/>
    <w:basedOn w:val="Normal"/>
    <w:rsid w:val="001A1F42"/>
    <w:pPr>
      <w:spacing w:before="100" w:beforeAutospacing="1" w:after="100" w:afterAutospacing="1" w:line="240" w:lineRule="auto"/>
      <w:ind w:hanging="720"/>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A1F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59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cience.com/42199-lobotomy-definition.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arwick.ac.uk/fac/arts/history/chm/outreach/trade_in_lunacy/research/1774madhousesac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hel-primo.hosted.exlibrisgroup.com/primo_library/libweb/action/search.do?fn"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newstatesman.com/politics/2014/10/hunger-filth-fear-and-death-remembering-life-nhs" TargetMode="External"/><Relationship Id="rId4" Type="http://schemas.openxmlformats.org/officeDocument/2006/relationships/footnotes" Target="footnotes.xml"/><Relationship Id="rId9" Type="http://schemas.openxmlformats.org/officeDocument/2006/relationships/hyperlink" Target="http://www.oxfordreference.com.ezproxy.uwtsd.ac.uk/view/10.1093/acref/9780199290543.001.0001/acref-9780199290543-e-10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Lucie Isaac (1702765)</cp:lastModifiedBy>
  <cp:revision>2</cp:revision>
  <dcterms:created xsi:type="dcterms:W3CDTF">2018-04-23T21:20:00Z</dcterms:created>
  <dcterms:modified xsi:type="dcterms:W3CDTF">2018-04-23T21:20:00Z</dcterms:modified>
</cp:coreProperties>
</file>