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6A33" w:rsidRDefault="005A6A33"/>
    <w:p w:rsidR="00395367" w:rsidRPr="00395367" w:rsidRDefault="00395367" w:rsidP="00395367">
      <w:pPr>
        <w:shd w:val="clear" w:color="auto" w:fill="FFFFFF"/>
        <w:spacing w:after="75" w:line="240" w:lineRule="auto"/>
        <w:outlineLvl w:val="3"/>
        <w:rPr>
          <w:rFonts w:ascii="Arial" w:eastAsia="Times New Roman" w:hAnsi="Arial" w:cs="Arial"/>
          <w:b/>
          <w:bCs/>
          <w:color w:val="660019"/>
          <w:sz w:val="23"/>
          <w:szCs w:val="23"/>
          <w:lang w:eastAsia="en-GB"/>
        </w:rPr>
      </w:pPr>
      <w:r w:rsidRPr="00395367">
        <w:rPr>
          <w:rFonts w:ascii="Arial" w:eastAsia="Times New Roman" w:hAnsi="Arial" w:cs="Arial"/>
          <w:b/>
          <w:bCs/>
          <w:color w:val="660019"/>
          <w:sz w:val="23"/>
          <w:szCs w:val="23"/>
          <w:lang w:eastAsia="en-GB"/>
        </w:rPr>
        <w:t>Comparison Charts</w:t>
      </w:r>
    </w:p>
    <w:p w:rsidR="00395367" w:rsidRPr="00395367" w:rsidRDefault="00395367" w:rsidP="00395367">
      <w:pPr>
        <w:shd w:val="clear" w:color="auto" w:fill="FFFFFF"/>
        <w:spacing w:after="192" w:line="240" w:lineRule="auto"/>
        <w:rPr>
          <w:rFonts w:ascii="Arial" w:eastAsia="Times New Roman" w:hAnsi="Arial" w:cs="Arial"/>
          <w:color w:val="0A0A0A"/>
          <w:sz w:val="19"/>
          <w:szCs w:val="19"/>
          <w:lang w:eastAsia="en-GB"/>
        </w:rPr>
      </w:pPr>
      <w:r w:rsidRPr="00395367">
        <w:rPr>
          <w:rFonts w:ascii="Arial" w:eastAsia="Times New Roman" w:hAnsi="Arial" w:cs="Arial"/>
          <w:color w:val="0A0A0A"/>
          <w:sz w:val="19"/>
          <w:szCs w:val="19"/>
          <w:lang w:eastAsia="en-GB"/>
        </w:rPr>
        <w:t>Based on the research reports that link TOEFL iBT scores to IELTS and CEFR scores, ETS developed these comparison charts to help you make informed admissions decisions.</w:t>
      </w:r>
    </w:p>
    <w:tbl>
      <w:tblPr>
        <w:tblW w:w="5000" w:type="pct"/>
        <w:tblBorders>
          <w:top w:val="single" w:sz="6" w:space="0" w:color="BFA777"/>
          <w:left w:val="single" w:sz="6" w:space="0" w:color="BFA777"/>
          <w:bottom w:val="single" w:sz="6" w:space="0" w:color="BFA777"/>
          <w:right w:val="single" w:sz="6" w:space="0" w:color="BFA777"/>
        </w:tblBorders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4528"/>
        <w:gridCol w:w="4528"/>
      </w:tblGrid>
      <w:tr w:rsidR="00395367" w:rsidRPr="00395367" w:rsidTr="00395367">
        <w:trPr>
          <w:tblHeader/>
        </w:trPr>
        <w:tc>
          <w:tcPr>
            <w:tcW w:w="0" w:type="auto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jc w:val="center"/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r w:rsidRPr="00395367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>TOEFL Score</w:t>
            </w:r>
          </w:p>
        </w:tc>
        <w:tc>
          <w:tcPr>
            <w:tcW w:w="0" w:type="auto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jc w:val="center"/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r w:rsidRPr="00395367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>IELTS Band</w:t>
            </w:r>
          </w:p>
        </w:tc>
      </w:tr>
      <w:tr w:rsidR="00395367" w:rsidRPr="00395367" w:rsidTr="00395367">
        <w:tc>
          <w:tcPr>
            <w:tcW w:w="0" w:type="auto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r w:rsidRPr="00395367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>0–31</w:t>
            </w:r>
          </w:p>
        </w:tc>
        <w:tc>
          <w:tcPr>
            <w:tcW w:w="0" w:type="auto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r w:rsidRPr="00395367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>0–4</w:t>
            </w:r>
          </w:p>
        </w:tc>
      </w:tr>
      <w:tr w:rsidR="00395367" w:rsidRPr="00395367" w:rsidTr="00395367">
        <w:tc>
          <w:tcPr>
            <w:tcW w:w="0" w:type="auto"/>
            <w:shd w:val="clear" w:color="auto" w:fill="F0F0F0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r w:rsidRPr="00395367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>32–34</w:t>
            </w:r>
          </w:p>
        </w:tc>
        <w:tc>
          <w:tcPr>
            <w:tcW w:w="0" w:type="auto"/>
            <w:shd w:val="clear" w:color="auto" w:fill="F0F0F0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r w:rsidRPr="00395367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>4.5</w:t>
            </w:r>
          </w:p>
        </w:tc>
      </w:tr>
      <w:tr w:rsidR="00395367" w:rsidRPr="00395367" w:rsidTr="00395367">
        <w:tc>
          <w:tcPr>
            <w:tcW w:w="0" w:type="auto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r w:rsidRPr="00395367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>35–45</w:t>
            </w:r>
          </w:p>
        </w:tc>
        <w:tc>
          <w:tcPr>
            <w:tcW w:w="0" w:type="auto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r w:rsidRPr="00395367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>5</w:t>
            </w:r>
          </w:p>
        </w:tc>
      </w:tr>
      <w:tr w:rsidR="00395367" w:rsidRPr="00395367" w:rsidTr="00395367">
        <w:tc>
          <w:tcPr>
            <w:tcW w:w="0" w:type="auto"/>
            <w:shd w:val="clear" w:color="auto" w:fill="F0F0F0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r w:rsidRPr="00395367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>46–59*</w:t>
            </w:r>
          </w:p>
        </w:tc>
        <w:tc>
          <w:tcPr>
            <w:tcW w:w="0" w:type="auto"/>
            <w:shd w:val="clear" w:color="auto" w:fill="F0F0F0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r w:rsidRPr="00395367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>5.5</w:t>
            </w:r>
          </w:p>
        </w:tc>
      </w:tr>
      <w:tr w:rsidR="00395367" w:rsidRPr="00395367" w:rsidTr="00395367">
        <w:tc>
          <w:tcPr>
            <w:tcW w:w="0" w:type="auto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r w:rsidRPr="00395367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>60–78*</w:t>
            </w:r>
          </w:p>
        </w:tc>
        <w:tc>
          <w:tcPr>
            <w:tcW w:w="0" w:type="auto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r w:rsidRPr="00395367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>6</w:t>
            </w:r>
          </w:p>
        </w:tc>
      </w:tr>
      <w:tr w:rsidR="00395367" w:rsidRPr="00395367" w:rsidTr="00395367">
        <w:tc>
          <w:tcPr>
            <w:tcW w:w="0" w:type="auto"/>
            <w:shd w:val="clear" w:color="auto" w:fill="F0F0F0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rPr>
                <w:rFonts w:ascii="Arial" w:eastAsia="Times New Roman" w:hAnsi="Arial" w:cs="Arial"/>
                <w:b/>
                <w:color w:val="FF0000"/>
                <w:sz w:val="24"/>
                <w:szCs w:val="24"/>
                <w:lang w:eastAsia="en-GB"/>
              </w:rPr>
            </w:pPr>
            <w:r w:rsidRPr="00395367">
              <w:rPr>
                <w:rFonts w:ascii="Arial" w:eastAsia="Times New Roman" w:hAnsi="Arial" w:cs="Arial"/>
                <w:b/>
                <w:color w:val="FF0000"/>
                <w:sz w:val="24"/>
                <w:szCs w:val="24"/>
                <w:lang w:eastAsia="en-GB"/>
              </w:rPr>
              <w:t>79–93*</w:t>
            </w:r>
          </w:p>
        </w:tc>
        <w:tc>
          <w:tcPr>
            <w:tcW w:w="0" w:type="auto"/>
            <w:shd w:val="clear" w:color="auto" w:fill="F0F0F0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rPr>
                <w:rFonts w:ascii="Arial" w:eastAsia="Times New Roman" w:hAnsi="Arial" w:cs="Arial"/>
                <w:b/>
                <w:color w:val="FF0000"/>
                <w:sz w:val="24"/>
                <w:szCs w:val="24"/>
                <w:lang w:eastAsia="en-GB"/>
              </w:rPr>
            </w:pPr>
            <w:r w:rsidRPr="00395367">
              <w:rPr>
                <w:rFonts w:ascii="Arial" w:eastAsia="Times New Roman" w:hAnsi="Arial" w:cs="Arial"/>
                <w:b/>
                <w:color w:val="FF0000"/>
                <w:sz w:val="24"/>
                <w:szCs w:val="24"/>
                <w:lang w:eastAsia="en-GB"/>
              </w:rPr>
              <w:t>6.5</w:t>
            </w:r>
          </w:p>
        </w:tc>
      </w:tr>
      <w:tr w:rsidR="00395367" w:rsidRPr="00395367" w:rsidTr="00395367">
        <w:tc>
          <w:tcPr>
            <w:tcW w:w="0" w:type="auto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r w:rsidRPr="00395367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>94–101*</w:t>
            </w:r>
          </w:p>
        </w:tc>
        <w:tc>
          <w:tcPr>
            <w:tcW w:w="0" w:type="auto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r w:rsidRPr="00395367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>7</w:t>
            </w:r>
          </w:p>
        </w:tc>
      </w:tr>
      <w:tr w:rsidR="00395367" w:rsidRPr="00395367" w:rsidTr="00395367">
        <w:tc>
          <w:tcPr>
            <w:tcW w:w="0" w:type="auto"/>
            <w:shd w:val="clear" w:color="auto" w:fill="F0F0F0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r w:rsidRPr="00395367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>102–109*</w:t>
            </w:r>
          </w:p>
        </w:tc>
        <w:tc>
          <w:tcPr>
            <w:tcW w:w="0" w:type="auto"/>
            <w:shd w:val="clear" w:color="auto" w:fill="F0F0F0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r w:rsidRPr="00395367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>7.5</w:t>
            </w:r>
          </w:p>
        </w:tc>
      </w:tr>
      <w:tr w:rsidR="00395367" w:rsidRPr="00395367" w:rsidTr="00395367">
        <w:tc>
          <w:tcPr>
            <w:tcW w:w="0" w:type="auto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r w:rsidRPr="00395367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>110–114</w:t>
            </w:r>
          </w:p>
        </w:tc>
        <w:tc>
          <w:tcPr>
            <w:tcW w:w="0" w:type="auto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r w:rsidRPr="00395367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>8</w:t>
            </w:r>
          </w:p>
        </w:tc>
      </w:tr>
      <w:tr w:rsidR="00395367" w:rsidRPr="00395367" w:rsidTr="00395367">
        <w:tc>
          <w:tcPr>
            <w:tcW w:w="0" w:type="auto"/>
            <w:shd w:val="clear" w:color="auto" w:fill="F0F0F0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r w:rsidRPr="00395367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>115–117</w:t>
            </w:r>
          </w:p>
        </w:tc>
        <w:tc>
          <w:tcPr>
            <w:tcW w:w="0" w:type="auto"/>
            <w:shd w:val="clear" w:color="auto" w:fill="F0F0F0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r w:rsidRPr="00395367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>8.5</w:t>
            </w:r>
          </w:p>
        </w:tc>
      </w:tr>
      <w:tr w:rsidR="00395367" w:rsidRPr="00395367" w:rsidTr="00395367">
        <w:tc>
          <w:tcPr>
            <w:tcW w:w="0" w:type="auto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r w:rsidRPr="00395367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>118–120</w:t>
            </w:r>
          </w:p>
        </w:tc>
        <w:tc>
          <w:tcPr>
            <w:tcW w:w="0" w:type="auto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r w:rsidRPr="00395367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>9</w:t>
            </w:r>
          </w:p>
        </w:tc>
      </w:tr>
      <w:tr w:rsidR="00395367" w:rsidRPr="00395367" w:rsidTr="00395367">
        <w:trPr>
          <w:tblHeader/>
        </w:trPr>
        <w:tc>
          <w:tcPr>
            <w:tcW w:w="0" w:type="auto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jc w:val="center"/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r w:rsidRPr="00395367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>CEFR</w:t>
            </w:r>
          </w:p>
        </w:tc>
        <w:tc>
          <w:tcPr>
            <w:tcW w:w="0" w:type="auto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jc w:val="center"/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r w:rsidRPr="00395367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>TOEFL Score</w:t>
            </w:r>
          </w:p>
        </w:tc>
      </w:tr>
      <w:tr w:rsidR="00395367" w:rsidRPr="00395367" w:rsidTr="00395367">
        <w:tc>
          <w:tcPr>
            <w:tcW w:w="0" w:type="auto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r w:rsidRPr="00395367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> </w:t>
            </w:r>
          </w:p>
        </w:tc>
        <w:tc>
          <w:tcPr>
            <w:tcW w:w="0" w:type="auto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r w:rsidRPr="00395367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>0–56</w:t>
            </w:r>
          </w:p>
        </w:tc>
      </w:tr>
      <w:tr w:rsidR="00395367" w:rsidRPr="00395367" w:rsidTr="00395367">
        <w:tc>
          <w:tcPr>
            <w:tcW w:w="0" w:type="auto"/>
            <w:shd w:val="clear" w:color="auto" w:fill="F0F0F0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r w:rsidRPr="00395367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>B1</w:t>
            </w:r>
          </w:p>
        </w:tc>
        <w:tc>
          <w:tcPr>
            <w:tcW w:w="0" w:type="auto"/>
            <w:shd w:val="clear" w:color="auto" w:fill="F0F0F0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r w:rsidRPr="00395367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>57–86</w:t>
            </w:r>
          </w:p>
        </w:tc>
      </w:tr>
      <w:tr w:rsidR="00395367" w:rsidRPr="00395367" w:rsidTr="00395367">
        <w:tc>
          <w:tcPr>
            <w:tcW w:w="0" w:type="auto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rPr>
                <w:rFonts w:ascii="Arial" w:eastAsia="Times New Roman" w:hAnsi="Arial" w:cs="Arial"/>
                <w:b/>
                <w:color w:val="FF0000"/>
                <w:sz w:val="24"/>
                <w:szCs w:val="24"/>
                <w:lang w:eastAsia="en-GB"/>
              </w:rPr>
            </w:pPr>
            <w:r w:rsidRPr="00395367">
              <w:rPr>
                <w:rFonts w:ascii="Arial" w:eastAsia="Times New Roman" w:hAnsi="Arial" w:cs="Arial"/>
                <w:b/>
                <w:color w:val="FF0000"/>
                <w:sz w:val="24"/>
                <w:szCs w:val="24"/>
                <w:lang w:eastAsia="en-GB"/>
              </w:rPr>
              <w:t>B2</w:t>
            </w:r>
          </w:p>
        </w:tc>
        <w:tc>
          <w:tcPr>
            <w:tcW w:w="0" w:type="auto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rPr>
                <w:rFonts w:ascii="Arial" w:eastAsia="Times New Roman" w:hAnsi="Arial" w:cs="Arial"/>
                <w:b/>
                <w:color w:val="FF0000"/>
                <w:sz w:val="24"/>
                <w:szCs w:val="24"/>
                <w:lang w:eastAsia="en-GB"/>
              </w:rPr>
            </w:pPr>
            <w:r w:rsidRPr="00395367">
              <w:rPr>
                <w:rFonts w:ascii="Arial" w:eastAsia="Times New Roman" w:hAnsi="Arial" w:cs="Arial"/>
                <w:b/>
                <w:color w:val="FF0000"/>
                <w:sz w:val="24"/>
                <w:szCs w:val="24"/>
                <w:lang w:eastAsia="en-GB"/>
              </w:rPr>
              <w:t>87–109</w:t>
            </w:r>
          </w:p>
        </w:tc>
      </w:tr>
      <w:tr w:rsidR="00395367" w:rsidRPr="00395367" w:rsidTr="00395367">
        <w:tc>
          <w:tcPr>
            <w:tcW w:w="0" w:type="auto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r w:rsidRPr="00395367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>C1</w:t>
            </w:r>
          </w:p>
        </w:tc>
        <w:tc>
          <w:tcPr>
            <w:tcW w:w="0" w:type="auto"/>
            <w:vAlign w:val="center"/>
            <w:hideMark/>
          </w:tcPr>
          <w:p w:rsidR="00395367" w:rsidRPr="00395367" w:rsidRDefault="00395367" w:rsidP="00395367">
            <w:pPr>
              <w:spacing w:after="192" w:line="240" w:lineRule="auto"/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r w:rsidRPr="00395367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>110–120</w:t>
            </w:r>
          </w:p>
        </w:tc>
      </w:tr>
    </w:tbl>
    <w:p w:rsidR="00395367" w:rsidRPr="00395367" w:rsidRDefault="00395367" w:rsidP="00395367">
      <w:pPr>
        <w:shd w:val="clear" w:color="auto" w:fill="FFFFFF"/>
        <w:spacing w:after="192" w:line="240" w:lineRule="auto"/>
        <w:rPr>
          <w:rFonts w:ascii="Arial" w:eastAsia="Times New Roman" w:hAnsi="Arial" w:cs="Arial"/>
          <w:color w:val="0A0A0A"/>
          <w:sz w:val="19"/>
          <w:szCs w:val="19"/>
          <w:lang w:eastAsia="en-GB"/>
        </w:rPr>
      </w:pPr>
      <w:r w:rsidRPr="00395367">
        <w:rPr>
          <w:rFonts w:ascii="Arial" w:eastAsia="Times New Roman" w:hAnsi="Arial" w:cs="Arial"/>
          <w:color w:val="0A0A0A"/>
          <w:sz w:val="19"/>
          <w:szCs w:val="19"/>
          <w:lang w:eastAsia="en-GB"/>
        </w:rPr>
        <w:t>* Indicates score comparison ranges with the highest degree of confidence</w:t>
      </w:r>
    </w:p>
    <w:p w:rsidR="00395367" w:rsidRDefault="00395367"/>
    <w:sectPr w:rsidR="00395367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/>
  <w:defaultTabStop w:val="720"/>
  <w:characterSpacingControl w:val="doNotCompress"/>
  <w:compat/>
  <w:rsids>
    <w:rsidRoot w:val="00395367"/>
    <w:rsid w:val="00395367"/>
    <w:rsid w:val="0049450E"/>
    <w:rsid w:val="005A6A33"/>
    <w:rsid w:val="00905CAA"/>
    <w:rsid w:val="009519E1"/>
    <w:rsid w:val="00DF55B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95367"/>
    <w:pPr>
      <w:spacing w:after="192" w:line="240" w:lineRule="auto"/>
    </w:pPr>
    <w:rPr>
      <w:rFonts w:ascii="Arial" w:eastAsia="Times New Roman" w:hAnsi="Arial" w:cs="Arial"/>
      <w:sz w:val="25"/>
      <w:szCs w:val="25"/>
      <w:lang w:eastAsia="en-GB"/>
    </w:rPr>
  </w:style>
  <w:style w:type="paragraph" w:customStyle="1" w:styleId="clearboth">
    <w:name w:val="clearboth"/>
    <w:basedOn w:val="Normal"/>
    <w:rsid w:val="00395367"/>
    <w:pPr>
      <w:spacing w:after="192" w:line="240" w:lineRule="auto"/>
    </w:pPr>
    <w:rPr>
      <w:rFonts w:ascii="Arial" w:eastAsia="Times New Roman" w:hAnsi="Arial" w:cs="Arial"/>
      <w:sz w:val="25"/>
      <w:szCs w:val="25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2906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4265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434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4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912878">
                      <w:marLeft w:val="0"/>
                      <w:marRight w:val="30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82599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265285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70</Words>
  <Characters>400</Characters>
  <Application>Microsoft Office Word</Application>
  <DocSecurity>0</DocSecurity>
  <Lines>3</Lines>
  <Paragraphs>1</Paragraphs>
  <ScaleCrop>false</ScaleCrop>
  <Company>Swansea Metropolitan University</Company>
  <LinksUpToDate>false</LinksUpToDate>
  <CharactersWithSpaces>469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2</cp:revision>
  <dcterms:created xsi:type="dcterms:W3CDTF">2011-11-09T16:02:00Z</dcterms:created>
  <dcterms:modified xsi:type="dcterms:W3CDTF">2011-11-09T16:04:00Z</dcterms:modified>
</cp:coreProperties>
</file>