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0E724" w14:textId="77777777" w:rsidR="00693B7E" w:rsidRDefault="00693B7E" w:rsidP="00693B7E">
      <w:pPr>
        <w:spacing w:after="160" w:line="259" w:lineRule="auto"/>
        <w:rPr>
          <w:b/>
          <w:bCs/>
          <w:lang w:val="en-US"/>
        </w:rPr>
      </w:pPr>
      <w:bookmarkStart w:id="0" w:name="_Toc234225985"/>
      <w:bookmarkStart w:id="1" w:name="_Toc234235849"/>
    </w:p>
    <w:p w14:paraId="2D202B0B" w14:textId="77777777" w:rsidR="00693B7E" w:rsidRDefault="00693B7E" w:rsidP="00693B7E">
      <w:pPr>
        <w:spacing w:after="160" w:line="259" w:lineRule="auto"/>
        <w:rPr>
          <w:b/>
          <w:bCs/>
          <w:lang w:val="en-US"/>
        </w:rPr>
      </w:pPr>
    </w:p>
    <w:p w14:paraId="1AB7583C" w14:textId="3FEBBE07" w:rsidR="00693B7E" w:rsidRPr="005F3599" w:rsidRDefault="00693B7E" w:rsidP="005F3599">
      <w:pPr>
        <w:spacing w:after="160" w:line="259" w:lineRule="auto"/>
        <w:jc w:val="center"/>
        <w:rPr>
          <w:b/>
          <w:bCs/>
          <w:lang w:val="en-US"/>
        </w:rPr>
      </w:pPr>
      <w:r w:rsidRPr="00693B7E">
        <w:rPr>
          <w:b/>
          <w:bCs/>
          <w:noProof/>
        </w:rPr>
        <w:drawing>
          <wp:inline distT="0" distB="0" distL="0" distR="0" wp14:anchorId="0D023F7F" wp14:editId="6269D831">
            <wp:extent cx="4032250" cy="1504950"/>
            <wp:effectExtent l="0" t="0" r="6350" b="0"/>
            <wp:docPr id="5" name="Picture 5" descr="Prifysgol Cymru Y Drindod Dewi Sant | University of Wales Trinity Saint  David - NPLD">
              <a:extLst xmlns:a="http://schemas.openxmlformats.org/drawingml/2006/main">
                <a:ext uri="{FF2B5EF4-FFF2-40B4-BE49-F238E27FC236}">
                  <a16:creationId xmlns:a16="http://schemas.microsoft.com/office/drawing/2014/main" id="{5D5FCF2C-439B-20CA-3BCB-C85486B379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ifysgol Cymru Y Drindod Dewi Sant | University of Wales Trinity Saint  David - NPLD">
                      <a:extLst>
                        <a:ext uri="{FF2B5EF4-FFF2-40B4-BE49-F238E27FC236}">
                          <a16:creationId xmlns:a16="http://schemas.microsoft.com/office/drawing/2014/main" id="{5D5FCF2C-439B-20CA-3BCB-C85486B3794D}"/>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2250" cy="1504950"/>
                    </a:xfrm>
                    <a:prstGeom prst="rect">
                      <a:avLst/>
                    </a:prstGeom>
                    <a:noFill/>
                  </pic:spPr>
                </pic:pic>
              </a:graphicData>
            </a:graphic>
          </wp:inline>
        </w:drawing>
      </w:r>
    </w:p>
    <w:p w14:paraId="06C0B318" w14:textId="77777777" w:rsidR="00693B7E" w:rsidRPr="005F3599" w:rsidRDefault="00693B7E" w:rsidP="00693B7E">
      <w:pPr>
        <w:spacing w:after="160" w:line="360" w:lineRule="auto"/>
        <w:jc w:val="center"/>
        <w:rPr>
          <w:rFonts w:ascii="Arial" w:hAnsi="Arial" w:cs="Arial"/>
          <w:sz w:val="36"/>
          <w:szCs w:val="36"/>
          <w:lang w:val="en-US"/>
        </w:rPr>
      </w:pPr>
    </w:p>
    <w:p w14:paraId="67C7E042" w14:textId="77777777" w:rsidR="00693B7E" w:rsidRPr="005F3599" w:rsidRDefault="00693B7E" w:rsidP="00693B7E">
      <w:pPr>
        <w:spacing w:after="160" w:line="360" w:lineRule="auto"/>
        <w:jc w:val="center"/>
        <w:rPr>
          <w:rFonts w:ascii="Arial" w:hAnsi="Arial" w:cs="Arial"/>
          <w:sz w:val="36"/>
          <w:szCs w:val="36"/>
        </w:rPr>
      </w:pPr>
      <w:proofErr w:type="spellStart"/>
      <w:r w:rsidRPr="005F3599">
        <w:rPr>
          <w:rFonts w:ascii="Arial" w:hAnsi="Arial" w:cs="Arial"/>
          <w:sz w:val="36"/>
          <w:szCs w:val="36"/>
          <w:lang w:val="en-US"/>
        </w:rPr>
        <w:t>Programme</w:t>
      </w:r>
      <w:proofErr w:type="spellEnd"/>
      <w:r w:rsidRPr="005F3599">
        <w:rPr>
          <w:rFonts w:ascii="Arial" w:hAnsi="Arial" w:cs="Arial"/>
          <w:sz w:val="36"/>
          <w:szCs w:val="36"/>
          <w:lang w:val="en-US"/>
        </w:rPr>
        <w:t>: Master of Business Administration</w:t>
      </w:r>
    </w:p>
    <w:p w14:paraId="79F32F7F" w14:textId="77777777" w:rsidR="00693B7E" w:rsidRPr="005F3599" w:rsidRDefault="00693B7E" w:rsidP="00693B7E">
      <w:pPr>
        <w:spacing w:after="160" w:line="360" w:lineRule="auto"/>
        <w:jc w:val="center"/>
        <w:rPr>
          <w:rFonts w:ascii="Arial" w:hAnsi="Arial" w:cs="Arial"/>
          <w:sz w:val="36"/>
          <w:szCs w:val="36"/>
        </w:rPr>
      </w:pPr>
      <w:r w:rsidRPr="005F3599">
        <w:rPr>
          <w:rFonts w:ascii="Arial" w:hAnsi="Arial" w:cs="Arial"/>
          <w:sz w:val="36"/>
          <w:szCs w:val="36"/>
          <w:lang w:val="en-US"/>
        </w:rPr>
        <w:t>Module: Marketing Management</w:t>
      </w:r>
    </w:p>
    <w:p w14:paraId="5C886DF5" w14:textId="1FFE9189" w:rsidR="00FC7DE6" w:rsidRPr="005F3599" w:rsidRDefault="00693B7E" w:rsidP="00FC7DE6">
      <w:pPr>
        <w:spacing w:after="160" w:line="360" w:lineRule="auto"/>
        <w:jc w:val="center"/>
        <w:rPr>
          <w:rFonts w:ascii="Arial" w:hAnsi="Arial" w:cs="Arial"/>
          <w:sz w:val="36"/>
          <w:szCs w:val="36"/>
          <w:lang w:val="en-US"/>
        </w:rPr>
      </w:pPr>
      <w:r w:rsidRPr="005F3599">
        <w:rPr>
          <w:rFonts w:ascii="Arial" w:hAnsi="Arial" w:cs="Arial"/>
          <w:sz w:val="36"/>
          <w:szCs w:val="36"/>
          <w:lang w:val="en-US"/>
        </w:rPr>
        <w:t>Module code: LCMB7024</w:t>
      </w:r>
    </w:p>
    <w:p w14:paraId="78EF378D" w14:textId="77777777" w:rsidR="00FC7DE6" w:rsidRPr="005F3599" w:rsidRDefault="00FC7DE6" w:rsidP="00FC7DE6">
      <w:pPr>
        <w:spacing w:after="160" w:line="360" w:lineRule="auto"/>
        <w:jc w:val="center"/>
        <w:rPr>
          <w:rFonts w:ascii="Arial" w:hAnsi="Arial" w:cs="Arial"/>
          <w:sz w:val="36"/>
          <w:szCs w:val="36"/>
        </w:rPr>
      </w:pPr>
      <w:r w:rsidRPr="005F3599">
        <w:rPr>
          <w:rFonts w:ascii="Arial" w:hAnsi="Arial" w:cs="Arial"/>
          <w:sz w:val="36"/>
          <w:szCs w:val="36"/>
          <w:lang w:val="en-US"/>
        </w:rPr>
        <w:t xml:space="preserve">Student name: Hiren </w:t>
      </w:r>
      <w:proofErr w:type="spellStart"/>
      <w:r w:rsidRPr="005F3599">
        <w:rPr>
          <w:rFonts w:ascii="Arial" w:hAnsi="Arial" w:cs="Arial"/>
          <w:sz w:val="36"/>
          <w:szCs w:val="36"/>
          <w:lang w:val="en-US"/>
        </w:rPr>
        <w:t>Kishorbhai</w:t>
      </w:r>
      <w:proofErr w:type="spellEnd"/>
      <w:r w:rsidRPr="005F3599">
        <w:rPr>
          <w:rFonts w:ascii="Arial" w:hAnsi="Arial" w:cs="Arial"/>
          <w:sz w:val="36"/>
          <w:szCs w:val="36"/>
          <w:lang w:val="en-US"/>
        </w:rPr>
        <w:t xml:space="preserve"> Adroja</w:t>
      </w:r>
    </w:p>
    <w:p w14:paraId="0C331D7A" w14:textId="77777777" w:rsidR="00FC7DE6" w:rsidRPr="005F3599" w:rsidRDefault="00FC7DE6" w:rsidP="00FC7DE6">
      <w:pPr>
        <w:spacing w:after="160" w:line="360" w:lineRule="auto"/>
        <w:jc w:val="center"/>
        <w:rPr>
          <w:rFonts w:ascii="Arial" w:hAnsi="Arial" w:cs="Arial"/>
          <w:sz w:val="36"/>
          <w:szCs w:val="36"/>
        </w:rPr>
      </w:pPr>
      <w:r w:rsidRPr="005F3599">
        <w:rPr>
          <w:rFonts w:ascii="Arial" w:hAnsi="Arial" w:cs="Arial"/>
          <w:sz w:val="36"/>
          <w:szCs w:val="36"/>
          <w:lang w:val="en-US"/>
        </w:rPr>
        <w:t>Student ID number:     2527939</w:t>
      </w:r>
    </w:p>
    <w:p w14:paraId="5E57774B" w14:textId="77777777" w:rsidR="00FC7DE6" w:rsidRPr="00693B7E" w:rsidRDefault="00FC7DE6" w:rsidP="00693B7E">
      <w:pPr>
        <w:spacing w:after="160" w:line="360" w:lineRule="auto"/>
        <w:jc w:val="center"/>
        <w:rPr>
          <w:rFonts w:ascii="Arial" w:hAnsi="Arial" w:cs="Arial"/>
          <w:b/>
          <w:sz w:val="28"/>
          <w:szCs w:val="28"/>
        </w:rPr>
      </w:pPr>
    </w:p>
    <w:p w14:paraId="0F92E152" w14:textId="77777777" w:rsidR="00693B7E" w:rsidRDefault="00693B7E" w:rsidP="00693B7E">
      <w:pPr>
        <w:spacing w:after="160" w:line="259" w:lineRule="auto"/>
        <w:rPr>
          <w:rFonts w:ascii="Arial" w:hAnsi="Arial"/>
          <w:b/>
          <w:color w:val="2E74B5"/>
          <w:sz w:val="32"/>
          <w:szCs w:val="32"/>
          <w:u w:val="single"/>
        </w:rPr>
      </w:pPr>
      <w:r>
        <w:br w:type="page"/>
      </w:r>
    </w:p>
    <w:bookmarkStart w:id="2" w:name="_Toc234330527" w:displacedByCustomXml="next"/>
    <w:sdt>
      <w:sdtPr>
        <w:rPr>
          <w:rFonts w:asciiTheme="majorBidi" w:eastAsia="Times New Roman" w:hAnsiTheme="majorBidi"/>
          <w:color w:val="auto"/>
          <w:sz w:val="32"/>
          <w:lang w:val="en-GB" w:eastAsia="en-GB"/>
        </w:rPr>
        <w:id w:val="279226192"/>
        <w:docPartObj>
          <w:docPartGallery w:val="Table of Contents"/>
          <w:docPartUnique/>
        </w:docPartObj>
      </w:sdtPr>
      <w:sdtEndPr>
        <w:rPr>
          <w:b/>
          <w:bCs/>
          <w:noProof/>
        </w:rPr>
      </w:sdtEndPr>
      <w:sdtContent>
        <w:p w14:paraId="10DAC848" w14:textId="77777777" w:rsidR="00693B7E" w:rsidRPr="005F3599" w:rsidRDefault="00693B7E" w:rsidP="00693B7E">
          <w:pPr>
            <w:pStyle w:val="TOCHeading"/>
            <w:spacing w:line="360" w:lineRule="auto"/>
            <w:jc w:val="center"/>
            <w:rPr>
              <w:rStyle w:val="Heading1Char"/>
              <w:rFonts w:asciiTheme="majorBidi" w:eastAsiaTheme="majorEastAsia" w:hAnsiTheme="majorBidi" w:cstheme="majorBidi"/>
              <w:sz w:val="40"/>
              <w:szCs w:val="40"/>
            </w:rPr>
          </w:pPr>
          <w:r w:rsidRPr="005F3599">
            <w:rPr>
              <w:rStyle w:val="Heading1Char"/>
              <w:rFonts w:asciiTheme="majorBidi" w:eastAsiaTheme="majorEastAsia" w:hAnsiTheme="majorBidi" w:cstheme="majorBidi"/>
              <w:sz w:val="40"/>
              <w:szCs w:val="40"/>
            </w:rPr>
            <w:t>Table of Contents</w:t>
          </w:r>
        </w:p>
        <w:p w14:paraId="763A4BC5" w14:textId="7A94E341" w:rsidR="005F3599" w:rsidRPr="005F3599" w:rsidRDefault="00693B7E" w:rsidP="005F3599">
          <w:pPr>
            <w:pStyle w:val="TOC1"/>
            <w:rPr>
              <w:rFonts w:eastAsiaTheme="minorEastAsia"/>
              <w:kern w:val="2"/>
              <w:lang w:val="en-US" w:eastAsia="en-US"/>
              <w14:ligatures w14:val="standardContextual"/>
            </w:rPr>
          </w:pPr>
          <w:r w:rsidRPr="005F3599">
            <w:rPr>
              <w:noProof w:val="0"/>
            </w:rPr>
            <w:fldChar w:fldCharType="begin"/>
          </w:r>
          <w:r w:rsidRPr="005F3599">
            <w:instrText xml:space="preserve"> TOC \o "1-3" \h \z \u </w:instrText>
          </w:r>
          <w:r w:rsidRPr="005F3599">
            <w:rPr>
              <w:noProof w:val="0"/>
            </w:rPr>
            <w:fldChar w:fldCharType="separate"/>
          </w:r>
          <w:hyperlink w:anchor="_Toc234361017" w:history="1">
            <w:r w:rsidR="005F3599" w:rsidRPr="005F3599">
              <w:rPr>
                <w:rStyle w:val="Hyperlink"/>
              </w:rPr>
              <w:t>Introduction</w:t>
            </w:r>
            <w:r w:rsidR="005F3599" w:rsidRPr="005F3599">
              <w:rPr>
                <w:webHidden/>
              </w:rPr>
              <w:tab/>
            </w:r>
            <w:r w:rsidR="005F3599" w:rsidRPr="005F3599">
              <w:rPr>
                <w:webHidden/>
              </w:rPr>
              <w:fldChar w:fldCharType="begin"/>
            </w:r>
            <w:r w:rsidR="005F3599" w:rsidRPr="005F3599">
              <w:rPr>
                <w:webHidden/>
              </w:rPr>
              <w:instrText xml:space="preserve"> PAGEREF _Toc234361017 \h </w:instrText>
            </w:r>
            <w:r w:rsidR="005F3599" w:rsidRPr="005F3599">
              <w:rPr>
                <w:webHidden/>
              </w:rPr>
            </w:r>
            <w:r w:rsidR="005F3599" w:rsidRPr="005F3599">
              <w:rPr>
                <w:webHidden/>
              </w:rPr>
              <w:fldChar w:fldCharType="separate"/>
            </w:r>
            <w:r w:rsidR="005F3599" w:rsidRPr="005F3599">
              <w:rPr>
                <w:webHidden/>
              </w:rPr>
              <w:t>3</w:t>
            </w:r>
            <w:r w:rsidR="005F3599" w:rsidRPr="005F3599">
              <w:rPr>
                <w:webHidden/>
              </w:rPr>
              <w:fldChar w:fldCharType="end"/>
            </w:r>
          </w:hyperlink>
        </w:p>
        <w:p w14:paraId="3579CA64" w14:textId="584ADB12" w:rsidR="005F3599" w:rsidRPr="005F3599" w:rsidRDefault="005F3599" w:rsidP="005F3599">
          <w:pPr>
            <w:pStyle w:val="TOC1"/>
            <w:rPr>
              <w:rFonts w:eastAsiaTheme="minorEastAsia"/>
              <w:kern w:val="2"/>
              <w:lang w:val="en-US" w:eastAsia="en-US"/>
              <w14:ligatures w14:val="standardContextual"/>
            </w:rPr>
          </w:pPr>
          <w:hyperlink w:anchor="_Toc234361018" w:history="1">
            <w:r w:rsidRPr="005F3599">
              <w:rPr>
                <w:rStyle w:val="Hyperlink"/>
                <w:lang w:eastAsia="zh-CN"/>
              </w:rPr>
              <w:t>Element 1: Sustainable Brand Extension Poster Presentation</w:t>
            </w:r>
            <w:r w:rsidRPr="005F3599">
              <w:rPr>
                <w:webHidden/>
              </w:rPr>
              <w:tab/>
            </w:r>
            <w:r w:rsidRPr="005F3599">
              <w:rPr>
                <w:webHidden/>
              </w:rPr>
              <w:fldChar w:fldCharType="begin"/>
            </w:r>
            <w:r w:rsidRPr="005F3599">
              <w:rPr>
                <w:webHidden/>
              </w:rPr>
              <w:instrText xml:space="preserve"> PAGEREF _Toc234361018 \h </w:instrText>
            </w:r>
            <w:r w:rsidRPr="005F3599">
              <w:rPr>
                <w:webHidden/>
              </w:rPr>
            </w:r>
            <w:r w:rsidRPr="005F3599">
              <w:rPr>
                <w:webHidden/>
              </w:rPr>
              <w:fldChar w:fldCharType="separate"/>
            </w:r>
            <w:r w:rsidRPr="005F3599">
              <w:rPr>
                <w:webHidden/>
              </w:rPr>
              <w:t>4</w:t>
            </w:r>
            <w:r w:rsidRPr="005F3599">
              <w:rPr>
                <w:webHidden/>
              </w:rPr>
              <w:fldChar w:fldCharType="end"/>
            </w:r>
          </w:hyperlink>
        </w:p>
        <w:p w14:paraId="1C5621B1" w14:textId="3B9EF729" w:rsidR="005F3599" w:rsidRPr="005F3599" w:rsidRDefault="005F3599" w:rsidP="005F3599">
          <w:pPr>
            <w:pStyle w:val="TOC1"/>
            <w:rPr>
              <w:rFonts w:eastAsiaTheme="minorEastAsia"/>
              <w:kern w:val="2"/>
              <w:lang w:val="en-US" w:eastAsia="en-US"/>
              <w14:ligatures w14:val="standardContextual"/>
            </w:rPr>
          </w:pPr>
          <w:hyperlink w:anchor="_Toc234361019" w:history="1">
            <w:r w:rsidRPr="005F3599">
              <w:rPr>
                <w:rStyle w:val="Hyperlink"/>
              </w:rPr>
              <w:t>Element 2: Segmentation, Targeting, Differentiation, and Positioning (STDP) Analysis</w:t>
            </w:r>
            <w:r w:rsidRPr="005F3599">
              <w:rPr>
                <w:webHidden/>
              </w:rPr>
              <w:tab/>
            </w:r>
            <w:r w:rsidRPr="005F3599">
              <w:rPr>
                <w:webHidden/>
              </w:rPr>
              <w:fldChar w:fldCharType="begin"/>
            </w:r>
            <w:r w:rsidRPr="005F3599">
              <w:rPr>
                <w:webHidden/>
              </w:rPr>
              <w:instrText xml:space="preserve"> PAGEREF _Toc234361019 \h </w:instrText>
            </w:r>
            <w:r w:rsidRPr="005F3599">
              <w:rPr>
                <w:webHidden/>
              </w:rPr>
            </w:r>
            <w:r w:rsidRPr="005F3599">
              <w:rPr>
                <w:webHidden/>
              </w:rPr>
              <w:fldChar w:fldCharType="separate"/>
            </w:r>
            <w:r w:rsidRPr="005F3599">
              <w:rPr>
                <w:webHidden/>
              </w:rPr>
              <w:t>5</w:t>
            </w:r>
            <w:r w:rsidRPr="005F3599">
              <w:rPr>
                <w:webHidden/>
              </w:rPr>
              <w:fldChar w:fldCharType="end"/>
            </w:r>
          </w:hyperlink>
        </w:p>
        <w:p w14:paraId="2F574218" w14:textId="348CF9E6"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0" w:history="1">
            <w:r w:rsidRPr="005F3599">
              <w:rPr>
                <w:rStyle w:val="Hyperlink"/>
                <w:rFonts w:asciiTheme="majorBidi" w:eastAsia="Arial" w:hAnsiTheme="majorBidi" w:cstheme="majorBidi"/>
                <w:noProof/>
                <w:sz w:val="32"/>
                <w:szCs w:val="32"/>
              </w:rPr>
              <w:t>1. Market Segmentation</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_Toc234361020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5</w:t>
            </w:r>
            <w:r w:rsidRPr="005F3599">
              <w:rPr>
                <w:rFonts w:asciiTheme="majorBidi" w:hAnsiTheme="majorBidi" w:cstheme="majorBidi"/>
                <w:noProof/>
                <w:webHidden/>
                <w:sz w:val="32"/>
                <w:szCs w:val="32"/>
              </w:rPr>
              <w:fldChar w:fldCharType="end"/>
            </w:r>
          </w:hyperlink>
        </w:p>
        <w:p w14:paraId="418F4E70" w14:textId="1AF16F3E"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1" w:history="1">
            <w:r w:rsidRPr="005F3599">
              <w:rPr>
                <w:rStyle w:val="Hyperlink"/>
                <w:rFonts w:asciiTheme="majorBidi" w:eastAsia="Arial" w:hAnsiTheme="majorBidi" w:cstheme="majorBidi"/>
                <w:noProof/>
                <w:sz w:val="32"/>
                <w:szCs w:val="32"/>
              </w:rPr>
              <w:t>2. Target Market</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_Toc234361021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5</w:t>
            </w:r>
            <w:r w:rsidRPr="005F3599">
              <w:rPr>
                <w:rFonts w:asciiTheme="majorBidi" w:hAnsiTheme="majorBidi" w:cstheme="majorBidi"/>
                <w:noProof/>
                <w:webHidden/>
                <w:sz w:val="32"/>
                <w:szCs w:val="32"/>
              </w:rPr>
              <w:fldChar w:fldCharType="end"/>
            </w:r>
          </w:hyperlink>
        </w:p>
        <w:p w14:paraId="31C0EF9C" w14:textId="6EC54D36"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2" w:history="1">
            <w:r w:rsidRPr="005F3599">
              <w:rPr>
                <w:rStyle w:val="Hyperlink"/>
                <w:rFonts w:asciiTheme="majorBidi" w:eastAsia="Arial" w:hAnsiTheme="majorBidi" w:cstheme="majorBidi"/>
                <w:noProof/>
                <w:sz w:val="32"/>
                <w:szCs w:val="32"/>
              </w:rPr>
              <w:t>3. Differentiation</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_Toc234361022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6</w:t>
            </w:r>
            <w:r w:rsidRPr="005F3599">
              <w:rPr>
                <w:rFonts w:asciiTheme="majorBidi" w:hAnsiTheme="majorBidi" w:cstheme="majorBidi"/>
                <w:noProof/>
                <w:webHidden/>
                <w:sz w:val="32"/>
                <w:szCs w:val="32"/>
              </w:rPr>
              <w:fldChar w:fldCharType="end"/>
            </w:r>
          </w:hyperlink>
        </w:p>
        <w:p w14:paraId="51B5141B" w14:textId="260E1BFA"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3" w:history="1">
            <w:r w:rsidRPr="005F3599">
              <w:rPr>
                <w:rStyle w:val="Hyperlink"/>
                <w:rFonts w:asciiTheme="majorBidi" w:eastAsia="Arial" w:hAnsiTheme="majorBidi" w:cstheme="majorBidi"/>
                <w:noProof/>
                <w:sz w:val="32"/>
                <w:szCs w:val="32"/>
              </w:rPr>
              <w:t>4. Positioning</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_Toc234361023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7</w:t>
            </w:r>
            <w:r w:rsidRPr="005F3599">
              <w:rPr>
                <w:rFonts w:asciiTheme="majorBidi" w:hAnsiTheme="majorBidi" w:cstheme="majorBidi"/>
                <w:noProof/>
                <w:webHidden/>
                <w:sz w:val="32"/>
                <w:szCs w:val="32"/>
              </w:rPr>
              <w:fldChar w:fldCharType="end"/>
            </w:r>
          </w:hyperlink>
        </w:p>
        <w:p w14:paraId="2AD120E2" w14:textId="5FF13A5F" w:rsidR="005F3599" w:rsidRPr="005F3599" w:rsidRDefault="005F3599" w:rsidP="005F3599">
          <w:pPr>
            <w:pStyle w:val="TOC1"/>
            <w:rPr>
              <w:rFonts w:eastAsiaTheme="minorEastAsia"/>
              <w:kern w:val="2"/>
              <w:lang w:val="en-US" w:eastAsia="en-US"/>
              <w14:ligatures w14:val="standardContextual"/>
            </w:rPr>
          </w:pPr>
          <w:hyperlink w:anchor="_Toc234361024" w:history="1">
            <w:r w:rsidRPr="005F3599">
              <w:rPr>
                <w:rStyle w:val="Hyperlink"/>
              </w:rPr>
              <w:t>Element 3: Marketing Mix (7Ps) Analysis</w:t>
            </w:r>
            <w:r w:rsidRPr="005F3599">
              <w:rPr>
                <w:webHidden/>
              </w:rPr>
              <w:tab/>
            </w:r>
            <w:r w:rsidRPr="005F3599">
              <w:rPr>
                <w:webHidden/>
              </w:rPr>
              <w:fldChar w:fldCharType="begin"/>
            </w:r>
            <w:r w:rsidRPr="005F3599">
              <w:rPr>
                <w:webHidden/>
              </w:rPr>
              <w:instrText xml:space="preserve"> PAGEREF _Toc234361024 \h </w:instrText>
            </w:r>
            <w:r w:rsidRPr="005F3599">
              <w:rPr>
                <w:webHidden/>
              </w:rPr>
            </w:r>
            <w:r w:rsidRPr="005F3599">
              <w:rPr>
                <w:webHidden/>
              </w:rPr>
              <w:fldChar w:fldCharType="separate"/>
            </w:r>
            <w:r w:rsidRPr="005F3599">
              <w:rPr>
                <w:webHidden/>
              </w:rPr>
              <w:t>8</w:t>
            </w:r>
            <w:r w:rsidRPr="005F3599">
              <w:rPr>
                <w:webHidden/>
              </w:rPr>
              <w:fldChar w:fldCharType="end"/>
            </w:r>
          </w:hyperlink>
        </w:p>
        <w:p w14:paraId="33E7461C" w14:textId="2FE30307"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5" w:history="1">
            <w:r w:rsidRPr="005F3599">
              <w:rPr>
                <w:rStyle w:val="Hyperlink"/>
                <w:rFonts w:asciiTheme="majorBidi" w:eastAsia="Arial" w:hAnsiTheme="majorBidi" w:cstheme="majorBidi"/>
                <w:noProof/>
                <w:sz w:val="32"/>
                <w:szCs w:val="32"/>
              </w:rPr>
              <w:t>1. Product</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_Toc234361025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9</w:t>
            </w:r>
            <w:r w:rsidRPr="005F3599">
              <w:rPr>
                <w:rFonts w:asciiTheme="majorBidi" w:hAnsiTheme="majorBidi" w:cstheme="majorBidi"/>
                <w:noProof/>
                <w:webHidden/>
                <w:sz w:val="32"/>
                <w:szCs w:val="32"/>
              </w:rPr>
              <w:fldChar w:fldCharType="end"/>
            </w:r>
          </w:hyperlink>
        </w:p>
        <w:p w14:paraId="4A796900" w14:textId="6AF7B5DB"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6" w:history="1">
            <w:r w:rsidRPr="005F3599">
              <w:rPr>
                <w:rStyle w:val="Hyperlink"/>
                <w:rFonts w:asciiTheme="majorBidi" w:eastAsia="Arial" w:hAnsiTheme="majorBidi" w:cstheme="majorBidi"/>
                <w:noProof/>
                <w:sz w:val="32"/>
                <w:szCs w:val="32"/>
              </w:rPr>
              <w:t>2. Price</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_Toc234361026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9</w:t>
            </w:r>
            <w:r w:rsidRPr="005F3599">
              <w:rPr>
                <w:rFonts w:asciiTheme="majorBidi" w:hAnsiTheme="majorBidi" w:cstheme="majorBidi"/>
                <w:noProof/>
                <w:webHidden/>
                <w:sz w:val="32"/>
                <w:szCs w:val="32"/>
              </w:rPr>
              <w:fldChar w:fldCharType="end"/>
            </w:r>
          </w:hyperlink>
        </w:p>
        <w:p w14:paraId="2EBE141F" w14:textId="2B4A2A2F"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7" w:history="1">
            <w:r w:rsidRPr="005F3599">
              <w:rPr>
                <w:rStyle w:val="Hyperlink"/>
                <w:rFonts w:asciiTheme="majorBidi" w:eastAsia="Arial" w:hAnsiTheme="majorBidi" w:cstheme="majorBidi"/>
                <w:noProof/>
                <w:sz w:val="32"/>
                <w:szCs w:val="32"/>
              </w:rPr>
              <w:t>3. Place</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_Toc234361027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10</w:t>
            </w:r>
            <w:r w:rsidRPr="005F3599">
              <w:rPr>
                <w:rFonts w:asciiTheme="majorBidi" w:hAnsiTheme="majorBidi" w:cstheme="majorBidi"/>
                <w:noProof/>
                <w:webHidden/>
                <w:sz w:val="32"/>
                <w:szCs w:val="32"/>
              </w:rPr>
              <w:fldChar w:fldCharType="end"/>
            </w:r>
          </w:hyperlink>
        </w:p>
        <w:p w14:paraId="4D16AB0C" w14:textId="77036D42"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8" w:history="1">
            <w:r w:rsidRPr="005F3599">
              <w:rPr>
                <w:rStyle w:val="Hyperlink"/>
                <w:rFonts w:asciiTheme="majorBidi" w:eastAsia="Arial" w:hAnsiTheme="majorBidi" w:cstheme="majorBidi"/>
                <w:noProof/>
                <w:sz w:val="32"/>
                <w:szCs w:val="32"/>
              </w:rPr>
              <w:t>4. Promotion</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_Toc234361028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10</w:t>
            </w:r>
            <w:r w:rsidRPr="005F3599">
              <w:rPr>
                <w:rFonts w:asciiTheme="majorBidi" w:hAnsiTheme="majorBidi" w:cstheme="majorBidi"/>
                <w:noProof/>
                <w:webHidden/>
                <w:sz w:val="32"/>
                <w:szCs w:val="32"/>
              </w:rPr>
              <w:fldChar w:fldCharType="end"/>
            </w:r>
          </w:hyperlink>
        </w:p>
        <w:p w14:paraId="79ACD7A1" w14:textId="22D6915C"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29" w:history="1">
            <w:r w:rsidRPr="005F3599">
              <w:rPr>
                <w:rStyle w:val="Hyperlink"/>
                <w:rFonts w:asciiTheme="majorBidi" w:eastAsia="Arial" w:hAnsiTheme="majorBidi" w:cstheme="majorBidi"/>
                <w:noProof/>
                <w:sz w:val="32"/>
                <w:szCs w:val="32"/>
              </w:rPr>
              <w:t>5. People</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_Toc234361029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10</w:t>
            </w:r>
            <w:r w:rsidRPr="005F3599">
              <w:rPr>
                <w:rFonts w:asciiTheme="majorBidi" w:hAnsiTheme="majorBidi" w:cstheme="majorBidi"/>
                <w:noProof/>
                <w:webHidden/>
                <w:sz w:val="32"/>
                <w:szCs w:val="32"/>
              </w:rPr>
              <w:fldChar w:fldCharType="end"/>
            </w:r>
          </w:hyperlink>
        </w:p>
        <w:p w14:paraId="76D92762" w14:textId="5A051150"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0" w:history="1">
            <w:r w:rsidRPr="005F3599">
              <w:rPr>
                <w:rStyle w:val="Hyperlink"/>
                <w:rFonts w:asciiTheme="majorBidi" w:eastAsia="Arial" w:hAnsiTheme="majorBidi" w:cstheme="majorBidi"/>
                <w:noProof/>
                <w:sz w:val="32"/>
                <w:szCs w:val="32"/>
              </w:rPr>
              <w:t>6. Process</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_Toc234361030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11</w:t>
            </w:r>
            <w:r w:rsidRPr="005F3599">
              <w:rPr>
                <w:rFonts w:asciiTheme="majorBidi" w:hAnsiTheme="majorBidi" w:cstheme="majorBidi"/>
                <w:noProof/>
                <w:webHidden/>
                <w:sz w:val="32"/>
                <w:szCs w:val="32"/>
              </w:rPr>
              <w:fldChar w:fldCharType="end"/>
            </w:r>
          </w:hyperlink>
        </w:p>
        <w:p w14:paraId="03C8CA06" w14:textId="3FC24C98"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1" w:history="1">
            <w:r w:rsidRPr="005F3599">
              <w:rPr>
                <w:rStyle w:val="Hyperlink"/>
                <w:rFonts w:asciiTheme="majorBidi" w:eastAsia="Arial" w:hAnsiTheme="majorBidi" w:cstheme="majorBidi"/>
                <w:noProof/>
                <w:sz w:val="32"/>
                <w:szCs w:val="32"/>
              </w:rPr>
              <w:t>7. Physical Evidence</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_Toc234361031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11</w:t>
            </w:r>
            <w:r w:rsidRPr="005F3599">
              <w:rPr>
                <w:rFonts w:asciiTheme="majorBidi" w:hAnsiTheme="majorBidi" w:cstheme="majorBidi"/>
                <w:noProof/>
                <w:webHidden/>
                <w:sz w:val="32"/>
                <w:szCs w:val="32"/>
              </w:rPr>
              <w:fldChar w:fldCharType="end"/>
            </w:r>
          </w:hyperlink>
        </w:p>
        <w:p w14:paraId="48FAFF8D" w14:textId="78D7BFDD" w:rsidR="005F3599" w:rsidRPr="005F3599" w:rsidRDefault="005F3599" w:rsidP="005F3599">
          <w:pPr>
            <w:pStyle w:val="TOC1"/>
            <w:rPr>
              <w:rFonts w:eastAsiaTheme="minorEastAsia"/>
              <w:kern w:val="2"/>
              <w:lang w:val="en-US" w:eastAsia="en-US"/>
              <w14:ligatures w14:val="standardContextual"/>
            </w:rPr>
          </w:pPr>
          <w:hyperlink w:anchor="_Toc234361032" w:history="1">
            <w:r w:rsidRPr="005F3599">
              <w:rPr>
                <w:rStyle w:val="Hyperlink"/>
              </w:rPr>
              <w:t>Element 4: Reflection</w:t>
            </w:r>
            <w:r w:rsidRPr="005F3599">
              <w:rPr>
                <w:webHidden/>
              </w:rPr>
              <w:tab/>
            </w:r>
            <w:r w:rsidRPr="005F3599">
              <w:rPr>
                <w:webHidden/>
              </w:rPr>
              <w:fldChar w:fldCharType="begin"/>
            </w:r>
            <w:r w:rsidRPr="005F3599">
              <w:rPr>
                <w:webHidden/>
              </w:rPr>
              <w:instrText xml:space="preserve"> PAGEREF _Toc234361032 \h </w:instrText>
            </w:r>
            <w:r w:rsidRPr="005F3599">
              <w:rPr>
                <w:webHidden/>
              </w:rPr>
            </w:r>
            <w:r w:rsidRPr="005F3599">
              <w:rPr>
                <w:webHidden/>
              </w:rPr>
              <w:fldChar w:fldCharType="separate"/>
            </w:r>
            <w:r w:rsidRPr="005F3599">
              <w:rPr>
                <w:webHidden/>
              </w:rPr>
              <w:t>12</w:t>
            </w:r>
            <w:r w:rsidRPr="005F3599">
              <w:rPr>
                <w:webHidden/>
              </w:rPr>
              <w:fldChar w:fldCharType="end"/>
            </w:r>
          </w:hyperlink>
        </w:p>
        <w:p w14:paraId="602AA6FA" w14:textId="7EC7BE0D"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3" w:history="1">
            <w:r w:rsidRPr="005F3599">
              <w:rPr>
                <w:rStyle w:val="Hyperlink"/>
                <w:rFonts w:asciiTheme="majorBidi" w:eastAsiaTheme="majorEastAsia" w:hAnsiTheme="majorBidi" w:cstheme="majorBidi"/>
                <w:noProof/>
                <w:sz w:val="32"/>
                <w:szCs w:val="32"/>
              </w:rPr>
              <w:t>4.1 Reflection on Developing the Nike Circular Collection</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_Toc234361033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12</w:t>
            </w:r>
            <w:r w:rsidRPr="005F3599">
              <w:rPr>
                <w:rFonts w:asciiTheme="majorBidi" w:hAnsiTheme="majorBidi" w:cstheme="majorBidi"/>
                <w:noProof/>
                <w:webHidden/>
                <w:sz w:val="32"/>
                <w:szCs w:val="32"/>
              </w:rPr>
              <w:fldChar w:fldCharType="end"/>
            </w:r>
          </w:hyperlink>
        </w:p>
        <w:p w14:paraId="5F54AE18" w14:textId="6BA18E0C" w:rsidR="005F3599" w:rsidRPr="005F3599" w:rsidRDefault="005F3599">
          <w:pPr>
            <w:pStyle w:val="TOC3"/>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4" w:history="1">
            <w:r w:rsidRPr="005F3599">
              <w:rPr>
                <w:rStyle w:val="Hyperlink"/>
                <w:rFonts w:asciiTheme="majorBidi" w:eastAsiaTheme="majorEastAsia" w:hAnsiTheme="majorBidi" w:cstheme="majorBidi"/>
                <w:noProof/>
                <w:sz w:val="32"/>
                <w:szCs w:val="32"/>
              </w:rPr>
              <w:t>Developing the Brand Extension</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_Toc234361034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12</w:t>
            </w:r>
            <w:r w:rsidRPr="005F3599">
              <w:rPr>
                <w:rFonts w:asciiTheme="majorBidi" w:hAnsiTheme="majorBidi" w:cstheme="majorBidi"/>
                <w:noProof/>
                <w:webHidden/>
                <w:sz w:val="32"/>
                <w:szCs w:val="32"/>
              </w:rPr>
              <w:fldChar w:fldCharType="end"/>
            </w:r>
          </w:hyperlink>
        </w:p>
        <w:p w14:paraId="4EA7B06D" w14:textId="585CC3F5" w:rsidR="005F3599" w:rsidRPr="005F3599" w:rsidRDefault="005F3599">
          <w:pPr>
            <w:pStyle w:val="TOC3"/>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5" w:history="1">
            <w:r w:rsidRPr="005F3599">
              <w:rPr>
                <w:rStyle w:val="Hyperlink"/>
                <w:rFonts w:asciiTheme="majorBidi" w:eastAsiaTheme="majorEastAsia" w:hAnsiTheme="majorBidi" w:cstheme="majorBidi"/>
                <w:noProof/>
                <w:sz w:val="32"/>
                <w:szCs w:val="32"/>
              </w:rPr>
              <w:t>Learning and Future Improvement</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_Toc234361035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12</w:t>
            </w:r>
            <w:r w:rsidRPr="005F3599">
              <w:rPr>
                <w:rFonts w:asciiTheme="majorBidi" w:hAnsiTheme="majorBidi" w:cstheme="majorBidi"/>
                <w:noProof/>
                <w:webHidden/>
                <w:sz w:val="32"/>
                <w:szCs w:val="32"/>
              </w:rPr>
              <w:fldChar w:fldCharType="end"/>
            </w:r>
          </w:hyperlink>
        </w:p>
        <w:p w14:paraId="12281A0C" w14:textId="31F8B407" w:rsidR="005F3599" w:rsidRPr="005F3599" w:rsidRDefault="005F3599">
          <w:pPr>
            <w:pStyle w:val="TOC2"/>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6" w:history="1">
            <w:r w:rsidRPr="005F3599">
              <w:rPr>
                <w:rStyle w:val="Hyperlink"/>
                <w:rFonts w:asciiTheme="majorBidi" w:eastAsiaTheme="majorEastAsia" w:hAnsiTheme="majorBidi" w:cstheme="majorBidi"/>
                <w:noProof/>
                <w:sz w:val="32"/>
                <w:szCs w:val="32"/>
              </w:rPr>
              <w:t>4.2 Reflection on the Poster Presentation and Professional Development</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_Toc234361036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13</w:t>
            </w:r>
            <w:r w:rsidRPr="005F3599">
              <w:rPr>
                <w:rFonts w:asciiTheme="majorBidi" w:hAnsiTheme="majorBidi" w:cstheme="majorBidi"/>
                <w:noProof/>
                <w:webHidden/>
                <w:sz w:val="32"/>
                <w:szCs w:val="32"/>
              </w:rPr>
              <w:fldChar w:fldCharType="end"/>
            </w:r>
          </w:hyperlink>
        </w:p>
        <w:p w14:paraId="277BE6AC" w14:textId="24EE1DD8" w:rsidR="005F3599" w:rsidRPr="005F3599" w:rsidRDefault="005F3599">
          <w:pPr>
            <w:pStyle w:val="TOC3"/>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7" w:history="1">
            <w:r w:rsidRPr="005F3599">
              <w:rPr>
                <w:rStyle w:val="Hyperlink"/>
                <w:rFonts w:asciiTheme="majorBidi" w:eastAsiaTheme="majorEastAsia" w:hAnsiTheme="majorBidi" w:cstheme="majorBidi"/>
                <w:noProof/>
                <w:sz w:val="32"/>
                <w:szCs w:val="32"/>
              </w:rPr>
              <w:t>Poster Presentation Experience</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_Toc234361037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13</w:t>
            </w:r>
            <w:r w:rsidRPr="005F3599">
              <w:rPr>
                <w:rFonts w:asciiTheme="majorBidi" w:hAnsiTheme="majorBidi" w:cstheme="majorBidi"/>
                <w:noProof/>
                <w:webHidden/>
                <w:sz w:val="32"/>
                <w:szCs w:val="32"/>
              </w:rPr>
              <w:fldChar w:fldCharType="end"/>
            </w:r>
          </w:hyperlink>
        </w:p>
        <w:p w14:paraId="574D23AF" w14:textId="1B316808" w:rsidR="005F3599" w:rsidRPr="005F3599" w:rsidRDefault="005F3599">
          <w:pPr>
            <w:pStyle w:val="TOC3"/>
            <w:tabs>
              <w:tab w:val="right" w:leader="dot" w:pos="9016"/>
            </w:tabs>
            <w:rPr>
              <w:rFonts w:asciiTheme="majorBidi" w:eastAsiaTheme="minorEastAsia" w:hAnsiTheme="majorBidi" w:cstheme="majorBidi"/>
              <w:noProof/>
              <w:kern w:val="2"/>
              <w:sz w:val="32"/>
              <w:szCs w:val="32"/>
              <w:lang w:val="en-US" w:eastAsia="en-US"/>
              <w14:ligatures w14:val="standardContextual"/>
            </w:rPr>
          </w:pPr>
          <w:hyperlink w:anchor="_Toc234361038" w:history="1">
            <w:r w:rsidRPr="005F3599">
              <w:rPr>
                <w:rStyle w:val="Hyperlink"/>
                <w:rFonts w:asciiTheme="majorBidi" w:eastAsiaTheme="majorEastAsia" w:hAnsiTheme="majorBidi" w:cstheme="majorBidi"/>
                <w:noProof/>
                <w:sz w:val="32"/>
                <w:szCs w:val="32"/>
              </w:rPr>
              <w:t>Professional Development and Future Learning</w:t>
            </w:r>
            <w:r w:rsidRPr="005F3599">
              <w:rPr>
                <w:rFonts w:asciiTheme="majorBidi" w:hAnsiTheme="majorBidi" w:cstheme="majorBidi"/>
                <w:noProof/>
                <w:webHidden/>
                <w:sz w:val="32"/>
                <w:szCs w:val="32"/>
              </w:rPr>
              <w:tab/>
            </w:r>
            <w:r w:rsidRPr="005F3599">
              <w:rPr>
                <w:rFonts w:asciiTheme="majorBidi" w:hAnsiTheme="majorBidi" w:cstheme="majorBidi"/>
                <w:noProof/>
                <w:webHidden/>
                <w:sz w:val="32"/>
                <w:szCs w:val="32"/>
              </w:rPr>
              <w:fldChar w:fldCharType="begin"/>
            </w:r>
            <w:r w:rsidRPr="005F3599">
              <w:rPr>
                <w:rFonts w:asciiTheme="majorBidi" w:hAnsiTheme="majorBidi" w:cstheme="majorBidi"/>
                <w:noProof/>
                <w:webHidden/>
                <w:sz w:val="32"/>
                <w:szCs w:val="32"/>
              </w:rPr>
              <w:instrText xml:space="preserve"> PAGEREF _Toc234361038 \h </w:instrText>
            </w:r>
            <w:r w:rsidRPr="005F3599">
              <w:rPr>
                <w:rFonts w:asciiTheme="majorBidi" w:hAnsiTheme="majorBidi" w:cstheme="majorBidi"/>
                <w:noProof/>
                <w:webHidden/>
                <w:sz w:val="32"/>
                <w:szCs w:val="32"/>
              </w:rPr>
            </w:r>
            <w:r w:rsidRPr="005F3599">
              <w:rPr>
                <w:rFonts w:asciiTheme="majorBidi" w:hAnsiTheme="majorBidi" w:cstheme="majorBidi"/>
                <w:noProof/>
                <w:webHidden/>
                <w:sz w:val="32"/>
                <w:szCs w:val="32"/>
              </w:rPr>
              <w:fldChar w:fldCharType="separate"/>
            </w:r>
            <w:r w:rsidRPr="005F3599">
              <w:rPr>
                <w:rFonts w:asciiTheme="majorBidi" w:hAnsiTheme="majorBidi" w:cstheme="majorBidi"/>
                <w:noProof/>
                <w:webHidden/>
                <w:sz w:val="32"/>
                <w:szCs w:val="32"/>
              </w:rPr>
              <w:t>13</w:t>
            </w:r>
            <w:r w:rsidRPr="005F3599">
              <w:rPr>
                <w:rFonts w:asciiTheme="majorBidi" w:hAnsiTheme="majorBidi" w:cstheme="majorBidi"/>
                <w:noProof/>
                <w:webHidden/>
                <w:sz w:val="32"/>
                <w:szCs w:val="32"/>
              </w:rPr>
              <w:fldChar w:fldCharType="end"/>
            </w:r>
          </w:hyperlink>
        </w:p>
        <w:p w14:paraId="455ECA30" w14:textId="6F56C3CD" w:rsidR="005F3599" w:rsidRPr="005F3599" w:rsidRDefault="005F3599" w:rsidP="005F3599">
          <w:pPr>
            <w:pStyle w:val="TOC1"/>
            <w:rPr>
              <w:rFonts w:eastAsiaTheme="minorEastAsia"/>
              <w:kern w:val="2"/>
              <w:lang w:val="en-US" w:eastAsia="en-US"/>
              <w14:ligatures w14:val="standardContextual"/>
            </w:rPr>
          </w:pPr>
          <w:hyperlink w:anchor="_Toc234361039" w:history="1">
            <w:r w:rsidRPr="005F3599">
              <w:rPr>
                <w:rStyle w:val="Hyperlink"/>
              </w:rPr>
              <w:t>References</w:t>
            </w:r>
            <w:r w:rsidRPr="005F3599">
              <w:rPr>
                <w:webHidden/>
              </w:rPr>
              <w:tab/>
            </w:r>
            <w:r w:rsidRPr="005F3599">
              <w:rPr>
                <w:webHidden/>
              </w:rPr>
              <w:fldChar w:fldCharType="begin"/>
            </w:r>
            <w:r w:rsidRPr="005F3599">
              <w:rPr>
                <w:webHidden/>
              </w:rPr>
              <w:instrText xml:space="preserve"> PAGEREF _Toc234361039 \h </w:instrText>
            </w:r>
            <w:r w:rsidRPr="005F3599">
              <w:rPr>
                <w:webHidden/>
              </w:rPr>
            </w:r>
            <w:r w:rsidRPr="005F3599">
              <w:rPr>
                <w:webHidden/>
              </w:rPr>
              <w:fldChar w:fldCharType="separate"/>
            </w:r>
            <w:r w:rsidRPr="005F3599">
              <w:rPr>
                <w:webHidden/>
              </w:rPr>
              <w:t>14</w:t>
            </w:r>
            <w:r w:rsidRPr="005F3599">
              <w:rPr>
                <w:webHidden/>
              </w:rPr>
              <w:fldChar w:fldCharType="end"/>
            </w:r>
          </w:hyperlink>
        </w:p>
        <w:p w14:paraId="2A503023" w14:textId="607F7691" w:rsidR="00693B7E" w:rsidRPr="005F3599" w:rsidRDefault="00693B7E" w:rsidP="00693B7E">
          <w:pPr>
            <w:spacing w:line="360" w:lineRule="auto"/>
            <w:jc w:val="both"/>
            <w:rPr>
              <w:rFonts w:asciiTheme="majorBidi" w:hAnsiTheme="majorBidi" w:cstheme="majorBidi"/>
              <w:sz w:val="32"/>
              <w:szCs w:val="32"/>
            </w:rPr>
          </w:pPr>
          <w:r w:rsidRPr="005F3599">
            <w:rPr>
              <w:rFonts w:asciiTheme="majorBidi" w:hAnsiTheme="majorBidi" w:cstheme="majorBidi"/>
              <w:b/>
              <w:bCs/>
              <w:noProof/>
              <w:sz w:val="32"/>
              <w:szCs w:val="32"/>
            </w:rPr>
            <w:fldChar w:fldCharType="end"/>
          </w:r>
        </w:p>
      </w:sdtContent>
    </w:sdt>
    <w:p w14:paraId="61536DBA" w14:textId="77777777" w:rsidR="00693B7E" w:rsidRPr="005F3599" w:rsidRDefault="00693B7E" w:rsidP="00693B7E">
      <w:pPr>
        <w:spacing w:after="160" w:line="360" w:lineRule="auto"/>
        <w:jc w:val="both"/>
        <w:rPr>
          <w:rFonts w:asciiTheme="majorBidi" w:hAnsiTheme="majorBidi" w:cstheme="majorBidi"/>
          <w:b/>
          <w:color w:val="2E74B5"/>
          <w:sz w:val="32"/>
          <w:szCs w:val="32"/>
          <w:u w:val="single"/>
        </w:rPr>
      </w:pPr>
      <w:r w:rsidRPr="005F3599">
        <w:rPr>
          <w:rFonts w:asciiTheme="majorBidi" w:hAnsiTheme="majorBidi" w:cstheme="majorBidi"/>
          <w:sz w:val="32"/>
          <w:szCs w:val="32"/>
        </w:rPr>
        <w:br w:type="page"/>
      </w:r>
    </w:p>
    <w:p w14:paraId="3F825356" w14:textId="4AE07696" w:rsidR="00967E9F" w:rsidRPr="001E3FA2" w:rsidRDefault="00DC0540" w:rsidP="001E3FA2">
      <w:pPr>
        <w:pStyle w:val="Heading1"/>
      </w:pPr>
      <w:bookmarkStart w:id="3" w:name="_Toc234361017"/>
      <w:r w:rsidRPr="001E3FA2">
        <w:lastRenderedPageBreak/>
        <w:t>Introduction</w:t>
      </w:r>
      <w:bookmarkEnd w:id="2"/>
      <w:bookmarkEnd w:id="3"/>
    </w:p>
    <w:p w14:paraId="19135B77" w14:textId="77777777" w:rsidR="001E3FA2" w:rsidRDefault="001E3FA2" w:rsidP="001E3FA2">
      <w:pPr>
        <w:spacing w:line="360" w:lineRule="auto"/>
        <w:jc w:val="both"/>
        <w:rPr>
          <w:sz w:val="28"/>
          <w:szCs w:val="28"/>
        </w:rPr>
      </w:pPr>
      <w:r w:rsidRPr="001E3FA2">
        <w:rPr>
          <w:sz w:val="28"/>
          <w:szCs w:val="28"/>
        </w:rPr>
        <w:t xml:space="preserve">The global sportswear sector is undergoing a shift towards a circular economy, where businesses must strike a balance between sustainability and profitability. In spite of its reported FY2025 revenue of US$46.3 billion and presence in over 190 countries, Nike's financial results declined, </w:t>
      </w:r>
      <w:proofErr w:type="spellStart"/>
      <w:r w:rsidRPr="001E3FA2">
        <w:rPr>
          <w:sz w:val="28"/>
          <w:szCs w:val="28"/>
        </w:rPr>
        <w:t>signaling</w:t>
      </w:r>
      <w:proofErr w:type="spellEnd"/>
      <w:r w:rsidRPr="001E3FA2">
        <w:rPr>
          <w:sz w:val="28"/>
          <w:szCs w:val="28"/>
        </w:rPr>
        <w:t xml:space="preserve"> the importance of exploring new growth avenues (Nike, 2025).</w:t>
      </w:r>
    </w:p>
    <w:p w14:paraId="3573C052" w14:textId="266FCD21" w:rsidR="001E3FA2" w:rsidRDefault="001E3FA2" w:rsidP="001E3FA2">
      <w:pPr>
        <w:spacing w:line="360" w:lineRule="auto"/>
        <w:jc w:val="both"/>
        <w:rPr>
          <w:sz w:val="28"/>
          <w:szCs w:val="28"/>
        </w:rPr>
      </w:pPr>
      <w:r>
        <w:rPr>
          <w:noProof/>
        </w:rPr>
        <w:drawing>
          <wp:inline distT="0" distB="0" distL="0" distR="0" wp14:anchorId="583319E1" wp14:editId="7A6D1DDD">
            <wp:extent cx="5731510" cy="3806190"/>
            <wp:effectExtent l="0" t="0" r="2540" b="3810"/>
            <wp:docPr id="959760232" name="Picture 1" descr="Nike surges 15% after earnings: Is the consumer finally ret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surges 15% after earnings: Is the consumer finally retur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a:ln>
                      <a:noFill/>
                    </a:ln>
                  </pic:spPr>
                </pic:pic>
              </a:graphicData>
            </a:graphic>
          </wp:inline>
        </w:drawing>
      </w:r>
      <w:r w:rsidRPr="001E3FA2">
        <w:rPr>
          <w:sz w:val="28"/>
          <w:szCs w:val="28"/>
        </w:rPr>
        <w:t xml:space="preserve"> </w:t>
      </w:r>
    </w:p>
    <w:p w14:paraId="3C9382EF" w14:textId="77777777" w:rsidR="001E3FA2" w:rsidRPr="001E3FA2" w:rsidRDefault="001E3FA2" w:rsidP="001E3FA2">
      <w:pPr>
        <w:spacing w:line="360" w:lineRule="auto"/>
        <w:jc w:val="center"/>
        <w:rPr>
          <w:b/>
          <w:bCs/>
          <w:sz w:val="28"/>
          <w:szCs w:val="28"/>
          <w:u w:val="single"/>
          <w:lang w:val="en-US"/>
        </w:rPr>
      </w:pPr>
      <w:r w:rsidRPr="001E3FA2">
        <w:rPr>
          <w:b/>
          <w:bCs/>
          <w:sz w:val="28"/>
          <w:szCs w:val="28"/>
          <w:u w:val="single"/>
          <w:lang w:val="en-US"/>
        </w:rPr>
        <w:t>Figure 1. Nike FY2025 Financial Performance Indicators Compared with FY2024.</w:t>
      </w:r>
    </w:p>
    <w:p w14:paraId="0212DEF9" w14:textId="77777777" w:rsidR="001E3FA2" w:rsidRPr="001E3FA2" w:rsidRDefault="001E3FA2" w:rsidP="001E3FA2">
      <w:pPr>
        <w:spacing w:line="360" w:lineRule="auto"/>
        <w:jc w:val="center"/>
        <w:rPr>
          <w:b/>
          <w:bCs/>
          <w:sz w:val="28"/>
          <w:szCs w:val="28"/>
          <w:u w:val="single"/>
          <w:lang w:val="en-US"/>
        </w:rPr>
      </w:pPr>
      <w:r w:rsidRPr="001E3FA2">
        <w:rPr>
          <w:b/>
          <w:bCs/>
          <w:i/>
          <w:iCs/>
          <w:sz w:val="28"/>
          <w:szCs w:val="28"/>
          <w:u w:val="single"/>
          <w:lang w:val="en-US"/>
        </w:rPr>
        <w:t>Source: Adapted from Nike, Inc. (2025) FY2025 Annual Report.</w:t>
      </w:r>
    </w:p>
    <w:p w14:paraId="7C46C2D3" w14:textId="77777777" w:rsidR="001E3FA2" w:rsidRDefault="001E3FA2" w:rsidP="001E3FA2">
      <w:pPr>
        <w:spacing w:line="360" w:lineRule="auto"/>
        <w:jc w:val="both"/>
        <w:rPr>
          <w:sz w:val="28"/>
          <w:szCs w:val="28"/>
        </w:rPr>
      </w:pPr>
    </w:p>
    <w:p w14:paraId="5DB58582" w14:textId="41AD18B4" w:rsidR="00DC0540" w:rsidRPr="001E3FA2" w:rsidRDefault="001E3FA2" w:rsidP="001E3FA2">
      <w:pPr>
        <w:spacing w:line="360" w:lineRule="auto"/>
        <w:jc w:val="both"/>
        <w:rPr>
          <w:sz w:val="28"/>
          <w:szCs w:val="28"/>
        </w:rPr>
      </w:pPr>
      <w:r w:rsidRPr="001E3FA2">
        <w:rPr>
          <w:sz w:val="28"/>
          <w:szCs w:val="28"/>
        </w:rPr>
        <w:t>The following statistics are adapted from Nike, Inc. (2025) Annual Report. This report aims to suggest the Nike Circular Collection as a sustainable brand extension, and critically assess its strategic feasibility with the Segmentation, Targeting, Differentiation and Positioning (STDP) framework and the Extended Marketing Mix (7Ps), and reflect on the development process.</w:t>
      </w:r>
    </w:p>
    <w:p w14:paraId="3AAAD9A9" w14:textId="77777777" w:rsidR="00693B7E" w:rsidRDefault="00693B7E" w:rsidP="00693B7E">
      <w:pPr>
        <w:pStyle w:val="Heading1"/>
        <w:rPr>
          <w:lang w:eastAsia="zh-CN"/>
        </w:rPr>
      </w:pPr>
      <w:bookmarkStart w:id="4" w:name="_Toc234361018"/>
      <w:r w:rsidRPr="004C1DEB">
        <w:rPr>
          <w:lang w:eastAsia="zh-CN"/>
        </w:rPr>
        <w:lastRenderedPageBreak/>
        <w:t>Element 1: Sustainable Brand Extension Poster Presentation</w:t>
      </w:r>
      <w:bookmarkEnd w:id="4"/>
    </w:p>
    <w:p w14:paraId="476D0ADA" w14:textId="77777777" w:rsidR="00693B7E" w:rsidRDefault="00693B7E" w:rsidP="00693B7E">
      <w:pPr>
        <w:pStyle w:val="Heading1"/>
        <w:rPr>
          <w:rStyle w:val="cursor-pointer"/>
          <w:rFonts w:cs="Arial"/>
          <w:sz w:val="24"/>
          <w:szCs w:val="24"/>
        </w:rPr>
      </w:pPr>
    </w:p>
    <w:p w14:paraId="6C289587" w14:textId="77777777" w:rsidR="001E3FA2" w:rsidRDefault="001E3FA2" w:rsidP="00693B7E">
      <w:pPr>
        <w:spacing w:line="360" w:lineRule="auto"/>
        <w:jc w:val="both"/>
        <w:rPr>
          <w:rFonts w:ascii="Arial" w:hAnsi="Arial" w:cs="Arial"/>
          <w:sz w:val="24"/>
          <w:szCs w:val="24"/>
        </w:rPr>
      </w:pPr>
    </w:p>
    <w:p w14:paraId="3D461A99" w14:textId="025E0669" w:rsidR="00693B7E" w:rsidRDefault="00693B7E" w:rsidP="00693B7E">
      <w:pPr>
        <w:spacing w:line="360" w:lineRule="auto"/>
        <w:jc w:val="both"/>
        <w:rPr>
          <w:rFonts w:ascii="Arial" w:hAnsi="Arial" w:cs="Arial"/>
          <w:sz w:val="24"/>
          <w:szCs w:val="24"/>
        </w:rPr>
      </w:pPr>
      <w:r w:rsidRPr="00693B7E">
        <w:rPr>
          <w:rFonts w:ascii="Arial" w:hAnsi="Arial" w:cs="Arial"/>
          <w:sz w:val="24"/>
          <w:szCs w:val="24"/>
        </w:rPr>
        <w:t>Nike Circular Collection is a brand extension that builds on the principles of circular design, recyclable materials and responsible consumption to help Nike's competitive edge.</w:t>
      </w:r>
    </w:p>
    <w:p w14:paraId="6F4CC392" w14:textId="77777777" w:rsidR="001E3FA2" w:rsidRDefault="001E3FA2" w:rsidP="00693B7E">
      <w:pPr>
        <w:spacing w:line="360" w:lineRule="auto"/>
        <w:jc w:val="both"/>
        <w:rPr>
          <w:rFonts w:ascii="Arial" w:hAnsi="Arial" w:cs="Arial"/>
          <w:sz w:val="24"/>
          <w:szCs w:val="24"/>
        </w:rPr>
      </w:pPr>
    </w:p>
    <w:p w14:paraId="2EF6E49F" w14:textId="5AA75792" w:rsidR="001E3FA2" w:rsidRDefault="001E3FA2" w:rsidP="00693B7E">
      <w:pPr>
        <w:spacing w:line="360" w:lineRule="auto"/>
        <w:jc w:val="both"/>
        <w:rPr>
          <w:rFonts w:ascii="Arial" w:hAnsi="Arial" w:cs="Arial"/>
          <w:sz w:val="24"/>
          <w:szCs w:val="24"/>
        </w:rPr>
      </w:pPr>
      <w:r>
        <w:rPr>
          <w:noProof/>
        </w:rPr>
        <w:drawing>
          <wp:inline distT="0" distB="0" distL="0" distR="0" wp14:anchorId="60D75427" wp14:editId="45C3C4B4">
            <wp:extent cx="5731510" cy="4298950"/>
            <wp:effectExtent l="0" t="0" r="2540" b="6350"/>
            <wp:docPr id="11718752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7521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298950"/>
                    </a:xfrm>
                    <a:prstGeom prst="rect">
                      <a:avLst/>
                    </a:prstGeom>
                  </pic:spPr>
                </pic:pic>
              </a:graphicData>
            </a:graphic>
          </wp:inline>
        </w:drawing>
      </w:r>
    </w:p>
    <w:p w14:paraId="45772B69" w14:textId="77777777" w:rsidR="00693B7E" w:rsidRPr="00693B7E" w:rsidRDefault="00693B7E" w:rsidP="00693B7E">
      <w:pPr>
        <w:spacing w:line="360" w:lineRule="auto"/>
        <w:jc w:val="both"/>
        <w:rPr>
          <w:rFonts w:ascii="Arial" w:eastAsia="Arial" w:hAnsi="Arial" w:cs="Arial"/>
          <w:sz w:val="24"/>
          <w:szCs w:val="24"/>
        </w:rPr>
      </w:pPr>
    </w:p>
    <w:p w14:paraId="07C92E18" w14:textId="77777777" w:rsidR="00693B7E" w:rsidRDefault="00693B7E">
      <w:pPr>
        <w:spacing w:after="160" w:line="259" w:lineRule="auto"/>
        <w:rPr>
          <w:rFonts w:ascii="Arial" w:eastAsia="Arial" w:hAnsi="Arial"/>
          <w:b/>
          <w:color w:val="2E74B5"/>
          <w:sz w:val="32"/>
          <w:szCs w:val="32"/>
          <w:u w:val="single"/>
        </w:rPr>
      </w:pPr>
      <w:bookmarkStart w:id="5" w:name="_Toc234330528"/>
      <w:r>
        <w:rPr>
          <w:rFonts w:eastAsia="Arial"/>
        </w:rPr>
        <w:br w:type="page"/>
      </w:r>
    </w:p>
    <w:p w14:paraId="4BFA051E" w14:textId="77777777" w:rsidR="00E00771" w:rsidRDefault="00E00771" w:rsidP="00524A4E">
      <w:pPr>
        <w:pStyle w:val="Heading1"/>
        <w:rPr>
          <w:rFonts w:eastAsia="Arial"/>
        </w:rPr>
      </w:pPr>
      <w:bookmarkStart w:id="6" w:name="_Toc234361019"/>
      <w:r w:rsidRPr="007A2FB0">
        <w:rPr>
          <w:rFonts w:eastAsia="Arial"/>
        </w:rPr>
        <w:lastRenderedPageBreak/>
        <w:t>Element 2: Segmentation, Targeting, Differentiation, and Positioning (STDP) Analysis</w:t>
      </w:r>
      <w:bookmarkEnd w:id="0"/>
      <w:bookmarkEnd w:id="1"/>
      <w:bookmarkEnd w:id="5"/>
      <w:bookmarkEnd w:id="6"/>
    </w:p>
    <w:p w14:paraId="51A324CB" w14:textId="77777777" w:rsidR="00072287" w:rsidRDefault="00072287" w:rsidP="00524A4E">
      <w:pPr>
        <w:pStyle w:val="Heading1"/>
        <w:rPr>
          <w:rFonts w:eastAsia="Arial"/>
        </w:rPr>
      </w:pPr>
    </w:p>
    <w:p w14:paraId="7AC751DD" w14:textId="77777777" w:rsidR="00072287" w:rsidRDefault="00072287" w:rsidP="00072287">
      <w:pPr>
        <w:spacing w:line="360" w:lineRule="auto"/>
        <w:jc w:val="both"/>
        <w:rPr>
          <w:rStyle w:val="cursor-pointer"/>
          <w:rFonts w:ascii="Arial" w:hAnsi="Arial" w:cs="Arial"/>
          <w:sz w:val="24"/>
          <w:szCs w:val="24"/>
        </w:rPr>
      </w:pPr>
      <w:r w:rsidRPr="00072287">
        <w:rPr>
          <w:rStyle w:val="cursor-pointer"/>
          <w:rFonts w:ascii="Arial" w:hAnsi="Arial" w:cs="Arial"/>
          <w:sz w:val="24"/>
          <w:szCs w:val="24"/>
        </w:rPr>
        <w:t>Segmentation, targeting and positioning (STP) is a three-step process that involves identification and profiling of segments of buyer groups, choosing the segment(s) most suited for the company and developing an offer in the minds of the target group (Cozma and Cosma 2023).</w:t>
      </w:r>
      <w:r w:rsidRPr="00072287">
        <w:rPr>
          <w:rFonts w:ascii="Arial" w:hAnsi="Arial" w:cs="Arial"/>
          <w:sz w:val="24"/>
          <w:szCs w:val="24"/>
        </w:rPr>
        <w:t xml:space="preserve"> </w:t>
      </w:r>
      <w:r w:rsidRPr="00072287">
        <w:rPr>
          <w:rStyle w:val="cursor-pointer"/>
          <w:rFonts w:ascii="Arial" w:hAnsi="Arial" w:cs="Arial"/>
          <w:sz w:val="24"/>
          <w:szCs w:val="24"/>
        </w:rPr>
        <w:t>The Nike Circular Collection could be used as a roadmap to market for Nike's footwear extension into the world of circular and recycled sportswear.</w:t>
      </w:r>
    </w:p>
    <w:p w14:paraId="04FFC685" w14:textId="77777777" w:rsidR="00A2259D" w:rsidRPr="00A2259D" w:rsidRDefault="00A2259D" w:rsidP="00A2259D">
      <w:pPr>
        <w:pStyle w:val="Heading2"/>
        <w:jc w:val="center"/>
        <w:rPr>
          <w:rFonts w:eastAsia="Arial"/>
          <w:sz w:val="24"/>
          <w:szCs w:val="24"/>
        </w:rPr>
      </w:pPr>
      <w:bookmarkStart w:id="7" w:name="_Toc234225986"/>
      <w:bookmarkStart w:id="8" w:name="_Toc234235850"/>
      <w:bookmarkStart w:id="9" w:name="_Toc234330529"/>
    </w:p>
    <w:p w14:paraId="636F8F0B" w14:textId="77777777" w:rsidR="00E00771" w:rsidRDefault="007A2FB0" w:rsidP="00693B7E">
      <w:pPr>
        <w:pStyle w:val="Heading2"/>
        <w:rPr>
          <w:rFonts w:eastAsia="Arial"/>
        </w:rPr>
      </w:pPr>
      <w:bookmarkStart w:id="10" w:name="_Toc234361020"/>
      <w:r w:rsidRPr="007A2FB0">
        <w:rPr>
          <w:rFonts w:eastAsia="Arial"/>
        </w:rPr>
        <w:t xml:space="preserve">1. </w:t>
      </w:r>
      <w:r w:rsidR="00E00771" w:rsidRPr="007A2FB0">
        <w:rPr>
          <w:rFonts w:eastAsia="Arial"/>
        </w:rPr>
        <w:t>Market Segmentation</w:t>
      </w:r>
      <w:bookmarkEnd w:id="7"/>
      <w:bookmarkEnd w:id="8"/>
      <w:bookmarkEnd w:id="9"/>
      <w:bookmarkEnd w:id="10"/>
    </w:p>
    <w:p w14:paraId="49CF71B6" w14:textId="77777777" w:rsidR="00A2259D" w:rsidRPr="00693B7E" w:rsidRDefault="00A2259D" w:rsidP="00693B7E">
      <w:pPr>
        <w:pStyle w:val="Heading2"/>
        <w:rPr>
          <w:rFonts w:eastAsia="Arial" w:cs="Arial"/>
          <w:sz w:val="24"/>
          <w:szCs w:val="24"/>
        </w:rPr>
      </w:pPr>
    </w:p>
    <w:p w14:paraId="364A2F5B" w14:textId="77777777" w:rsidR="0037400C" w:rsidRPr="00D23B02" w:rsidRDefault="0037400C" w:rsidP="00D23B02">
      <w:pPr>
        <w:spacing w:line="360" w:lineRule="auto"/>
        <w:jc w:val="both"/>
        <w:rPr>
          <w:rFonts w:ascii="Arial" w:eastAsia="Arial" w:hAnsi="Arial" w:cs="Arial"/>
          <w:sz w:val="24"/>
          <w:szCs w:val="24"/>
        </w:rPr>
      </w:pPr>
      <w:r w:rsidRPr="00D23B02">
        <w:rPr>
          <w:rStyle w:val="cursor-pointer"/>
          <w:rFonts w:ascii="Arial" w:hAnsi="Arial" w:cs="Arial"/>
          <w:sz w:val="24"/>
          <w:szCs w:val="24"/>
        </w:rPr>
        <w:t xml:space="preserve">The Nike Circular Collection is segmented geographically, demographically, </w:t>
      </w:r>
      <w:r w:rsidR="00A9176A" w:rsidRPr="00D23B02">
        <w:rPr>
          <w:rStyle w:val="cursor-pointer"/>
          <w:rFonts w:ascii="Arial" w:hAnsi="Arial" w:cs="Arial"/>
          <w:sz w:val="24"/>
          <w:szCs w:val="24"/>
        </w:rPr>
        <w:t>psychographic ally</w:t>
      </w:r>
      <w:r w:rsidRPr="00D23B02">
        <w:rPr>
          <w:rStyle w:val="cursor-pointer"/>
          <w:rFonts w:ascii="Arial" w:hAnsi="Arial" w:cs="Arial"/>
          <w:sz w:val="24"/>
          <w:szCs w:val="24"/>
        </w:rPr>
        <w:t xml:space="preserve"> and behaviourally to target consumers.</w:t>
      </w:r>
      <w:r w:rsidRPr="00D23B02">
        <w:rPr>
          <w:rFonts w:ascii="Arial" w:hAnsi="Arial" w:cs="Arial"/>
          <w:sz w:val="24"/>
          <w:szCs w:val="24"/>
        </w:rPr>
        <w:t xml:space="preserve"> </w:t>
      </w:r>
      <w:r w:rsidRPr="00D23B02">
        <w:rPr>
          <w:rStyle w:val="cursor-pointer"/>
          <w:rFonts w:ascii="Arial" w:hAnsi="Arial" w:cs="Arial"/>
          <w:sz w:val="24"/>
          <w:szCs w:val="24"/>
        </w:rPr>
        <w:t>The collection will start in the United States, the United Kingdom and Western Europe where recycling infrastructure, environmental policies and sustainable consumption are highly developed and will be rolled out to major Asia-Pacific cities in the future.</w:t>
      </w:r>
      <w:r w:rsidRPr="00D23B02">
        <w:rPr>
          <w:rFonts w:ascii="Arial" w:hAnsi="Arial" w:cs="Arial"/>
          <w:sz w:val="24"/>
          <w:szCs w:val="24"/>
        </w:rPr>
        <w:t xml:space="preserve"> </w:t>
      </w:r>
      <w:r w:rsidRPr="00D23B02">
        <w:rPr>
          <w:rStyle w:val="cursor-pointer"/>
          <w:rFonts w:ascii="Arial" w:hAnsi="Arial" w:cs="Arial"/>
          <w:sz w:val="24"/>
          <w:szCs w:val="24"/>
        </w:rPr>
        <w:t>In terms of demographics, the main consumer target group is people aged 16 to 35 years, with a higher percentage of Gen Z and younger Millennials willing to pay a higher price for sustainable products (</w:t>
      </w:r>
      <w:r w:rsidR="00524A4E" w:rsidRPr="00413EC4">
        <w:rPr>
          <w:rFonts w:ascii="Arial" w:hAnsi="Arial" w:cs="Arial"/>
          <w:sz w:val="24"/>
          <w:szCs w:val="24"/>
        </w:rPr>
        <w:t>Gomes et al. 2023</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Psychographically, the group is made up of people who are environmentally aware and are seeking to make their lifestyle and buying decisions a sustainable one.</w:t>
      </w:r>
      <w:r w:rsidRPr="00D23B02">
        <w:rPr>
          <w:rFonts w:ascii="Arial" w:hAnsi="Arial" w:cs="Arial"/>
          <w:sz w:val="24"/>
          <w:szCs w:val="24"/>
        </w:rPr>
        <w:t xml:space="preserve"> </w:t>
      </w:r>
      <w:r w:rsidRPr="00D23B02">
        <w:rPr>
          <w:rStyle w:val="cursor-pointer"/>
          <w:rFonts w:ascii="Arial" w:hAnsi="Arial" w:cs="Arial"/>
          <w:sz w:val="24"/>
          <w:szCs w:val="24"/>
        </w:rPr>
        <w:t>As consumer expectations shift (</w:t>
      </w:r>
      <w:r w:rsidR="00413EC4" w:rsidRPr="00413EC4">
        <w:rPr>
          <w:rFonts w:ascii="Arial" w:hAnsi="Arial" w:cs="Arial"/>
          <w:sz w:val="24"/>
          <w:szCs w:val="24"/>
        </w:rPr>
        <w:t>Branca et al., 2025</w:t>
      </w:r>
      <w:r w:rsidRPr="00413EC4">
        <w:rPr>
          <w:rStyle w:val="cursor-pointer"/>
          <w:rFonts w:ascii="Arial" w:hAnsi="Arial" w:cs="Arial"/>
          <w:sz w:val="24"/>
          <w:szCs w:val="24"/>
        </w:rPr>
        <w:t>),</w:t>
      </w:r>
      <w:r w:rsidRPr="00D23B02">
        <w:rPr>
          <w:rStyle w:val="cursor-pointer"/>
          <w:rFonts w:ascii="Arial" w:hAnsi="Arial" w:cs="Arial"/>
          <w:sz w:val="24"/>
          <w:szCs w:val="24"/>
        </w:rPr>
        <w:t xml:space="preserve"> these consumers appreciate companies that are transparent and socially responsible, exhibiting ethical practices.</w:t>
      </w:r>
      <w:r w:rsidRPr="00D23B02">
        <w:rPr>
          <w:rFonts w:ascii="Arial" w:hAnsi="Arial" w:cs="Arial"/>
          <w:sz w:val="24"/>
          <w:szCs w:val="24"/>
        </w:rPr>
        <w:t xml:space="preserve"> </w:t>
      </w:r>
      <w:r w:rsidRPr="00D23B02">
        <w:rPr>
          <w:rStyle w:val="cursor-pointer"/>
          <w:rFonts w:ascii="Arial" w:hAnsi="Arial" w:cs="Arial"/>
          <w:sz w:val="24"/>
          <w:szCs w:val="24"/>
        </w:rPr>
        <w:t>The collection is targeted at the Nike loyalists and eco-conscious consumers who are often buying athletic footwear and are keen to engage in recycling and take-back initiatives, aligning with Nike's circular economy approach (</w:t>
      </w:r>
      <w:r w:rsidR="00413EC4">
        <w:rPr>
          <w:rStyle w:val="cursor-pointer"/>
          <w:rFonts w:ascii="Arial" w:hAnsi="Arial" w:cs="Arial"/>
          <w:sz w:val="24"/>
          <w:szCs w:val="24"/>
        </w:rPr>
        <w:t>Nike,2024</w:t>
      </w:r>
      <w:r w:rsidRPr="00D23B02">
        <w:rPr>
          <w:rStyle w:val="cursor-pointer"/>
          <w:rFonts w:ascii="Arial" w:hAnsi="Arial" w:cs="Arial"/>
          <w:sz w:val="24"/>
          <w:szCs w:val="24"/>
        </w:rPr>
        <w:t>).</w:t>
      </w:r>
    </w:p>
    <w:p w14:paraId="57078089" w14:textId="77777777" w:rsidR="00E00771" w:rsidRDefault="007A2FB0" w:rsidP="007A2FB0">
      <w:pPr>
        <w:pStyle w:val="Heading2"/>
        <w:rPr>
          <w:rFonts w:eastAsia="Arial"/>
        </w:rPr>
      </w:pPr>
      <w:bookmarkStart w:id="11" w:name="_Toc234225987"/>
      <w:bookmarkStart w:id="12" w:name="_Toc234235851"/>
      <w:bookmarkStart w:id="13" w:name="_Toc234330530"/>
      <w:bookmarkStart w:id="14" w:name="_Toc234361021"/>
      <w:r w:rsidRPr="007A2FB0">
        <w:rPr>
          <w:rFonts w:eastAsia="Arial"/>
        </w:rPr>
        <w:t xml:space="preserve">2. </w:t>
      </w:r>
      <w:r w:rsidR="00E00771" w:rsidRPr="007A2FB0">
        <w:rPr>
          <w:rFonts w:eastAsia="Arial"/>
        </w:rPr>
        <w:t>Target Market</w:t>
      </w:r>
      <w:bookmarkEnd w:id="11"/>
      <w:bookmarkEnd w:id="12"/>
      <w:bookmarkEnd w:id="13"/>
      <w:bookmarkEnd w:id="14"/>
    </w:p>
    <w:p w14:paraId="55DAF6BD" w14:textId="77777777" w:rsidR="007A2FB0" w:rsidRPr="007A2FB0" w:rsidRDefault="007A2FB0" w:rsidP="007A2FB0">
      <w:pPr>
        <w:pStyle w:val="Heading2"/>
        <w:rPr>
          <w:rFonts w:eastAsia="Arial"/>
        </w:rPr>
      </w:pPr>
    </w:p>
    <w:p w14:paraId="4C388AE0" w14:textId="77777777" w:rsidR="0037400C" w:rsidRDefault="0037400C" w:rsidP="00D23B02">
      <w:pPr>
        <w:spacing w:line="360" w:lineRule="auto"/>
        <w:jc w:val="both"/>
        <w:rPr>
          <w:rStyle w:val="cursor-pointer"/>
          <w:rFonts w:ascii="Arial" w:hAnsi="Arial" w:cs="Arial"/>
          <w:sz w:val="24"/>
          <w:szCs w:val="24"/>
        </w:rPr>
      </w:pPr>
      <w:r w:rsidRPr="00D23B02">
        <w:rPr>
          <w:rStyle w:val="cursor-pointer"/>
          <w:rFonts w:ascii="Arial" w:hAnsi="Arial" w:cs="Arial"/>
          <w:sz w:val="24"/>
          <w:szCs w:val="24"/>
        </w:rPr>
        <w:t xml:space="preserve">Given that </w:t>
      </w:r>
      <w:r w:rsidR="00413EC4" w:rsidRPr="00413EC4">
        <w:rPr>
          <w:rFonts w:ascii="Arial" w:hAnsi="Arial" w:cs="Arial"/>
          <w:sz w:val="24"/>
          <w:szCs w:val="24"/>
        </w:rPr>
        <w:t>Simkin &amp; Dibb(1998</w:t>
      </w:r>
      <w:r w:rsidR="00413EC4">
        <w:rPr>
          <w:rFonts w:ascii="Arial" w:hAnsi="Arial" w:cs="Arial"/>
          <w:sz w:val="24"/>
          <w:szCs w:val="24"/>
        </w:rPr>
        <w:t xml:space="preserve">), </w:t>
      </w:r>
      <w:r w:rsidR="00413EC4">
        <w:t xml:space="preserve"> </w:t>
      </w:r>
      <w:r w:rsidRPr="00D23B02">
        <w:rPr>
          <w:rStyle w:val="cursor-pointer"/>
          <w:rFonts w:ascii="Arial" w:hAnsi="Arial" w:cs="Arial"/>
          <w:sz w:val="24"/>
          <w:szCs w:val="24"/>
        </w:rPr>
        <w:t xml:space="preserve">argued that companies would need to consider the attractiveness of the segment in relation to their own organisational capability, Nike is ideally positioned to capitalise on the ‘Move to Zero' sustainability platform, supply chain for recycled materials, and international distribution network (Nike, 2024).A differentiated targeting approach is recommended in the case of the Circular Collection compared to the large mass market, where the Nike Collection is sold to customers </w:t>
      </w:r>
      <w:r w:rsidRPr="00D23B02">
        <w:rPr>
          <w:rStyle w:val="cursor-pointer"/>
          <w:rFonts w:ascii="Arial" w:hAnsi="Arial" w:cs="Arial"/>
          <w:sz w:val="24"/>
          <w:szCs w:val="24"/>
        </w:rPr>
        <w:lastRenderedPageBreak/>
        <w:t>who are aware of the environmental issue, whereas the rest of the Nike range sells its core products to general consumers.</w:t>
      </w:r>
      <w:r w:rsidRPr="00D23B02">
        <w:rPr>
          <w:rFonts w:ascii="Arial" w:hAnsi="Arial" w:cs="Arial"/>
          <w:sz w:val="24"/>
          <w:szCs w:val="24"/>
        </w:rPr>
        <w:t xml:space="preserve"> </w:t>
      </w:r>
      <w:r w:rsidRPr="00D23B02">
        <w:rPr>
          <w:rStyle w:val="cursor-pointer"/>
          <w:rFonts w:ascii="Arial" w:hAnsi="Arial" w:cs="Arial"/>
          <w:sz w:val="24"/>
          <w:szCs w:val="24"/>
        </w:rPr>
        <w:t>This is similar to the targeting logic of</w:t>
      </w:r>
      <w:r w:rsidR="00413EC4" w:rsidRPr="00413EC4">
        <w:t xml:space="preserve"> </w:t>
      </w:r>
      <w:r w:rsidR="00413EC4" w:rsidRPr="004C46DC">
        <w:rPr>
          <w:rFonts w:ascii="Arial" w:hAnsi="Arial" w:cs="Arial"/>
          <w:sz w:val="24"/>
          <w:szCs w:val="24"/>
        </w:rPr>
        <w:t xml:space="preserve">Nathaniel </w:t>
      </w:r>
      <w:r w:rsidR="004C46DC" w:rsidRPr="004C46DC">
        <w:rPr>
          <w:rFonts w:ascii="Arial" w:hAnsi="Arial" w:cs="Arial"/>
          <w:sz w:val="24"/>
          <w:szCs w:val="24"/>
        </w:rPr>
        <w:t>(</w:t>
      </w:r>
      <w:r w:rsidR="00413EC4" w:rsidRPr="004C46DC">
        <w:rPr>
          <w:rFonts w:ascii="Arial" w:hAnsi="Arial" w:cs="Arial"/>
          <w:sz w:val="24"/>
          <w:szCs w:val="24"/>
        </w:rPr>
        <w:t>2026</w:t>
      </w:r>
      <w:r w:rsidR="004C46DC" w:rsidRPr="004C46DC">
        <w:rPr>
          <w:rFonts w:ascii="Arial" w:hAnsi="Arial" w:cs="Arial"/>
          <w:sz w:val="24"/>
          <w:szCs w:val="24"/>
        </w:rPr>
        <w:t>),</w:t>
      </w:r>
      <w:r w:rsidRPr="00D23B02">
        <w:rPr>
          <w:rStyle w:val="cursor-pointer"/>
          <w:rFonts w:ascii="Arial" w:hAnsi="Arial" w:cs="Arial"/>
          <w:sz w:val="24"/>
          <w:szCs w:val="24"/>
        </w:rPr>
        <w:t xml:space="preserve"> which meant that marketing resources and messaging would not be spread out among incompatible audiences.</w:t>
      </w:r>
    </w:p>
    <w:p w14:paraId="139B4121" w14:textId="49731B3E" w:rsidR="001E3FA2" w:rsidRDefault="00ED4768" w:rsidP="00ED4768">
      <w:pPr>
        <w:spacing w:line="360" w:lineRule="auto"/>
        <w:jc w:val="center"/>
        <w:rPr>
          <w:rFonts w:ascii="Arial" w:hAnsi="Arial" w:cs="Arial"/>
          <w:sz w:val="24"/>
          <w:szCs w:val="24"/>
        </w:rPr>
      </w:pPr>
      <w:r>
        <w:rPr>
          <w:rFonts w:ascii="Arial" w:hAnsi="Arial" w:cs="Arial"/>
          <w:noProof/>
          <w:sz w:val="24"/>
          <w:szCs w:val="24"/>
        </w:rPr>
        <w:drawing>
          <wp:inline distT="0" distB="0" distL="0" distR="0" wp14:anchorId="1471FE5F" wp14:editId="2A373DD0">
            <wp:extent cx="4634339" cy="3089559"/>
            <wp:effectExtent l="0" t="0" r="0" b="0"/>
            <wp:docPr id="11362312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7842" cy="3098561"/>
                    </a:xfrm>
                    <a:prstGeom prst="rect">
                      <a:avLst/>
                    </a:prstGeom>
                    <a:noFill/>
                  </pic:spPr>
                </pic:pic>
              </a:graphicData>
            </a:graphic>
          </wp:inline>
        </w:drawing>
      </w:r>
    </w:p>
    <w:p w14:paraId="36E879EA" w14:textId="77777777" w:rsidR="00ED4768" w:rsidRPr="00ED4768" w:rsidRDefault="00ED4768" w:rsidP="00ED4768">
      <w:pPr>
        <w:spacing w:line="360" w:lineRule="auto"/>
        <w:jc w:val="center"/>
        <w:rPr>
          <w:rFonts w:ascii="Arial" w:hAnsi="Arial" w:cs="Arial"/>
          <w:sz w:val="24"/>
          <w:szCs w:val="24"/>
          <w:u w:val="single"/>
        </w:rPr>
      </w:pPr>
    </w:p>
    <w:p w14:paraId="5991EB26" w14:textId="77777777" w:rsidR="00ED4768" w:rsidRPr="00ED4768" w:rsidRDefault="00ED4768" w:rsidP="00ED4768">
      <w:pPr>
        <w:spacing w:line="360" w:lineRule="auto"/>
        <w:jc w:val="center"/>
        <w:rPr>
          <w:rFonts w:ascii="Arial" w:hAnsi="Arial" w:cs="Arial"/>
          <w:sz w:val="24"/>
          <w:szCs w:val="24"/>
          <w:u w:val="single"/>
          <w:lang w:val="en-US"/>
        </w:rPr>
      </w:pPr>
      <w:r w:rsidRPr="00ED4768">
        <w:rPr>
          <w:rFonts w:ascii="Arial" w:hAnsi="Arial" w:cs="Arial"/>
          <w:b/>
          <w:bCs/>
          <w:sz w:val="24"/>
          <w:szCs w:val="24"/>
          <w:u w:val="single"/>
          <w:lang w:val="en-US"/>
        </w:rPr>
        <w:t>Figure 2. Target Audience Profile for the Nike Circular Collection.</w:t>
      </w:r>
    </w:p>
    <w:p w14:paraId="311B1BC1" w14:textId="7713F4B4" w:rsidR="00ED4768" w:rsidRPr="00ED4768" w:rsidRDefault="00ED4768" w:rsidP="00ED4768">
      <w:pPr>
        <w:spacing w:line="360" w:lineRule="auto"/>
        <w:jc w:val="center"/>
        <w:rPr>
          <w:rFonts w:ascii="Arial" w:hAnsi="Arial" w:cs="Arial"/>
          <w:sz w:val="24"/>
          <w:szCs w:val="24"/>
          <w:u w:val="single"/>
          <w:lang w:val="en-US"/>
        </w:rPr>
      </w:pPr>
      <w:r w:rsidRPr="00ED4768">
        <w:rPr>
          <w:rFonts w:ascii="Arial" w:hAnsi="Arial" w:cs="Arial"/>
          <w:sz w:val="24"/>
          <w:szCs w:val="24"/>
          <w:u w:val="single"/>
          <w:lang w:val="en-US"/>
        </w:rPr>
        <w:t>Source: Author's own illustration (2026), developed from Gomes et al. (2023), Branca et al. (2025) and Nike (2024).</w:t>
      </w:r>
    </w:p>
    <w:p w14:paraId="30348187" w14:textId="77777777" w:rsidR="00E00771" w:rsidRDefault="007A2FB0" w:rsidP="007A2FB0">
      <w:pPr>
        <w:pStyle w:val="Heading2"/>
        <w:rPr>
          <w:rFonts w:eastAsia="Arial"/>
        </w:rPr>
      </w:pPr>
      <w:bookmarkStart w:id="15" w:name="_Toc234225988"/>
      <w:bookmarkStart w:id="16" w:name="_Toc234235852"/>
      <w:bookmarkStart w:id="17" w:name="_Toc234330531"/>
      <w:bookmarkStart w:id="18" w:name="_Toc234361022"/>
      <w:r>
        <w:rPr>
          <w:rFonts w:eastAsia="Arial"/>
        </w:rPr>
        <w:t xml:space="preserve">3. </w:t>
      </w:r>
      <w:r w:rsidR="00E00771" w:rsidRPr="007A2FB0">
        <w:rPr>
          <w:rFonts w:eastAsia="Arial"/>
        </w:rPr>
        <w:t>Differentiation</w:t>
      </w:r>
      <w:bookmarkEnd w:id="15"/>
      <w:bookmarkEnd w:id="16"/>
      <w:bookmarkEnd w:id="17"/>
      <w:bookmarkEnd w:id="18"/>
    </w:p>
    <w:p w14:paraId="6959DCD3" w14:textId="77777777" w:rsidR="00A9176A" w:rsidRDefault="00A9176A" w:rsidP="00ED4768">
      <w:pPr>
        <w:rPr>
          <w:rFonts w:eastAsia="Arial"/>
        </w:rPr>
      </w:pPr>
    </w:p>
    <w:p w14:paraId="2CDBD1FA" w14:textId="33F91E80" w:rsidR="00FC7DE6" w:rsidRPr="001E3FA2" w:rsidRDefault="00A9176A" w:rsidP="00ED4768">
      <w:pPr>
        <w:spacing w:line="360" w:lineRule="auto"/>
        <w:jc w:val="both"/>
        <w:rPr>
          <w:rFonts w:ascii="Arial" w:eastAsia="Arial" w:hAnsi="Arial" w:cs="Arial"/>
          <w:sz w:val="24"/>
          <w:szCs w:val="24"/>
        </w:rPr>
      </w:pPr>
      <w:r w:rsidRPr="00A9176A">
        <w:rPr>
          <w:rStyle w:val="cursor-pointer"/>
          <w:rFonts w:ascii="Arial" w:hAnsi="Arial" w:cs="Arial"/>
          <w:sz w:val="24"/>
          <w:szCs w:val="24"/>
        </w:rPr>
        <w:t>The Nike Circular Collection stands out in its incorporation of circular product design principles alongside Nike's longstanding legacy of athletic performance</w:t>
      </w:r>
      <w:r w:rsidR="00ED4768">
        <w:rPr>
          <w:rStyle w:val="cursor-pointer"/>
          <w:rFonts w:ascii="Arial" w:hAnsi="Arial" w:cs="Arial"/>
          <w:sz w:val="24"/>
          <w:szCs w:val="24"/>
        </w:rPr>
        <w:t xml:space="preserve"> (</w:t>
      </w:r>
      <w:r w:rsidR="00ED4768" w:rsidRPr="0080688C">
        <w:rPr>
          <w:rFonts w:ascii="Arial" w:hAnsi="Arial" w:cs="Arial"/>
          <w:sz w:val="24"/>
          <w:szCs w:val="24"/>
        </w:rPr>
        <w:t>Ulziibadrakh et al., 2025</w:t>
      </w:r>
      <w:r w:rsidR="00ED4768" w:rsidRPr="00D23B02">
        <w:rPr>
          <w:rStyle w:val="cursor-pointer"/>
          <w:rFonts w:ascii="Arial" w:hAnsi="Arial" w:cs="Arial"/>
          <w:sz w:val="24"/>
          <w:szCs w:val="24"/>
        </w:rPr>
        <w:t>)</w:t>
      </w:r>
      <w:r w:rsidRPr="00A9176A">
        <w:rPr>
          <w:rStyle w:val="cursor-pointer"/>
          <w:rFonts w:ascii="Arial" w:hAnsi="Arial" w:cs="Arial"/>
          <w:sz w:val="24"/>
          <w:szCs w:val="24"/>
        </w:rPr>
        <w:t>.</w:t>
      </w:r>
      <w:r w:rsidRPr="00A9176A">
        <w:rPr>
          <w:rFonts w:ascii="Arial" w:hAnsi="Arial" w:cs="Arial"/>
          <w:sz w:val="24"/>
          <w:szCs w:val="24"/>
        </w:rPr>
        <w:t xml:space="preserve"> </w:t>
      </w:r>
      <w:r w:rsidRPr="00A9176A">
        <w:rPr>
          <w:rStyle w:val="cursor-pointer"/>
          <w:rFonts w:ascii="Arial" w:hAnsi="Arial" w:cs="Arial"/>
          <w:sz w:val="24"/>
          <w:szCs w:val="24"/>
        </w:rPr>
        <w:t xml:space="preserve">Nike’s </w:t>
      </w:r>
      <w:r w:rsidR="000B3924" w:rsidRPr="000B3924">
        <w:rPr>
          <w:rFonts w:ascii="Arial" w:hAnsi="Arial" w:cs="Arial"/>
          <w:sz w:val="24"/>
          <w:szCs w:val="24"/>
        </w:rPr>
        <w:t>mono-material</w:t>
      </w:r>
      <w:r w:rsidR="000B3924">
        <w:t xml:space="preserve"> </w:t>
      </w:r>
      <w:r w:rsidRPr="00A9176A">
        <w:rPr>
          <w:rStyle w:val="cursor-pointer"/>
          <w:rFonts w:ascii="Arial" w:hAnsi="Arial" w:cs="Arial"/>
          <w:sz w:val="24"/>
          <w:szCs w:val="24"/>
        </w:rPr>
        <w:t xml:space="preserve">construction, design for disassembly and high-performance innovations all in one shoe are in contrast to brands that focus solely on sustainability and comfort, like </w:t>
      </w:r>
      <w:proofErr w:type="spellStart"/>
      <w:r w:rsidRPr="00A9176A">
        <w:rPr>
          <w:rStyle w:val="cursor-pointer"/>
          <w:rFonts w:ascii="Arial" w:hAnsi="Arial" w:cs="Arial"/>
          <w:sz w:val="24"/>
          <w:szCs w:val="24"/>
        </w:rPr>
        <w:t>Allbirds</w:t>
      </w:r>
      <w:proofErr w:type="spellEnd"/>
      <w:r w:rsidRPr="00A9176A">
        <w:rPr>
          <w:rStyle w:val="cursor-pointer"/>
          <w:rFonts w:ascii="Arial" w:hAnsi="Arial" w:cs="Arial"/>
          <w:sz w:val="24"/>
          <w:szCs w:val="24"/>
        </w:rPr>
        <w:t>, or those whose recycled footwear has been called into question about being recyclable at the end of its life, such as Adidas.</w:t>
      </w:r>
      <w:r w:rsidRPr="00A9176A">
        <w:rPr>
          <w:rFonts w:ascii="Arial" w:hAnsi="Arial" w:cs="Arial"/>
          <w:sz w:val="24"/>
          <w:szCs w:val="24"/>
        </w:rPr>
        <w:t xml:space="preserve"> </w:t>
      </w:r>
      <w:r w:rsidRPr="00A9176A">
        <w:rPr>
          <w:rStyle w:val="cursor-pointer"/>
          <w:rFonts w:ascii="Arial" w:hAnsi="Arial" w:cs="Arial"/>
          <w:sz w:val="24"/>
          <w:szCs w:val="24"/>
        </w:rPr>
        <w:t xml:space="preserve">While </w:t>
      </w:r>
      <w:r w:rsidR="000B3924" w:rsidRPr="000B3924">
        <w:rPr>
          <w:rFonts w:ascii="Arial" w:hAnsi="Arial" w:cs="Arial"/>
          <w:sz w:val="24"/>
          <w:szCs w:val="24"/>
        </w:rPr>
        <w:t>competitors may develop similar sustainability initiatives</w:t>
      </w:r>
      <w:r w:rsidR="000B3924">
        <w:t xml:space="preserve"> </w:t>
      </w:r>
      <w:r w:rsidRPr="00A9176A">
        <w:rPr>
          <w:rStyle w:val="cursor-pointer"/>
          <w:rFonts w:ascii="Arial" w:hAnsi="Arial" w:cs="Arial"/>
          <w:sz w:val="24"/>
          <w:szCs w:val="24"/>
        </w:rPr>
        <w:t>programs over time, its extensive research capability, global brand recognition and existing athlete partnerships give the company a better platform to continue to maintain its competitive edge.</w:t>
      </w:r>
      <w:r w:rsidRPr="00A9176A">
        <w:rPr>
          <w:rFonts w:ascii="Arial" w:hAnsi="Arial" w:cs="Arial"/>
          <w:sz w:val="24"/>
          <w:szCs w:val="24"/>
        </w:rPr>
        <w:t xml:space="preserve"> </w:t>
      </w:r>
      <w:r w:rsidRPr="00A9176A">
        <w:rPr>
          <w:rStyle w:val="cursor-pointer"/>
          <w:rFonts w:ascii="Arial" w:hAnsi="Arial" w:cs="Arial"/>
          <w:sz w:val="24"/>
          <w:szCs w:val="24"/>
        </w:rPr>
        <w:t>This comprehensive approach will allow the Circular Collection to offer environmental benefit and function, thus providing a more defensible market position</w:t>
      </w:r>
      <w:r w:rsidR="00ED4768">
        <w:rPr>
          <w:rStyle w:val="cursor-pointer"/>
          <w:rFonts w:ascii="Arial" w:hAnsi="Arial" w:cs="Arial"/>
          <w:sz w:val="24"/>
          <w:szCs w:val="24"/>
        </w:rPr>
        <w:t xml:space="preserve"> </w:t>
      </w:r>
      <w:r w:rsidR="00ED4768" w:rsidRPr="007942F9">
        <w:rPr>
          <w:rStyle w:val="cursor-pointer"/>
          <w:rFonts w:ascii="Arial" w:hAnsi="Arial" w:cs="Arial"/>
          <w:sz w:val="24"/>
          <w:szCs w:val="24"/>
        </w:rPr>
        <w:t>(Cicinionyte, 2026)</w:t>
      </w:r>
      <w:r w:rsidRPr="00A9176A">
        <w:rPr>
          <w:rStyle w:val="cursor-pointer"/>
          <w:rFonts w:ascii="Arial" w:hAnsi="Arial" w:cs="Arial"/>
          <w:sz w:val="24"/>
          <w:szCs w:val="24"/>
        </w:rPr>
        <w:t>.</w:t>
      </w:r>
    </w:p>
    <w:p w14:paraId="00697C0B" w14:textId="77777777" w:rsidR="00E00771" w:rsidRDefault="007A2FB0" w:rsidP="007A2FB0">
      <w:pPr>
        <w:pStyle w:val="Heading2"/>
        <w:rPr>
          <w:rFonts w:eastAsia="Arial"/>
        </w:rPr>
      </w:pPr>
      <w:bookmarkStart w:id="19" w:name="_Toc234225989"/>
      <w:bookmarkStart w:id="20" w:name="_Toc234235853"/>
      <w:bookmarkStart w:id="21" w:name="_Toc234330532"/>
      <w:bookmarkStart w:id="22" w:name="_Toc234361023"/>
      <w:r w:rsidRPr="007A2FB0">
        <w:rPr>
          <w:rFonts w:eastAsia="Arial"/>
        </w:rPr>
        <w:lastRenderedPageBreak/>
        <w:t xml:space="preserve">4. </w:t>
      </w:r>
      <w:r w:rsidR="00E00771" w:rsidRPr="007A2FB0">
        <w:rPr>
          <w:rFonts w:eastAsia="Arial"/>
        </w:rPr>
        <w:t>Positioning</w:t>
      </w:r>
      <w:bookmarkEnd w:id="19"/>
      <w:bookmarkEnd w:id="20"/>
      <w:bookmarkEnd w:id="21"/>
      <w:bookmarkEnd w:id="22"/>
    </w:p>
    <w:p w14:paraId="69C84F84" w14:textId="77777777" w:rsidR="007A2FB0" w:rsidRPr="007A2FB0" w:rsidRDefault="007A2FB0" w:rsidP="001E3FA2">
      <w:pPr>
        <w:rPr>
          <w:rFonts w:eastAsia="Arial"/>
        </w:rPr>
      </w:pPr>
    </w:p>
    <w:p w14:paraId="0FA42C37" w14:textId="7A5EAC23" w:rsidR="00ED4768" w:rsidRPr="00A9176A" w:rsidRDefault="0037400C" w:rsidP="00ED4768">
      <w:pPr>
        <w:spacing w:line="360" w:lineRule="auto"/>
        <w:jc w:val="both"/>
        <w:rPr>
          <w:rFonts w:ascii="Arial" w:hAnsi="Arial" w:cs="Arial"/>
          <w:sz w:val="24"/>
          <w:szCs w:val="24"/>
        </w:rPr>
      </w:pPr>
      <w:r w:rsidRPr="00D23B02">
        <w:rPr>
          <w:rStyle w:val="cursor-pointer"/>
          <w:rFonts w:ascii="Arial" w:hAnsi="Arial" w:cs="Arial"/>
          <w:sz w:val="24"/>
          <w:szCs w:val="24"/>
        </w:rPr>
        <w:t>Positioning involves creating a clear and unique position in the minds of target customers compared to the competing offers (</w:t>
      </w:r>
      <w:proofErr w:type="spellStart"/>
      <w:r w:rsidR="004C46DC" w:rsidRPr="004C46DC">
        <w:rPr>
          <w:rFonts w:ascii="Arial" w:hAnsi="Arial" w:cs="Arial"/>
          <w:sz w:val="24"/>
          <w:szCs w:val="24"/>
        </w:rPr>
        <w:t>Prasetya</w:t>
      </w:r>
      <w:proofErr w:type="spellEnd"/>
      <w:r w:rsidR="004C46DC" w:rsidRPr="004C46DC">
        <w:rPr>
          <w:rFonts w:ascii="Arial" w:hAnsi="Arial" w:cs="Arial"/>
          <w:sz w:val="24"/>
          <w:szCs w:val="24"/>
        </w:rPr>
        <w:t xml:space="preserve"> et al., 2025</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The Nike Circular Collection positioning statement is: For everyday athletes who care about the environment, but don't want to sacrifice performance, the Nike Circular Collection is the sustainable footwear collection designed to close the loop on athletic waste, without sacrificing the innovation known for Nike.</w:t>
      </w:r>
      <w:r w:rsidRPr="00D23B02">
        <w:rPr>
          <w:rFonts w:ascii="Arial" w:hAnsi="Arial" w:cs="Arial"/>
          <w:sz w:val="24"/>
          <w:szCs w:val="24"/>
        </w:rPr>
        <w:t xml:space="preserve"> </w:t>
      </w:r>
      <w:r w:rsidR="00A9176A" w:rsidRPr="00A9176A">
        <w:rPr>
          <w:rStyle w:val="cursor-pointer"/>
          <w:rFonts w:ascii="Arial" w:hAnsi="Arial" w:cs="Arial"/>
          <w:sz w:val="24"/>
          <w:szCs w:val="24"/>
        </w:rPr>
        <w:t>This alignment puts the Circular Collection one step closer to the traditional sportswear brands and sustainability-driven footwear brands.</w:t>
      </w:r>
      <w:r w:rsidR="00A9176A" w:rsidRPr="00A9176A">
        <w:rPr>
          <w:rFonts w:ascii="Arial" w:hAnsi="Arial" w:cs="Arial"/>
          <w:sz w:val="24"/>
          <w:szCs w:val="24"/>
        </w:rPr>
        <w:t xml:space="preserve"> </w:t>
      </w:r>
      <w:r w:rsidR="00A9176A" w:rsidRPr="00A9176A">
        <w:rPr>
          <w:rStyle w:val="cursor-pointer"/>
          <w:rFonts w:ascii="Arial" w:hAnsi="Arial" w:cs="Arial"/>
          <w:sz w:val="24"/>
          <w:szCs w:val="24"/>
        </w:rPr>
        <w:t>Instead of being only an environmental brand or a sports brand, Nike is a unique type of brand that offers both attributes to its sporty market, making it a very special brand that attracts both sporty and environmental consumers.</w:t>
      </w:r>
      <w:r w:rsidR="00A9176A" w:rsidRPr="00A9176A">
        <w:rPr>
          <w:rFonts w:ascii="Arial" w:hAnsi="Arial" w:cs="Arial"/>
          <w:sz w:val="24"/>
          <w:szCs w:val="24"/>
        </w:rPr>
        <w:t xml:space="preserve"> </w:t>
      </w:r>
      <w:r w:rsidR="00A9176A" w:rsidRPr="00A9176A">
        <w:rPr>
          <w:rStyle w:val="cursor-pointer"/>
          <w:rFonts w:ascii="Arial" w:hAnsi="Arial" w:cs="Arial"/>
          <w:sz w:val="24"/>
          <w:szCs w:val="24"/>
        </w:rPr>
        <w:t>Competitors keep working on sustainable innovation but with Nike's circular design combined with its successful product performance, there's a greater value proposition for the long term for the brand, and it's meeting evolving consumer expectations</w:t>
      </w:r>
      <w:r w:rsidR="00ED4768">
        <w:rPr>
          <w:rStyle w:val="cursor-pointer"/>
          <w:rFonts w:ascii="Arial" w:hAnsi="Arial" w:cs="Arial"/>
          <w:sz w:val="24"/>
          <w:szCs w:val="24"/>
        </w:rPr>
        <w:t xml:space="preserve"> </w:t>
      </w:r>
      <w:r w:rsidR="00ED4768" w:rsidRPr="0080688C">
        <w:rPr>
          <w:rFonts w:ascii="Arial" w:hAnsi="Arial" w:cs="Arial"/>
          <w:sz w:val="24"/>
          <w:szCs w:val="24"/>
        </w:rPr>
        <w:t>Ulziibadrakh et al., 2025</w:t>
      </w:r>
      <w:r w:rsidR="00ED4768" w:rsidRPr="00D23B02">
        <w:rPr>
          <w:rStyle w:val="cursor-pointer"/>
          <w:rFonts w:ascii="Arial" w:hAnsi="Arial" w:cs="Arial"/>
          <w:sz w:val="24"/>
          <w:szCs w:val="24"/>
        </w:rPr>
        <w:t>)</w:t>
      </w:r>
      <w:r w:rsidR="00A9176A" w:rsidRPr="00A9176A">
        <w:rPr>
          <w:rStyle w:val="cursor-pointer"/>
          <w:rFonts w:ascii="Arial" w:hAnsi="Arial" w:cs="Arial"/>
          <w:sz w:val="24"/>
          <w:szCs w:val="24"/>
        </w:rPr>
        <w:t>.</w:t>
      </w:r>
    </w:p>
    <w:p w14:paraId="59C0DC40" w14:textId="77777777" w:rsidR="00ED4768" w:rsidRDefault="00ED4768" w:rsidP="00ED4768">
      <w:pPr>
        <w:spacing w:after="160" w:line="259" w:lineRule="auto"/>
        <w:jc w:val="center"/>
        <w:rPr>
          <w:rFonts w:eastAsia="Arial"/>
        </w:rPr>
      </w:pPr>
      <w:bookmarkStart w:id="23" w:name="_Toc234225990"/>
      <w:r>
        <w:rPr>
          <w:rFonts w:eastAsia="Arial"/>
          <w:noProof/>
        </w:rPr>
        <w:drawing>
          <wp:inline distT="0" distB="0" distL="0" distR="0" wp14:anchorId="104AB701" wp14:editId="4F7A846E">
            <wp:extent cx="3704765" cy="3704765"/>
            <wp:effectExtent l="0" t="0" r="0" b="0"/>
            <wp:docPr id="2131979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16511" cy="3716511"/>
                    </a:xfrm>
                    <a:prstGeom prst="rect">
                      <a:avLst/>
                    </a:prstGeom>
                    <a:noFill/>
                  </pic:spPr>
                </pic:pic>
              </a:graphicData>
            </a:graphic>
          </wp:inline>
        </w:drawing>
      </w:r>
    </w:p>
    <w:p w14:paraId="27E5466A" w14:textId="77777777" w:rsidR="00ED4768" w:rsidRPr="00ED4768" w:rsidRDefault="00ED4768" w:rsidP="00ED4768">
      <w:pPr>
        <w:spacing w:after="160" w:line="259" w:lineRule="auto"/>
        <w:jc w:val="center"/>
        <w:rPr>
          <w:rFonts w:eastAsia="Arial"/>
          <w:sz w:val="24"/>
          <w:szCs w:val="24"/>
          <w:u w:val="single"/>
          <w:lang w:val="en-US"/>
        </w:rPr>
      </w:pPr>
      <w:r w:rsidRPr="00ED4768">
        <w:rPr>
          <w:rFonts w:eastAsia="Arial"/>
          <w:sz w:val="24"/>
          <w:szCs w:val="24"/>
          <w:u w:val="single"/>
          <w:lang w:val="en-US"/>
        </w:rPr>
        <w:t>Figure 3. Positioning Map of the Nike Circular Collection in the Sustainable Sportswear Market.</w:t>
      </w:r>
    </w:p>
    <w:p w14:paraId="32C66A4D" w14:textId="1CFEB8BF" w:rsidR="007942F9" w:rsidRPr="00ED4768" w:rsidRDefault="00ED4768" w:rsidP="00ED4768">
      <w:pPr>
        <w:spacing w:after="160" w:line="259" w:lineRule="auto"/>
        <w:jc w:val="center"/>
        <w:rPr>
          <w:rFonts w:eastAsia="Arial"/>
          <w:sz w:val="24"/>
          <w:szCs w:val="24"/>
          <w:u w:val="single"/>
          <w:lang w:val="en-US"/>
        </w:rPr>
      </w:pPr>
      <w:r w:rsidRPr="00ED4768">
        <w:rPr>
          <w:rFonts w:eastAsia="Arial"/>
          <w:sz w:val="24"/>
          <w:szCs w:val="24"/>
          <w:u w:val="single"/>
          <w:lang w:val="en-US"/>
        </w:rPr>
        <w:t xml:space="preserve">Source: Author's own illustration (2026), developed from </w:t>
      </w:r>
      <w:proofErr w:type="spellStart"/>
      <w:r w:rsidRPr="00ED4768">
        <w:rPr>
          <w:rFonts w:eastAsia="Arial"/>
          <w:sz w:val="24"/>
          <w:szCs w:val="24"/>
          <w:u w:val="single"/>
          <w:lang w:val="en-US"/>
        </w:rPr>
        <w:t>Prasetya</w:t>
      </w:r>
      <w:proofErr w:type="spellEnd"/>
      <w:r w:rsidRPr="00ED4768">
        <w:rPr>
          <w:rFonts w:eastAsia="Arial"/>
          <w:sz w:val="24"/>
          <w:szCs w:val="24"/>
          <w:u w:val="single"/>
          <w:lang w:val="en-US"/>
        </w:rPr>
        <w:t xml:space="preserve"> et al. (2025), Nike (2024), and </w:t>
      </w:r>
      <w:proofErr w:type="spellStart"/>
      <w:r w:rsidRPr="00ED4768">
        <w:rPr>
          <w:rFonts w:eastAsia="Arial"/>
          <w:sz w:val="24"/>
          <w:szCs w:val="24"/>
          <w:u w:val="single"/>
          <w:lang w:val="en-US"/>
        </w:rPr>
        <w:t>Bocken</w:t>
      </w:r>
      <w:proofErr w:type="spellEnd"/>
      <w:r w:rsidRPr="00ED4768">
        <w:rPr>
          <w:rFonts w:eastAsia="Arial"/>
          <w:sz w:val="24"/>
          <w:szCs w:val="24"/>
          <w:u w:val="single"/>
          <w:lang w:val="en-US"/>
        </w:rPr>
        <w:t xml:space="preserve"> et al. (2016).</w:t>
      </w:r>
      <w:r w:rsidR="007942F9" w:rsidRPr="00ED4768">
        <w:rPr>
          <w:rFonts w:eastAsia="Arial"/>
          <w:sz w:val="24"/>
          <w:szCs w:val="24"/>
        </w:rPr>
        <w:br w:type="page"/>
      </w:r>
    </w:p>
    <w:p w14:paraId="00E8DABA" w14:textId="77777777" w:rsidR="00E00771" w:rsidRDefault="00E00771" w:rsidP="007A2FB0">
      <w:pPr>
        <w:pStyle w:val="Heading1"/>
        <w:rPr>
          <w:rFonts w:eastAsia="Arial"/>
        </w:rPr>
      </w:pPr>
      <w:bookmarkStart w:id="24" w:name="_Toc234235854"/>
      <w:bookmarkStart w:id="25" w:name="_Toc234330533"/>
      <w:bookmarkStart w:id="26" w:name="_Toc234361024"/>
      <w:r w:rsidRPr="007A2FB0">
        <w:rPr>
          <w:rFonts w:eastAsia="Arial"/>
        </w:rPr>
        <w:lastRenderedPageBreak/>
        <w:t>Element 3: Marketing Mix (7Ps) Analysis</w:t>
      </w:r>
      <w:bookmarkEnd w:id="23"/>
      <w:bookmarkEnd w:id="24"/>
      <w:bookmarkEnd w:id="25"/>
      <w:bookmarkEnd w:id="26"/>
    </w:p>
    <w:p w14:paraId="001BC161" w14:textId="77777777" w:rsidR="007A2FB0" w:rsidRPr="007A2FB0" w:rsidRDefault="007A2FB0" w:rsidP="007A2FB0">
      <w:pPr>
        <w:pStyle w:val="Heading1"/>
        <w:rPr>
          <w:rFonts w:eastAsia="Arial"/>
        </w:rPr>
      </w:pPr>
    </w:p>
    <w:p w14:paraId="43D6555F" w14:textId="77777777" w:rsidR="00D23B02" w:rsidRPr="00D23B02" w:rsidRDefault="00D23B02" w:rsidP="00D23B02">
      <w:pPr>
        <w:spacing w:line="360" w:lineRule="auto"/>
        <w:jc w:val="both"/>
        <w:rPr>
          <w:rFonts w:ascii="Arial" w:eastAsia="Arial" w:hAnsi="Arial" w:cs="Arial"/>
          <w:sz w:val="24"/>
          <w:szCs w:val="24"/>
        </w:rPr>
      </w:pPr>
      <w:r w:rsidRPr="00D23B02">
        <w:rPr>
          <w:rStyle w:val="cursor-pointer"/>
          <w:rFonts w:ascii="Arial" w:hAnsi="Arial" w:cs="Arial"/>
          <w:sz w:val="24"/>
          <w:szCs w:val="24"/>
        </w:rPr>
        <w:t>The Nike Circular Collection has a product (as well as a service aspect in terms of take-back and recycling initiatives) and uses the 7Ps marketing mix.</w:t>
      </w:r>
      <w:r w:rsidRPr="00D23B02">
        <w:rPr>
          <w:rFonts w:ascii="Arial" w:hAnsi="Arial" w:cs="Arial"/>
          <w:sz w:val="24"/>
          <w:szCs w:val="24"/>
        </w:rPr>
        <w:t xml:space="preserve"> </w:t>
      </w:r>
      <w:r w:rsidRPr="00D23B02">
        <w:rPr>
          <w:rStyle w:val="cursor-pointer"/>
          <w:rFonts w:ascii="Arial" w:hAnsi="Arial" w:cs="Arial"/>
          <w:sz w:val="24"/>
          <w:szCs w:val="24"/>
        </w:rPr>
        <w:t xml:space="preserve">The 7Ps framework developed by </w:t>
      </w:r>
      <w:r w:rsidR="004C46DC" w:rsidRPr="004C46DC">
        <w:rPr>
          <w:rFonts w:ascii="Arial" w:hAnsi="Arial" w:cs="Arial"/>
          <w:sz w:val="24"/>
          <w:szCs w:val="24"/>
        </w:rPr>
        <w:t>Ko (2024)</w:t>
      </w:r>
      <w:r w:rsidR="004C46DC">
        <w:t xml:space="preserve"> </w:t>
      </w:r>
      <w:r w:rsidRPr="00D23B02">
        <w:rPr>
          <w:rStyle w:val="cursor-pointer"/>
          <w:rFonts w:ascii="Arial" w:hAnsi="Arial" w:cs="Arial"/>
          <w:sz w:val="24"/>
          <w:szCs w:val="24"/>
        </w:rPr>
        <w:t>encapsulates the jobs of individual, process and physical evidence that enables the sustainable brand extension strategy.</w:t>
      </w:r>
    </w:p>
    <w:p w14:paraId="1095E628" w14:textId="77777777" w:rsidR="00D23B02" w:rsidRPr="00D23B02" w:rsidRDefault="00D23B02" w:rsidP="00D23B02">
      <w:pPr>
        <w:spacing w:after="200" w:line="360" w:lineRule="auto"/>
        <w:jc w:val="both"/>
        <w:rPr>
          <w:rStyle w:val="cursor-pointer"/>
          <w:rFonts w:ascii="Arial" w:hAnsi="Arial" w:cs="Arial"/>
          <w:sz w:val="24"/>
          <w:szCs w:val="24"/>
        </w:rPr>
      </w:pPr>
    </w:p>
    <w:p w14:paraId="61AB42ED" w14:textId="2B003259" w:rsidR="0039234A" w:rsidRPr="00D23B02" w:rsidRDefault="001E3FA2" w:rsidP="007A2FB0">
      <w:pPr>
        <w:spacing w:after="20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3631499A" wp14:editId="461E42FD">
            <wp:extent cx="4991100" cy="4991100"/>
            <wp:effectExtent l="0" t="0" r="0" b="0"/>
            <wp:docPr id="5595980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91100" cy="4991100"/>
                    </a:xfrm>
                    <a:prstGeom prst="rect">
                      <a:avLst/>
                    </a:prstGeom>
                    <a:noFill/>
                  </pic:spPr>
                </pic:pic>
              </a:graphicData>
            </a:graphic>
          </wp:inline>
        </w:drawing>
      </w:r>
    </w:p>
    <w:p w14:paraId="302F4BE7" w14:textId="77777777" w:rsidR="001E3FA2" w:rsidRPr="001E3FA2" w:rsidRDefault="001E3FA2" w:rsidP="007A2FB0">
      <w:pPr>
        <w:jc w:val="center"/>
        <w:rPr>
          <w:rStyle w:val="Strong"/>
          <w:rFonts w:ascii="Arial" w:hAnsi="Arial" w:cs="Arial"/>
          <w:b w:val="0"/>
          <w:sz w:val="24"/>
          <w:szCs w:val="24"/>
          <w:u w:val="single"/>
        </w:rPr>
      </w:pPr>
    </w:p>
    <w:p w14:paraId="0233795C" w14:textId="3158A143" w:rsidR="007F2764" w:rsidRPr="001E3FA2" w:rsidRDefault="007F2764" w:rsidP="00ED4768">
      <w:pPr>
        <w:spacing w:line="360" w:lineRule="auto"/>
        <w:jc w:val="center"/>
        <w:rPr>
          <w:rStyle w:val="Strong"/>
          <w:rFonts w:ascii="Arial" w:hAnsi="Arial" w:cs="Arial"/>
          <w:b w:val="0"/>
          <w:sz w:val="24"/>
          <w:szCs w:val="24"/>
          <w:u w:val="single"/>
        </w:rPr>
      </w:pPr>
      <w:r w:rsidRPr="001E3FA2">
        <w:rPr>
          <w:rStyle w:val="Strong"/>
          <w:rFonts w:ascii="Arial" w:hAnsi="Arial" w:cs="Arial"/>
          <w:b w:val="0"/>
          <w:sz w:val="24"/>
          <w:szCs w:val="24"/>
          <w:u w:val="single"/>
        </w:rPr>
        <w:t xml:space="preserve">Figure </w:t>
      </w:r>
      <w:r w:rsidR="00693B7E" w:rsidRPr="001E3FA2">
        <w:rPr>
          <w:rStyle w:val="Strong"/>
          <w:rFonts w:ascii="Arial" w:hAnsi="Arial" w:cs="Arial"/>
          <w:b w:val="0"/>
          <w:sz w:val="24"/>
          <w:szCs w:val="24"/>
          <w:u w:val="single"/>
        </w:rPr>
        <w:t>3</w:t>
      </w:r>
      <w:r w:rsidRPr="001E3FA2">
        <w:rPr>
          <w:rStyle w:val="Strong"/>
          <w:rFonts w:ascii="Arial" w:hAnsi="Arial" w:cs="Arial"/>
          <w:b w:val="0"/>
          <w:sz w:val="24"/>
          <w:szCs w:val="24"/>
          <w:u w:val="single"/>
        </w:rPr>
        <w:t>. The Extended Marketing Mix (7Ps) Applied to the Nike Circular Collection</w:t>
      </w:r>
    </w:p>
    <w:p w14:paraId="0BC36A2F" w14:textId="5AB3DBAC" w:rsidR="003A518F" w:rsidRPr="001E3FA2" w:rsidRDefault="00693B7E" w:rsidP="00ED4768">
      <w:pPr>
        <w:spacing w:after="200" w:line="360" w:lineRule="auto"/>
        <w:jc w:val="center"/>
        <w:rPr>
          <w:rFonts w:ascii="Arial" w:hAnsi="Arial" w:cs="Arial"/>
          <w:bCs/>
          <w:sz w:val="24"/>
          <w:szCs w:val="24"/>
          <w:u w:val="single"/>
        </w:rPr>
      </w:pPr>
      <w:r w:rsidRPr="001E3FA2">
        <w:rPr>
          <w:rFonts w:ascii="Arial" w:hAnsi="Arial" w:cs="Arial"/>
          <w:bCs/>
          <w:sz w:val="24"/>
          <w:szCs w:val="24"/>
          <w:u w:val="single"/>
        </w:rPr>
        <w:t>Source: Author’s</w:t>
      </w:r>
      <w:r w:rsidR="003A518F" w:rsidRPr="001E3FA2">
        <w:rPr>
          <w:rFonts w:ascii="Arial" w:hAnsi="Arial" w:cs="Arial"/>
          <w:bCs/>
          <w:sz w:val="24"/>
          <w:szCs w:val="24"/>
          <w:u w:val="single"/>
        </w:rPr>
        <w:t xml:space="preserve"> own illustration (2026)</w:t>
      </w:r>
    </w:p>
    <w:p w14:paraId="6B08867F" w14:textId="77777777" w:rsidR="001E3FA2" w:rsidRDefault="001E3FA2" w:rsidP="003A518F">
      <w:pPr>
        <w:spacing w:after="200" w:line="360" w:lineRule="auto"/>
        <w:jc w:val="center"/>
        <w:rPr>
          <w:rFonts w:ascii="Arial" w:hAnsi="Arial" w:cs="Arial"/>
          <w:b/>
          <w:sz w:val="24"/>
          <w:szCs w:val="24"/>
        </w:rPr>
      </w:pPr>
    </w:p>
    <w:p w14:paraId="01EE6300" w14:textId="77777777" w:rsidR="001E3FA2" w:rsidRPr="00D23B02" w:rsidRDefault="001E3FA2" w:rsidP="003A518F">
      <w:pPr>
        <w:spacing w:after="200" w:line="360" w:lineRule="auto"/>
        <w:jc w:val="center"/>
        <w:rPr>
          <w:rFonts w:ascii="Arial" w:hAnsi="Arial" w:cs="Arial"/>
          <w:b/>
          <w:sz w:val="24"/>
          <w:szCs w:val="24"/>
        </w:rPr>
      </w:pPr>
    </w:p>
    <w:p w14:paraId="62CD438C" w14:textId="77777777" w:rsidR="003A518F" w:rsidRPr="007A2FB0" w:rsidRDefault="003A518F" w:rsidP="007A2FB0">
      <w:pPr>
        <w:jc w:val="center"/>
      </w:pPr>
    </w:p>
    <w:p w14:paraId="77A544B6" w14:textId="77777777" w:rsidR="00E00771" w:rsidRDefault="007A2FB0" w:rsidP="007A2FB0">
      <w:pPr>
        <w:pStyle w:val="Heading2"/>
        <w:rPr>
          <w:rFonts w:eastAsia="Arial"/>
        </w:rPr>
      </w:pPr>
      <w:bookmarkStart w:id="27" w:name="_Toc234225991"/>
      <w:bookmarkStart w:id="28" w:name="_Toc234235855"/>
      <w:bookmarkStart w:id="29" w:name="_Toc234330534"/>
      <w:bookmarkStart w:id="30" w:name="_Toc234361025"/>
      <w:r w:rsidRPr="007A2FB0">
        <w:rPr>
          <w:rFonts w:eastAsia="Arial"/>
        </w:rPr>
        <w:t xml:space="preserve">1. </w:t>
      </w:r>
      <w:r w:rsidR="00E00771" w:rsidRPr="007A2FB0">
        <w:rPr>
          <w:rFonts w:eastAsia="Arial"/>
        </w:rPr>
        <w:t>Product</w:t>
      </w:r>
      <w:bookmarkEnd w:id="27"/>
      <w:bookmarkEnd w:id="28"/>
      <w:bookmarkEnd w:id="29"/>
      <w:bookmarkEnd w:id="30"/>
    </w:p>
    <w:p w14:paraId="1A49FC7F" w14:textId="77777777" w:rsidR="007A2FB0" w:rsidRPr="007A2FB0" w:rsidRDefault="007A2FB0" w:rsidP="007A2FB0">
      <w:pPr>
        <w:pStyle w:val="Heading2"/>
        <w:rPr>
          <w:rFonts w:eastAsia="Arial"/>
        </w:rPr>
      </w:pPr>
    </w:p>
    <w:p w14:paraId="236849B6" w14:textId="06F4CF47" w:rsidR="00A67E76" w:rsidRPr="00A9176A" w:rsidRDefault="00A67E76" w:rsidP="00A9176A">
      <w:pPr>
        <w:spacing w:line="360" w:lineRule="auto"/>
        <w:jc w:val="both"/>
        <w:rPr>
          <w:rFonts w:ascii="Arial" w:hAnsi="Arial" w:cs="Arial"/>
          <w:sz w:val="24"/>
          <w:szCs w:val="24"/>
        </w:rPr>
      </w:pPr>
      <w:r w:rsidRPr="00D23B02">
        <w:rPr>
          <w:rStyle w:val="cursor-pointer"/>
          <w:rFonts w:ascii="Arial" w:hAnsi="Arial" w:cs="Arial"/>
          <w:sz w:val="24"/>
          <w:szCs w:val="24"/>
        </w:rPr>
        <w:t>The core product is a mono-material, fully-</w:t>
      </w:r>
      <w:proofErr w:type="spellStart"/>
      <w:r w:rsidRPr="00D23B02">
        <w:rPr>
          <w:rStyle w:val="cursor-pointer"/>
          <w:rFonts w:ascii="Arial" w:hAnsi="Arial" w:cs="Arial"/>
          <w:sz w:val="24"/>
          <w:szCs w:val="24"/>
        </w:rPr>
        <w:t>dissemblable</w:t>
      </w:r>
      <w:proofErr w:type="spellEnd"/>
      <w:r w:rsidRPr="00D23B02">
        <w:rPr>
          <w:rStyle w:val="cursor-pointer"/>
          <w:rFonts w:ascii="Arial" w:hAnsi="Arial" w:cs="Arial"/>
          <w:sz w:val="24"/>
          <w:szCs w:val="24"/>
        </w:rPr>
        <w:t xml:space="preserve"> and recyclable running shoe with at least 50% recycled content (</w:t>
      </w:r>
      <w:r w:rsidR="004C46DC" w:rsidRPr="004C46DC">
        <w:rPr>
          <w:rFonts w:ascii="Arial" w:hAnsi="Arial" w:cs="Arial"/>
          <w:sz w:val="24"/>
          <w:szCs w:val="24"/>
        </w:rPr>
        <w:t>Mhatre et al., 2021</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This directly helps the brand extension strategy because it turns a generic sustainability message into something that consumers can actually see, touch, and feel a verifiable product attribute, something that is helping to quell criticism that greenwashing is not leading to consumer trust (</w:t>
      </w:r>
      <w:proofErr w:type="spellStart"/>
      <w:r w:rsidR="004C46DC" w:rsidRPr="004C46DC">
        <w:rPr>
          <w:rFonts w:ascii="Arial" w:hAnsi="Arial" w:cs="Arial"/>
          <w:sz w:val="24"/>
          <w:szCs w:val="24"/>
        </w:rPr>
        <w:t>Cicilionytė</w:t>
      </w:r>
      <w:proofErr w:type="spellEnd"/>
      <w:r w:rsidR="004C46DC" w:rsidRPr="004C46DC">
        <w:rPr>
          <w:rFonts w:ascii="Arial" w:hAnsi="Arial" w:cs="Arial"/>
          <w:sz w:val="24"/>
          <w:szCs w:val="24"/>
        </w:rPr>
        <w:t>, 2026</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The design for disassembly is also a significant advantage for other brands, which is often overlooked, as their recycled-content sneakers may not be able to be recycled either (</w:t>
      </w:r>
      <w:proofErr w:type="spellStart"/>
      <w:r w:rsidR="006D6A8E" w:rsidRPr="006D6A8E">
        <w:rPr>
          <w:rFonts w:ascii="Arial" w:hAnsi="Arial" w:cs="Arial"/>
          <w:sz w:val="24"/>
          <w:szCs w:val="24"/>
        </w:rPr>
        <w:t>Bocken</w:t>
      </w:r>
      <w:proofErr w:type="spellEnd"/>
      <w:r w:rsidR="006D6A8E" w:rsidRPr="006D6A8E">
        <w:rPr>
          <w:rFonts w:ascii="Arial" w:hAnsi="Arial" w:cs="Arial"/>
          <w:sz w:val="24"/>
          <w:szCs w:val="24"/>
        </w:rPr>
        <w:t xml:space="preserve"> et al., 2016</w:t>
      </w:r>
      <w:r w:rsidRPr="00D23B02">
        <w:rPr>
          <w:rStyle w:val="cursor-pointer"/>
          <w:rFonts w:ascii="Arial" w:hAnsi="Arial" w:cs="Arial"/>
          <w:sz w:val="24"/>
          <w:szCs w:val="24"/>
        </w:rPr>
        <w:t>).</w:t>
      </w:r>
      <w:r w:rsidRPr="00D23B02">
        <w:rPr>
          <w:rFonts w:ascii="Arial" w:hAnsi="Arial" w:cs="Arial"/>
          <w:sz w:val="24"/>
          <w:szCs w:val="24"/>
        </w:rPr>
        <w:t xml:space="preserve"> </w:t>
      </w:r>
      <w:r w:rsidR="00A9176A" w:rsidRPr="00A9176A">
        <w:rPr>
          <w:rStyle w:val="cursor-pointer"/>
          <w:rFonts w:ascii="Arial" w:hAnsi="Arial" w:cs="Arial"/>
          <w:sz w:val="24"/>
          <w:szCs w:val="24"/>
        </w:rPr>
        <w:t>But mono-material footwear can have certain performance and design limitations when compared to traditional multi-material footwear.</w:t>
      </w:r>
      <w:r w:rsidR="00A9176A" w:rsidRPr="00A9176A">
        <w:rPr>
          <w:rFonts w:ascii="Arial" w:hAnsi="Arial" w:cs="Arial"/>
          <w:sz w:val="24"/>
          <w:szCs w:val="24"/>
        </w:rPr>
        <w:t xml:space="preserve"> </w:t>
      </w:r>
      <w:r w:rsidR="00A9176A" w:rsidRPr="00A9176A">
        <w:rPr>
          <w:rStyle w:val="cursor-pointer"/>
          <w:rFonts w:ascii="Arial" w:hAnsi="Arial" w:cs="Arial"/>
          <w:sz w:val="24"/>
          <w:szCs w:val="24"/>
        </w:rPr>
        <w:t xml:space="preserve">However, as long as there are limitations, Nike can keep investing in material innovation, thus </w:t>
      </w:r>
      <w:r w:rsidR="00524A4E" w:rsidRPr="00524A4E">
        <w:rPr>
          <w:rFonts w:ascii="Arial" w:hAnsi="Arial" w:cs="Arial"/>
          <w:sz w:val="24"/>
          <w:szCs w:val="24"/>
        </w:rPr>
        <w:t>improving</w:t>
      </w:r>
      <w:r w:rsidR="00524A4E">
        <w:rPr>
          <w:rFonts w:ascii="Arial" w:hAnsi="Arial" w:cs="Arial"/>
          <w:sz w:val="24"/>
          <w:szCs w:val="24"/>
        </w:rPr>
        <w:t xml:space="preserve"> </w:t>
      </w:r>
      <w:r w:rsidR="00A9176A" w:rsidRPr="00A9176A">
        <w:rPr>
          <w:rStyle w:val="cursor-pointer"/>
          <w:rFonts w:ascii="Arial" w:hAnsi="Arial" w:cs="Arial"/>
          <w:sz w:val="24"/>
          <w:szCs w:val="24"/>
        </w:rPr>
        <w:t>the functionality of their products while still following the principles of circular design.</w:t>
      </w:r>
      <w:r w:rsidR="00A9176A" w:rsidRPr="00A9176A">
        <w:rPr>
          <w:rFonts w:ascii="Arial" w:hAnsi="Arial" w:cs="Arial"/>
          <w:sz w:val="24"/>
          <w:szCs w:val="24"/>
        </w:rPr>
        <w:t xml:space="preserve"> </w:t>
      </w:r>
      <w:r w:rsidR="00A9176A" w:rsidRPr="00A9176A">
        <w:rPr>
          <w:rStyle w:val="cursor-pointer"/>
          <w:rFonts w:ascii="Arial" w:hAnsi="Arial" w:cs="Arial"/>
          <w:sz w:val="24"/>
          <w:szCs w:val="24"/>
        </w:rPr>
        <w:t>This is a well-balanced approach, which reinforces the credibility of the Circular Collection, as sustainability and sport performance do not have to significantly impact on the product quality.</w:t>
      </w:r>
    </w:p>
    <w:p w14:paraId="72E0A015" w14:textId="77777777" w:rsidR="00E00771" w:rsidRDefault="007A2FB0" w:rsidP="007A2FB0">
      <w:pPr>
        <w:pStyle w:val="Heading2"/>
        <w:rPr>
          <w:rFonts w:eastAsia="Arial"/>
        </w:rPr>
      </w:pPr>
      <w:bookmarkStart w:id="31" w:name="_Toc234225992"/>
      <w:bookmarkStart w:id="32" w:name="_Toc234235856"/>
      <w:bookmarkStart w:id="33" w:name="_Toc234330535"/>
      <w:bookmarkStart w:id="34" w:name="_Toc234361026"/>
      <w:r w:rsidRPr="007A2FB0">
        <w:rPr>
          <w:rFonts w:eastAsia="Arial"/>
        </w:rPr>
        <w:t xml:space="preserve">2. </w:t>
      </w:r>
      <w:r w:rsidR="00E00771" w:rsidRPr="007A2FB0">
        <w:rPr>
          <w:rFonts w:eastAsia="Arial"/>
        </w:rPr>
        <w:t>Price</w:t>
      </w:r>
      <w:bookmarkEnd w:id="31"/>
      <w:bookmarkEnd w:id="32"/>
      <w:bookmarkEnd w:id="33"/>
      <w:bookmarkEnd w:id="34"/>
    </w:p>
    <w:p w14:paraId="2E6A4515" w14:textId="77777777" w:rsidR="007A2FB0" w:rsidRPr="007A2FB0" w:rsidRDefault="007A2FB0" w:rsidP="007A2FB0">
      <w:pPr>
        <w:pStyle w:val="Heading2"/>
        <w:rPr>
          <w:rFonts w:eastAsia="Arial"/>
        </w:rPr>
      </w:pPr>
    </w:p>
    <w:p w14:paraId="3DE90F6B" w14:textId="78C09535" w:rsidR="00D23B02" w:rsidRDefault="00D23B02" w:rsidP="00D23B02">
      <w:pPr>
        <w:spacing w:line="360" w:lineRule="auto"/>
        <w:jc w:val="both"/>
        <w:rPr>
          <w:rStyle w:val="cursor-pointer"/>
          <w:rFonts w:ascii="Arial" w:hAnsi="Arial" w:cs="Arial"/>
          <w:sz w:val="24"/>
          <w:szCs w:val="24"/>
        </w:rPr>
      </w:pPr>
      <w:r w:rsidRPr="00D23B02">
        <w:rPr>
          <w:rStyle w:val="cursor-pointer"/>
          <w:rFonts w:ascii="Arial" w:hAnsi="Arial" w:cs="Arial"/>
          <w:sz w:val="24"/>
          <w:szCs w:val="24"/>
        </w:rPr>
        <w:t>The premium pricing strategy is recommended for the Nike Circular Collection, as it is slightly higher than Nike's regular running shoes, but still within the consumers' willingness to pay for a sustainable product.</w:t>
      </w:r>
      <w:r w:rsidRPr="00D23B02">
        <w:rPr>
          <w:rFonts w:ascii="Arial" w:hAnsi="Arial" w:cs="Arial"/>
          <w:sz w:val="24"/>
          <w:szCs w:val="24"/>
        </w:rPr>
        <w:t xml:space="preserve"> </w:t>
      </w:r>
      <w:r w:rsidRPr="00D23B02">
        <w:rPr>
          <w:rStyle w:val="cursor-pointer"/>
          <w:rFonts w:ascii="Arial" w:hAnsi="Arial" w:cs="Arial"/>
          <w:sz w:val="24"/>
          <w:szCs w:val="24"/>
        </w:rPr>
        <w:t>The average willingness to pay for a truly sustainable product is 12%  according to</w:t>
      </w:r>
      <w:r w:rsidR="006D6A8E">
        <w:rPr>
          <w:rStyle w:val="cursor-pointer"/>
          <w:rFonts w:ascii="Arial" w:hAnsi="Arial" w:cs="Arial"/>
          <w:sz w:val="24"/>
          <w:szCs w:val="24"/>
        </w:rPr>
        <w:t xml:space="preserve"> </w:t>
      </w:r>
      <w:r w:rsidR="006D6A8E" w:rsidRPr="006D6A8E">
        <w:rPr>
          <w:rStyle w:val="Strong"/>
          <w:rFonts w:ascii="Arial" w:hAnsi="Arial" w:cs="Arial"/>
          <w:b w:val="0"/>
          <w:sz w:val="24"/>
          <w:szCs w:val="24"/>
        </w:rPr>
        <w:t>Rampazzo (2024)</w:t>
      </w:r>
      <w:r w:rsidR="006D6A8E" w:rsidRPr="006D6A8E">
        <w:rPr>
          <w:rFonts w:ascii="Arial" w:hAnsi="Arial" w:cs="Arial"/>
          <w:b/>
          <w:sz w:val="24"/>
          <w:szCs w:val="24"/>
        </w:rPr>
        <w:t>.</w:t>
      </w:r>
      <w:r w:rsidR="006D6A8E" w:rsidRPr="00D23B02">
        <w:rPr>
          <w:rFonts w:ascii="Arial" w:hAnsi="Arial" w:cs="Arial"/>
          <w:sz w:val="24"/>
          <w:szCs w:val="24"/>
        </w:rPr>
        <w:t xml:space="preserve"> Thus</w:t>
      </w:r>
      <w:r w:rsidRPr="00D23B02">
        <w:rPr>
          <w:rStyle w:val="cursor-pointer"/>
          <w:rFonts w:ascii="Arial" w:hAnsi="Arial" w:cs="Arial"/>
          <w:sz w:val="24"/>
          <w:szCs w:val="24"/>
        </w:rPr>
        <w:t>, a moderate premium is supportive of value-based pricing, which is based on the customer's perceived value of the product or service, rather than the costs of production (</w:t>
      </w:r>
      <w:proofErr w:type="spellStart"/>
      <w:r w:rsidR="006D6A8E" w:rsidRPr="006D6A8E">
        <w:rPr>
          <w:rFonts w:ascii="Arial" w:hAnsi="Arial" w:cs="Arial"/>
          <w:sz w:val="24"/>
          <w:szCs w:val="24"/>
        </w:rPr>
        <w:t>Loutraris</w:t>
      </w:r>
      <w:proofErr w:type="spellEnd"/>
      <w:r w:rsidR="006D6A8E" w:rsidRPr="006D6A8E">
        <w:rPr>
          <w:rFonts w:ascii="Arial" w:hAnsi="Arial" w:cs="Arial"/>
          <w:sz w:val="24"/>
          <w:szCs w:val="24"/>
        </w:rPr>
        <w:t>, 2025</w:t>
      </w:r>
      <w:r w:rsidRPr="00D23B02">
        <w:rPr>
          <w:rStyle w:val="cursor-pointer"/>
          <w:rFonts w:ascii="Arial" w:hAnsi="Arial" w:cs="Arial"/>
          <w:sz w:val="24"/>
          <w:szCs w:val="24"/>
        </w:rPr>
        <w:t>).</w:t>
      </w:r>
      <w:r w:rsidRPr="00D23B02">
        <w:rPr>
          <w:rFonts w:ascii="Arial" w:hAnsi="Arial" w:cs="Arial"/>
          <w:sz w:val="24"/>
          <w:szCs w:val="24"/>
        </w:rPr>
        <w:t xml:space="preserve"> </w:t>
      </w:r>
      <w:r w:rsidR="00A9176A" w:rsidRPr="00A9176A">
        <w:rPr>
          <w:rStyle w:val="cursor-pointer"/>
          <w:rFonts w:ascii="Arial" w:hAnsi="Arial" w:cs="Arial"/>
          <w:sz w:val="24"/>
          <w:szCs w:val="24"/>
        </w:rPr>
        <w:t>Premium pricing further establishes the sustainable and innovative brand image of the Circular Collection and contributes to the recovery of the higher production costs of recycled materials.</w:t>
      </w:r>
      <w:r w:rsidR="00A9176A" w:rsidRPr="00A9176A">
        <w:rPr>
          <w:rFonts w:ascii="Arial" w:hAnsi="Arial" w:cs="Arial"/>
          <w:sz w:val="24"/>
          <w:szCs w:val="24"/>
        </w:rPr>
        <w:t xml:space="preserve"> </w:t>
      </w:r>
      <w:r w:rsidR="00A9176A" w:rsidRPr="00A9176A">
        <w:rPr>
          <w:rStyle w:val="cursor-pointer"/>
          <w:rFonts w:ascii="Arial" w:hAnsi="Arial" w:cs="Arial"/>
          <w:sz w:val="24"/>
          <w:szCs w:val="24"/>
        </w:rPr>
        <w:t>A lower pricing model may lead to higher market penetration in the short term, but may have a negative impact on product quality and exclusivity in the short to medium term.</w:t>
      </w:r>
      <w:r w:rsidR="00A9176A" w:rsidRPr="00A9176A">
        <w:rPr>
          <w:rFonts w:ascii="Arial" w:hAnsi="Arial" w:cs="Arial"/>
          <w:sz w:val="24"/>
          <w:szCs w:val="24"/>
        </w:rPr>
        <w:t xml:space="preserve"> </w:t>
      </w:r>
      <w:r w:rsidR="00A9176A" w:rsidRPr="00A9176A">
        <w:rPr>
          <w:rStyle w:val="cursor-pointer"/>
          <w:rFonts w:ascii="Arial" w:hAnsi="Arial" w:cs="Arial"/>
          <w:sz w:val="24"/>
          <w:szCs w:val="24"/>
        </w:rPr>
        <w:t xml:space="preserve">So, premium pricing makes better strategic sense, as it captures consumers' perception of sustainable innovation value, and works in </w:t>
      </w:r>
      <w:r w:rsidR="001E3FA2" w:rsidRPr="00A9176A">
        <w:rPr>
          <w:rStyle w:val="cursor-pointer"/>
          <w:rFonts w:ascii="Arial" w:hAnsi="Arial" w:cs="Arial"/>
          <w:sz w:val="24"/>
          <w:szCs w:val="24"/>
        </w:rPr>
        <w:t>favour</w:t>
      </w:r>
      <w:r w:rsidR="00A9176A" w:rsidRPr="00A9176A">
        <w:rPr>
          <w:rStyle w:val="cursor-pointer"/>
          <w:rFonts w:ascii="Arial" w:hAnsi="Arial" w:cs="Arial"/>
          <w:sz w:val="24"/>
          <w:szCs w:val="24"/>
        </w:rPr>
        <w:t xml:space="preserve"> of Nike's brand positioning.</w:t>
      </w:r>
    </w:p>
    <w:p w14:paraId="3A6DCF57" w14:textId="77777777" w:rsidR="001E3FA2" w:rsidRDefault="001E3FA2" w:rsidP="00D23B02">
      <w:pPr>
        <w:spacing w:line="360" w:lineRule="auto"/>
        <w:jc w:val="both"/>
        <w:rPr>
          <w:rStyle w:val="cursor-pointer"/>
          <w:rFonts w:ascii="Arial" w:hAnsi="Arial" w:cs="Arial"/>
          <w:sz w:val="24"/>
          <w:szCs w:val="24"/>
        </w:rPr>
      </w:pPr>
    </w:p>
    <w:p w14:paraId="2DF168B5" w14:textId="77777777" w:rsidR="001E3FA2" w:rsidRPr="00A9176A" w:rsidRDefault="001E3FA2" w:rsidP="00D23B02">
      <w:pPr>
        <w:spacing w:line="360" w:lineRule="auto"/>
        <w:jc w:val="both"/>
        <w:rPr>
          <w:rFonts w:ascii="Arial" w:eastAsia="Arial" w:hAnsi="Arial" w:cs="Arial"/>
          <w:sz w:val="24"/>
          <w:szCs w:val="24"/>
        </w:rPr>
      </w:pPr>
    </w:p>
    <w:p w14:paraId="31015F14" w14:textId="77777777" w:rsidR="00E00771" w:rsidRDefault="007A2FB0" w:rsidP="007A2FB0">
      <w:pPr>
        <w:pStyle w:val="Heading2"/>
        <w:rPr>
          <w:rFonts w:eastAsia="Arial"/>
        </w:rPr>
      </w:pPr>
      <w:bookmarkStart w:id="35" w:name="_Toc234225993"/>
      <w:bookmarkStart w:id="36" w:name="_Toc234235857"/>
      <w:bookmarkStart w:id="37" w:name="_Toc234330536"/>
      <w:bookmarkStart w:id="38" w:name="_Toc234361027"/>
      <w:r w:rsidRPr="007A2FB0">
        <w:rPr>
          <w:rFonts w:eastAsia="Arial"/>
        </w:rPr>
        <w:lastRenderedPageBreak/>
        <w:t xml:space="preserve">3. </w:t>
      </w:r>
      <w:r w:rsidR="00E00771" w:rsidRPr="007A2FB0">
        <w:rPr>
          <w:rFonts w:eastAsia="Arial"/>
        </w:rPr>
        <w:t>Place</w:t>
      </w:r>
      <w:bookmarkEnd w:id="35"/>
      <w:bookmarkEnd w:id="36"/>
      <w:bookmarkEnd w:id="37"/>
      <w:bookmarkEnd w:id="38"/>
    </w:p>
    <w:p w14:paraId="1CA948A0" w14:textId="77777777" w:rsidR="007A2FB0" w:rsidRPr="007A2FB0" w:rsidRDefault="007A2FB0" w:rsidP="007A2FB0">
      <w:pPr>
        <w:pStyle w:val="Heading2"/>
        <w:rPr>
          <w:rFonts w:eastAsia="Arial"/>
        </w:rPr>
      </w:pPr>
    </w:p>
    <w:p w14:paraId="2553EB1B" w14:textId="77777777" w:rsidR="00A67E76" w:rsidRPr="00D23B02" w:rsidRDefault="00A67E76" w:rsidP="00D23B02">
      <w:pPr>
        <w:spacing w:line="360" w:lineRule="auto"/>
        <w:jc w:val="both"/>
        <w:rPr>
          <w:rFonts w:ascii="Arial" w:hAnsi="Arial" w:cs="Arial"/>
          <w:sz w:val="24"/>
          <w:szCs w:val="24"/>
        </w:rPr>
      </w:pPr>
      <w:r w:rsidRPr="00D23B02">
        <w:rPr>
          <w:rStyle w:val="cursor-pointer"/>
          <w:rFonts w:ascii="Arial" w:hAnsi="Arial" w:cs="Arial"/>
          <w:sz w:val="24"/>
          <w:szCs w:val="24"/>
        </w:rPr>
        <w:t>Distributed channels should focus on Nike's own direct to consumer (DTC) points of sale, primarily its Nike app, Nike.com, and flagship stores, which accounted for around 42% of company revenue by 2024, and allow Nike to have direct influence on customer data, storytelling and brand experience (</w:t>
      </w:r>
      <w:r w:rsidR="006D6A8E" w:rsidRPr="006D6A8E">
        <w:rPr>
          <w:rFonts w:ascii="Arial" w:hAnsi="Arial" w:cs="Arial"/>
          <w:sz w:val="24"/>
          <w:szCs w:val="24"/>
        </w:rPr>
        <w:t>Gunz, 2023</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This is ideal for the Circular Collection, since this would enable Nike to deliver the circularity story without any dilution via third parties for retail.</w:t>
      </w:r>
      <w:r w:rsidRPr="00D23B02">
        <w:rPr>
          <w:rFonts w:ascii="Arial" w:hAnsi="Arial" w:cs="Arial"/>
          <w:sz w:val="24"/>
          <w:szCs w:val="24"/>
        </w:rPr>
        <w:t xml:space="preserve"> </w:t>
      </w:r>
      <w:r w:rsidRPr="00D23B02">
        <w:rPr>
          <w:rStyle w:val="cursor-pointer"/>
          <w:rFonts w:ascii="Arial" w:hAnsi="Arial" w:cs="Arial"/>
          <w:sz w:val="24"/>
          <w:szCs w:val="24"/>
        </w:rPr>
        <w:t>Nike's recent pivot to a more balanced omnichannel marketing strategy, which has been challenged by too much focus on DTC and the impacts it has had on wholesale relationships, should be complemented by a more limited and curate wholesale strategy to gain further reach without diluting brand positioning (</w:t>
      </w:r>
      <w:r w:rsidR="0080688C" w:rsidRPr="0080688C">
        <w:rPr>
          <w:rFonts w:ascii="Arial" w:hAnsi="Arial" w:cs="Arial"/>
          <w:sz w:val="24"/>
          <w:szCs w:val="24"/>
        </w:rPr>
        <w:t>Alves, 2021</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But it is not without tension: Nike's earlier wholesale push introduced some tension in partnership channels like Foot Locker, so any wholesale footprint for the Circular Collection would need to be carefully managed – while bringing the advantages of wholesale channels to consumers that aren't shopping Nike's owned channels.</w:t>
      </w:r>
    </w:p>
    <w:p w14:paraId="1F6F4181" w14:textId="77777777" w:rsidR="00E00771" w:rsidRDefault="007A2FB0" w:rsidP="007A2FB0">
      <w:pPr>
        <w:pStyle w:val="Heading2"/>
        <w:rPr>
          <w:rFonts w:eastAsia="Arial"/>
        </w:rPr>
      </w:pPr>
      <w:bookmarkStart w:id="39" w:name="_Toc234225994"/>
      <w:bookmarkStart w:id="40" w:name="_Toc234235858"/>
      <w:bookmarkStart w:id="41" w:name="_Toc234330537"/>
      <w:bookmarkStart w:id="42" w:name="_Toc234361028"/>
      <w:r w:rsidRPr="007A2FB0">
        <w:rPr>
          <w:rFonts w:eastAsia="Arial"/>
        </w:rPr>
        <w:t xml:space="preserve">4. </w:t>
      </w:r>
      <w:r w:rsidR="00E00771" w:rsidRPr="007A2FB0">
        <w:rPr>
          <w:rFonts w:eastAsia="Arial"/>
        </w:rPr>
        <w:t>Promotion</w:t>
      </w:r>
      <w:bookmarkEnd w:id="39"/>
      <w:bookmarkEnd w:id="40"/>
      <w:bookmarkEnd w:id="41"/>
      <w:bookmarkEnd w:id="42"/>
    </w:p>
    <w:p w14:paraId="0A30AB69" w14:textId="77777777" w:rsidR="007942F9" w:rsidRDefault="007942F9" w:rsidP="007A2FB0">
      <w:pPr>
        <w:pStyle w:val="Heading2"/>
        <w:rPr>
          <w:rFonts w:eastAsia="Arial"/>
        </w:rPr>
      </w:pPr>
    </w:p>
    <w:p w14:paraId="082CA1CE" w14:textId="77777777" w:rsidR="007942F9" w:rsidRPr="007942F9" w:rsidRDefault="007942F9" w:rsidP="007942F9">
      <w:pPr>
        <w:spacing w:line="360" w:lineRule="auto"/>
        <w:jc w:val="both"/>
        <w:rPr>
          <w:rFonts w:ascii="Arial" w:eastAsia="Arial" w:hAnsi="Arial" w:cs="Arial"/>
          <w:sz w:val="24"/>
          <w:szCs w:val="24"/>
        </w:rPr>
      </w:pPr>
      <w:r w:rsidRPr="007942F9">
        <w:rPr>
          <w:rStyle w:val="cursor-pointer"/>
          <w:rFonts w:ascii="Arial" w:hAnsi="Arial" w:cs="Arial"/>
          <w:sz w:val="24"/>
          <w:szCs w:val="24"/>
        </w:rPr>
        <w:t>The emphasis of promotion should be on a real and honest story rather than on advertising.</w:t>
      </w:r>
      <w:r w:rsidRPr="007942F9">
        <w:rPr>
          <w:rFonts w:ascii="Arial" w:hAnsi="Arial" w:cs="Arial"/>
          <w:sz w:val="24"/>
          <w:szCs w:val="24"/>
        </w:rPr>
        <w:t xml:space="preserve"> </w:t>
      </w:r>
      <w:r w:rsidRPr="007942F9">
        <w:rPr>
          <w:rStyle w:val="cursor-pointer"/>
          <w:rFonts w:ascii="Arial" w:hAnsi="Arial" w:cs="Arial"/>
          <w:sz w:val="24"/>
          <w:szCs w:val="24"/>
        </w:rPr>
        <w:t>Nike should work together with the athletes and sustainability activists to make sure that individuals are educated about the company's sustainability efforts and the use of recycled materials in its products (</w:t>
      </w:r>
      <w:proofErr w:type="spellStart"/>
      <w:r w:rsidRPr="007942F9">
        <w:rPr>
          <w:rStyle w:val="cursor-pointer"/>
          <w:rFonts w:ascii="Arial" w:hAnsi="Arial" w:cs="Arial"/>
          <w:sz w:val="24"/>
          <w:szCs w:val="24"/>
        </w:rPr>
        <w:t>Mainjot</w:t>
      </w:r>
      <w:proofErr w:type="spellEnd"/>
      <w:r w:rsidRPr="007942F9">
        <w:rPr>
          <w:rStyle w:val="cursor-pointer"/>
          <w:rFonts w:ascii="Arial" w:hAnsi="Arial" w:cs="Arial"/>
          <w:sz w:val="24"/>
          <w:szCs w:val="24"/>
        </w:rPr>
        <w:t>, 2025).</w:t>
      </w:r>
      <w:r w:rsidRPr="007942F9">
        <w:rPr>
          <w:rFonts w:ascii="Arial" w:hAnsi="Arial" w:cs="Arial"/>
          <w:sz w:val="24"/>
          <w:szCs w:val="24"/>
        </w:rPr>
        <w:t xml:space="preserve"> </w:t>
      </w:r>
      <w:r w:rsidRPr="007942F9">
        <w:rPr>
          <w:rStyle w:val="cursor-pointer"/>
          <w:rFonts w:ascii="Arial" w:hAnsi="Arial" w:cs="Arial"/>
          <w:sz w:val="24"/>
          <w:szCs w:val="24"/>
        </w:rPr>
        <w:t>The credibility of the Circular Collection will be reinforced if its claims are clear, measurable and backed by credible and independent evidence (Cicinionyte, 2026).</w:t>
      </w:r>
    </w:p>
    <w:p w14:paraId="33481A54" w14:textId="77777777" w:rsidR="007A2FB0" w:rsidRPr="007A2FB0" w:rsidRDefault="007A2FB0" w:rsidP="007A2FB0">
      <w:pPr>
        <w:pStyle w:val="Heading2"/>
        <w:rPr>
          <w:rFonts w:eastAsia="Arial"/>
        </w:rPr>
      </w:pPr>
    </w:p>
    <w:p w14:paraId="7026CEB9" w14:textId="77777777" w:rsidR="00E00771" w:rsidRDefault="007A2FB0" w:rsidP="007A2FB0">
      <w:pPr>
        <w:pStyle w:val="Heading2"/>
        <w:rPr>
          <w:rFonts w:eastAsia="Arial"/>
        </w:rPr>
      </w:pPr>
      <w:bookmarkStart w:id="43" w:name="_Toc234225995"/>
      <w:bookmarkStart w:id="44" w:name="_Toc234235859"/>
      <w:bookmarkStart w:id="45" w:name="_Toc234330538"/>
      <w:bookmarkStart w:id="46" w:name="_Toc234361029"/>
      <w:r w:rsidRPr="007A2FB0">
        <w:rPr>
          <w:rFonts w:eastAsia="Arial"/>
        </w:rPr>
        <w:t xml:space="preserve">5. </w:t>
      </w:r>
      <w:r w:rsidR="00E00771" w:rsidRPr="007A2FB0">
        <w:rPr>
          <w:rFonts w:eastAsia="Arial"/>
        </w:rPr>
        <w:t>People</w:t>
      </w:r>
      <w:bookmarkEnd w:id="43"/>
      <w:bookmarkEnd w:id="44"/>
      <w:bookmarkEnd w:id="45"/>
      <w:bookmarkEnd w:id="46"/>
    </w:p>
    <w:p w14:paraId="1BD5709E" w14:textId="77777777" w:rsidR="007A2FB0" w:rsidRPr="007A2FB0" w:rsidRDefault="007A2FB0" w:rsidP="007A2FB0">
      <w:pPr>
        <w:pStyle w:val="Heading2"/>
        <w:rPr>
          <w:rFonts w:eastAsia="Arial"/>
        </w:rPr>
      </w:pPr>
    </w:p>
    <w:p w14:paraId="664E15F8" w14:textId="77777777" w:rsidR="00A67E76" w:rsidRPr="00D23B02" w:rsidRDefault="00A67E76" w:rsidP="00D23B02">
      <w:pPr>
        <w:spacing w:line="360" w:lineRule="auto"/>
        <w:jc w:val="both"/>
        <w:rPr>
          <w:rFonts w:ascii="Arial" w:hAnsi="Arial" w:cs="Arial"/>
          <w:sz w:val="24"/>
          <w:szCs w:val="24"/>
        </w:rPr>
      </w:pPr>
      <w:r w:rsidRPr="00D23B02">
        <w:rPr>
          <w:rStyle w:val="cursor-pointer"/>
          <w:rFonts w:ascii="Arial" w:hAnsi="Arial" w:cs="Arial"/>
          <w:sz w:val="24"/>
          <w:szCs w:val="24"/>
        </w:rPr>
        <w:t>In service influenced offers, credibility is a key factor that relies on employees and brand representatives (</w:t>
      </w:r>
      <w:r w:rsidR="0080688C" w:rsidRPr="0080688C">
        <w:rPr>
          <w:rFonts w:ascii="Arial" w:hAnsi="Arial" w:cs="Arial"/>
          <w:sz w:val="24"/>
          <w:szCs w:val="24"/>
        </w:rPr>
        <w:t>Ulziibadrakh et al., 2025</w:t>
      </w:r>
      <w:r w:rsidRPr="00D23B02">
        <w:rPr>
          <w:rStyle w:val="cursor-pointer"/>
          <w:rFonts w:ascii="Arial" w:hAnsi="Arial" w:cs="Arial"/>
          <w:sz w:val="24"/>
          <w:szCs w:val="24"/>
        </w:rPr>
        <w:t>).</w:t>
      </w:r>
      <w:r w:rsidRPr="00D23B02">
        <w:rPr>
          <w:rFonts w:ascii="Arial" w:hAnsi="Arial" w:cs="Arial"/>
          <w:sz w:val="24"/>
          <w:szCs w:val="24"/>
        </w:rPr>
        <w:t xml:space="preserve"> </w:t>
      </w:r>
      <w:r w:rsidRPr="00D23B02">
        <w:rPr>
          <w:rStyle w:val="cursor-pointer"/>
          <w:rFonts w:ascii="Arial" w:hAnsi="Arial" w:cs="Arial"/>
          <w:sz w:val="24"/>
          <w:szCs w:val="24"/>
        </w:rPr>
        <w:t>All in-store and customer service personnel should be trained to accurately discuss the Circular Collection's disassembly design and take-back process because inaccurate or exaggerated staff communications will detract from the trust the promotional messaging is trying to establish with consumers.</w:t>
      </w:r>
      <w:r w:rsidRPr="00D23B02">
        <w:rPr>
          <w:rFonts w:ascii="Arial" w:hAnsi="Arial" w:cs="Arial"/>
          <w:sz w:val="24"/>
          <w:szCs w:val="24"/>
        </w:rPr>
        <w:t xml:space="preserve"> </w:t>
      </w:r>
      <w:r w:rsidRPr="00D23B02">
        <w:rPr>
          <w:rStyle w:val="cursor-pointer"/>
          <w:rFonts w:ascii="Arial" w:hAnsi="Arial" w:cs="Arial"/>
          <w:sz w:val="24"/>
          <w:szCs w:val="24"/>
        </w:rPr>
        <w:t>Nike has built a solid platform in its athlete partnerships and Nike stores' training infrastructure that serves as a practical basis to integrate it throughout the markets (Nike, 2024).</w:t>
      </w:r>
    </w:p>
    <w:p w14:paraId="5CADAA40" w14:textId="77777777" w:rsidR="00E00771" w:rsidRDefault="007A2FB0" w:rsidP="007A2FB0">
      <w:pPr>
        <w:pStyle w:val="Heading2"/>
        <w:rPr>
          <w:rFonts w:eastAsia="Arial"/>
        </w:rPr>
      </w:pPr>
      <w:bookmarkStart w:id="47" w:name="_Toc234225996"/>
      <w:bookmarkStart w:id="48" w:name="_Toc234235860"/>
      <w:bookmarkStart w:id="49" w:name="_Toc234330539"/>
      <w:bookmarkStart w:id="50" w:name="_Toc234361030"/>
      <w:r w:rsidRPr="007A2FB0">
        <w:rPr>
          <w:rFonts w:eastAsia="Arial"/>
        </w:rPr>
        <w:lastRenderedPageBreak/>
        <w:t xml:space="preserve">6. </w:t>
      </w:r>
      <w:r w:rsidR="00E00771" w:rsidRPr="007A2FB0">
        <w:rPr>
          <w:rFonts w:eastAsia="Arial"/>
        </w:rPr>
        <w:t>Process</w:t>
      </w:r>
      <w:bookmarkEnd w:id="47"/>
      <w:bookmarkEnd w:id="48"/>
      <w:bookmarkEnd w:id="49"/>
      <w:bookmarkEnd w:id="50"/>
    </w:p>
    <w:p w14:paraId="0D694D51" w14:textId="77777777" w:rsidR="007A2FB0" w:rsidRPr="007A2FB0" w:rsidRDefault="007A2FB0" w:rsidP="007A2FB0">
      <w:pPr>
        <w:pStyle w:val="Heading2"/>
        <w:rPr>
          <w:rFonts w:eastAsia="Arial"/>
        </w:rPr>
      </w:pPr>
    </w:p>
    <w:p w14:paraId="1BC7DDC4" w14:textId="77777777" w:rsidR="00A67E76" w:rsidRPr="00072287" w:rsidRDefault="00A67E76" w:rsidP="00072287">
      <w:pPr>
        <w:spacing w:line="360" w:lineRule="auto"/>
        <w:jc w:val="both"/>
        <w:rPr>
          <w:rFonts w:ascii="Arial" w:hAnsi="Arial" w:cs="Arial"/>
          <w:sz w:val="24"/>
          <w:szCs w:val="24"/>
        </w:rPr>
      </w:pPr>
      <w:r w:rsidRPr="00D23B02">
        <w:rPr>
          <w:rStyle w:val="cursor-pointer"/>
          <w:rFonts w:ascii="Arial" w:hAnsi="Arial" w:cs="Arial"/>
          <w:sz w:val="24"/>
          <w:szCs w:val="24"/>
        </w:rPr>
        <w:t>The take-back and recycling services is the most transparent element of the offer and should be designed as a low-friction reverse logistics system, where the customer is able to return the used shoe in the store or by post, and it will be recycled into new material inputs (Fashion for Good, 2025).</w:t>
      </w:r>
      <w:r w:rsidRPr="00D23B02">
        <w:rPr>
          <w:rFonts w:ascii="Arial" w:hAnsi="Arial" w:cs="Arial"/>
          <w:sz w:val="24"/>
          <w:szCs w:val="24"/>
        </w:rPr>
        <w:t xml:space="preserve"> </w:t>
      </w:r>
      <w:r w:rsidRPr="00D23B02">
        <w:rPr>
          <w:rStyle w:val="cursor-pointer"/>
          <w:rFonts w:ascii="Arial" w:hAnsi="Arial" w:cs="Arial"/>
          <w:sz w:val="24"/>
          <w:szCs w:val="24"/>
        </w:rPr>
        <w:t>The Efficient reverse logistics infrastructure is said to be the critical link that make a circular product design a closed material loop, not just a marketing promise (</w:t>
      </w:r>
      <w:r w:rsidR="007942F9" w:rsidRPr="007942F9">
        <w:rPr>
          <w:rFonts w:ascii="Arial" w:hAnsi="Arial" w:cs="Arial"/>
          <w:sz w:val="24"/>
          <w:szCs w:val="24"/>
        </w:rPr>
        <w:t xml:space="preserve">Govindan &amp; </w:t>
      </w:r>
      <w:proofErr w:type="spellStart"/>
      <w:r w:rsidR="007942F9" w:rsidRPr="007942F9">
        <w:rPr>
          <w:rFonts w:ascii="Arial" w:hAnsi="Arial" w:cs="Arial"/>
          <w:sz w:val="24"/>
          <w:szCs w:val="24"/>
        </w:rPr>
        <w:t>Bouzon</w:t>
      </w:r>
      <w:proofErr w:type="spellEnd"/>
      <w:r w:rsidR="007942F9" w:rsidRPr="007942F9">
        <w:rPr>
          <w:rFonts w:ascii="Arial" w:hAnsi="Arial" w:cs="Arial"/>
          <w:sz w:val="24"/>
          <w:szCs w:val="24"/>
        </w:rPr>
        <w:t>, 2018</w:t>
      </w:r>
      <w:r w:rsidRPr="00D23B02">
        <w:rPr>
          <w:rStyle w:val="cursor-pointer"/>
          <w:rFonts w:ascii="Arial" w:hAnsi="Arial" w:cs="Arial"/>
          <w:sz w:val="24"/>
          <w:szCs w:val="24"/>
        </w:rPr>
        <w:t>).</w:t>
      </w:r>
      <w:r w:rsidRPr="00D23B02">
        <w:rPr>
          <w:rFonts w:ascii="Arial" w:hAnsi="Arial" w:cs="Arial"/>
          <w:sz w:val="24"/>
          <w:szCs w:val="24"/>
        </w:rPr>
        <w:t xml:space="preserve"> </w:t>
      </w:r>
      <w:r w:rsidR="00072287" w:rsidRPr="00072287">
        <w:rPr>
          <w:rStyle w:val="cursor-pointer"/>
          <w:rFonts w:ascii="Arial" w:hAnsi="Arial" w:cs="Arial"/>
          <w:sz w:val="24"/>
          <w:szCs w:val="24"/>
        </w:rPr>
        <w:t>Rewarding participation, like store credit for returned pairs, can help achieve repeat participation and generate first party data that can be used to support the Nike DTC strategy.</w:t>
      </w:r>
      <w:r w:rsidR="00072287" w:rsidRPr="00072287">
        <w:rPr>
          <w:rFonts w:ascii="Arial" w:hAnsi="Arial" w:cs="Arial"/>
          <w:sz w:val="24"/>
          <w:szCs w:val="24"/>
        </w:rPr>
        <w:t xml:space="preserve"> </w:t>
      </w:r>
      <w:r w:rsidR="00072287" w:rsidRPr="00072287">
        <w:rPr>
          <w:rStyle w:val="cursor-pointer"/>
          <w:rFonts w:ascii="Arial" w:hAnsi="Arial" w:cs="Arial"/>
          <w:sz w:val="24"/>
          <w:szCs w:val="24"/>
        </w:rPr>
        <w:t>However, the real success of the reverse logistics depends on customers' continuing involvement.</w:t>
      </w:r>
      <w:r w:rsidR="00072287" w:rsidRPr="00072287">
        <w:rPr>
          <w:rFonts w:ascii="Arial" w:hAnsi="Arial" w:cs="Arial"/>
          <w:sz w:val="24"/>
          <w:szCs w:val="24"/>
        </w:rPr>
        <w:t xml:space="preserve"> </w:t>
      </w:r>
      <w:r w:rsidR="00072287" w:rsidRPr="00072287">
        <w:rPr>
          <w:rStyle w:val="cursor-pointer"/>
          <w:rFonts w:ascii="Arial" w:hAnsi="Arial" w:cs="Arial"/>
          <w:sz w:val="24"/>
          <w:szCs w:val="24"/>
        </w:rPr>
        <w:t>Take-back programmes might not be as effective as they could be if they had a convenient collection system and meaningful incentives, as their participation might be limited.</w:t>
      </w:r>
      <w:r w:rsidR="00072287" w:rsidRPr="00072287">
        <w:rPr>
          <w:rFonts w:ascii="Arial" w:hAnsi="Arial" w:cs="Arial"/>
          <w:sz w:val="24"/>
          <w:szCs w:val="24"/>
        </w:rPr>
        <w:t xml:space="preserve"> </w:t>
      </w:r>
      <w:r w:rsidR="00072287" w:rsidRPr="00072287">
        <w:rPr>
          <w:rStyle w:val="cursor-pointer"/>
          <w:rFonts w:ascii="Arial" w:hAnsi="Arial" w:cs="Arial"/>
          <w:sz w:val="24"/>
          <w:szCs w:val="24"/>
        </w:rPr>
        <w:t>Hence, Nike has a constant need for continuous improvement of their reverse logistics to turn circularity into a reality and not merely a marketing statement.</w:t>
      </w:r>
    </w:p>
    <w:p w14:paraId="5D936AAA" w14:textId="77777777" w:rsidR="00E00771" w:rsidRDefault="007A2FB0" w:rsidP="007A2FB0">
      <w:pPr>
        <w:pStyle w:val="Heading2"/>
        <w:rPr>
          <w:rFonts w:eastAsia="Arial"/>
        </w:rPr>
      </w:pPr>
      <w:bookmarkStart w:id="51" w:name="_Toc234225997"/>
      <w:bookmarkStart w:id="52" w:name="_Toc234235861"/>
      <w:bookmarkStart w:id="53" w:name="_Toc234330540"/>
      <w:bookmarkStart w:id="54" w:name="_Toc234361031"/>
      <w:r w:rsidRPr="007A2FB0">
        <w:rPr>
          <w:rFonts w:eastAsia="Arial"/>
        </w:rPr>
        <w:t xml:space="preserve">7. </w:t>
      </w:r>
      <w:r w:rsidR="00E00771" w:rsidRPr="007A2FB0">
        <w:rPr>
          <w:rFonts w:eastAsia="Arial"/>
        </w:rPr>
        <w:t>Physical Evidence</w:t>
      </w:r>
      <w:bookmarkEnd w:id="51"/>
      <w:bookmarkEnd w:id="52"/>
      <w:bookmarkEnd w:id="53"/>
      <w:bookmarkEnd w:id="54"/>
    </w:p>
    <w:p w14:paraId="7B6FDA04" w14:textId="77777777" w:rsidR="007A2FB0" w:rsidRPr="007A2FB0" w:rsidRDefault="007A2FB0" w:rsidP="007A2FB0">
      <w:pPr>
        <w:pStyle w:val="Heading2"/>
        <w:rPr>
          <w:rFonts w:eastAsia="Arial"/>
        </w:rPr>
      </w:pPr>
    </w:p>
    <w:p w14:paraId="0D0BB8A1" w14:textId="77777777" w:rsidR="007A2FB0" w:rsidRPr="003A518F" w:rsidRDefault="00072287" w:rsidP="003A518F">
      <w:pPr>
        <w:spacing w:after="160" w:line="360" w:lineRule="auto"/>
        <w:jc w:val="both"/>
        <w:rPr>
          <w:rFonts w:ascii="Arial" w:eastAsia="Arial" w:hAnsi="Arial" w:cs="Arial"/>
          <w:b/>
          <w:color w:val="2E74B5"/>
          <w:sz w:val="24"/>
          <w:szCs w:val="24"/>
        </w:rPr>
      </w:pPr>
      <w:r w:rsidRPr="00072287">
        <w:rPr>
          <w:rStyle w:val="cursor-pointer"/>
          <w:rFonts w:ascii="Arial" w:hAnsi="Arial" w:cs="Arial"/>
          <w:sz w:val="24"/>
          <w:szCs w:val="24"/>
        </w:rPr>
        <w:t>Physical proof is very important in demonstrating the sustainability credentials of the Circular Collection.</w:t>
      </w:r>
      <w:r w:rsidRPr="00072287">
        <w:rPr>
          <w:rFonts w:ascii="Arial" w:hAnsi="Arial" w:cs="Arial"/>
          <w:sz w:val="24"/>
          <w:szCs w:val="24"/>
        </w:rPr>
        <w:t xml:space="preserve"> </w:t>
      </w:r>
      <w:r w:rsidRPr="00072287">
        <w:rPr>
          <w:rStyle w:val="cursor-pointer"/>
          <w:rFonts w:ascii="Arial" w:hAnsi="Arial" w:cs="Arial"/>
          <w:sz w:val="24"/>
          <w:szCs w:val="24"/>
        </w:rPr>
        <w:t>Nike's circular economy actions are seen in recycled content labelling, in-store displays to educate on Nike disassembly and the limited sustainable packaging.</w:t>
      </w:r>
      <w:r>
        <w:rPr>
          <w:rFonts w:ascii="Geist Fallback" w:hAnsi="Geist Fallback"/>
          <w:sz w:val="23"/>
          <w:szCs w:val="23"/>
        </w:rPr>
        <w:t xml:space="preserve"> </w:t>
      </w:r>
      <w:r w:rsidR="007942F9" w:rsidRPr="003A518F">
        <w:rPr>
          <w:rStyle w:val="cursor-pointer"/>
          <w:rFonts w:ascii="Arial" w:hAnsi="Arial" w:cs="Arial"/>
          <w:sz w:val="24"/>
          <w:szCs w:val="24"/>
        </w:rPr>
        <w:t>These can be physical indicators that differentiate between genuine sustainability and greenwashing claims (Gomes et al., 2023).</w:t>
      </w:r>
      <w:r w:rsidR="007942F9" w:rsidRPr="003A518F">
        <w:rPr>
          <w:rFonts w:ascii="Arial" w:hAnsi="Arial" w:cs="Arial"/>
          <w:sz w:val="24"/>
          <w:szCs w:val="24"/>
        </w:rPr>
        <w:t xml:space="preserve"> </w:t>
      </w:r>
      <w:r w:rsidR="007942F9" w:rsidRPr="003A518F">
        <w:rPr>
          <w:rStyle w:val="cursor-pointer"/>
          <w:rFonts w:ascii="Arial" w:hAnsi="Arial" w:cs="Arial"/>
          <w:sz w:val="24"/>
          <w:szCs w:val="24"/>
        </w:rPr>
        <w:t xml:space="preserve">While Nike can add consumer trust by the use of independent verification of its circularity claims, other brands like </w:t>
      </w:r>
      <w:proofErr w:type="spellStart"/>
      <w:r w:rsidR="007942F9" w:rsidRPr="003A518F">
        <w:rPr>
          <w:rStyle w:val="cursor-pointer"/>
          <w:rFonts w:ascii="Arial" w:hAnsi="Arial" w:cs="Arial"/>
          <w:sz w:val="24"/>
          <w:szCs w:val="24"/>
        </w:rPr>
        <w:t>Allbirds</w:t>
      </w:r>
      <w:proofErr w:type="spellEnd"/>
      <w:r w:rsidR="007942F9" w:rsidRPr="003A518F">
        <w:rPr>
          <w:rStyle w:val="cursor-pointer"/>
          <w:rFonts w:ascii="Arial" w:hAnsi="Arial" w:cs="Arial"/>
          <w:sz w:val="24"/>
          <w:szCs w:val="24"/>
        </w:rPr>
        <w:t xml:space="preserve"> are using third-party certifications to add credibility.</w:t>
      </w:r>
      <w:r w:rsidR="007942F9" w:rsidRPr="003A518F">
        <w:rPr>
          <w:rFonts w:ascii="Arial" w:hAnsi="Arial" w:cs="Arial"/>
          <w:sz w:val="24"/>
          <w:szCs w:val="24"/>
        </w:rPr>
        <w:t xml:space="preserve"> </w:t>
      </w:r>
      <w:r w:rsidR="007942F9" w:rsidRPr="003A518F">
        <w:rPr>
          <w:rStyle w:val="cursor-pointer"/>
          <w:rFonts w:ascii="Arial" w:hAnsi="Arial" w:cs="Arial"/>
          <w:sz w:val="24"/>
          <w:szCs w:val="24"/>
        </w:rPr>
        <w:t xml:space="preserve">In combination with reverse logistics and direct to consumer methods, these all contribute to the positioning and customer trust in the collection in the long </w:t>
      </w:r>
      <w:r w:rsidR="003A518F" w:rsidRPr="003A518F">
        <w:rPr>
          <w:rStyle w:val="cursor-pointer"/>
          <w:rFonts w:ascii="Arial" w:hAnsi="Arial" w:cs="Arial"/>
          <w:sz w:val="24"/>
          <w:szCs w:val="24"/>
        </w:rPr>
        <w:t>term.</w:t>
      </w:r>
      <w:r w:rsidR="007A2FB0" w:rsidRPr="003A518F">
        <w:rPr>
          <w:rFonts w:ascii="Arial" w:eastAsia="Arial" w:hAnsi="Arial" w:cs="Arial"/>
          <w:sz w:val="24"/>
          <w:szCs w:val="24"/>
        </w:rPr>
        <w:br w:type="page"/>
      </w:r>
    </w:p>
    <w:p w14:paraId="15B69EA1" w14:textId="77777777" w:rsidR="00D44AD6" w:rsidRDefault="00D44AD6" w:rsidP="007A2FB0">
      <w:pPr>
        <w:pStyle w:val="Heading1"/>
        <w:rPr>
          <w:rFonts w:eastAsia="Arial"/>
        </w:rPr>
      </w:pPr>
      <w:bookmarkStart w:id="55" w:name="_Toc234225998"/>
      <w:bookmarkStart w:id="56" w:name="_Toc234235862"/>
      <w:bookmarkStart w:id="57" w:name="_Toc234330541"/>
      <w:bookmarkStart w:id="58" w:name="_Toc234361032"/>
      <w:r w:rsidRPr="00D23B02">
        <w:rPr>
          <w:rFonts w:eastAsia="Arial"/>
        </w:rPr>
        <w:lastRenderedPageBreak/>
        <w:t>Element 4: Reflection</w:t>
      </w:r>
      <w:bookmarkEnd w:id="55"/>
      <w:bookmarkEnd w:id="56"/>
      <w:bookmarkEnd w:id="57"/>
      <w:bookmarkEnd w:id="58"/>
    </w:p>
    <w:p w14:paraId="19F04B6D" w14:textId="77777777" w:rsidR="007A2FB0" w:rsidRPr="00D23B02" w:rsidRDefault="007A2FB0" w:rsidP="007A2FB0">
      <w:pPr>
        <w:pStyle w:val="Heading1"/>
      </w:pPr>
    </w:p>
    <w:p w14:paraId="328A4C45" w14:textId="77777777" w:rsidR="00D277A8" w:rsidRDefault="00D277A8" w:rsidP="007A2FB0">
      <w:pPr>
        <w:pStyle w:val="Heading2"/>
        <w:rPr>
          <w:rStyle w:val="Strong"/>
          <w:b/>
          <w:bCs w:val="0"/>
        </w:rPr>
      </w:pPr>
      <w:bookmarkStart w:id="59" w:name="_Toc234225999"/>
      <w:bookmarkStart w:id="60" w:name="_Toc234235863"/>
      <w:bookmarkStart w:id="61" w:name="_Toc234330542"/>
      <w:bookmarkStart w:id="62" w:name="_Toc234361033"/>
      <w:r w:rsidRPr="007A2FB0">
        <w:rPr>
          <w:rStyle w:val="Strong"/>
          <w:b/>
          <w:bCs w:val="0"/>
        </w:rPr>
        <w:t>4.1 Reflection on Developing the Nike Circular Collection</w:t>
      </w:r>
      <w:bookmarkEnd w:id="59"/>
      <w:bookmarkEnd w:id="60"/>
      <w:bookmarkEnd w:id="61"/>
      <w:bookmarkEnd w:id="62"/>
    </w:p>
    <w:p w14:paraId="7E9CCB54" w14:textId="77777777" w:rsidR="00693B7E" w:rsidRDefault="00693B7E" w:rsidP="007A2FB0">
      <w:pPr>
        <w:pStyle w:val="Heading3"/>
        <w:rPr>
          <w:rStyle w:val="Strong"/>
          <w:rFonts w:eastAsia="Times New Roman" w:cs="Times New Roman"/>
          <w:b/>
          <w:bCs w:val="0"/>
          <w:color w:val="000000" w:themeColor="text1"/>
          <w:sz w:val="28"/>
          <w:szCs w:val="26"/>
        </w:rPr>
      </w:pPr>
      <w:bookmarkStart w:id="63" w:name="_Toc234226001"/>
      <w:bookmarkStart w:id="64" w:name="_Toc234235864"/>
    </w:p>
    <w:p w14:paraId="603154AB" w14:textId="77777777" w:rsidR="00D23B02" w:rsidRDefault="00D23B02" w:rsidP="007A2FB0">
      <w:pPr>
        <w:pStyle w:val="Heading3"/>
        <w:rPr>
          <w:rStyle w:val="Strong"/>
          <w:b/>
          <w:bCs w:val="0"/>
        </w:rPr>
      </w:pPr>
      <w:bookmarkStart w:id="65" w:name="_Toc234330543"/>
      <w:bookmarkStart w:id="66" w:name="_Toc234361034"/>
      <w:r w:rsidRPr="007A2FB0">
        <w:rPr>
          <w:rStyle w:val="Strong"/>
          <w:b/>
          <w:bCs w:val="0"/>
        </w:rPr>
        <w:t>Developing the Brand Extension</w:t>
      </w:r>
      <w:bookmarkEnd w:id="63"/>
      <w:bookmarkEnd w:id="64"/>
      <w:bookmarkEnd w:id="65"/>
      <w:bookmarkEnd w:id="66"/>
    </w:p>
    <w:p w14:paraId="5F8A0766" w14:textId="77777777" w:rsidR="007A2FB0" w:rsidRPr="007A2FB0" w:rsidRDefault="007A2FB0" w:rsidP="007A2FB0"/>
    <w:p w14:paraId="4D4AC7BE" w14:textId="78015C03" w:rsidR="00D23B02" w:rsidRPr="005F3599" w:rsidRDefault="00D23B02" w:rsidP="005F3599">
      <w:pPr>
        <w:spacing w:line="360" w:lineRule="auto"/>
        <w:jc w:val="both"/>
        <w:rPr>
          <w:rFonts w:ascii="Arial" w:hAnsi="Arial" w:cs="Arial"/>
          <w:sz w:val="24"/>
          <w:szCs w:val="24"/>
          <w:lang w:val="en-US"/>
        </w:rPr>
      </w:pPr>
      <w:r w:rsidRPr="00D23B02">
        <w:rPr>
          <w:rStyle w:val="cursor-pointer"/>
          <w:rFonts w:ascii="Arial" w:hAnsi="Arial" w:cs="Arial"/>
          <w:sz w:val="24"/>
          <w:szCs w:val="24"/>
        </w:rPr>
        <w:t>The Nike Circular Collection proved to be more than a new, innovative product idea, it was a successful brand extension.</w:t>
      </w:r>
      <w:r w:rsidRPr="00D23B02">
        <w:rPr>
          <w:rFonts w:ascii="Arial" w:hAnsi="Arial" w:cs="Arial"/>
          <w:sz w:val="24"/>
          <w:szCs w:val="24"/>
        </w:rPr>
        <w:t xml:space="preserve"> </w:t>
      </w:r>
      <w:r w:rsidRPr="00D23B02">
        <w:rPr>
          <w:rStyle w:val="cursor-pointer"/>
          <w:rFonts w:ascii="Arial" w:hAnsi="Arial" w:cs="Arial"/>
          <w:sz w:val="24"/>
          <w:szCs w:val="24"/>
        </w:rPr>
        <w:t xml:space="preserve">The project involved the practical application of marketing concepts in a realistic business context and the use of academic research and industry data to inform business </w:t>
      </w:r>
      <w:r w:rsidRPr="005F3599">
        <w:rPr>
          <w:rStyle w:val="cursor-pointer"/>
          <w:rFonts w:ascii="Arial" w:hAnsi="Arial" w:cs="Arial"/>
          <w:sz w:val="24"/>
          <w:szCs w:val="24"/>
        </w:rPr>
        <w:t>decisions</w:t>
      </w:r>
      <w:r w:rsidR="005F3599" w:rsidRPr="005F3599">
        <w:rPr>
          <w:rStyle w:val="cursor-pointer"/>
          <w:rFonts w:ascii="Arial" w:hAnsi="Arial" w:cs="Arial"/>
          <w:sz w:val="24"/>
          <w:szCs w:val="24"/>
        </w:rPr>
        <w:t xml:space="preserve"> </w:t>
      </w:r>
      <w:r w:rsidR="005F3599" w:rsidRPr="005F3599">
        <w:rPr>
          <w:rFonts w:ascii="Arial" w:hAnsi="Arial" w:cs="Arial"/>
          <w:sz w:val="24"/>
          <w:szCs w:val="24"/>
          <w:lang w:val="en-US"/>
        </w:rPr>
        <w:t>(Cozma and Cosma, 2023)</w:t>
      </w:r>
      <w:r w:rsidRPr="005F3599">
        <w:rPr>
          <w:rStyle w:val="cursor-pointer"/>
          <w:rFonts w:ascii="Arial" w:hAnsi="Arial" w:cs="Arial"/>
          <w:sz w:val="24"/>
          <w:szCs w:val="24"/>
        </w:rPr>
        <w:t>.</w:t>
      </w:r>
      <w:r w:rsidRPr="005F3599">
        <w:rPr>
          <w:rFonts w:ascii="Arial" w:hAnsi="Arial" w:cs="Arial"/>
          <w:sz w:val="24"/>
          <w:szCs w:val="24"/>
        </w:rPr>
        <w:t xml:space="preserve"> </w:t>
      </w:r>
      <w:r w:rsidRPr="005F3599">
        <w:rPr>
          <w:rStyle w:val="cursor-pointer"/>
          <w:rFonts w:ascii="Arial" w:hAnsi="Arial" w:cs="Arial"/>
          <w:sz w:val="24"/>
          <w:szCs w:val="24"/>
        </w:rPr>
        <w:t>I found this stage of market segmentation and the selection of a target market to</w:t>
      </w:r>
      <w:r w:rsidRPr="00D23B02">
        <w:rPr>
          <w:rStyle w:val="cursor-pointer"/>
          <w:rFonts w:ascii="Arial" w:hAnsi="Arial" w:cs="Arial"/>
          <w:sz w:val="24"/>
          <w:szCs w:val="24"/>
        </w:rPr>
        <w:t xml:space="preserve"> be relatively easy as it fits with the knowledge acquired in the module.</w:t>
      </w:r>
      <w:r w:rsidRPr="00D23B02">
        <w:rPr>
          <w:rFonts w:ascii="Arial" w:hAnsi="Arial" w:cs="Arial"/>
          <w:sz w:val="24"/>
          <w:szCs w:val="24"/>
        </w:rPr>
        <w:t xml:space="preserve"> </w:t>
      </w:r>
      <w:r w:rsidRPr="00D23B02">
        <w:rPr>
          <w:rStyle w:val="cursor-pointer"/>
          <w:rFonts w:ascii="Arial" w:hAnsi="Arial" w:cs="Arial"/>
          <w:sz w:val="24"/>
          <w:szCs w:val="24"/>
        </w:rPr>
        <w:t>It was only when they were brought together in a unified marketing plan that some deeper thinking was needed, though.</w:t>
      </w:r>
      <w:r w:rsidRPr="00D23B02">
        <w:rPr>
          <w:rFonts w:ascii="Arial" w:hAnsi="Arial" w:cs="Arial"/>
          <w:sz w:val="24"/>
          <w:szCs w:val="24"/>
        </w:rPr>
        <w:t xml:space="preserve"> </w:t>
      </w:r>
      <w:r w:rsidRPr="00D23B02">
        <w:rPr>
          <w:rStyle w:val="cursor-pointer"/>
          <w:rFonts w:ascii="Arial" w:hAnsi="Arial" w:cs="Arial"/>
          <w:sz w:val="24"/>
          <w:szCs w:val="24"/>
        </w:rPr>
        <w:t>By researching Nike's sustainability efforts (and that of the competition), I realized that sustainability is not about pushing the message out, it's about providing a real competitive edge.</w:t>
      </w:r>
      <w:r w:rsidRPr="00D23B02">
        <w:rPr>
          <w:rFonts w:ascii="Arial" w:hAnsi="Arial" w:cs="Arial"/>
          <w:sz w:val="24"/>
          <w:szCs w:val="24"/>
        </w:rPr>
        <w:t xml:space="preserve"> </w:t>
      </w:r>
      <w:r w:rsidRPr="00D23B02">
        <w:rPr>
          <w:rStyle w:val="cursor-pointer"/>
          <w:rFonts w:ascii="Arial" w:hAnsi="Arial" w:cs="Arial"/>
          <w:sz w:val="24"/>
          <w:szCs w:val="24"/>
        </w:rPr>
        <w:t>Comparing options and making recommendations with evidence instead of assumptions was enhanced by evaluating various strategic options.</w:t>
      </w:r>
      <w:r w:rsidRPr="00D23B02">
        <w:rPr>
          <w:rFonts w:ascii="Arial" w:hAnsi="Arial" w:cs="Arial"/>
          <w:sz w:val="24"/>
          <w:szCs w:val="24"/>
        </w:rPr>
        <w:t xml:space="preserve"> </w:t>
      </w:r>
      <w:r w:rsidRPr="00D23B02">
        <w:rPr>
          <w:rStyle w:val="cursor-pointer"/>
          <w:rFonts w:ascii="Arial" w:hAnsi="Arial" w:cs="Arial"/>
          <w:sz w:val="24"/>
          <w:szCs w:val="24"/>
        </w:rPr>
        <w:t xml:space="preserve">In addition, the process of creating the marketing mix increased my awareness of the need to consider the various components of the marketing mix in relation to each other to support the overall positioning of </w:t>
      </w:r>
      <w:r w:rsidRPr="005F3599">
        <w:rPr>
          <w:rStyle w:val="cursor-pointer"/>
          <w:rFonts w:ascii="Arial" w:hAnsi="Arial" w:cs="Arial"/>
          <w:sz w:val="24"/>
          <w:szCs w:val="24"/>
        </w:rPr>
        <w:t>the brand.</w:t>
      </w:r>
      <w:r w:rsidRPr="005F3599">
        <w:rPr>
          <w:rFonts w:ascii="Arial" w:hAnsi="Arial" w:cs="Arial"/>
          <w:sz w:val="24"/>
          <w:szCs w:val="24"/>
        </w:rPr>
        <w:t xml:space="preserve"> </w:t>
      </w:r>
      <w:r w:rsidRPr="005F3599">
        <w:rPr>
          <w:rStyle w:val="cursor-pointer"/>
          <w:rFonts w:ascii="Arial" w:hAnsi="Arial" w:cs="Arial"/>
          <w:sz w:val="24"/>
          <w:szCs w:val="24"/>
        </w:rPr>
        <w:t>This experience proved sustainability should be part of the marketing mix from the product design to the communication to the customers and value delivery in the long run</w:t>
      </w:r>
      <w:r w:rsidR="005F3599" w:rsidRPr="005F3599">
        <w:rPr>
          <w:rStyle w:val="cursor-pointer"/>
          <w:rFonts w:ascii="Arial" w:hAnsi="Arial" w:cs="Arial"/>
          <w:sz w:val="24"/>
          <w:szCs w:val="24"/>
        </w:rPr>
        <w:t xml:space="preserve"> </w:t>
      </w:r>
      <w:r w:rsidR="005F3599" w:rsidRPr="005F3599">
        <w:rPr>
          <w:rFonts w:ascii="Arial" w:hAnsi="Arial" w:cs="Arial"/>
          <w:sz w:val="24"/>
          <w:szCs w:val="24"/>
          <w:lang w:val="en-US"/>
        </w:rPr>
        <w:t>(Ko, 2024)</w:t>
      </w:r>
      <w:r w:rsidR="005F3599" w:rsidRPr="005F3599">
        <w:rPr>
          <w:rFonts w:ascii="Arial" w:hAnsi="Arial" w:cs="Arial"/>
          <w:sz w:val="24"/>
          <w:szCs w:val="24"/>
          <w:lang w:val="en-US"/>
        </w:rPr>
        <w:t>.</w:t>
      </w:r>
    </w:p>
    <w:p w14:paraId="48DDAF3F" w14:textId="77777777" w:rsidR="00D23B02" w:rsidRDefault="00D23B02" w:rsidP="007A2FB0">
      <w:pPr>
        <w:pStyle w:val="Heading3"/>
        <w:rPr>
          <w:rStyle w:val="Strong"/>
          <w:b/>
          <w:bCs w:val="0"/>
        </w:rPr>
      </w:pPr>
      <w:bookmarkStart w:id="67" w:name="_Toc234226002"/>
      <w:bookmarkStart w:id="68" w:name="_Toc234235865"/>
      <w:bookmarkStart w:id="69" w:name="_Toc234330544"/>
      <w:bookmarkStart w:id="70" w:name="_Toc234361035"/>
      <w:r w:rsidRPr="007A2FB0">
        <w:rPr>
          <w:rStyle w:val="Strong"/>
          <w:b/>
          <w:bCs w:val="0"/>
        </w:rPr>
        <w:t>Learning and Future Improvement</w:t>
      </w:r>
      <w:bookmarkEnd w:id="67"/>
      <w:bookmarkEnd w:id="68"/>
      <w:bookmarkEnd w:id="69"/>
      <w:bookmarkEnd w:id="70"/>
    </w:p>
    <w:p w14:paraId="7B98DAF3" w14:textId="77777777" w:rsidR="007A2FB0" w:rsidRPr="007A2FB0" w:rsidRDefault="007A2FB0" w:rsidP="007A2FB0"/>
    <w:p w14:paraId="32149F07" w14:textId="77777777" w:rsidR="00D23B02" w:rsidRPr="00CC09FC" w:rsidRDefault="00CC09FC" w:rsidP="00D23B02">
      <w:pPr>
        <w:spacing w:line="360" w:lineRule="auto"/>
        <w:jc w:val="both"/>
        <w:rPr>
          <w:rFonts w:ascii="Arial" w:hAnsi="Arial" w:cs="Arial"/>
          <w:sz w:val="24"/>
          <w:szCs w:val="24"/>
        </w:rPr>
      </w:pPr>
      <w:r w:rsidRPr="00CC09FC">
        <w:rPr>
          <w:rStyle w:val="cursor-pointer"/>
          <w:rFonts w:ascii="Arial" w:hAnsi="Arial" w:cs="Arial"/>
          <w:sz w:val="24"/>
          <w:szCs w:val="24"/>
        </w:rPr>
        <w:t>This project was a great learning experience for me as it was a way to bring out my strengths and also focus on areas I needed to work on.</w:t>
      </w:r>
      <w:r w:rsidRPr="00CC09FC">
        <w:rPr>
          <w:rFonts w:ascii="Arial" w:hAnsi="Arial" w:cs="Arial"/>
          <w:sz w:val="24"/>
          <w:szCs w:val="24"/>
        </w:rPr>
        <w:t xml:space="preserve"> </w:t>
      </w:r>
      <w:r w:rsidRPr="00CC09FC">
        <w:rPr>
          <w:rStyle w:val="cursor-pointer"/>
          <w:rFonts w:ascii="Arial" w:hAnsi="Arial" w:cs="Arial"/>
          <w:sz w:val="24"/>
          <w:szCs w:val="24"/>
        </w:rPr>
        <w:t>I gained more confidence as a user of marketing tools like STDP and the 7Ps, but pricing and financial justification were more difficult due to the need to balance commercial goals with sustainability goals.</w:t>
      </w:r>
      <w:r w:rsidRPr="00CC09FC">
        <w:rPr>
          <w:rFonts w:ascii="Arial" w:hAnsi="Arial" w:cs="Arial"/>
          <w:sz w:val="24"/>
          <w:szCs w:val="24"/>
        </w:rPr>
        <w:t xml:space="preserve"> </w:t>
      </w:r>
      <w:r w:rsidRPr="00CC09FC">
        <w:rPr>
          <w:rStyle w:val="cursor-pointer"/>
          <w:rFonts w:ascii="Arial" w:hAnsi="Arial" w:cs="Arial"/>
          <w:sz w:val="24"/>
          <w:szCs w:val="24"/>
        </w:rPr>
        <w:t>This experience proved to be a valuable expression of the need to combine theory with business acumen.</w:t>
      </w:r>
      <w:r w:rsidRPr="00CC09FC">
        <w:rPr>
          <w:rFonts w:ascii="Arial" w:hAnsi="Arial" w:cs="Arial"/>
          <w:sz w:val="24"/>
          <w:szCs w:val="24"/>
        </w:rPr>
        <w:t xml:space="preserve"> </w:t>
      </w:r>
      <w:r w:rsidRPr="00CC09FC">
        <w:rPr>
          <w:rStyle w:val="cursor-pointer"/>
          <w:rFonts w:ascii="Arial" w:hAnsi="Arial" w:cs="Arial"/>
          <w:sz w:val="24"/>
          <w:szCs w:val="24"/>
        </w:rPr>
        <w:t xml:space="preserve">For future projects, I will continue to improve my commercial awareness by using the knowledge and skills acquired in this course to increase my understanding of pricing strategies and financial evaluation and </w:t>
      </w:r>
      <w:r w:rsidR="00524A4E" w:rsidRPr="00CC09FC">
        <w:rPr>
          <w:rStyle w:val="cursor-pointer"/>
          <w:rFonts w:ascii="Arial" w:hAnsi="Arial" w:cs="Arial"/>
          <w:sz w:val="24"/>
          <w:szCs w:val="24"/>
        </w:rPr>
        <w:t>evidence-based</w:t>
      </w:r>
      <w:r w:rsidRPr="00CC09FC">
        <w:rPr>
          <w:rStyle w:val="cursor-pointer"/>
          <w:rFonts w:ascii="Arial" w:hAnsi="Arial" w:cs="Arial"/>
          <w:sz w:val="24"/>
          <w:szCs w:val="24"/>
        </w:rPr>
        <w:t xml:space="preserve"> decision making to enable more balanced marketing recommendations to be made.</w:t>
      </w:r>
    </w:p>
    <w:p w14:paraId="5C25A808" w14:textId="77777777" w:rsidR="00693B7E" w:rsidRDefault="00693B7E">
      <w:pPr>
        <w:spacing w:after="160" w:line="259" w:lineRule="auto"/>
        <w:rPr>
          <w:rStyle w:val="Strong"/>
          <w:rFonts w:ascii="Arial" w:hAnsi="Arial"/>
          <w:bCs w:val="0"/>
          <w:color w:val="000000" w:themeColor="text1"/>
          <w:sz w:val="28"/>
          <w:szCs w:val="26"/>
        </w:rPr>
      </w:pPr>
      <w:bookmarkStart w:id="71" w:name="_Toc234226003"/>
      <w:bookmarkStart w:id="72" w:name="_Toc234235866"/>
      <w:r>
        <w:rPr>
          <w:rStyle w:val="Strong"/>
          <w:b w:val="0"/>
          <w:bCs w:val="0"/>
        </w:rPr>
        <w:br w:type="page"/>
      </w:r>
    </w:p>
    <w:p w14:paraId="2BAC289A" w14:textId="77777777" w:rsidR="00D23B02" w:rsidRDefault="00D23B02" w:rsidP="007A2FB0">
      <w:pPr>
        <w:pStyle w:val="Heading2"/>
        <w:rPr>
          <w:rStyle w:val="Strong"/>
          <w:b/>
          <w:bCs w:val="0"/>
        </w:rPr>
      </w:pPr>
      <w:bookmarkStart w:id="73" w:name="_Toc234330545"/>
      <w:bookmarkStart w:id="74" w:name="_Toc234361036"/>
      <w:r w:rsidRPr="007A2FB0">
        <w:rPr>
          <w:rStyle w:val="Strong"/>
          <w:b/>
          <w:bCs w:val="0"/>
        </w:rPr>
        <w:lastRenderedPageBreak/>
        <w:t>4.2 Reflection on the Poster Presentation and Professional Development</w:t>
      </w:r>
      <w:bookmarkEnd w:id="71"/>
      <w:bookmarkEnd w:id="72"/>
      <w:bookmarkEnd w:id="73"/>
      <w:bookmarkEnd w:id="74"/>
    </w:p>
    <w:p w14:paraId="069E72CB" w14:textId="77777777" w:rsidR="007A2FB0" w:rsidRPr="007A2FB0" w:rsidRDefault="007A2FB0" w:rsidP="007A2FB0">
      <w:pPr>
        <w:pStyle w:val="Heading2"/>
      </w:pPr>
    </w:p>
    <w:p w14:paraId="07A676DE" w14:textId="77777777" w:rsidR="00D23B02" w:rsidRDefault="00D23B02" w:rsidP="007A2FB0">
      <w:pPr>
        <w:pStyle w:val="Heading3"/>
        <w:rPr>
          <w:rStyle w:val="Strong"/>
          <w:b/>
          <w:bCs w:val="0"/>
        </w:rPr>
      </w:pPr>
      <w:bookmarkStart w:id="75" w:name="_Toc234226004"/>
      <w:bookmarkStart w:id="76" w:name="_Toc234235867"/>
      <w:bookmarkStart w:id="77" w:name="_Toc234330546"/>
      <w:bookmarkStart w:id="78" w:name="_Toc234361037"/>
      <w:r w:rsidRPr="007A2FB0">
        <w:rPr>
          <w:rStyle w:val="Strong"/>
          <w:b/>
          <w:bCs w:val="0"/>
        </w:rPr>
        <w:t>Poster Presentation Experience</w:t>
      </w:r>
      <w:bookmarkEnd w:id="75"/>
      <w:bookmarkEnd w:id="76"/>
      <w:bookmarkEnd w:id="77"/>
      <w:bookmarkEnd w:id="78"/>
    </w:p>
    <w:p w14:paraId="182AE111" w14:textId="77777777" w:rsidR="007A2FB0" w:rsidRPr="007A2FB0" w:rsidRDefault="007A2FB0" w:rsidP="007A2FB0"/>
    <w:p w14:paraId="4009086A" w14:textId="77777777" w:rsidR="00D23B02" w:rsidRPr="00D23B02" w:rsidRDefault="00D23B02" w:rsidP="00D23B02">
      <w:pPr>
        <w:spacing w:line="360" w:lineRule="auto"/>
        <w:jc w:val="both"/>
        <w:rPr>
          <w:rStyle w:val="cursor-pointer"/>
          <w:rFonts w:ascii="Arial" w:hAnsi="Arial" w:cs="Arial"/>
          <w:sz w:val="24"/>
          <w:szCs w:val="24"/>
        </w:rPr>
      </w:pPr>
      <w:r w:rsidRPr="00D23B02">
        <w:rPr>
          <w:rStyle w:val="cursor-pointer"/>
          <w:rFonts w:ascii="Arial" w:hAnsi="Arial" w:cs="Arial"/>
          <w:sz w:val="24"/>
          <w:szCs w:val="24"/>
        </w:rPr>
        <w:t>Writing the report took a different style of approach to preparing the poster.</w:t>
      </w:r>
      <w:r w:rsidRPr="00D23B02">
        <w:rPr>
          <w:rFonts w:ascii="Arial" w:hAnsi="Arial" w:cs="Arial"/>
          <w:sz w:val="24"/>
          <w:szCs w:val="24"/>
        </w:rPr>
        <w:t xml:space="preserve"> </w:t>
      </w:r>
      <w:r w:rsidRPr="00D23B02">
        <w:rPr>
          <w:rStyle w:val="cursor-pointer"/>
          <w:rFonts w:ascii="Arial" w:hAnsi="Arial" w:cs="Arial"/>
          <w:sz w:val="24"/>
          <w:szCs w:val="24"/>
        </w:rPr>
        <w:t>It required the communication of the main elements of the Nike Circular Collection in a succinct, organized and logical way with text.</w:t>
      </w:r>
      <w:r w:rsidRPr="00D23B02">
        <w:rPr>
          <w:rFonts w:ascii="Arial" w:hAnsi="Arial" w:cs="Arial"/>
          <w:sz w:val="24"/>
          <w:szCs w:val="24"/>
        </w:rPr>
        <w:t xml:space="preserve"> </w:t>
      </w:r>
      <w:r w:rsidRPr="00D23B02">
        <w:rPr>
          <w:rStyle w:val="cursor-pointer"/>
          <w:rFonts w:ascii="Arial" w:hAnsi="Arial" w:cs="Arial"/>
          <w:sz w:val="24"/>
          <w:szCs w:val="24"/>
        </w:rPr>
        <w:t>This helped me to be clearer in separating facts from supporting details and to keep a strong message.</w:t>
      </w:r>
      <w:r w:rsidRPr="00D23B02">
        <w:rPr>
          <w:rFonts w:ascii="Arial" w:hAnsi="Arial" w:cs="Arial"/>
          <w:sz w:val="24"/>
          <w:szCs w:val="24"/>
        </w:rPr>
        <w:t xml:space="preserve"> </w:t>
      </w:r>
      <w:r w:rsidRPr="00D23B02">
        <w:rPr>
          <w:rStyle w:val="cursor-pointer"/>
          <w:rFonts w:ascii="Arial" w:hAnsi="Arial" w:cs="Arial"/>
          <w:sz w:val="24"/>
          <w:szCs w:val="24"/>
        </w:rPr>
        <w:t>The presentation rehearsal also helped me to build my communication skills as it made me more confident in explaining the concept of marketing in a limited time.</w:t>
      </w:r>
    </w:p>
    <w:p w14:paraId="3594B009" w14:textId="77777777" w:rsidR="00D23B02" w:rsidRDefault="00D23B02" w:rsidP="007A2FB0">
      <w:pPr>
        <w:pStyle w:val="Heading3"/>
        <w:rPr>
          <w:rStyle w:val="Strong"/>
          <w:b/>
          <w:bCs w:val="0"/>
        </w:rPr>
      </w:pPr>
      <w:bookmarkStart w:id="79" w:name="_Toc234226005"/>
      <w:bookmarkStart w:id="80" w:name="_Toc234235868"/>
      <w:bookmarkStart w:id="81" w:name="_Toc234330547"/>
      <w:bookmarkStart w:id="82" w:name="_Toc234361038"/>
      <w:r w:rsidRPr="007A2FB0">
        <w:rPr>
          <w:rStyle w:val="Strong"/>
          <w:b/>
          <w:bCs w:val="0"/>
        </w:rPr>
        <w:t>Professional Development and Future Learning</w:t>
      </w:r>
      <w:bookmarkEnd w:id="79"/>
      <w:bookmarkEnd w:id="80"/>
      <w:bookmarkEnd w:id="81"/>
      <w:bookmarkEnd w:id="82"/>
    </w:p>
    <w:p w14:paraId="243227D5" w14:textId="77777777" w:rsidR="007A2FB0" w:rsidRPr="007A2FB0" w:rsidRDefault="007A2FB0" w:rsidP="007A2FB0"/>
    <w:p w14:paraId="332ED2B3" w14:textId="77777777" w:rsidR="005329F0" w:rsidRPr="00072287" w:rsidRDefault="00CC09FC" w:rsidP="00D23B02">
      <w:pPr>
        <w:spacing w:line="360" w:lineRule="auto"/>
        <w:jc w:val="both"/>
        <w:rPr>
          <w:rStyle w:val="cursor-pointer"/>
          <w:rFonts w:ascii="Arial" w:hAnsi="Arial" w:cs="Arial"/>
          <w:sz w:val="24"/>
          <w:szCs w:val="24"/>
        </w:rPr>
      </w:pPr>
      <w:r w:rsidRPr="00CC09FC">
        <w:rPr>
          <w:rStyle w:val="cursor-pointer"/>
          <w:rFonts w:ascii="Arial" w:hAnsi="Arial" w:cs="Arial"/>
          <w:sz w:val="24"/>
          <w:szCs w:val="24"/>
        </w:rPr>
        <w:t>In conclusion, this portfolio reinforced my grasp of sustainable marketing and strategic brand development and evidence-based decision making.</w:t>
      </w:r>
      <w:r w:rsidRPr="00CC09FC">
        <w:rPr>
          <w:rFonts w:ascii="Arial" w:hAnsi="Arial" w:cs="Arial"/>
          <w:sz w:val="24"/>
          <w:szCs w:val="24"/>
        </w:rPr>
        <w:t xml:space="preserve"> </w:t>
      </w:r>
      <w:r w:rsidR="00072287" w:rsidRPr="00072287">
        <w:rPr>
          <w:rStyle w:val="cursor-pointer"/>
          <w:rFonts w:ascii="Arial" w:hAnsi="Arial" w:cs="Arial"/>
          <w:sz w:val="24"/>
          <w:szCs w:val="24"/>
        </w:rPr>
        <w:t>It made it easier for me to understand how theories from the academic field could be used in business; and it helped me build my research, communication and critical thinking skills.</w:t>
      </w:r>
      <w:r w:rsidR="00072287" w:rsidRPr="00072287">
        <w:rPr>
          <w:rFonts w:ascii="Arial" w:hAnsi="Arial" w:cs="Arial"/>
          <w:sz w:val="24"/>
          <w:szCs w:val="24"/>
        </w:rPr>
        <w:t xml:space="preserve"> </w:t>
      </w:r>
      <w:r w:rsidR="00072287" w:rsidRPr="00072287">
        <w:rPr>
          <w:rStyle w:val="cursor-pointer"/>
          <w:rFonts w:ascii="Arial" w:hAnsi="Arial" w:cs="Arial"/>
          <w:sz w:val="24"/>
          <w:szCs w:val="24"/>
        </w:rPr>
        <w:t>It has also been a learning experience to reflect on this project as I learned there is a need for continuous learning for professionals.</w:t>
      </w:r>
      <w:r w:rsidR="00072287" w:rsidRPr="00072287">
        <w:rPr>
          <w:rFonts w:ascii="Arial" w:hAnsi="Arial" w:cs="Arial"/>
          <w:sz w:val="24"/>
          <w:szCs w:val="24"/>
        </w:rPr>
        <w:t xml:space="preserve"> </w:t>
      </w:r>
      <w:r w:rsidR="00072287" w:rsidRPr="00072287">
        <w:rPr>
          <w:rStyle w:val="cursor-pointer"/>
          <w:rFonts w:ascii="Arial" w:hAnsi="Arial" w:cs="Arial"/>
          <w:sz w:val="24"/>
          <w:szCs w:val="24"/>
        </w:rPr>
        <w:t>On future assignments I will try to get feedback at an earlier stage, improve my skills of commercial analysis, and spend more time on preparing written assignments, presentations, which will further increase the quality of my commercial practice.</w:t>
      </w:r>
    </w:p>
    <w:p w14:paraId="2655D8F9" w14:textId="77777777" w:rsidR="003A518F" w:rsidRPr="00072287" w:rsidRDefault="003A518F">
      <w:pPr>
        <w:spacing w:after="160" w:line="259" w:lineRule="auto"/>
        <w:rPr>
          <w:rFonts w:ascii="Arial" w:hAnsi="Arial" w:cs="Arial"/>
          <w:b/>
          <w:sz w:val="24"/>
          <w:szCs w:val="24"/>
        </w:rPr>
      </w:pPr>
      <w:r w:rsidRPr="00072287">
        <w:rPr>
          <w:rFonts w:ascii="Arial" w:hAnsi="Arial" w:cs="Arial"/>
          <w:b/>
          <w:sz w:val="24"/>
          <w:szCs w:val="24"/>
        </w:rPr>
        <w:br w:type="page"/>
      </w:r>
    </w:p>
    <w:p w14:paraId="467187EC" w14:textId="77777777" w:rsidR="003A518F" w:rsidRDefault="003A518F" w:rsidP="003A518F">
      <w:pPr>
        <w:pStyle w:val="Heading1"/>
      </w:pPr>
      <w:bookmarkStart w:id="83" w:name="_Toc234330548"/>
      <w:bookmarkStart w:id="84" w:name="_Toc234361039"/>
      <w:r>
        <w:lastRenderedPageBreak/>
        <w:t>References</w:t>
      </w:r>
      <w:bookmarkEnd w:id="83"/>
      <w:bookmarkEnd w:id="84"/>
    </w:p>
    <w:p w14:paraId="1A88CBE1" w14:textId="77777777" w:rsidR="003A518F" w:rsidRDefault="003A518F" w:rsidP="003A518F">
      <w:pPr>
        <w:spacing w:before="120" w:after="100" w:afterAutospacing="1" w:line="360" w:lineRule="auto"/>
        <w:ind w:left="720" w:hanging="720"/>
        <w:jc w:val="both"/>
        <w:rPr>
          <w:rFonts w:ascii="Arial" w:hAnsi="Arial" w:cs="Arial"/>
          <w:sz w:val="24"/>
          <w:szCs w:val="24"/>
        </w:rPr>
      </w:pPr>
    </w:p>
    <w:p w14:paraId="2856D802"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Alves, H.A. (2021) </w:t>
      </w:r>
      <w:r w:rsidRPr="00FC7DE6">
        <w:rPr>
          <w:rFonts w:ascii="Arial" w:hAnsi="Arial" w:cs="Arial"/>
          <w:bCs/>
          <w:i/>
          <w:iCs/>
          <w:sz w:val="24"/>
          <w:szCs w:val="24"/>
          <w:lang w:val="en-US"/>
        </w:rPr>
        <w:t>Making it in e-luxury: How can luxury niche brands leverage from (and break into) luxury e-tailing titans</w:t>
      </w:r>
      <w:r w:rsidRPr="00FC7DE6">
        <w:rPr>
          <w:rFonts w:ascii="Arial" w:hAnsi="Arial" w:cs="Arial"/>
          <w:bCs/>
          <w:sz w:val="24"/>
          <w:szCs w:val="24"/>
          <w:lang w:val="en-US"/>
        </w:rPr>
        <w:t xml:space="preserve">. Master's thesis. </w:t>
      </w:r>
      <w:proofErr w:type="spellStart"/>
      <w:r w:rsidRPr="00FC7DE6">
        <w:rPr>
          <w:rFonts w:ascii="Arial" w:hAnsi="Arial" w:cs="Arial"/>
          <w:bCs/>
          <w:sz w:val="24"/>
          <w:szCs w:val="24"/>
          <w:lang w:val="en-US"/>
        </w:rPr>
        <w:t>Universidade</w:t>
      </w:r>
      <w:proofErr w:type="spellEnd"/>
      <w:r w:rsidRPr="00FC7DE6">
        <w:rPr>
          <w:rFonts w:ascii="Arial" w:hAnsi="Arial" w:cs="Arial"/>
          <w:bCs/>
          <w:sz w:val="24"/>
          <w:szCs w:val="24"/>
          <w:lang w:val="en-US"/>
        </w:rPr>
        <w:t xml:space="preserve"> NOVA de Lisboa, Portugal.</w:t>
      </w:r>
    </w:p>
    <w:p w14:paraId="26A982D8"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proofErr w:type="spellStart"/>
      <w:r w:rsidRPr="00FC7DE6">
        <w:rPr>
          <w:rFonts w:ascii="Arial" w:hAnsi="Arial" w:cs="Arial"/>
          <w:bCs/>
          <w:sz w:val="24"/>
          <w:szCs w:val="24"/>
          <w:lang w:val="en-US"/>
        </w:rPr>
        <w:t>Bocken</w:t>
      </w:r>
      <w:proofErr w:type="spellEnd"/>
      <w:r w:rsidRPr="00FC7DE6">
        <w:rPr>
          <w:rFonts w:ascii="Arial" w:hAnsi="Arial" w:cs="Arial"/>
          <w:bCs/>
          <w:sz w:val="24"/>
          <w:szCs w:val="24"/>
          <w:lang w:val="en-US"/>
        </w:rPr>
        <w:t xml:space="preserve">, N.M.P., de Pauw, I., Bakker, C. and van der </w:t>
      </w:r>
      <w:proofErr w:type="spellStart"/>
      <w:r w:rsidRPr="00FC7DE6">
        <w:rPr>
          <w:rFonts w:ascii="Arial" w:hAnsi="Arial" w:cs="Arial"/>
          <w:bCs/>
          <w:sz w:val="24"/>
          <w:szCs w:val="24"/>
          <w:lang w:val="en-US"/>
        </w:rPr>
        <w:t>Grinten</w:t>
      </w:r>
      <w:proofErr w:type="spellEnd"/>
      <w:r w:rsidRPr="00FC7DE6">
        <w:rPr>
          <w:rFonts w:ascii="Arial" w:hAnsi="Arial" w:cs="Arial"/>
          <w:bCs/>
          <w:sz w:val="24"/>
          <w:szCs w:val="24"/>
          <w:lang w:val="en-US"/>
        </w:rPr>
        <w:t xml:space="preserve">, B. (2016) 'Product design and business model strategies for a circular economy', </w:t>
      </w:r>
      <w:r w:rsidRPr="00FC7DE6">
        <w:rPr>
          <w:rFonts w:ascii="Arial" w:hAnsi="Arial" w:cs="Arial"/>
          <w:bCs/>
          <w:i/>
          <w:iCs/>
          <w:sz w:val="24"/>
          <w:szCs w:val="24"/>
          <w:lang w:val="en-US"/>
        </w:rPr>
        <w:t>Journal of Industrial and Production Engineering</w:t>
      </w:r>
      <w:r w:rsidRPr="00FC7DE6">
        <w:rPr>
          <w:rFonts w:ascii="Arial" w:hAnsi="Arial" w:cs="Arial"/>
          <w:bCs/>
          <w:sz w:val="24"/>
          <w:szCs w:val="24"/>
          <w:lang w:val="en-US"/>
        </w:rPr>
        <w:t xml:space="preserve">, 33(5), pp. 308–320. Available at: </w:t>
      </w:r>
      <w:hyperlink r:id="rId15" w:tgtFrame="_new" w:history="1">
        <w:r w:rsidRPr="00FC7DE6">
          <w:rPr>
            <w:rStyle w:val="Hyperlink"/>
            <w:rFonts w:ascii="Arial" w:hAnsi="Arial" w:cs="Arial"/>
            <w:bCs/>
            <w:sz w:val="24"/>
            <w:szCs w:val="24"/>
            <w:lang w:val="en-US"/>
          </w:rPr>
          <w:t>https://doi.org/10.1080/21681015.2016.1172124</w:t>
        </w:r>
      </w:hyperlink>
    </w:p>
    <w:p w14:paraId="500D6233"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Branca, G., D'Arco, M., Marino, V. and Resciniti, R. (2025) 'Beyond sustainability narratives: Exploring Generation Z's shopping motivations in vintage fashion', </w:t>
      </w:r>
      <w:r w:rsidRPr="00FC7DE6">
        <w:rPr>
          <w:rFonts w:ascii="Arial" w:hAnsi="Arial" w:cs="Arial"/>
          <w:bCs/>
          <w:i/>
          <w:iCs/>
          <w:sz w:val="24"/>
          <w:szCs w:val="24"/>
          <w:lang w:val="en-US"/>
        </w:rPr>
        <w:t>Journal of Consumer Behaviour</w:t>
      </w:r>
      <w:r w:rsidRPr="00FC7DE6">
        <w:rPr>
          <w:rFonts w:ascii="Arial" w:hAnsi="Arial" w:cs="Arial"/>
          <w:bCs/>
          <w:sz w:val="24"/>
          <w:szCs w:val="24"/>
          <w:lang w:val="en-US"/>
        </w:rPr>
        <w:t xml:space="preserve">, 24(6), pp. 3082–3103. Available at: </w:t>
      </w:r>
      <w:hyperlink r:id="rId16" w:tgtFrame="_new" w:history="1">
        <w:r w:rsidRPr="00FC7DE6">
          <w:rPr>
            <w:rStyle w:val="Hyperlink"/>
            <w:rFonts w:ascii="Arial" w:hAnsi="Arial" w:cs="Arial"/>
            <w:bCs/>
            <w:sz w:val="24"/>
            <w:szCs w:val="24"/>
            <w:lang w:val="en-US"/>
          </w:rPr>
          <w:t>https://doi.org/10.1002/cb.70050</w:t>
        </w:r>
      </w:hyperlink>
    </w:p>
    <w:p w14:paraId="2C7D0E2D"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proofErr w:type="spellStart"/>
      <w:r w:rsidRPr="00FC7DE6">
        <w:rPr>
          <w:rFonts w:ascii="Arial" w:hAnsi="Arial" w:cs="Arial"/>
          <w:bCs/>
          <w:sz w:val="24"/>
          <w:szCs w:val="24"/>
          <w:lang w:val="en-US"/>
        </w:rPr>
        <w:t>Cicilionytė</w:t>
      </w:r>
      <w:proofErr w:type="spellEnd"/>
      <w:r w:rsidRPr="00FC7DE6">
        <w:rPr>
          <w:rFonts w:ascii="Arial" w:hAnsi="Arial" w:cs="Arial"/>
          <w:bCs/>
          <w:sz w:val="24"/>
          <w:szCs w:val="24"/>
          <w:lang w:val="en-US"/>
        </w:rPr>
        <w:t xml:space="preserve">, J. (2026) </w:t>
      </w:r>
      <w:r w:rsidRPr="00FC7DE6">
        <w:rPr>
          <w:rFonts w:ascii="Arial" w:hAnsi="Arial" w:cs="Arial"/>
          <w:bCs/>
          <w:i/>
          <w:iCs/>
          <w:sz w:val="24"/>
          <w:szCs w:val="24"/>
          <w:lang w:val="en-US"/>
        </w:rPr>
        <w:t>Who sells sustainability better? The effect of model gender stereotypes, green skepticism and message type on willingness to buy green products</w:t>
      </w:r>
      <w:r w:rsidRPr="00FC7DE6">
        <w:rPr>
          <w:rFonts w:ascii="Arial" w:hAnsi="Arial" w:cs="Arial"/>
          <w:bCs/>
          <w:sz w:val="24"/>
          <w:szCs w:val="24"/>
          <w:lang w:val="en-US"/>
        </w:rPr>
        <w:t xml:space="preserve">. Doctoral dissertation. ISM University of Management and Economics. Available at: </w:t>
      </w:r>
      <w:hyperlink r:id="rId17" w:tgtFrame="_new" w:history="1">
        <w:r w:rsidRPr="00FC7DE6">
          <w:rPr>
            <w:rStyle w:val="Hyperlink"/>
            <w:rFonts w:ascii="Arial" w:hAnsi="Arial" w:cs="Arial"/>
            <w:bCs/>
            <w:sz w:val="24"/>
            <w:szCs w:val="24"/>
            <w:lang w:val="en-US"/>
          </w:rPr>
          <w:t>https://gs.elaba.lt/object/elaba:302171384/</w:t>
        </w:r>
      </w:hyperlink>
      <w:r w:rsidRPr="00FC7DE6">
        <w:rPr>
          <w:rFonts w:ascii="Arial" w:hAnsi="Arial" w:cs="Arial"/>
          <w:bCs/>
          <w:sz w:val="24"/>
          <w:szCs w:val="24"/>
          <w:lang w:val="en-US"/>
        </w:rPr>
        <w:t xml:space="preserve"> (Accessed: 7 July 2026).</w:t>
      </w:r>
    </w:p>
    <w:p w14:paraId="5495B168"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Cozma, A.T. and Cosma, S.A. (2023) 'B2C market segmentation: A systematic literature review', </w:t>
      </w:r>
      <w:r w:rsidRPr="00FC7DE6">
        <w:rPr>
          <w:rFonts w:ascii="Arial" w:hAnsi="Arial" w:cs="Arial"/>
          <w:bCs/>
          <w:i/>
          <w:iCs/>
          <w:sz w:val="24"/>
          <w:szCs w:val="24"/>
          <w:lang w:val="en-US"/>
        </w:rPr>
        <w:t>The USV Annals of Economics and Public Administration</w:t>
      </w:r>
      <w:r w:rsidRPr="00FC7DE6">
        <w:rPr>
          <w:rFonts w:ascii="Arial" w:hAnsi="Arial" w:cs="Arial"/>
          <w:bCs/>
          <w:sz w:val="24"/>
          <w:szCs w:val="24"/>
          <w:lang w:val="en-US"/>
        </w:rPr>
        <w:t xml:space="preserve">, 23(1), pp. 25–45. Available at: </w:t>
      </w:r>
      <w:hyperlink r:id="rId18" w:tgtFrame="_new" w:history="1">
        <w:r w:rsidRPr="00FC7DE6">
          <w:rPr>
            <w:rStyle w:val="Hyperlink"/>
            <w:rFonts w:ascii="Arial" w:hAnsi="Arial" w:cs="Arial"/>
            <w:bCs/>
            <w:sz w:val="24"/>
            <w:szCs w:val="24"/>
            <w:lang w:val="en-US"/>
          </w:rPr>
          <w:t>http://www.annals.seap.usv.ro/index.php/annals/article/viewArticle/1448</w:t>
        </w:r>
      </w:hyperlink>
      <w:r w:rsidRPr="00FC7DE6">
        <w:rPr>
          <w:rFonts w:ascii="Arial" w:hAnsi="Arial" w:cs="Arial"/>
          <w:bCs/>
          <w:sz w:val="24"/>
          <w:szCs w:val="24"/>
          <w:lang w:val="en-US"/>
        </w:rPr>
        <w:t xml:space="preserve"> (Accessed: 7 July 2026).</w:t>
      </w:r>
    </w:p>
    <w:p w14:paraId="0DC3D38D"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Fashion for Good (2025) </w:t>
      </w:r>
      <w:r w:rsidRPr="00FC7DE6">
        <w:rPr>
          <w:rFonts w:ascii="Arial" w:hAnsi="Arial" w:cs="Arial"/>
          <w:bCs/>
          <w:i/>
          <w:iCs/>
          <w:sz w:val="24"/>
          <w:szCs w:val="24"/>
          <w:lang w:val="en-US"/>
        </w:rPr>
        <w:t>Closing the loop: Scaling circularity in the fashion industry</w:t>
      </w:r>
      <w:r w:rsidRPr="00FC7DE6">
        <w:rPr>
          <w:rFonts w:ascii="Arial" w:hAnsi="Arial" w:cs="Arial"/>
          <w:bCs/>
          <w:sz w:val="24"/>
          <w:szCs w:val="24"/>
          <w:lang w:val="en-US"/>
        </w:rPr>
        <w:t xml:space="preserve">. Available at: </w:t>
      </w:r>
      <w:hyperlink r:id="rId19" w:tgtFrame="_new" w:history="1">
        <w:r w:rsidRPr="00FC7DE6">
          <w:rPr>
            <w:rStyle w:val="Hyperlink"/>
            <w:rFonts w:ascii="Arial" w:hAnsi="Arial" w:cs="Arial"/>
            <w:bCs/>
            <w:sz w:val="24"/>
            <w:szCs w:val="24"/>
            <w:lang w:val="en-US"/>
          </w:rPr>
          <w:t>https://fashionforgood.com</w:t>
        </w:r>
      </w:hyperlink>
      <w:r w:rsidRPr="00FC7DE6">
        <w:rPr>
          <w:rFonts w:ascii="Arial" w:hAnsi="Arial" w:cs="Arial"/>
          <w:bCs/>
          <w:sz w:val="24"/>
          <w:szCs w:val="24"/>
          <w:lang w:val="en-US"/>
        </w:rPr>
        <w:t xml:space="preserve"> (Accessed: 7 July 2026).</w:t>
      </w:r>
    </w:p>
    <w:p w14:paraId="2C9789DD"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Gomes, S., Lopes, J.M. and Braga, V. (2023) 'Willingness to pay more for green products: A critical challenge for Generation Z', </w:t>
      </w:r>
      <w:r w:rsidRPr="00FC7DE6">
        <w:rPr>
          <w:rFonts w:ascii="Arial" w:hAnsi="Arial" w:cs="Arial"/>
          <w:bCs/>
          <w:i/>
          <w:iCs/>
          <w:sz w:val="24"/>
          <w:szCs w:val="24"/>
          <w:lang w:val="en-US"/>
        </w:rPr>
        <w:t>Journal of Cleaner Production</w:t>
      </w:r>
      <w:r w:rsidRPr="00FC7DE6">
        <w:rPr>
          <w:rFonts w:ascii="Arial" w:hAnsi="Arial" w:cs="Arial"/>
          <w:bCs/>
          <w:sz w:val="24"/>
          <w:szCs w:val="24"/>
          <w:lang w:val="en-US"/>
        </w:rPr>
        <w:t xml:space="preserve">, 390, 136114. Available at: </w:t>
      </w:r>
      <w:hyperlink r:id="rId20" w:tgtFrame="_new" w:history="1">
        <w:r w:rsidRPr="00FC7DE6">
          <w:rPr>
            <w:rStyle w:val="Hyperlink"/>
            <w:rFonts w:ascii="Arial" w:hAnsi="Arial" w:cs="Arial"/>
            <w:bCs/>
            <w:sz w:val="24"/>
            <w:szCs w:val="24"/>
            <w:lang w:val="en-US"/>
          </w:rPr>
          <w:t>https://doi.org/10.1016/j.jclepro.2023.136114</w:t>
        </w:r>
      </w:hyperlink>
    </w:p>
    <w:p w14:paraId="4C909B42"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lastRenderedPageBreak/>
        <w:t xml:space="preserve">Govindan, K. and </w:t>
      </w:r>
      <w:proofErr w:type="spellStart"/>
      <w:r w:rsidRPr="00FC7DE6">
        <w:rPr>
          <w:rFonts w:ascii="Arial" w:hAnsi="Arial" w:cs="Arial"/>
          <w:bCs/>
          <w:sz w:val="24"/>
          <w:szCs w:val="24"/>
          <w:lang w:val="en-US"/>
        </w:rPr>
        <w:t>Bouzon</w:t>
      </w:r>
      <w:proofErr w:type="spellEnd"/>
      <w:r w:rsidRPr="00FC7DE6">
        <w:rPr>
          <w:rFonts w:ascii="Arial" w:hAnsi="Arial" w:cs="Arial"/>
          <w:bCs/>
          <w:sz w:val="24"/>
          <w:szCs w:val="24"/>
          <w:lang w:val="en-US"/>
        </w:rPr>
        <w:t xml:space="preserve">, M. (2018) 'From a literature review to a multi-perspective framework for reverse logistics barriers and drivers', </w:t>
      </w:r>
      <w:r w:rsidRPr="00FC7DE6">
        <w:rPr>
          <w:rFonts w:ascii="Arial" w:hAnsi="Arial" w:cs="Arial"/>
          <w:bCs/>
          <w:i/>
          <w:iCs/>
          <w:sz w:val="24"/>
          <w:szCs w:val="24"/>
          <w:lang w:val="en-US"/>
        </w:rPr>
        <w:t>Journal of Cleaner Production</w:t>
      </w:r>
      <w:r w:rsidRPr="00FC7DE6">
        <w:rPr>
          <w:rFonts w:ascii="Arial" w:hAnsi="Arial" w:cs="Arial"/>
          <w:bCs/>
          <w:sz w:val="24"/>
          <w:szCs w:val="24"/>
          <w:lang w:val="en-US"/>
        </w:rPr>
        <w:t xml:space="preserve">, 187, pp. 318–337. Available at: </w:t>
      </w:r>
      <w:hyperlink r:id="rId21" w:tgtFrame="_new" w:history="1">
        <w:r w:rsidRPr="00FC7DE6">
          <w:rPr>
            <w:rStyle w:val="Hyperlink"/>
            <w:rFonts w:ascii="Arial" w:hAnsi="Arial" w:cs="Arial"/>
            <w:bCs/>
            <w:sz w:val="24"/>
            <w:szCs w:val="24"/>
            <w:lang w:val="en-US"/>
          </w:rPr>
          <w:t>https://doi.org/10.1016/j.jclepro.2018.03.040</w:t>
        </w:r>
      </w:hyperlink>
    </w:p>
    <w:p w14:paraId="62A100C0"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Gunz, C. (2023) </w:t>
      </w:r>
      <w:r w:rsidRPr="00FC7DE6">
        <w:rPr>
          <w:rFonts w:ascii="Arial" w:hAnsi="Arial" w:cs="Arial"/>
          <w:bCs/>
          <w:i/>
          <w:iCs/>
          <w:sz w:val="24"/>
          <w:szCs w:val="24"/>
          <w:lang w:val="en-US"/>
        </w:rPr>
        <w:t>Key success factors for direct-to-consumer (D2C) business models in e-commerce</w:t>
      </w:r>
      <w:r w:rsidRPr="00FC7DE6">
        <w:rPr>
          <w:rFonts w:ascii="Arial" w:hAnsi="Arial" w:cs="Arial"/>
          <w:bCs/>
          <w:sz w:val="24"/>
          <w:szCs w:val="24"/>
          <w:lang w:val="en-US"/>
        </w:rPr>
        <w:t xml:space="preserve">. Doctoral dissertation. FH Vorarlberg. Available at: </w:t>
      </w:r>
      <w:hyperlink r:id="rId22" w:tgtFrame="_new" w:history="1">
        <w:r w:rsidRPr="00FC7DE6">
          <w:rPr>
            <w:rStyle w:val="Hyperlink"/>
            <w:rFonts w:ascii="Arial" w:hAnsi="Arial" w:cs="Arial"/>
            <w:bCs/>
            <w:sz w:val="24"/>
            <w:szCs w:val="24"/>
            <w:lang w:val="en-US"/>
          </w:rPr>
          <w:t>https://opus.fhv.at/frontdoor/deliver/index/docId/5085/file/Master_Thesis_Cedric_Gunz.pdf</w:t>
        </w:r>
      </w:hyperlink>
      <w:r w:rsidRPr="00FC7DE6">
        <w:rPr>
          <w:rFonts w:ascii="Arial" w:hAnsi="Arial" w:cs="Arial"/>
          <w:bCs/>
          <w:sz w:val="24"/>
          <w:szCs w:val="24"/>
          <w:lang w:val="en-US"/>
        </w:rPr>
        <w:t xml:space="preserve"> (Accessed: 7 July 2026).</w:t>
      </w:r>
    </w:p>
    <w:p w14:paraId="55A6B46B"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Ko, W.Y. (2024) </w:t>
      </w:r>
      <w:r w:rsidRPr="00FC7DE6">
        <w:rPr>
          <w:rFonts w:ascii="Arial" w:hAnsi="Arial" w:cs="Arial"/>
          <w:bCs/>
          <w:i/>
          <w:iCs/>
          <w:sz w:val="24"/>
          <w:szCs w:val="24"/>
          <w:lang w:val="en-US"/>
        </w:rPr>
        <w:t>The analysis of 7Ps service marketing mix affecting customer intention in Thailand's cosmetic industry</w:t>
      </w:r>
      <w:r w:rsidRPr="00FC7DE6">
        <w:rPr>
          <w:rFonts w:ascii="Arial" w:hAnsi="Arial" w:cs="Arial"/>
          <w:bCs/>
          <w:sz w:val="24"/>
          <w:szCs w:val="24"/>
          <w:lang w:val="en-US"/>
        </w:rPr>
        <w:t xml:space="preserve">. Doctoral dissertation. SIAM University. Available at: </w:t>
      </w:r>
      <w:hyperlink r:id="rId23" w:tgtFrame="_new" w:history="1">
        <w:r w:rsidRPr="00FC7DE6">
          <w:rPr>
            <w:rStyle w:val="Hyperlink"/>
            <w:rFonts w:ascii="Arial" w:hAnsi="Arial" w:cs="Arial"/>
            <w:bCs/>
            <w:sz w:val="24"/>
            <w:szCs w:val="24"/>
            <w:lang w:val="en-US"/>
          </w:rPr>
          <w:t>https://e-research.siam.edu/wp-content/uploads/2025/04/MBA-2024-IS-Wai-Yan-Ko-6517190009-The-Analysis-of-7Ps-Service-Marketing.pdf</w:t>
        </w:r>
      </w:hyperlink>
      <w:r w:rsidRPr="00FC7DE6">
        <w:rPr>
          <w:rFonts w:ascii="Arial" w:hAnsi="Arial" w:cs="Arial"/>
          <w:bCs/>
          <w:sz w:val="24"/>
          <w:szCs w:val="24"/>
          <w:lang w:val="en-US"/>
        </w:rPr>
        <w:t xml:space="preserve"> (Accessed: 7 July 2026).</w:t>
      </w:r>
    </w:p>
    <w:p w14:paraId="77645192"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proofErr w:type="spellStart"/>
      <w:r w:rsidRPr="00FC7DE6">
        <w:rPr>
          <w:rFonts w:ascii="Arial" w:hAnsi="Arial" w:cs="Arial"/>
          <w:bCs/>
          <w:sz w:val="24"/>
          <w:szCs w:val="24"/>
          <w:lang w:val="en-US"/>
        </w:rPr>
        <w:t>Loutraris</w:t>
      </w:r>
      <w:proofErr w:type="spellEnd"/>
      <w:r w:rsidRPr="00FC7DE6">
        <w:rPr>
          <w:rFonts w:ascii="Arial" w:hAnsi="Arial" w:cs="Arial"/>
          <w:bCs/>
          <w:sz w:val="24"/>
          <w:szCs w:val="24"/>
          <w:lang w:val="en-US"/>
        </w:rPr>
        <w:t xml:space="preserve">, P. (2025) </w:t>
      </w:r>
      <w:r w:rsidRPr="00FC7DE6">
        <w:rPr>
          <w:rFonts w:ascii="Arial" w:hAnsi="Arial" w:cs="Arial"/>
          <w:bCs/>
          <w:i/>
          <w:iCs/>
          <w:sz w:val="24"/>
          <w:szCs w:val="24"/>
          <w:lang w:val="en-US"/>
        </w:rPr>
        <w:t>Quantifying product/service value: A framework for modeling perceived value to pricing</w:t>
      </w:r>
      <w:r w:rsidRPr="00FC7DE6">
        <w:rPr>
          <w:rFonts w:ascii="Arial" w:hAnsi="Arial" w:cs="Arial"/>
          <w:bCs/>
          <w:sz w:val="24"/>
          <w:szCs w:val="24"/>
          <w:lang w:val="en-US"/>
        </w:rPr>
        <w:t xml:space="preserve">. SSRN Working Paper No. 5449996. Available at: </w:t>
      </w:r>
      <w:hyperlink r:id="rId24" w:tgtFrame="_new" w:history="1">
        <w:r w:rsidRPr="00FC7DE6">
          <w:rPr>
            <w:rStyle w:val="Hyperlink"/>
            <w:rFonts w:ascii="Arial" w:hAnsi="Arial" w:cs="Arial"/>
            <w:bCs/>
            <w:sz w:val="24"/>
            <w:szCs w:val="24"/>
            <w:lang w:val="en-US"/>
          </w:rPr>
          <w:t>https://papers.ssrn.com/sol3/papers.cfm?abstract_id=5449996</w:t>
        </w:r>
      </w:hyperlink>
      <w:r w:rsidRPr="00FC7DE6">
        <w:rPr>
          <w:rFonts w:ascii="Arial" w:hAnsi="Arial" w:cs="Arial"/>
          <w:bCs/>
          <w:sz w:val="24"/>
          <w:szCs w:val="24"/>
          <w:lang w:val="en-US"/>
        </w:rPr>
        <w:t xml:space="preserve"> (Accessed: 7 July 2026).</w:t>
      </w:r>
    </w:p>
    <w:p w14:paraId="5E9A5309"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proofErr w:type="spellStart"/>
      <w:r w:rsidRPr="00FC7DE6">
        <w:rPr>
          <w:rFonts w:ascii="Arial" w:hAnsi="Arial" w:cs="Arial"/>
          <w:bCs/>
          <w:sz w:val="24"/>
          <w:szCs w:val="24"/>
          <w:lang w:val="en-US"/>
        </w:rPr>
        <w:t>Mainjot</w:t>
      </w:r>
      <w:proofErr w:type="spellEnd"/>
      <w:r w:rsidRPr="00FC7DE6">
        <w:rPr>
          <w:rFonts w:ascii="Arial" w:hAnsi="Arial" w:cs="Arial"/>
          <w:bCs/>
          <w:sz w:val="24"/>
          <w:szCs w:val="24"/>
          <w:lang w:val="en-US"/>
        </w:rPr>
        <w:t xml:space="preserve">, M. (2025) </w:t>
      </w:r>
      <w:r w:rsidRPr="00FC7DE6">
        <w:rPr>
          <w:rFonts w:ascii="Arial" w:hAnsi="Arial" w:cs="Arial"/>
          <w:bCs/>
          <w:i/>
          <w:iCs/>
          <w:sz w:val="24"/>
          <w:szCs w:val="24"/>
          <w:lang w:val="en-US"/>
        </w:rPr>
        <w:t>How do Gen Z consumers perceive social media influencers in promoting sustainable fashion consumption?</w:t>
      </w:r>
      <w:r w:rsidRPr="00FC7DE6">
        <w:rPr>
          <w:rFonts w:ascii="Arial" w:hAnsi="Arial" w:cs="Arial"/>
          <w:bCs/>
          <w:sz w:val="24"/>
          <w:szCs w:val="24"/>
          <w:lang w:val="en-US"/>
        </w:rPr>
        <w:t xml:space="preserve"> [Unpublished dissertation].</w:t>
      </w:r>
    </w:p>
    <w:p w14:paraId="617069FE"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Mhatre, P., Panchal, R., Singh, A. and </w:t>
      </w:r>
      <w:proofErr w:type="spellStart"/>
      <w:r w:rsidRPr="00FC7DE6">
        <w:rPr>
          <w:rFonts w:ascii="Arial" w:hAnsi="Arial" w:cs="Arial"/>
          <w:bCs/>
          <w:sz w:val="24"/>
          <w:szCs w:val="24"/>
          <w:lang w:val="en-US"/>
        </w:rPr>
        <w:t>Bibyan</w:t>
      </w:r>
      <w:proofErr w:type="spellEnd"/>
      <w:r w:rsidRPr="00FC7DE6">
        <w:rPr>
          <w:rFonts w:ascii="Arial" w:hAnsi="Arial" w:cs="Arial"/>
          <w:bCs/>
          <w:sz w:val="24"/>
          <w:szCs w:val="24"/>
          <w:lang w:val="en-US"/>
        </w:rPr>
        <w:t xml:space="preserve">, S. (2021) 'A systematic literature review on the circular economy initiatives in the European Union', </w:t>
      </w:r>
      <w:r w:rsidRPr="00FC7DE6">
        <w:rPr>
          <w:rFonts w:ascii="Arial" w:hAnsi="Arial" w:cs="Arial"/>
          <w:bCs/>
          <w:i/>
          <w:iCs/>
          <w:sz w:val="24"/>
          <w:szCs w:val="24"/>
          <w:lang w:val="en-US"/>
        </w:rPr>
        <w:t>Sustainable Production and Consumption</w:t>
      </w:r>
      <w:r w:rsidRPr="00FC7DE6">
        <w:rPr>
          <w:rFonts w:ascii="Arial" w:hAnsi="Arial" w:cs="Arial"/>
          <w:bCs/>
          <w:sz w:val="24"/>
          <w:szCs w:val="24"/>
          <w:lang w:val="en-US"/>
        </w:rPr>
        <w:t xml:space="preserve">, 26, pp. 187–202. Available at: </w:t>
      </w:r>
      <w:hyperlink r:id="rId25" w:tgtFrame="_new" w:history="1">
        <w:r w:rsidRPr="00FC7DE6">
          <w:rPr>
            <w:rStyle w:val="Hyperlink"/>
            <w:rFonts w:ascii="Arial" w:hAnsi="Arial" w:cs="Arial"/>
            <w:bCs/>
            <w:sz w:val="24"/>
            <w:szCs w:val="24"/>
            <w:lang w:val="en-US"/>
          </w:rPr>
          <w:t>https://doi.org/10.1016/j.spc.2020.09.008</w:t>
        </w:r>
      </w:hyperlink>
    </w:p>
    <w:p w14:paraId="309F1A6E"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Nathaniel, S. (2026) </w:t>
      </w:r>
      <w:r w:rsidRPr="00FC7DE6">
        <w:rPr>
          <w:rFonts w:ascii="Arial" w:hAnsi="Arial" w:cs="Arial"/>
          <w:bCs/>
          <w:i/>
          <w:iCs/>
          <w:sz w:val="24"/>
          <w:szCs w:val="24"/>
          <w:lang w:val="en-US"/>
        </w:rPr>
        <w:t>The role of integrated marketing communication in the digital era in building brand consistency and consumer engagement</w:t>
      </w:r>
      <w:r w:rsidRPr="00FC7DE6">
        <w:rPr>
          <w:rFonts w:ascii="Arial" w:hAnsi="Arial" w:cs="Arial"/>
          <w:bCs/>
          <w:sz w:val="24"/>
          <w:szCs w:val="24"/>
          <w:lang w:val="en-US"/>
        </w:rPr>
        <w:t>. [Unpublished manuscript].</w:t>
      </w:r>
    </w:p>
    <w:p w14:paraId="62C5A9AD"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Nike (2024) </w:t>
      </w:r>
      <w:r w:rsidRPr="00FC7DE6">
        <w:rPr>
          <w:rFonts w:ascii="Arial" w:hAnsi="Arial" w:cs="Arial"/>
          <w:bCs/>
          <w:i/>
          <w:iCs/>
          <w:sz w:val="24"/>
          <w:szCs w:val="24"/>
          <w:lang w:val="en-US"/>
        </w:rPr>
        <w:t>Circular solutions: Move to Zero</w:t>
      </w:r>
      <w:r w:rsidRPr="00FC7DE6">
        <w:rPr>
          <w:rFonts w:ascii="Arial" w:hAnsi="Arial" w:cs="Arial"/>
          <w:bCs/>
          <w:sz w:val="24"/>
          <w:szCs w:val="24"/>
          <w:lang w:val="en-US"/>
        </w:rPr>
        <w:t xml:space="preserve">. Available at: </w:t>
      </w:r>
      <w:hyperlink r:id="rId26" w:tgtFrame="_new" w:history="1">
        <w:r w:rsidRPr="00FC7DE6">
          <w:rPr>
            <w:rStyle w:val="Hyperlink"/>
            <w:rFonts w:ascii="Arial" w:hAnsi="Arial" w:cs="Arial"/>
            <w:bCs/>
            <w:sz w:val="24"/>
            <w:szCs w:val="24"/>
            <w:lang w:val="en-US"/>
          </w:rPr>
          <w:t>https://www.nike.com/sustainability/services</w:t>
        </w:r>
      </w:hyperlink>
      <w:r w:rsidRPr="00FC7DE6">
        <w:rPr>
          <w:rFonts w:ascii="Arial" w:hAnsi="Arial" w:cs="Arial"/>
          <w:bCs/>
          <w:sz w:val="24"/>
          <w:szCs w:val="24"/>
          <w:lang w:val="en-US"/>
        </w:rPr>
        <w:t xml:space="preserve"> (Accessed: 7 July 2026).</w:t>
      </w:r>
    </w:p>
    <w:p w14:paraId="540B4922"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lastRenderedPageBreak/>
        <w:t xml:space="preserve">Nike, Inc. (2024) </w:t>
      </w:r>
      <w:r w:rsidRPr="00FC7DE6">
        <w:rPr>
          <w:rFonts w:ascii="Arial" w:hAnsi="Arial" w:cs="Arial"/>
          <w:bCs/>
          <w:i/>
          <w:iCs/>
          <w:sz w:val="24"/>
          <w:szCs w:val="24"/>
          <w:lang w:val="en-US"/>
        </w:rPr>
        <w:t>FY2024 annual report</w:t>
      </w:r>
      <w:r w:rsidRPr="00FC7DE6">
        <w:rPr>
          <w:rFonts w:ascii="Arial" w:hAnsi="Arial" w:cs="Arial"/>
          <w:bCs/>
          <w:sz w:val="24"/>
          <w:szCs w:val="24"/>
          <w:lang w:val="en-US"/>
        </w:rPr>
        <w:t>. Beaverton, OR: Nike, Inc. Available at: https://investors.nike.com/investors/financials/annual-reports/default.aspx (Accessed: 7 July 2026).</w:t>
      </w:r>
    </w:p>
    <w:p w14:paraId="50017DC9"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Pham, H. (2025) </w:t>
      </w:r>
      <w:r w:rsidRPr="00FC7DE6">
        <w:rPr>
          <w:rFonts w:ascii="Arial" w:hAnsi="Arial" w:cs="Arial"/>
          <w:bCs/>
          <w:i/>
          <w:iCs/>
          <w:sz w:val="24"/>
          <w:szCs w:val="24"/>
          <w:lang w:val="en-US"/>
        </w:rPr>
        <w:t>The influence of corporate social responsibility (CSR) on brand equity: From sustainable marketing perspectives</w:t>
      </w:r>
      <w:r w:rsidRPr="00FC7DE6">
        <w:rPr>
          <w:rFonts w:ascii="Arial" w:hAnsi="Arial" w:cs="Arial"/>
          <w:bCs/>
          <w:sz w:val="24"/>
          <w:szCs w:val="24"/>
          <w:lang w:val="en-US"/>
        </w:rPr>
        <w:t xml:space="preserve">. Available at: </w:t>
      </w:r>
      <w:hyperlink r:id="rId27" w:tgtFrame="_new" w:history="1">
        <w:r w:rsidRPr="00FC7DE6">
          <w:rPr>
            <w:rStyle w:val="Hyperlink"/>
            <w:rFonts w:ascii="Arial" w:hAnsi="Arial" w:cs="Arial"/>
            <w:bCs/>
            <w:sz w:val="24"/>
            <w:szCs w:val="24"/>
            <w:lang w:val="en-US"/>
          </w:rPr>
          <w:t>https://www.theseus.fi/handle/10024/892153</w:t>
        </w:r>
      </w:hyperlink>
      <w:r w:rsidRPr="00FC7DE6">
        <w:rPr>
          <w:rFonts w:ascii="Arial" w:hAnsi="Arial" w:cs="Arial"/>
          <w:bCs/>
          <w:sz w:val="24"/>
          <w:szCs w:val="24"/>
          <w:lang w:val="en-US"/>
        </w:rPr>
        <w:t xml:space="preserve"> (Accessed: 7 July 2026).</w:t>
      </w:r>
    </w:p>
    <w:p w14:paraId="64435917"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Prasetya, F.A., </w:t>
      </w:r>
      <w:proofErr w:type="spellStart"/>
      <w:r w:rsidRPr="00FC7DE6">
        <w:rPr>
          <w:rFonts w:ascii="Arial" w:hAnsi="Arial" w:cs="Arial"/>
          <w:bCs/>
          <w:sz w:val="24"/>
          <w:szCs w:val="24"/>
          <w:lang w:val="en-US"/>
        </w:rPr>
        <w:t>Soetjipto</w:t>
      </w:r>
      <w:proofErr w:type="spellEnd"/>
      <w:r w:rsidRPr="00FC7DE6">
        <w:rPr>
          <w:rFonts w:ascii="Arial" w:hAnsi="Arial" w:cs="Arial"/>
          <w:bCs/>
          <w:sz w:val="24"/>
          <w:szCs w:val="24"/>
          <w:lang w:val="en-US"/>
        </w:rPr>
        <w:t xml:space="preserve">, B.E. and </w:t>
      </w:r>
      <w:proofErr w:type="spellStart"/>
      <w:r w:rsidRPr="00FC7DE6">
        <w:rPr>
          <w:rFonts w:ascii="Arial" w:hAnsi="Arial" w:cs="Arial"/>
          <w:bCs/>
          <w:sz w:val="24"/>
          <w:szCs w:val="24"/>
          <w:lang w:val="en-US"/>
        </w:rPr>
        <w:t>Wardhana</w:t>
      </w:r>
      <w:proofErr w:type="spellEnd"/>
      <w:r w:rsidRPr="00FC7DE6">
        <w:rPr>
          <w:rFonts w:ascii="Arial" w:hAnsi="Arial" w:cs="Arial"/>
          <w:bCs/>
          <w:sz w:val="24"/>
          <w:szCs w:val="24"/>
          <w:lang w:val="en-US"/>
        </w:rPr>
        <w:t xml:space="preserve">, L.W. (2025) 'Brand positioning analysis in enhancing customer loyalty: A systematic literature review', </w:t>
      </w:r>
      <w:r w:rsidRPr="00FC7DE6">
        <w:rPr>
          <w:rFonts w:ascii="Arial" w:hAnsi="Arial" w:cs="Arial"/>
          <w:bCs/>
          <w:i/>
          <w:iCs/>
          <w:sz w:val="24"/>
          <w:szCs w:val="24"/>
          <w:lang w:val="en-US"/>
        </w:rPr>
        <w:t>Economics and Business Journal (ECBIS)</w:t>
      </w:r>
      <w:r w:rsidRPr="00FC7DE6">
        <w:rPr>
          <w:rFonts w:ascii="Arial" w:hAnsi="Arial" w:cs="Arial"/>
          <w:bCs/>
          <w:sz w:val="24"/>
          <w:szCs w:val="24"/>
          <w:lang w:val="en-US"/>
        </w:rPr>
        <w:t xml:space="preserve">, 3(4), pp. 357–370. Available at: </w:t>
      </w:r>
      <w:hyperlink r:id="rId28" w:tgtFrame="_new" w:history="1">
        <w:r w:rsidRPr="00FC7DE6">
          <w:rPr>
            <w:rStyle w:val="Hyperlink"/>
            <w:rFonts w:ascii="Arial" w:hAnsi="Arial" w:cs="Arial"/>
            <w:bCs/>
            <w:sz w:val="24"/>
            <w:szCs w:val="24"/>
            <w:lang w:val="en-US"/>
          </w:rPr>
          <w:t>https://doi.org/10.47353/ecbis.v3i4.209</w:t>
        </w:r>
      </w:hyperlink>
    </w:p>
    <w:p w14:paraId="06BDB5BB"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Rampazzo, F. (2024) </w:t>
      </w:r>
      <w:r w:rsidRPr="00FC7DE6">
        <w:rPr>
          <w:rFonts w:ascii="Arial" w:hAnsi="Arial" w:cs="Arial"/>
          <w:bCs/>
          <w:i/>
          <w:iCs/>
          <w:sz w:val="24"/>
          <w:szCs w:val="24"/>
          <w:lang w:val="en-US"/>
        </w:rPr>
        <w:t>Willingness to pay for sustainable luxury: An empirical inquiry into the alchemy with individual personality profiles</w:t>
      </w:r>
      <w:r w:rsidRPr="00FC7DE6">
        <w:rPr>
          <w:rFonts w:ascii="Arial" w:hAnsi="Arial" w:cs="Arial"/>
          <w:bCs/>
          <w:sz w:val="24"/>
          <w:szCs w:val="24"/>
          <w:lang w:val="en-US"/>
        </w:rPr>
        <w:t xml:space="preserve">. Available at: </w:t>
      </w:r>
      <w:hyperlink r:id="rId29" w:tgtFrame="_new" w:history="1">
        <w:r w:rsidRPr="00FC7DE6">
          <w:rPr>
            <w:rStyle w:val="Hyperlink"/>
            <w:rFonts w:ascii="Arial" w:hAnsi="Arial" w:cs="Arial"/>
            <w:bCs/>
            <w:sz w:val="24"/>
            <w:szCs w:val="24"/>
            <w:lang w:val="en-US"/>
          </w:rPr>
          <w:t>https://unitesi.unive.it/handle/20.500.14247/22977</w:t>
        </w:r>
      </w:hyperlink>
      <w:r w:rsidRPr="00FC7DE6">
        <w:rPr>
          <w:rFonts w:ascii="Arial" w:hAnsi="Arial" w:cs="Arial"/>
          <w:bCs/>
          <w:sz w:val="24"/>
          <w:szCs w:val="24"/>
          <w:lang w:val="en-US"/>
        </w:rPr>
        <w:t xml:space="preserve"> (Accessed: 7 July 2026).</w:t>
      </w:r>
    </w:p>
    <w:p w14:paraId="36F16967"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Simkin, L. and Dibb, S. (1998) '</w:t>
      </w:r>
      <w:proofErr w:type="spellStart"/>
      <w:r w:rsidRPr="00FC7DE6">
        <w:rPr>
          <w:rFonts w:ascii="Arial" w:hAnsi="Arial" w:cs="Arial"/>
          <w:bCs/>
          <w:sz w:val="24"/>
          <w:szCs w:val="24"/>
          <w:lang w:val="en-US"/>
        </w:rPr>
        <w:t>Prioritising</w:t>
      </w:r>
      <w:proofErr w:type="spellEnd"/>
      <w:r w:rsidRPr="00FC7DE6">
        <w:rPr>
          <w:rFonts w:ascii="Arial" w:hAnsi="Arial" w:cs="Arial"/>
          <w:bCs/>
          <w:sz w:val="24"/>
          <w:szCs w:val="24"/>
          <w:lang w:val="en-US"/>
        </w:rPr>
        <w:t xml:space="preserve"> target markets', </w:t>
      </w:r>
      <w:r w:rsidRPr="00FC7DE6">
        <w:rPr>
          <w:rFonts w:ascii="Arial" w:hAnsi="Arial" w:cs="Arial"/>
          <w:bCs/>
          <w:i/>
          <w:iCs/>
          <w:sz w:val="24"/>
          <w:szCs w:val="24"/>
          <w:lang w:val="en-US"/>
        </w:rPr>
        <w:t>Marketing Intelligence &amp; Planning</w:t>
      </w:r>
      <w:r w:rsidRPr="00FC7DE6">
        <w:rPr>
          <w:rFonts w:ascii="Arial" w:hAnsi="Arial" w:cs="Arial"/>
          <w:bCs/>
          <w:sz w:val="24"/>
          <w:szCs w:val="24"/>
          <w:lang w:val="en-US"/>
        </w:rPr>
        <w:t xml:space="preserve">, 16(7), pp. 407–417. Available at: </w:t>
      </w:r>
      <w:hyperlink r:id="rId30" w:tgtFrame="_new" w:history="1">
        <w:r w:rsidRPr="00FC7DE6">
          <w:rPr>
            <w:rStyle w:val="Hyperlink"/>
            <w:rFonts w:ascii="Arial" w:hAnsi="Arial" w:cs="Arial"/>
            <w:bCs/>
            <w:sz w:val="24"/>
            <w:szCs w:val="24"/>
            <w:lang w:val="en-US"/>
          </w:rPr>
          <w:t>https://doi.org/10.1108/02634509810244417</w:t>
        </w:r>
      </w:hyperlink>
    </w:p>
    <w:p w14:paraId="66655D2C"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r w:rsidRPr="00FC7DE6">
        <w:rPr>
          <w:rFonts w:ascii="Arial" w:hAnsi="Arial" w:cs="Arial"/>
          <w:bCs/>
          <w:sz w:val="24"/>
          <w:szCs w:val="24"/>
          <w:lang w:val="en-US"/>
        </w:rPr>
        <w:t xml:space="preserve">The University of Edinburgh (2024) </w:t>
      </w:r>
      <w:r w:rsidRPr="00FC7DE6">
        <w:rPr>
          <w:rFonts w:ascii="Arial" w:hAnsi="Arial" w:cs="Arial"/>
          <w:bCs/>
          <w:i/>
          <w:iCs/>
          <w:sz w:val="24"/>
          <w:szCs w:val="24"/>
          <w:lang w:val="en-US"/>
        </w:rPr>
        <w:t>Gibbs' Reflective Cycle</w:t>
      </w:r>
      <w:r w:rsidRPr="00FC7DE6">
        <w:rPr>
          <w:rFonts w:ascii="Arial" w:hAnsi="Arial" w:cs="Arial"/>
          <w:bCs/>
          <w:sz w:val="24"/>
          <w:szCs w:val="24"/>
          <w:lang w:val="en-US"/>
        </w:rPr>
        <w:t xml:space="preserve">. Reflection Toolkit. Available at: </w:t>
      </w:r>
      <w:hyperlink r:id="rId31" w:tgtFrame="_new" w:history="1">
        <w:r w:rsidRPr="00FC7DE6">
          <w:rPr>
            <w:rStyle w:val="Hyperlink"/>
            <w:rFonts w:ascii="Arial" w:hAnsi="Arial" w:cs="Arial"/>
            <w:bCs/>
            <w:sz w:val="24"/>
            <w:szCs w:val="24"/>
            <w:lang w:val="en-US"/>
          </w:rPr>
          <w:t>https://reflection.ed.ac.uk/reflectors-toolkit/reflecting-on-experience/gibbs-reflective-cycle</w:t>
        </w:r>
      </w:hyperlink>
      <w:r w:rsidRPr="00FC7DE6">
        <w:rPr>
          <w:rFonts w:ascii="Arial" w:hAnsi="Arial" w:cs="Arial"/>
          <w:bCs/>
          <w:sz w:val="24"/>
          <w:szCs w:val="24"/>
          <w:lang w:val="en-US"/>
        </w:rPr>
        <w:t xml:space="preserve"> (Accessed: 7 July 2026).</w:t>
      </w:r>
    </w:p>
    <w:p w14:paraId="59B44922" w14:textId="77777777" w:rsidR="00FC7DE6" w:rsidRPr="00FC7DE6" w:rsidRDefault="00FC7DE6" w:rsidP="00FC7DE6">
      <w:pPr>
        <w:spacing w:before="120" w:after="100" w:afterAutospacing="1" w:line="360" w:lineRule="auto"/>
        <w:ind w:left="720" w:hanging="720"/>
        <w:rPr>
          <w:rFonts w:ascii="Arial" w:hAnsi="Arial" w:cs="Arial"/>
          <w:bCs/>
          <w:sz w:val="24"/>
          <w:szCs w:val="24"/>
          <w:lang w:val="en-US"/>
        </w:rPr>
      </w:pPr>
      <w:proofErr w:type="spellStart"/>
      <w:r w:rsidRPr="00FC7DE6">
        <w:rPr>
          <w:rFonts w:ascii="Arial" w:hAnsi="Arial" w:cs="Arial"/>
          <w:bCs/>
          <w:sz w:val="24"/>
          <w:szCs w:val="24"/>
          <w:lang w:val="en-US"/>
        </w:rPr>
        <w:t>Ulziibadrakh</w:t>
      </w:r>
      <w:proofErr w:type="spellEnd"/>
      <w:r w:rsidRPr="00FC7DE6">
        <w:rPr>
          <w:rFonts w:ascii="Arial" w:hAnsi="Arial" w:cs="Arial"/>
          <w:bCs/>
          <w:sz w:val="24"/>
          <w:szCs w:val="24"/>
          <w:lang w:val="en-US"/>
        </w:rPr>
        <w:t xml:space="preserve">, Z., Sándor, K. and Szakály, Z. (2025) 'Influence of the service marketing mix on audience decision-making in Mongolian performing arts', </w:t>
      </w:r>
      <w:r w:rsidRPr="00FC7DE6">
        <w:rPr>
          <w:rFonts w:ascii="Arial" w:hAnsi="Arial" w:cs="Arial"/>
          <w:bCs/>
          <w:i/>
          <w:iCs/>
          <w:sz w:val="24"/>
          <w:szCs w:val="24"/>
          <w:lang w:val="en-US"/>
        </w:rPr>
        <w:t>Humanities and Social Sciences Communications</w:t>
      </w:r>
      <w:r w:rsidRPr="00FC7DE6">
        <w:rPr>
          <w:rFonts w:ascii="Arial" w:hAnsi="Arial" w:cs="Arial"/>
          <w:bCs/>
          <w:sz w:val="24"/>
          <w:szCs w:val="24"/>
          <w:lang w:val="en-US"/>
        </w:rPr>
        <w:t xml:space="preserve">, 12(1), pp. 1–12. Available at: </w:t>
      </w:r>
      <w:hyperlink r:id="rId32" w:tgtFrame="_new" w:history="1">
        <w:r w:rsidRPr="00FC7DE6">
          <w:rPr>
            <w:rStyle w:val="Hyperlink"/>
            <w:rFonts w:ascii="Arial" w:hAnsi="Arial" w:cs="Arial"/>
            <w:bCs/>
            <w:sz w:val="24"/>
            <w:szCs w:val="24"/>
            <w:lang w:val="en-US"/>
          </w:rPr>
          <w:t>https://www.nature.com/articles/s41599-025-05167-2</w:t>
        </w:r>
      </w:hyperlink>
      <w:r w:rsidRPr="00FC7DE6">
        <w:rPr>
          <w:rFonts w:ascii="Arial" w:hAnsi="Arial" w:cs="Arial"/>
          <w:bCs/>
          <w:sz w:val="24"/>
          <w:szCs w:val="24"/>
          <w:lang w:val="en-US"/>
        </w:rPr>
        <w:t xml:space="preserve"> (Accessed: 7 July 2026).</w:t>
      </w:r>
    </w:p>
    <w:p w14:paraId="4633B62A" w14:textId="77777777" w:rsidR="00FC7DE6" w:rsidRPr="003A518F" w:rsidRDefault="00FC7DE6" w:rsidP="003A518F">
      <w:pPr>
        <w:spacing w:before="120" w:after="100" w:afterAutospacing="1" w:line="360" w:lineRule="auto"/>
        <w:ind w:left="720" w:hanging="720"/>
        <w:jc w:val="both"/>
        <w:rPr>
          <w:rFonts w:ascii="Arial" w:hAnsi="Arial" w:cs="Arial"/>
          <w:b/>
          <w:sz w:val="24"/>
          <w:szCs w:val="24"/>
        </w:rPr>
      </w:pPr>
    </w:p>
    <w:sectPr w:rsidR="00FC7DE6" w:rsidRPr="003A518F" w:rsidSect="00693B7E">
      <w:footerReference w:type="default" r:id="rId3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C27B3" w14:textId="77777777" w:rsidR="0088537B" w:rsidRDefault="0088537B" w:rsidP="00223789">
      <w:r>
        <w:separator/>
      </w:r>
    </w:p>
  </w:endnote>
  <w:endnote w:type="continuationSeparator" w:id="0">
    <w:p w14:paraId="252F75E8" w14:textId="77777777" w:rsidR="0088537B" w:rsidRDefault="0088537B" w:rsidP="00223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056813"/>
      <w:docPartObj>
        <w:docPartGallery w:val="Page Numbers (Bottom of Page)"/>
        <w:docPartUnique/>
      </w:docPartObj>
    </w:sdtPr>
    <w:sdtEndPr>
      <w:rPr>
        <w:color w:val="7F7F7F" w:themeColor="background1" w:themeShade="7F"/>
        <w:spacing w:val="60"/>
      </w:rPr>
    </w:sdtEndPr>
    <w:sdtContent>
      <w:p w14:paraId="13C17D5B" w14:textId="77777777" w:rsidR="00223789" w:rsidRDefault="0022378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F2D4AB" w14:textId="77777777" w:rsidR="00223789" w:rsidRDefault="002237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F3377" w14:textId="77777777" w:rsidR="0088537B" w:rsidRDefault="0088537B" w:rsidP="00223789">
      <w:r>
        <w:separator/>
      </w:r>
    </w:p>
  </w:footnote>
  <w:footnote w:type="continuationSeparator" w:id="0">
    <w:p w14:paraId="2F626DDA" w14:textId="77777777" w:rsidR="0088537B" w:rsidRDefault="0088537B" w:rsidP="00223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72A"/>
    <w:multiLevelType w:val="hybridMultilevel"/>
    <w:tmpl w:val="8D48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82E04"/>
    <w:multiLevelType w:val="hybridMultilevel"/>
    <w:tmpl w:val="09D46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3D3C00"/>
    <w:multiLevelType w:val="hybridMultilevel"/>
    <w:tmpl w:val="20C6C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4925329">
    <w:abstractNumId w:val="0"/>
  </w:num>
  <w:num w:numId="2" w16cid:durableId="121193674">
    <w:abstractNumId w:val="2"/>
  </w:num>
  <w:num w:numId="3" w16cid:durableId="172033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771"/>
    <w:rsid w:val="00072287"/>
    <w:rsid w:val="000B3924"/>
    <w:rsid w:val="001E3FA2"/>
    <w:rsid w:val="00223789"/>
    <w:rsid w:val="00314171"/>
    <w:rsid w:val="00354335"/>
    <w:rsid w:val="0037400C"/>
    <w:rsid w:val="0039234A"/>
    <w:rsid w:val="003A518F"/>
    <w:rsid w:val="003D699C"/>
    <w:rsid w:val="00413EC4"/>
    <w:rsid w:val="00492DAA"/>
    <w:rsid w:val="004B1517"/>
    <w:rsid w:val="004C46DC"/>
    <w:rsid w:val="00524A4E"/>
    <w:rsid w:val="005329F0"/>
    <w:rsid w:val="005F3599"/>
    <w:rsid w:val="00693B7E"/>
    <w:rsid w:val="006C40AA"/>
    <w:rsid w:val="006D6A8E"/>
    <w:rsid w:val="00787510"/>
    <w:rsid w:val="007942F9"/>
    <w:rsid w:val="007A2FB0"/>
    <w:rsid w:val="007F2764"/>
    <w:rsid w:val="0080688C"/>
    <w:rsid w:val="0088537B"/>
    <w:rsid w:val="00967E9F"/>
    <w:rsid w:val="00A2259D"/>
    <w:rsid w:val="00A67E76"/>
    <w:rsid w:val="00A9176A"/>
    <w:rsid w:val="00CC09FC"/>
    <w:rsid w:val="00D23B02"/>
    <w:rsid w:val="00D277A8"/>
    <w:rsid w:val="00D44AD6"/>
    <w:rsid w:val="00DC0540"/>
    <w:rsid w:val="00E00771"/>
    <w:rsid w:val="00E56900"/>
    <w:rsid w:val="00ED4768"/>
    <w:rsid w:val="00F61782"/>
    <w:rsid w:val="00FC7D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D968E"/>
  <w15:chartTrackingRefBased/>
  <w15:docId w15:val="{91E1EADC-56CE-41D5-8E55-5B381412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771"/>
    <w:pPr>
      <w:spacing w:after="0" w:line="240" w:lineRule="auto"/>
    </w:pPr>
    <w:rPr>
      <w:rFonts w:ascii="Times New Roman" w:eastAsia="Times New Roman" w:hAnsi="Times New Roman" w:cs="Times New Roman"/>
      <w:sz w:val="20"/>
      <w:szCs w:val="20"/>
      <w:lang w:eastAsia="en-GB"/>
    </w:rPr>
  </w:style>
  <w:style w:type="paragraph" w:styleId="Heading1">
    <w:name w:val="heading 1"/>
    <w:link w:val="Heading1Char"/>
    <w:uiPriority w:val="9"/>
    <w:qFormat/>
    <w:rsid w:val="001E3FA2"/>
    <w:pPr>
      <w:spacing w:after="0" w:line="240" w:lineRule="auto"/>
      <w:jc w:val="center"/>
      <w:outlineLvl w:val="0"/>
    </w:pPr>
    <w:rPr>
      <w:rFonts w:ascii="Arial" w:eastAsia="Times New Roman" w:hAnsi="Arial" w:cs="Times New Roman"/>
      <w:b/>
      <w:sz w:val="36"/>
      <w:szCs w:val="32"/>
      <w:lang w:eastAsia="en-GB"/>
    </w:rPr>
  </w:style>
  <w:style w:type="paragraph" w:styleId="Heading2">
    <w:name w:val="heading 2"/>
    <w:link w:val="Heading2Char"/>
    <w:uiPriority w:val="9"/>
    <w:unhideWhenUsed/>
    <w:qFormat/>
    <w:rsid w:val="00693B7E"/>
    <w:pPr>
      <w:spacing w:after="0" w:line="240" w:lineRule="auto"/>
      <w:outlineLvl w:val="1"/>
    </w:pPr>
    <w:rPr>
      <w:rFonts w:ascii="Arial" w:eastAsia="Times New Roman" w:hAnsi="Arial" w:cs="Times New Roman"/>
      <w:b/>
      <w:color w:val="000000" w:themeColor="text1"/>
      <w:sz w:val="28"/>
      <w:szCs w:val="26"/>
      <w:lang w:eastAsia="en-GB"/>
    </w:rPr>
  </w:style>
  <w:style w:type="paragraph" w:styleId="Heading3">
    <w:name w:val="heading 3"/>
    <w:basedOn w:val="Normal"/>
    <w:next w:val="Normal"/>
    <w:link w:val="Heading3Char"/>
    <w:uiPriority w:val="9"/>
    <w:unhideWhenUsed/>
    <w:qFormat/>
    <w:rsid w:val="007A2FB0"/>
    <w:pPr>
      <w:keepNext/>
      <w:keepLines/>
      <w:spacing w:before="40"/>
      <w:outlineLvl w:val="2"/>
    </w:pPr>
    <w:rPr>
      <w:rFonts w:ascii="Arial" w:eastAsiaTheme="majorEastAsia" w:hAnsi="Arial" w:cstheme="majorBidi"/>
      <w:b/>
      <w:color w:val="2F5496" w:themeColor="accent1" w:themeShade="BF"/>
      <w:sz w:val="24"/>
      <w:szCs w:val="24"/>
    </w:rPr>
  </w:style>
  <w:style w:type="paragraph" w:styleId="Heading4">
    <w:name w:val="heading 4"/>
    <w:basedOn w:val="Normal"/>
    <w:next w:val="Normal"/>
    <w:link w:val="Heading4Char"/>
    <w:uiPriority w:val="9"/>
    <w:semiHidden/>
    <w:unhideWhenUsed/>
    <w:qFormat/>
    <w:rsid w:val="002237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FA2"/>
    <w:rPr>
      <w:rFonts w:ascii="Arial" w:eastAsia="Times New Roman" w:hAnsi="Arial" w:cs="Times New Roman"/>
      <w:b/>
      <w:sz w:val="36"/>
      <w:szCs w:val="32"/>
      <w:lang w:eastAsia="en-GB"/>
    </w:rPr>
  </w:style>
  <w:style w:type="character" w:customStyle="1" w:styleId="Heading2Char">
    <w:name w:val="Heading 2 Char"/>
    <w:basedOn w:val="DefaultParagraphFont"/>
    <w:link w:val="Heading2"/>
    <w:uiPriority w:val="9"/>
    <w:rsid w:val="00693B7E"/>
    <w:rPr>
      <w:rFonts w:ascii="Arial" w:eastAsia="Times New Roman" w:hAnsi="Arial" w:cs="Times New Roman"/>
      <w:b/>
      <w:color w:val="000000" w:themeColor="text1"/>
      <w:sz w:val="28"/>
      <w:szCs w:val="26"/>
      <w:lang w:eastAsia="en-GB"/>
    </w:rPr>
  </w:style>
  <w:style w:type="paragraph" w:customStyle="1" w:styleId="pdq2pgselectionanchorcontainer">
    <w:name w:val="pdq2pg_selectionanchorcontainer"/>
    <w:basedOn w:val="Normal"/>
    <w:rsid w:val="007F2764"/>
    <w:pPr>
      <w:spacing w:before="100" w:beforeAutospacing="1" w:after="100" w:afterAutospacing="1"/>
    </w:pPr>
    <w:rPr>
      <w:sz w:val="24"/>
      <w:szCs w:val="24"/>
    </w:rPr>
  </w:style>
  <w:style w:type="character" w:styleId="Strong">
    <w:name w:val="Strong"/>
    <w:basedOn w:val="DefaultParagraphFont"/>
    <w:uiPriority w:val="22"/>
    <w:qFormat/>
    <w:rsid w:val="007F2764"/>
    <w:rPr>
      <w:b/>
      <w:bCs/>
    </w:rPr>
  </w:style>
  <w:style w:type="paragraph" w:styleId="HTMLPreformatted">
    <w:name w:val="HTML Preformatted"/>
    <w:basedOn w:val="Normal"/>
    <w:link w:val="HTMLPreformattedChar"/>
    <w:uiPriority w:val="99"/>
    <w:semiHidden/>
    <w:unhideWhenUsed/>
    <w:rsid w:val="007F2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7F2764"/>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7F2764"/>
    <w:rPr>
      <w:rFonts w:ascii="Courier New" w:eastAsia="Times New Roman" w:hAnsi="Courier New" w:cs="Courier New"/>
      <w:sz w:val="20"/>
      <w:szCs w:val="20"/>
    </w:rPr>
  </w:style>
  <w:style w:type="paragraph" w:styleId="NormalWeb">
    <w:name w:val="Normal (Web)"/>
    <w:basedOn w:val="Normal"/>
    <w:uiPriority w:val="99"/>
    <w:unhideWhenUsed/>
    <w:rsid w:val="007F2764"/>
    <w:pPr>
      <w:spacing w:before="100" w:beforeAutospacing="1" w:after="100" w:afterAutospacing="1"/>
    </w:pPr>
    <w:rPr>
      <w:sz w:val="24"/>
      <w:szCs w:val="24"/>
    </w:rPr>
  </w:style>
  <w:style w:type="character" w:styleId="Emphasis">
    <w:name w:val="Emphasis"/>
    <w:basedOn w:val="DefaultParagraphFont"/>
    <w:uiPriority w:val="20"/>
    <w:qFormat/>
    <w:rsid w:val="007F2764"/>
    <w:rPr>
      <w:i/>
      <w:iCs/>
    </w:rPr>
  </w:style>
  <w:style w:type="character" w:customStyle="1" w:styleId="Heading3Char">
    <w:name w:val="Heading 3 Char"/>
    <w:basedOn w:val="DefaultParagraphFont"/>
    <w:link w:val="Heading3"/>
    <w:uiPriority w:val="9"/>
    <w:rsid w:val="007A2FB0"/>
    <w:rPr>
      <w:rFonts w:ascii="Arial" w:eastAsiaTheme="majorEastAsia" w:hAnsi="Arial" w:cstheme="majorBidi"/>
      <w:b/>
      <w:color w:val="2F5496" w:themeColor="accent1" w:themeShade="BF"/>
      <w:sz w:val="24"/>
      <w:szCs w:val="24"/>
      <w:lang w:eastAsia="en-GB"/>
    </w:rPr>
  </w:style>
  <w:style w:type="character" w:customStyle="1" w:styleId="cursor-pointer">
    <w:name w:val="cursor-pointer"/>
    <w:basedOn w:val="DefaultParagraphFont"/>
    <w:rsid w:val="0037400C"/>
  </w:style>
  <w:style w:type="paragraph" w:styleId="TOCHeading">
    <w:name w:val="TOC Heading"/>
    <w:basedOn w:val="Heading1"/>
    <w:next w:val="Normal"/>
    <w:uiPriority w:val="39"/>
    <w:unhideWhenUsed/>
    <w:qFormat/>
    <w:rsid w:val="007A2FB0"/>
    <w:pPr>
      <w:keepNext/>
      <w:keepLines/>
      <w:spacing w:before="24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5F3599"/>
    <w:pPr>
      <w:tabs>
        <w:tab w:val="right" w:leader="dot" w:pos="9016"/>
      </w:tabs>
      <w:spacing w:after="100"/>
    </w:pPr>
    <w:rPr>
      <w:rFonts w:asciiTheme="majorBidi" w:eastAsia="Arial" w:hAnsiTheme="majorBidi" w:cstheme="majorBidi"/>
      <w:b/>
      <w:bCs/>
      <w:noProof/>
      <w:sz w:val="32"/>
      <w:szCs w:val="32"/>
    </w:rPr>
  </w:style>
  <w:style w:type="paragraph" w:styleId="TOC2">
    <w:name w:val="toc 2"/>
    <w:basedOn w:val="Normal"/>
    <w:next w:val="Normal"/>
    <w:autoRedefine/>
    <w:uiPriority w:val="39"/>
    <w:unhideWhenUsed/>
    <w:rsid w:val="007A2FB0"/>
    <w:pPr>
      <w:spacing w:after="100"/>
      <w:ind w:left="200"/>
    </w:pPr>
  </w:style>
  <w:style w:type="paragraph" w:styleId="TOC3">
    <w:name w:val="toc 3"/>
    <w:basedOn w:val="Normal"/>
    <w:next w:val="Normal"/>
    <w:autoRedefine/>
    <w:uiPriority w:val="39"/>
    <w:unhideWhenUsed/>
    <w:rsid w:val="007A2FB0"/>
    <w:pPr>
      <w:spacing w:after="100"/>
      <w:ind w:left="400"/>
    </w:pPr>
  </w:style>
  <w:style w:type="character" w:styleId="Hyperlink">
    <w:name w:val="Hyperlink"/>
    <w:basedOn w:val="DefaultParagraphFont"/>
    <w:uiPriority w:val="99"/>
    <w:unhideWhenUsed/>
    <w:rsid w:val="007A2FB0"/>
    <w:rPr>
      <w:color w:val="0563C1" w:themeColor="hyperlink"/>
      <w:u w:val="single"/>
    </w:rPr>
  </w:style>
  <w:style w:type="character" w:customStyle="1" w:styleId="Heading4Char">
    <w:name w:val="Heading 4 Char"/>
    <w:basedOn w:val="DefaultParagraphFont"/>
    <w:link w:val="Heading4"/>
    <w:uiPriority w:val="9"/>
    <w:semiHidden/>
    <w:rsid w:val="00223789"/>
    <w:rPr>
      <w:rFonts w:asciiTheme="majorHAnsi" w:eastAsiaTheme="majorEastAsia" w:hAnsiTheme="majorHAnsi" w:cstheme="majorBidi"/>
      <w:i/>
      <w:iCs/>
      <w:color w:val="2F5496" w:themeColor="accent1" w:themeShade="BF"/>
      <w:sz w:val="20"/>
      <w:szCs w:val="20"/>
      <w:lang w:eastAsia="en-GB"/>
    </w:rPr>
  </w:style>
  <w:style w:type="paragraph" w:styleId="Header">
    <w:name w:val="header"/>
    <w:basedOn w:val="Normal"/>
    <w:link w:val="HeaderChar"/>
    <w:rsid w:val="00223789"/>
    <w:pPr>
      <w:tabs>
        <w:tab w:val="center" w:pos="4153"/>
        <w:tab w:val="right" w:pos="8306"/>
      </w:tabs>
    </w:pPr>
  </w:style>
  <w:style w:type="character" w:customStyle="1" w:styleId="HeaderChar">
    <w:name w:val="Header Char"/>
    <w:basedOn w:val="DefaultParagraphFont"/>
    <w:link w:val="Header"/>
    <w:rsid w:val="00223789"/>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1"/>
    <w:qFormat/>
    <w:rsid w:val="00223789"/>
    <w:pPr>
      <w:ind w:left="720"/>
      <w:contextualSpacing/>
    </w:pPr>
  </w:style>
  <w:style w:type="character" w:customStyle="1" w:styleId="ListParagraphChar">
    <w:name w:val="List Paragraph Char"/>
    <w:basedOn w:val="DefaultParagraphFont"/>
    <w:link w:val="ListParagraph"/>
    <w:uiPriority w:val="1"/>
    <w:qFormat/>
    <w:locked/>
    <w:rsid w:val="00223789"/>
    <w:rPr>
      <w:rFonts w:ascii="Times New Roman" w:eastAsia="Times New Roman" w:hAnsi="Times New Roman" w:cs="Times New Roman"/>
      <w:sz w:val="20"/>
      <w:szCs w:val="20"/>
      <w:lang w:eastAsia="en-GB"/>
    </w:rPr>
  </w:style>
  <w:style w:type="paragraph" w:customStyle="1" w:styleId="paragraph">
    <w:name w:val="paragraph"/>
    <w:basedOn w:val="Normal"/>
    <w:rsid w:val="00223789"/>
    <w:pPr>
      <w:spacing w:before="100" w:beforeAutospacing="1" w:after="100" w:afterAutospacing="1"/>
    </w:pPr>
    <w:rPr>
      <w:sz w:val="24"/>
      <w:szCs w:val="24"/>
      <w:lang w:eastAsia="zh-CN"/>
    </w:rPr>
  </w:style>
  <w:style w:type="character" w:customStyle="1" w:styleId="normaltextrun">
    <w:name w:val="normaltextrun"/>
    <w:basedOn w:val="DefaultParagraphFont"/>
    <w:rsid w:val="00223789"/>
  </w:style>
  <w:style w:type="character" w:customStyle="1" w:styleId="eop">
    <w:name w:val="eop"/>
    <w:basedOn w:val="DefaultParagraphFont"/>
    <w:rsid w:val="00223789"/>
  </w:style>
  <w:style w:type="paragraph" w:styleId="Footer">
    <w:name w:val="footer"/>
    <w:basedOn w:val="Normal"/>
    <w:link w:val="FooterChar"/>
    <w:uiPriority w:val="99"/>
    <w:unhideWhenUsed/>
    <w:rsid w:val="00223789"/>
    <w:pPr>
      <w:tabs>
        <w:tab w:val="center" w:pos="4513"/>
        <w:tab w:val="right" w:pos="9026"/>
      </w:tabs>
    </w:pPr>
  </w:style>
  <w:style w:type="character" w:customStyle="1" w:styleId="FooterChar">
    <w:name w:val="Footer Char"/>
    <w:basedOn w:val="DefaultParagraphFont"/>
    <w:link w:val="Footer"/>
    <w:uiPriority w:val="99"/>
    <w:rsid w:val="00223789"/>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6C40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31956">
      <w:bodyDiv w:val="1"/>
      <w:marLeft w:val="0"/>
      <w:marRight w:val="0"/>
      <w:marTop w:val="0"/>
      <w:marBottom w:val="0"/>
      <w:divBdr>
        <w:top w:val="none" w:sz="0" w:space="0" w:color="auto"/>
        <w:left w:val="none" w:sz="0" w:space="0" w:color="auto"/>
        <w:bottom w:val="none" w:sz="0" w:space="0" w:color="auto"/>
        <w:right w:val="none" w:sz="0" w:space="0" w:color="auto"/>
      </w:divBdr>
    </w:div>
    <w:div w:id="74740661">
      <w:bodyDiv w:val="1"/>
      <w:marLeft w:val="0"/>
      <w:marRight w:val="0"/>
      <w:marTop w:val="0"/>
      <w:marBottom w:val="0"/>
      <w:divBdr>
        <w:top w:val="none" w:sz="0" w:space="0" w:color="auto"/>
        <w:left w:val="none" w:sz="0" w:space="0" w:color="auto"/>
        <w:bottom w:val="none" w:sz="0" w:space="0" w:color="auto"/>
        <w:right w:val="none" w:sz="0" w:space="0" w:color="auto"/>
      </w:divBdr>
    </w:div>
    <w:div w:id="122237105">
      <w:bodyDiv w:val="1"/>
      <w:marLeft w:val="0"/>
      <w:marRight w:val="0"/>
      <w:marTop w:val="0"/>
      <w:marBottom w:val="0"/>
      <w:divBdr>
        <w:top w:val="none" w:sz="0" w:space="0" w:color="auto"/>
        <w:left w:val="none" w:sz="0" w:space="0" w:color="auto"/>
        <w:bottom w:val="none" w:sz="0" w:space="0" w:color="auto"/>
        <w:right w:val="none" w:sz="0" w:space="0" w:color="auto"/>
      </w:divBdr>
    </w:div>
    <w:div w:id="370617491">
      <w:bodyDiv w:val="1"/>
      <w:marLeft w:val="0"/>
      <w:marRight w:val="0"/>
      <w:marTop w:val="0"/>
      <w:marBottom w:val="0"/>
      <w:divBdr>
        <w:top w:val="none" w:sz="0" w:space="0" w:color="auto"/>
        <w:left w:val="none" w:sz="0" w:space="0" w:color="auto"/>
        <w:bottom w:val="none" w:sz="0" w:space="0" w:color="auto"/>
        <w:right w:val="none" w:sz="0" w:space="0" w:color="auto"/>
      </w:divBdr>
    </w:div>
    <w:div w:id="391927009">
      <w:bodyDiv w:val="1"/>
      <w:marLeft w:val="0"/>
      <w:marRight w:val="0"/>
      <w:marTop w:val="0"/>
      <w:marBottom w:val="0"/>
      <w:divBdr>
        <w:top w:val="none" w:sz="0" w:space="0" w:color="auto"/>
        <w:left w:val="none" w:sz="0" w:space="0" w:color="auto"/>
        <w:bottom w:val="none" w:sz="0" w:space="0" w:color="auto"/>
        <w:right w:val="none" w:sz="0" w:space="0" w:color="auto"/>
      </w:divBdr>
    </w:div>
    <w:div w:id="444158769">
      <w:bodyDiv w:val="1"/>
      <w:marLeft w:val="0"/>
      <w:marRight w:val="0"/>
      <w:marTop w:val="0"/>
      <w:marBottom w:val="0"/>
      <w:divBdr>
        <w:top w:val="none" w:sz="0" w:space="0" w:color="auto"/>
        <w:left w:val="none" w:sz="0" w:space="0" w:color="auto"/>
        <w:bottom w:val="none" w:sz="0" w:space="0" w:color="auto"/>
        <w:right w:val="none" w:sz="0" w:space="0" w:color="auto"/>
      </w:divBdr>
      <w:divsChild>
        <w:div w:id="1656909942">
          <w:marLeft w:val="0"/>
          <w:marRight w:val="0"/>
          <w:marTop w:val="0"/>
          <w:marBottom w:val="0"/>
          <w:divBdr>
            <w:top w:val="none" w:sz="0" w:space="0" w:color="auto"/>
            <w:left w:val="none" w:sz="0" w:space="0" w:color="auto"/>
            <w:bottom w:val="none" w:sz="0" w:space="0" w:color="auto"/>
            <w:right w:val="none" w:sz="0" w:space="0" w:color="auto"/>
          </w:divBdr>
          <w:divsChild>
            <w:div w:id="1698461230">
              <w:marLeft w:val="0"/>
              <w:marRight w:val="0"/>
              <w:marTop w:val="0"/>
              <w:marBottom w:val="0"/>
              <w:divBdr>
                <w:top w:val="none" w:sz="0" w:space="0" w:color="auto"/>
                <w:left w:val="none" w:sz="0" w:space="0" w:color="auto"/>
                <w:bottom w:val="none" w:sz="0" w:space="0" w:color="auto"/>
                <w:right w:val="none" w:sz="0" w:space="0" w:color="auto"/>
              </w:divBdr>
              <w:divsChild>
                <w:div w:id="713895458">
                  <w:marLeft w:val="0"/>
                  <w:marRight w:val="0"/>
                  <w:marTop w:val="0"/>
                  <w:marBottom w:val="0"/>
                  <w:divBdr>
                    <w:top w:val="none" w:sz="0" w:space="0" w:color="auto"/>
                    <w:left w:val="none" w:sz="0" w:space="0" w:color="auto"/>
                    <w:bottom w:val="none" w:sz="0" w:space="0" w:color="auto"/>
                    <w:right w:val="none" w:sz="0" w:space="0" w:color="auto"/>
                  </w:divBdr>
                  <w:divsChild>
                    <w:div w:id="1685092738">
                      <w:marLeft w:val="0"/>
                      <w:marRight w:val="0"/>
                      <w:marTop w:val="0"/>
                      <w:marBottom w:val="0"/>
                      <w:divBdr>
                        <w:top w:val="none" w:sz="0" w:space="0" w:color="auto"/>
                        <w:left w:val="none" w:sz="0" w:space="0" w:color="auto"/>
                        <w:bottom w:val="none" w:sz="0" w:space="0" w:color="auto"/>
                        <w:right w:val="none" w:sz="0" w:space="0" w:color="auto"/>
                      </w:divBdr>
                      <w:divsChild>
                        <w:div w:id="2025545273">
                          <w:marLeft w:val="0"/>
                          <w:marRight w:val="0"/>
                          <w:marTop w:val="0"/>
                          <w:marBottom w:val="0"/>
                          <w:divBdr>
                            <w:top w:val="none" w:sz="0" w:space="0" w:color="auto"/>
                            <w:left w:val="none" w:sz="0" w:space="0" w:color="auto"/>
                            <w:bottom w:val="none" w:sz="0" w:space="0" w:color="auto"/>
                            <w:right w:val="none" w:sz="0" w:space="0" w:color="auto"/>
                          </w:divBdr>
                          <w:divsChild>
                            <w:div w:id="2045788915">
                              <w:marLeft w:val="0"/>
                              <w:marRight w:val="0"/>
                              <w:marTop w:val="0"/>
                              <w:marBottom w:val="0"/>
                              <w:divBdr>
                                <w:top w:val="none" w:sz="0" w:space="0" w:color="auto"/>
                                <w:left w:val="none" w:sz="0" w:space="0" w:color="auto"/>
                                <w:bottom w:val="none" w:sz="0" w:space="0" w:color="auto"/>
                                <w:right w:val="none" w:sz="0" w:space="0" w:color="auto"/>
                              </w:divBdr>
                              <w:divsChild>
                                <w:div w:id="152620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340285">
      <w:bodyDiv w:val="1"/>
      <w:marLeft w:val="0"/>
      <w:marRight w:val="0"/>
      <w:marTop w:val="0"/>
      <w:marBottom w:val="0"/>
      <w:divBdr>
        <w:top w:val="none" w:sz="0" w:space="0" w:color="auto"/>
        <w:left w:val="none" w:sz="0" w:space="0" w:color="auto"/>
        <w:bottom w:val="none" w:sz="0" w:space="0" w:color="auto"/>
        <w:right w:val="none" w:sz="0" w:space="0" w:color="auto"/>
      </w:divBdr>
    </w:div>
    <w:div w:id="661392183">
      <w:bodyDiv w:val="1"/>
      <w:marLeft w:val="0"/>
      <w:marRight w:val="0"/>
      <w:marTop w:val="0"/>
      <w:marBottom w:val="0"/>
      <w:divBdr>
        <w:top w:val="none" w:sz="0" w:space="0" w:color="auto"/>
        <w:left w:val="none" w:sz="0" w:space="0" w:color="auto"/>
        <w:bottom w:val="none" w:sz="0" w:space="0" w:color="auto"/>
        <w:right w:val="none" w:sz="0" w:space="0" w:color="auto"/>
      </w:divBdr>
    </w:div>
    <w:div w:id="782728380">
      <w:bodyDiv w:val="1"/>
      <w:marLeft w:val="0"/>
      <w:marRight w:val="0"/>
      <w:marTop w:val="0"/>
      <w:marBottom w:val="0"/>
      <w:divBdr>
        <w:top w:val="none" w:sz="0" w:space="0" w:color="auto"/>
        <w:left w:val="none" w:sz="0" w:space="0" w:color="auto"/>
        <w:bottom w:val="none" w:sz="0" w:space="0" w:color="auto"/>
        <w:right w:val="none" w:sz="0" w:space="0" w:color="auto"/>
      </w:divBdr>
    </w:div>
    <w:div w:id="873999649">
      <w:bodyDiv w:val="1"/>
      <w:marLeft w:val="0"/>
      <w:marRight w:val="0"/>
      <w:marTop w:val="0"/>
      <w:marBottom w:val="0"/>
      <w:divBdr>
        <w:top w:val="none" w:sz="0" w:space="0" w:color="auto"/>
        <w:left w:val="none" w:sz="0" w:space="0" w:color="auto"/>
        <w:bottom w:val="none" w:sz="0" w:space="0" w:color="auto"/>
        <w:right w:val="none" w:sz="0" w:space="0" w:color="auto"/>
      </w:divBdr>
    </w:div>
    <w:div w:id="1034379805">
      <w:bodyDiv w:val="1"/>
      <w:marLeft w:val="0"/>
      <w:marRight w:val="0"/>
      <w:marTop w:val="0"/>
      <w:marBottom w:val="0"/>
      <w:divBdr>
        <w:top w:val="none" w:sz="0" w:space="0" w:color="auto"/>
        <w:left w:val="none" w:sz="0" w:space="0" w:color="auto"/>
        <w:bottom w:val="none" w:sz="0" w:space="0" w:color="auto"/>
        <w:right w:val="none" w:sz="0" w:space="0" w:color="auto"/>
      </w:divBdr>
    </w:div>
    <w:div w:id="1262254484">
      <w:bodyDiv w:val="1"/>
      <w:marLeft w:val="0"/>
      <w:marRight w:val="0"/>
      <w:marTop w:val="0"/>
      <w:marBottom w:val="0"/>
      <w:divBdr>
        <w:top w:val="none" w:sz="0" w:space="0" w:color="auto"/>
        <w:left w:val="none" w:sz="0" w:space="0" w:color="auto"/>
        <w:bottom w:val="none" w:sz="0" w:space="0" w:color="auto"/>
        <w:right w:val="none" w:sz="0" w:space="0" w:color="auto"/>
      </w:divBdr>
      <w:divsChild>
        <w:div w:id="407849861">
          <w:marLeft w:val="0"/>
          <w:marRight w:val="0"/>
          <w:marTop w:val="0"/>
          <w:marBottom w:val="0"/>
          <w:divBdr>
            <w:top w:val="none" w:sz="0" w:space="0" w:color="auto"/>
            <w:left w:val="none" w:sz="0" w:space="0" w:color="auto"/>
            <w:bottom w:val="none" w:sz="0" w:space="0" w:color="auto"/>
            <w:right w:val="none" w:sz="0" w:space="0" w:color="auto"/>
          </w:divBdr>
          <w:divsChild>
            <w:div w:id="1390615247">
              <w:marLeft w:val="0"/>
              <w:marRight w:val="0"/>
              <w:marTop w:val="0"/>
              <w:marBottom w:val="0"/>
              <w:divBdr>
                <w:top w:val="none" w:sz="0" w:space="0" w:color="auto"/>
                <w:left w:val="none" w:sz="0" w:space="0" w:color="auto"/>
                <w:bottom w:val="none" w:sz="0" w:space="0" w:color="auto"/>
                <w:right w:val="none" w:sz="0" w:space="0" w:color="auto"/>
              </w:divBdr>
              <w:divsChild>
                <w:div w:id="970790816">
                  <w:marLeft w:val="0"/>
                  <w:marRight w:val="0"/>
                  <w:marTop w:val="0"/>
                  <w:marBottom w:val="0"/>
                  <w:divBdr>
                    <w:top w:val="none" w:sz="0" w:space="0" w:color="auto"/>
                    <w:left w:val="none" w:sz="0" w:space="0" w:color="auto"/>
                    <w:bottom w:val="none" w:sz="0" w:space="0" w:color="auto"/>
                    <w:right w:val="none" w:sz="0" w:space="0" w:color="auto"/>
                  </w:divBdr>
                  <w:divsChild>
                    <w:div w:id="1994796113">
                      <w:marLeft w:val="0"/>
                      <w:marRight w:val="0"/>
                      <w:marTop w:val="0"/>
                      <w:marBottom w:val="0"/>
                      <w:divBdr>
                        <w:top w:val="none" w:sz="0" w:space="0" w:color="auto"/>
                        <w:left w:val="none" w:sz="0" w:space="0" w:color="auto"/>
                        <w:bottom w:val="none" w:sz="0" w:space="0" w:color="auto"/>
                        <w:right w:val="none" w:sz="0" w:space="0" w:color="auto"/>
                      </w:divBdr>
                      <w:divsChild>
                        <w:div w:id="1237088638">
                          <w:marLeft w:val="0"/>
                          <w:marRight w:val="0"/>
                          <w:marTop w:val="0"/>
                          <w:marBottom w:val="0"/>
                          <w:divBdr>
                            <w:top w:val="none" w:sz="0" w:space="0" w:color="auto"/>
                            <w:left w:val="none" w:sz="0" w:space="0" w:color="auto"/>
                            <w:bottom w:val="none" w:sz="0" w:space="0" w:color="auto"/>
                            <w:right w:val="none" w:sz="0" w:space="0" w:color="auto"/>
                          </w:divBdr>
                          <w:divsChild>
                            <w:div w:id="1640918933">
                              <w:marLeft w:val="0"/>
                              <w:marRight w:val="0"/>
                              <w:marTop w:val="0"/>
                              <w:marBottom w:val="0"/>
                              <w:divBdr>
                                <w:top w:val="none" w:sz="0" w:space="0" w:color="auto"/>
                                <w:left w:val="none" w:sz="0" w:space="0" w:color="auto"/>
                                <w:bottom w:val="none" w:sz="0" w:space="0" w:color="auto"/>
                                <w:right w:val="none" w:sz="0" w:space="0" w:color="auto"/>
                              </w:divBdr>
                              <w:divsChild>
                                <w:div w:id="273827744">
                                  <w:marLeft w:val="0"/>
                                  <w:marRight w:val="0"/>
                                  <w:marTop w:val="0"/>
                                  <w:marBottom w:val="0"/>
                                  <w:divBdr>
                                    <w:top w:val="none" w:sz="0" w:space="0" w:color="auto"/>
                                    <w:left w:val="none" w:sz="0" w:space="0" w:color="auto"/>
                                    <w:bottom w:val="none" w:sz="0" w:space="0" w:color="auto"/>
                                    <w:right w:val="none" w:sz="0" w:space="0" w:color="auto"/>
                                  </w:divBdr>
                                  <w:divsChild>
                                    <w:div w:id="488059037">
                                      <w:marLeft w:val="0"/>
                                      <w:marRight w:val="0"/>
                                      <w:marTop w:val="0"/>
                                      <w:marBottom w:val="0"/>
                                      <w:divBdr>
                                        <w:top w:val="none" w:sz="0" w:space="0" w:color="auto"/>
                                        <w:left w:val="none" w:sz="0" w:space="0" w:color="auto"/>
                                        <w:bottom w:val="none" w:sz="0" w:space="0" w:color="auto"/>
                                        <w:right w:val="none" w:sz="0" w:space="0" w:color="auto"/>
                                      </w:divBdr>
                                      <w:divsChild>
                                        <w:div w:id="2055306600">
                                          <w:marLeft w:val="0"/>
                                          <w:marRight w:val="0"/>
                                          <w:marTop w:val="0"/>
                                          <w:marBottom w:val="0"/>
                                          <w:divBdr>
                                            <w:top w:val="none" w:sz="0" w:space="0" w:color="auto"/>
                                            <w:left w:val="none" w:sz="0" w:space="0" w:color="auto"/>
                                            <w:bottom w:val="none" w:sz="0" w:space="0" w:color="auto"/>
                                            <w:right w:val="none" w:sz="0" w:space="0" w:color="auto"/>
                                          </w:divBdr>
                                          <w:divsChild>
                                            <w:div w:id="487329176">
                                              <w:marLeft w:val="0"/>
                                              <w:marRight w:val="0"/>
                                              <w:marTop w:val="0"/>
                                              <w:marBottom w:val="0"/>
                                              <w:divBdr>
                                                <w:top w:val="none" w:sz="0" w:space="0" w:color="auto"/>
                                                <w:left w:val="none" w:sz="0" w:space="0" w:color="auto"/>
                                                <w:bottom w:val="none" w:sz="0" w:space="0" w:color="auto"/>
                                                <w:right w:val="none" w:sz="0" w:space="0" w:color="auto"/>
                                              </w:divBdr>
                                              <w:divsChild>
                                                <w:div w:id="1558734769">
                                                  <w:marLeft w:val="0"/>
                                                  <w:marRight w:val="0"/>
                                                  <w:marTop w:val="0"/>
                                                  <w:marBottom w:val="0"/>
                                                  <w:divBdr>
                                                    <w:top w:val="none" w:sz="0" w:space="0" w:color="auto"/>
                                                    <w:left w:val="none" w:sz="0" w:space="0" w:color="auto"/>
                                                    <w:bottom w:val="none" w:sz="0" w:space="0" w:color="auto"/>
                                                    <w:right w:val="none" w:sz="0" w:space="0" w:color="auto"/>
                                                  </w:divBdr>
                                                  <w:divsChild>
                                                    <w:div w:id="1175925122">
                                                      <w:marLeft w:val="0"/>
                                                      <w:marRight w:val="0"/>
                                                      <w:marTop w:val="0"/>
                                                      <w:marBottom w:val="0"/>
                                                      <w:divBdr>
                                                        <w:top w:val="none" w:sz="0" w:space="0" w:color="auto"/>
                                                        <w:left w:val="none" w:sz="0" w:space="0" w:color="auto"/>
                                                        <w:bottom w:val="none" w:sz="0" w:space="0" w:color="auto"/>
                                                        <w:right w:val="none" w:sz="0" w:space="0" w:color="auto"/>
                                                      </w:divBdr>
                                                      <w:divsChild>
                                                        <w:div w:id="27953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9357774">
      <w:bodyDiv w:val="1"/>
      <w:marLeft w:val="0"/>
      <w:marRight w:val="0"/>
      <w:marTop w:val="0"/>
      <w:marBottom w:val="0"/>
      <w:divBdr>
        <w:top w:val="none" w:sz="0" w:space="0" w:color="auto"/>
        <w:left w:val="none" w:sz="0" w:space="0" w:color="auto"/>
        <w:bottom w:val="none" w:sz="0" w:space="0" w:color="auto"/>
        <w:right w:val="none" w:sz="0" w:space="0" w:color="auto"/>
      </w:divBdr>
    </w:div>
    <w:div w:id="1416434179">
      <w:bodyDiv w:val="1"/>
      <w:marLeft w:val="0"/>
      <w:marRight w:val="0"/>
      <w:marTop w:val="0"/>
      <w:marBottom w:val="0"/>
      <w:divBdr>
        <w:top w:val="none" w:sz="0" w:space="0" w:color="auto"/>
        <w:left w:val="none" w:sz="0" w:space="0" w:color="auto"/>
        <w:bottom w:val="none" w:sz="0" w:space="0" w:color="auto"/>
        <w:right w:val="none" w:sz="0" w:space="0" w:color="auto"/>
      </w:divBdr>
      <w:divsChild>
        <w:div w:id="1708529184">
          <w:marLeft w:val="0"/>
          <w:marRight w:val="0"/>
          <w:marTop w:val="0"/>
          <w:marBottom w:val="0"/>
          <w:divBdr>
            <w:top w:val="none" w:sz="0" w:space="0" w:color="auto"/>
            <w:left w:val="none" w:sz="0" w:space="0" w:color="auto"/>
            <w:bottom w:val="none" w:sz="0" w:space="0" w:color="auto"/>
            <w:right w:val="none" w:sz="0" w:space="0" w:color="auto"/>
          </w:divBdr>
          <w:divsChild>
            <w:div w:id="876703521">
              <w:marLeft w:val="0"/>
              <w:marRight w:val="0"/>
              <w:marTop w:val="0"/>
              <w:marBottom w:val="0"/>
              <w:divBdr>
                <w:top w:val="none" w:sz="0" w:space="0" w:color="auto"/>
                <w:left w:val="none" w:sz="0" w:space="0" w:color="auto"/>
                <w:bottom w:val="none" w:sz="0" w:space="0" w:color="auto"/>
                <w:right w:val="none" w:sz="0" w:space="0" w:color="auto"/>
              </w:divBdr>
              <w:divsChild>
                <w:div w:id="365638901">
                  <w:marLeft w:val="0"/>
                  <w:marRight w:val="0"/>
                  <w:marTop w:val="0"/>
                  <w:marBottom w:val="0"/>
                  <w:divBdr>
                    <w:top w:val="none" w:sz="0" w:space="0" w:color="auto"/>
                    <w:left w:val="none" w:sz="0" w:space="0" w:color="auto"/>
                    <w:bottom w:val="none" w:sz="0" w:space="0" w:color="auto"/>
                    <w:right w:val="none" w:sz="0" w:space="0" w:color="auto"/>
                  </w:divBdr>
                  <w:divsChild>
                    <w:div w:id="1761246831">
                      <w:marLeft w:val="0"/>
                      <w:marRight w:val="0"/>
                      <w:marTop w:val="0"/>
                      <w:marBottom w:val="0"/>
                      <w:divBdr>
                        <w:top w:val="none" w:sz="0" w:space="0" w:color="auto"/>
                        <w:left w:val="none" w:sz="0" w:space="0" w:color="auto"/>
                        <w:bottom w:val="none" w:sz="0" w:space="0" w:color="auto"/>
                        <w:right w:val="none" w:sz="0" w:space="0" w:color="auto"/>
                      </w:divBdr>
                      <w:divsChild>
                        <w:div w:id="1519585270">
                          <w:marLeft w:val="0"/>
                          <w:marRight w:val="0"/>
                          <w:marTop w:val="0"/>
                          <w:marBottom w:val="0"/>
                          <w:divBdr>
                            <w:top w:val="none" w:sz="0" w:space="0" w:color="auto"/>
                            <w:left w:val="none" w:sz="0" w:space="0" w:color="auto"/>
                            <w:bottom w:val="none" w:sz="0" w:space="0" w:color="auto"/>
                            <w:right w:val="none" w:sz="0" w:space="0" w:color="auto"/>
                          </w:divBdr>
                          <w:divsChild>
                            <w:div w:id="1080251754">
                              <w:marLeft w:val="0"/>
                              <w:marRight w:val="0"/>
                              <w:marTop w:val="0"/>
                              <w:marBottom w:val="0"/>
                              <w:divBdr>
                                <w:top w:val="none" w:sz="0" w:space="0" w:color="auto"/>
                                <w:left w:val="none" w:sz="0" w:space="0" w:color="auto"/>
                                <w:bottom w:val="none" w:sz="0" w:space="0" w:color="auto"/>
                                <w:right w:val="none" w:sz="0" w:space="0" w:color="auto"/>
                              </w:divBdr>
                              <w:divsChild>
                                <w:div w:id="19740684">
                                  <w:marLeft w:val="0"/>
                                  <w:marRight w:val="0"/>
                                  <w:marTop w:val="0"/>
                                  <w:marBottom w:val="0"/>
                                  <w:divBdr>
                                    <w:top w:val="none" w:sz="0" w:space="0" w:color="auto"/>
                                    <w:left w:val="none" w:sz="0" w:space="0" w:color="auto"/>
                                    <w:bottom w:val="none" w:sz="0" w:space="0" w:color="auto"/>
                                    <w:right w:val="none" w:sz="0" w:space="0" w:color="auto"/>
                                  </w:divBdr>
                                  <w:divsChild>
                                    <w:div w:id="567691796">
                                      <w:marLeft w:val="0"/>
                                      <w:marRight w:val="0"/>
                                      <w:marTop w:val="0"/>
                                      <w:marBottom w:val="0"/>
                                      <w:divBdr>
                                        <w:top w:val="none" w:sz="0" w:space="0" w:color="auto"/>
                                        <w:left w:val="none" w:sz="0" w:space="0" w:color="auto"/>
                                        <w:bottom w:val="none" w:sz="0" w:space="0" w:color="auto"/>
                                        <w:right w:val="none" w:sz="0" w:space="0" w:color="auto"/>
                                      </w:divBdr>
                                      <w:divsChild>
                                        <w:div w:id="302589652">
                                          <w:marLeft w:val="0"/>
                                          <w:marRight w:val="0"/>
                                          <w:marTop w:val="0"/>
                                          <w:marBottom w:val="0"/>
                                          <w:divBdr>
                                            <w:top w:val="none" w:sz="0" w:space="0" w:color="auto"/>
                                            <w:left w:val="none" w:sz="0" w:space="0" w:color="auto"/>
                                            <w:bottom w:val="none" w:sz="0" w:space="0" w:color="auto"/>
                                            <w:right w:val="none" w:sz="0" w:space="0" w:color="auto"/>
                                          </w:divBdr>
                                          <w:divsChild>
                                            <w:div w:id="1307589169">
                                              <w:marLeft w:val="0"/>
                                              <w:marRight w:val="0"/>
                                              <w:marTop w:val="0"/>
                                              <w:marBottom w:val="0"/>
                                              <w:divBdr>
                                                <w:top w:val="none" w:sz="0" w:space="0" w:color="auto"/>
                                                <w:left w:val="none" w:sz="0" w:space="0" w:color="auto"/>
                                                <w:bottom w:val="none" w:sz="0" w:space="0" w:color="auto"/>
                                                <w:right w:val="none" w:sz="0" w:space="0" w:color="auto"/>
                                              </w:divBdr>
                                              <w:divsChild>
                                                <w:div w:id="1997832013">
                                                  <w:marLeft w:val="0"/>
                                                  <w:marRight w:val="0"/>
                                                  <w:marTop w:val="0"/>
                                                  <w:marBottom w:val="0"/>
                                                  <w:divBdr>
                                                    <w:top w:val="none" w:sz="0" w:space="0" w:color="auto"/>
                                                    <w:left w:val="none" w:sz="0" w:space="0" w:color="auto"/>
                                                    <w:bottom w:val="none" w:sz="0" w:space="0" w:color="auto"/>
                                                    <w:right w:val="none" w:sz="0" w:space="0" w:color="auto"/>
                                                  </w:divBdr>
                                                  <w:divsChild>
                                                    <w:div w:id="1104887855">
                                                      <w:marLeft w:val="0"/>
                                                      <w:marRight w:val="0"/>
                                                      <w:marTop w:val="0"/>
                                                      <w:marBottom w:val="0"/>
                                                      <w:divBdr>
                                                        <w:top w:val="none" w:sz="0" w:space="0" w:color="auto"/>
                                                        <w:left w:val="none" w:sz="0" w:space="0" w:color="auto"/>
                                                        <w:bottom w:val="none" w:sz="0" w:space="0" w:color="auto"/>
                                                        <w:right w:val="none" w:sz="0" w:space="0" w:color="auto"/>
                                                      </w:divBdr>
                                                      <w:divsChild>
                                                        <w:div w:id="186293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3306033">
      <w:bodyDiv w:val="1"/>
      <w:marLeft w:val="0"/>
      <w:marRight w:val="0"/>
      <w:marTop w:val="0"/>
      <w:marBottom w:val="0"/>
      <w:divBdr>
        <w:top w:val="none" w:sz="0" w:space="0" w:color="auto"/>
        <w:left w:val="none" w:sz="0" w:space="0" w:color="auto"/>
        <w:bottom w:val="none" w:sz="0" w:space="0" w:color="auto"/>
        <w:right w:val="none" w:sz="0" w:space="0" w:color="auto"/>
      </w:divBdr>
    </w:div>
    <w:div w:id="1825663117">
      <w:bodyDiv w:val="1"/>
      <w:marLeft w:val="0"/>
      <w:marRight w:val="0"/>
      <w:marTop w:val="0"/>
      <w:marBottom w:val="0"/>
      <w:divBdr>
        <w:top w:val="none" w:sz="0" w:space="0" w:color="auto"/>
        <w:left w:val="none" w:sz="0" w:space="0" w:color="auto"/>
        <w:bottom w:val="none" w:sz="0" w:space="0" w:color="auto"/>
        <w:right w:val="none" w:sz="0" w:space="0" w:color="auto"/>
      </w:divBdr>
    </w:div>
    <w:div w:id="2117672133">
      <w:bodyDiv w:val="1"/>
      <w:marLeft w:val="0"/>
      <w:marRight w:val="0"/>
      <w:marTop w:val="0"/>
      <w:marBottom w:val="0"/>
      <w:divBdr>
        <w:top w:val="none" w:sz="0" w:space="0" w:color="auto"/>
        <w:left w:val="none" w:sz="0" w:space="0" w:color="auto"/>
        <w:bottom w:val="none" w:sz="0" w:space="0" w:color="auto"/>
        <w:right w:val="none" w:sz="0" w:space="0" w:color="auto"/>
      </w:divBdr>
    </w:div>
    <w:div w:id="211813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annals.seap.usv.ro/index.php/annals/article/viewArticle/1448" TargetMode="External"/><Relationship Id="rId26" Type="http://schemas.openxmlformats.org/officeDocument/2006/relationships/hyperlink" Target="https://www.nike.com/sustainability/services" TargetMode="External"/><Relationship Id="rId3" Type="http://schemas.openxmlformats.org/officeDocument/2006/relationships/styles" Target="styles.xml"/><Relationship Id="rId21" Type="http://schemas.openxmlformats.org/officeDocument/2006/relationships/hyperlink" Target="https://doi.org/10.1016/j.jclepro.2018.03.04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gs.elaba.lt/object/elaba:302171384/" TargetMode="External"/><Relationship Id="rId25" Type="http://schemas.openxmlformats.org/officeDocument/2006/relationships/hyperlink" Target="https://doi.org/10.1016/j.spc.2020.09.00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2/cb.70050" TargetMode="External"/><Relationship Id="rId20" Type="http://schemas.openxmlformats.org/officeDocument/2006/relationships/hyperlink" Target="https://doi.org/10.1016/j.jclepro.2023.136114" TargetMode="External"/><Relationship Id="rId29" Type="http://schemas.openxmlformats.org/officeDocument/2006/relationships/hyperlink" Target="https://unitesi.unive.it/handle/20.500.14247/229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yperlink" Target="https://papers.ssrn.com/sol3/papers.cfm?abstract_id=5449996" TargetMode="External"/><Relationship Id="rId32" Type="http://schemas.openxmlformats.org/officeDocument/2006/relationships/hyperlink" Target="https://www.nature.com/articles/s41599-025-05167-2" TargetMode="External"/><Relationship Id="rId5" Type="http://schemas.openxmlformats.org/officeDocument/2006/relationships/webSettings" Target="webSettings.xml"/><Relationship Id="rId15" Type="http://schemas.openxmlformats.org/officeDocument/2006/relationships/hyperlink" Target="https://doi.org/10.1080/21681015.2016.1172124" TargetMode="External"/><Relationship Id="rId23" Type="http://schemas.openxmlformats.org/officeDocument/2006/relationships/hyperlink" Target="https://e-research.siam.edu/wp-content/uploads/2025/04/MBA-2024-IS-Wai-Yan-Ko-6517190009-The-Analysis-of-7Ps-Service-Marketing.pdf" TargetMode="External"/><Relationship Id="rId28" Type="http://schemas.openxmlformats.org/officeDocument/2006/relationships/hyperlink" Target="https://doi.org/10.47353/ecbis.v3i4.209" TargetMode="External"/><Relationship Id="rId10" Type="http://schemas.openxmlformats.org/officeDocument/2006/relationships/image" Target="media/image3.png"/><Relationship Id="rId19" Type="http://schemas.openxmlformats.org/officeDocument/2006/relationships/hyperlink" Target="https://fashionforgood.com" TargetMode="External"/><Relationship Id="rId31" Type="http://schemas.openxmlformats.org/officeDocument/2006/relationships/hyperlink" Target="https://reflection.ed.ac.uk/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opus.fhv.at/frontdoor/deliver/index/docId/5085/file/Master_Thesis_Cedric_Gunz.pdf" TargetMode="External"/><Relationship Id="rId27" Type="http://schemas.openxmlformats.org/officeDocument/2006/relationships/hyperlink" Target="https://www.theseus.fi/handle/10024/892153" TargetMode="External"/><Relationship Id="rId30" Type="http://schemas.openxmlformats.org/officeDocument/2006/relationships/hyperlink" Target="https://doi.org/10.1108/02634509810244417"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2E92B-9590-47D1-8CCC-90F562A85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3817</Words>
  <Characters>21759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Anonymous</cp:lastModifiedBy>
  <cp:revision>2</cp:revision>
  <dcterms:created xsi:type="dcterms:W3CDTF">2026-07-07T18:58:00Z</dcterms:created>
  <dcterms:modified xsi:type="dcterms:W3CDTF">2026-07-07T18:58:00Z</dcterms:modified>
</cp:coreProperties>
</file>