
<file path=[Content_Types].xml><?xml version="1.0" encoding="utf-8"?>
<Types xmlns="http://schemas.openxmlformats.org/package/2006/content-types">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98980" w14:textId="1B646846" w:rsidR="009F2BDF" w:rsidRPr="007030F3" w:rsidRDefault="009F2BDF">
      <w:pPr>
        <w:rPr>
          <w:color w:val="000000" w:themeColor="text1"/>
        </w:rPr>
      </w:pPr>
    </w:p>
    <w:p w14:paraId="1CA1E322" w14:textId="4EE9922F" w:rsidR="00012D71" w:rsidRPr="007030F3" w:rsidRDefault="00597B59" w:rsidP="00597B59">
      <w:pPr>
        <w:pStyle w:val="TOCHeading"/>
        <w:jc w:val="center"/>
        <w:rPr>
          <w:color w:val="000000" w:themeColor="text1"/>
        </w:rPr>
      </w:pPr>
      <w:r w:rsidRPr="007030F3">
        <w:rPr>
          <w:noProof/>
          <w:color w:val="000000" w:themeColor="text1"/>
          <w14:ligatures w14:val="standardContextual"/>
        </w:rPr>
        <w:drawing>
          <wp:inline distT="0" distB="0" distL="0" distR="0" wp14:anchorId="7199EC37" wp14:editId="5E57FFAF">
            <wp:extent cx="2813538" cy="1406769"/>
            <wp:effectExtent l="0" t="0" r="6350" b="3175"/>
            <wp:docPr id="389715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715653" name="Picture 389715653"/>
                    <pic:cNvPicPr/>
                  </pic:nvPicPr>
                  <pic:blipFill>
                    <a:blip r:embed="rId8">
                      <a:extLst>
                        <a:ext uri="{28A0092B-C50C-407E-A947-70E740481C1C}">
                          <a14:useLocalDpi xmlns:a14="http://schemas.microsoft.com/office/drawing/2010/main" val="0"/>
                        </a:ext>
                      </a:extLst>
                    </a:blip>
                    <a:stretch>
                      <a:fillRect/>
                    </a:stretch>
                  </pic:blipFill>
                  <pic:spPr>
                    <a:xfrm>
                      <a:off x="0" y="0"/>
                      <a:ext cx="2822506" cy="1411253"/>
                    </a:xfrm>
                    <a:prstGeom prst="rect">
                      <a:avLst/>
                    </a:prstGeom>
                  </pic:spPr>
                </pic:pic>
              </a:graphicData>
            </a:graphic>
          </wp:inline>
        </w:drawing>
      </w:r>
    </w:p>
    <w:p w14:paraId="1BB5ECF2" w14:textId="77777777" w:rsidR="00CD6284" w:rsidRPr="007030F3" w:rsidRDefault="0062027C" w:rsidP="00CD6284">
      <w:pPr>
        <w:rPr>
          <w:b/>
          <w:bCs/>
          <w:color w:val="000000" w:themeColor="text1"/>
          <w:sz w:val="32"/>
          <w:szCs w:val="32"/>
          <w:lang w:val="en-US"/>
        </w:rPr>
      </w:pPr>
      <w:r w:rsidRPr="007030F3">
        <w:rPr>
          <w:b/>
          <w:bCs/>
          <w:color w:val="000000" w:themeColor="text1"/>
          <w:sz w:val="36"/>
          <w:szCs w:val="36"/>
          <w:lang w:val="en-US"/>
        </w:rPr>
        <w:br/>
      </w:r>
      <w:r w:rsidRPr="007030F3">
        <w:rPr>
          <w:b/>
          <w:bCs/>
          <w:color w:val="000000" w:themeColor="text1"/>
          <w:sz w:val="36"/>
          <w:szCs w:val="36"/>
          <w:lang w:val="en-US"/>
        </w:rPr>
        <w:br/>
      </w:r>
      <w:r w:rsidR="00CD6284" w:rsidRPr="007030F3">
        <w:rPr>
          <w:b/>
          <w:bCs/>
          <w:color w:val="000000" w:themeColor="text1"/>
          <w:sz w:val="32"/>
          <w:szCs w:val="32"/>
          <w:lang w:val="en-US"/>
        </w:rPr>
        <w:t>Name – Ashish H Khubchandani</w:t>
      </w:r>
    </w:p>
    <w:p w14:paraId="2D4FC84C" w14:textId="77777777" w:rsidR="00CD6284" w:rsidRPr="007030F3" w:rsidRDefault="00CD6284" w:rsidP="00CD6284">
      <w:pPr>
        <w:rPr>
          <w:b/>
          <w:bCs/>
          <w:color w:val="000000" w:themeColor="text1"/>
          <w:sz w:val="32"/>
          <w:szCs w:val="32"/>
          <w:lang w:val="en-US"/>
        </w:rPr>
      </w:pPr>
    </w:p>
    <w:p w14:paraId="68C3D0EA" w14:textId="77777777" w:rsidR="00CD6284" w:rsidRPr="007030F3" w:rsidRDefault="00CD6284" w:rsidP="00CD6284">
      <w:pPr>
        <w:rPr>
          <w:b/>
          <w:bCs/>
          <w:color w:val="000000" w:themeColor="text1"/>
          <w:sz w:val="32"/>
          <w:szCs w:val="32"/>
          <w:lang w:val="en-US"/>
        </w:rPr>
      </w:pPr>
      <w:r w:rsidRPr="007030F3">
        <w:rPr>
          <w:b/>
          <w:bCs/>
          <w:color w:val="000000" w:themeColor="text1"/>
          <w:sz w:val="32"/>
          <w:szCs w:val="32"/>
          <w:lang w:val="en-US"/>
        </w:rPr>
        <w:t xml:space="preserve">Student Id - 2220290 </w:t>
      </w:r>
    </w:p>
    <w:p w14:paraId="23E23C7A" w14:textId="77777777" w:rsidR="00CD6284" w:rsidRPr="007030F3" w:rsidRDefault="00CD6284">
      <w:pPr>
        <w:rPr>
          <w:b/>
          <w:bCs/>
          <w:color w:val="000000" w:themeColor="text1"/>
          <w:sz w:val="36"/>
          <w:szCs w:val="36"/>
          <w:lang w:val="en-US"/>
        </w:rPr>
      </w:pPr>
    </w:p>
    <w:p w14:paraId="427FB382" w14:textId="77777777" w:rsidR="009656B6" w:rsidRPr="007030F3" w:rsidRDefault="00B31D00">
      <w:pPr>
        <w:rPr>
          <w:b/>
          <w:bCs/>
          <w:color w:val="000000" w:themeColor="text1"/>
          <w:sz w:val="36"/>
          <w:szCs w:val="36"/>
          <w:lang w:val="en-US"/>
        </w:rPr>
      </w:pPr>
      <w:r w:rsidRPr="007030F3">
        <w:rPr>
          <w:b/>
          <w:bCs/>
          <w:color w:val="000000" w:themeColor="text1"/>
          <w:sz w:val="36"/>
          <w:szCs w:val="36"/>
          <w:lang w:val="en-US"/>
        </w:rPr>
        <w:t xml:space="preserve">Subject Name </w:t>
      </w:r>
      <w:r w:rsidR="003D17E7" w:rsidRPr="007030F3">
        <w:rPr>
          <w:b/>
          <w:bCs/>
          <w:color w:val="000000" w:themeColor="text1"/>
          <w:sz w:val="36"/>
          <w:szCs w:val="36"/>
          <w:lang w:val="en-US"/>
        </w:rPr>
        <w:t>–</w:t>
      </w:r>
      <w:r w:rsidRPr="007030F3">
        <w:rPr>
          <w:b/>
          <w:bCs/>
          <w:color w:val="000000" w:themeColor="text1"/>
          <w:sz w:val="36"/>
          <w:szCs w:val="36"/>
          <w:lang w:val="en-US"/>
        </w:rPr>
        <w:t xml:space="preserve"> </w:t>
      </w:r>
      <w:r w:rsidR="003D17E7" w:rsidRPr="007030F3">
        <w:rPr>
          <w:b/>
          <w:bCs/>
          <w:color w:val="000000" w:themeColor="text1"/>
          <w:sz w:val="32"/>
          <w:szCs w:val="32"/>
          <w:lang w:val="en-US"/>
        </w:rPr>
        <w:t>Banking Financial Management and Financial Markets (LCMB</w:t>
      </w:r>
      <w:r w:rsidR="009656B6" w:rsidRPr="007030F3">
        <w:rPr>
          <w:b/>
          <w:bCs/>
          <w:color w:val="000000" w:themeColor="text1"/>
          <w:sz w:val="32"/>
          <w:szCs w:val="32"/>
          <w:lang w:val="en-US"/>
        </w:rPr>
        <w:t>7012)</w:t>
      </w:r>
    </w:p>
    <w:p w14:paraId="4A8C643B" w14:textId="77777777" w:rsidR="009656B6" w:rsidRPr="007030F3" w:rsidRDefault="009656B6">
      <w:pPr>
        <w:rPr>
          <w:b/>
          <w:bCs/>
          <w:color w:val="000000" w:themeColor="text1"/>
          <w:sz w:val="36"/>
          <w:szCs w:val="36"/>
          <w:lang w:val="en-US"/>
        </w:rPr>
      </w:pPr>
    </w:p>
    <w:p w14:paraId="4410CCDD" w14:textId="77777777" w:rsidR="006548A9" w:rsidRPr="007030F3" w:rsidRDefault="006548A9">
      <w:pPr>
        <w:rPr>
          <w:b/>
          <w:bCs/>
          <w:color w:val="000000" w:themeColor="text1"/>
          <w:sz w:val="36"/>
          <w:szCs w:val="36"/>
          <w:lang w:val="en-US"/>
        </w:rPr>
      </w:pPr>
      <w:r w:rsidRPr="007030F3">
        <w:rPr>
          <w:b/>
          <w:bCs/>
          <w:color w:val="000000" w:themeColor="text1"/>
          <w:sz w:val="36"/>
          <w:szCs w:val="36"/>
          <w:lang w:val="en-US"/>
        </w:rPr>
        <w:t xml:space="preserve">Assignment Name – </w:t>
      </w:r>
      <w:r w:rsidRPr="007030F3">
        <w:rPr>
          <w:b/>
          <w:bCs/>
          <w:color w:val="000000" w:themeColor="text1"/>
          <w:sz w:val="32"/>
          <w:szCs w:val="32"/>
          <w:lang w:val="en-US"/>
        </w:rPr>
        <w:t xml:space="preserve">Banking Financial Management and Financial Markets </w:t>
      </w:r>
    </w:p>
    <w:p w14:paraId="5780D6E5" w14:textId="77777777" w:rsidR="006548A9" w:rsidRPr="007030F3" w:rsidRDefault="006548A9">
      <w:pPr>
        <w:rPr>
          <w:b/>
          <w:bCs/>
          <w:color w:val="000000" w:themeColor="text1"/>
          <w:sz w:val="36"/>
          <w:szCs w:val="36"/>
          <w:lang w:val="en-US"/>
        </w:rPr>
      </w:pPr>
    </w:p>
    <w:p w14:paraId="7C591B1B" w14:textId="20CF1DCE" w:rsidR="007030F3" w:rsidRPr="007030F3" w:rsidRDefault="006548A9">
      <w:pPr>
        <w:rPr>
          <w:b/>
          <w:bCs/>
          <w:color w:val="000000" w:themeColor="text1"/>
          <w:sz w:val="36"/>
          <w:szCs w:val="36"/>
          <w:lang w:val="en-US"/>
        </w:rPr>
      </w:pPr>
      <w:r w:rsidRPr="007030F3">
        <w:rPr>
          <w:b/>
          <w:bCs/>
          <w:color w:val="000000" w:themeColor="text1"/>
          <w:sz w:val="36"/>
          <w:szCs w:val="36"/>
          <w:lang w:val="en-US"/>
        </w:rPr>
        <w:t xml:space="preserve">Professor Name – </w:t>
      </w:r>
      <w:r w:rsidRPr="007030F3">
        <w:rPr>
          <w:b/>
          <w:bCs/>
          <w:color w:val="000000" w:themeColor="text1"/>
          <w:sz w:val="32"/>
          <w:szCs w:val="32"/>
          <w:lang w:val="en-US"/>
        </w:rPr>
        <w:t xml:space="preserve">David Coker </w:t>
      </w:r>
      <w:r w:rsidR="0062027C" w:rsidRPr="007030F3">
        <w:rPr>
          <w:b/>
          <w:bCs/>
          <w:color w:val="000000" w:themeColor="text1"/>
          <w:sz w:val="36"/>
          <w:szCs w:val="36"/>
          <w:lang w:val="en-US"/>
        </w:rPr>
        <w:br/>
      </w:r>
      <w:r w:rsidR="0062027C" w:rsidRPr="007030F3">
        <w:rPr>
          <w:b/>
          <w:bCs/>
          <w:color w:val="000000" w:themeColor="text1"/>
          <w:sz w:val="36"/>
          <w:szCs w:val="36"/>
          <w:lang w:val="en-US"/>
        </w:rPr>
        <w:br/>
      </w:r>
      <w:r w:rsidR="0062027C" w:rsidRPr="007030F3">
        <w:rPr>
          <w:b/>
          <w:bCs/>
          <w:color w:val="000000" w:themeColor="text1"/>
          <w:sz w:val="36"/>
          <w:szCs w:val="36"/>
          <w:lang w:val="en-US"/>
        </w:rPr>
        <w:br/>
      </w:r>
      <w:r w:rsidR="0062027C" w:rsidRPr="007030F3">
        <w:rPr>
          <w:b/>
          <w:bCs/>
          <w:color w:val="000000" w:themeColor="text1"/>
          <w:sz w:val="36"/>
          <w:szCs w:val="36"/>
          <w:lang w:val="en-US"/>
        </w:rPr>
        <w:br/>
      </w:r>
      <w:r w:rsidR="0062027C" w:rsidRPr="007030F3">
        <w:rPr>
          <w:b/>
          <w:bCs/>
          <w:color w:val="000000" w:themeColor="text1"/>
          <w:sz w:val="36"/>
          <w:szCs w:val="36"/>
          <w:lang w:val="en-US"/>
        </w:rPr>
        <w:br/>
      </w:r>
      <w:r w:rsidR="0062027C" w:rsidRPr="007030F3">
        <w:rPr>
          <w:b/>
          <w:bCs/>
          <w:color w:val="000000" w:themeColor="text1"/>
          <w:sz w:val="36"/>
          <w:szCs w:val="36"/>
          <w:lang w:val="en-US"/>
        </w:rPr>
        <w:br/>
      </w:r>
      <w:r w:rsidR="0062027C" w:rsidRPr="007030F3">
        <w:rPr>
          <w:b/>
          <w:bCs/>
          <w:color w:val="000000" w:themeColor="text1"/>
          <w:sz w:val="36"/>
          <w:szCs w:val="36"/>
          <w:lang w:val="en-US"/>
        </w:rPr>
        <w:br/>
      </w:r>
      <w:r w:rsidR="0062027C" w:rsidRPr="007030F3">
        <w:rPr>
          <w:b/>
          <w:bCs/>
          <w:color w:val="000000" w:themeColor="text1"/>
          <w:sz w:val="36"/>
          <w:szCs w:val="36"/>
          <w:lang w:val="en-US"/>
        </w:rPr>
        <w:br/>
      </w:r>
    </w:p>
    <w:sdt>
      <w:sdtPr>
        <w:rPr>
          <w:rFonts w:asciiTheme="minorHAnsi" w:eastAsiaTheme="minorHAnsi" w:hAnsiTheme="minorHAnsi" w:cstheme="minorBidi"/>
          <w:color w:val="000000" w:themeColor="text1"/>
          <w:kern w:val="2"/>
          <w:sz w:val="22"/>
          <w:szCs w:val="22"/>
          <w:lang w:val="en-IN"/>
          <w14:ligatures w14:val="standardContextual"/>
        </w:rPr>
        <w:id w:val="87200232"/>
        <w:docPartObj>
          <w:docPartGallery w:val="Table of Contents"/>
          <w:docPartUnique/>
        </w:docPartObj>
      </w:sdtPr>
      <w:sdtEndPr>
        <w:rPr>
          <w:b/>
          <w:bCs/>
          <w:noProof/>
        </w:rPr>
      </w:sdtEndPr>
      <w:sdtContent>
        <w:p w14:paraId="7600F621" w14:textId="77777777" w:rsidR="002E4933" w:rsidRPr="007030F3" w:rsidRDefault="002E4933" w:rsidP="002E4933">
          <w:pPr>
            <w:pStyle w:val="TOCHeading"/>
            <w:rPr>
              <w:color w:val="000000" w:themeColor="text1"/>
            </w:rPr>
          </w:pPr>
          <w:r w:rsidRPr="007030F3">
            <w:rPr>
              <w:color w:val="000000" w:themeColor="text1"/>
            </w:rPr>
            <w:t>Contents</w:t>
          </w:r>
        </w:p>
        <w:p w14:paraId="1DEF52BE" w14:textId="77777777" w:rsidR="002E4933" w:rsidRPr="007030F3" w:rsidRDefault="002E4933" w:rsidP="002E4933">
          <w:pPr>
            <w:pStyle w:val="TOC1"/>
            <w:tabs>
              <w:tab w:val="left" w:pos="440"/>
              <w:tab w:val="right" w:leader="dot" w:pos="9016"/>
            </w:tabs>
            <w:rPr>
              <w:rFonts w:eastAsiaTheme="minorEastAsia"/>
              <w:noProof/>
              <w:color w:val="000000" w:themeColor="text1"/>
              <w:lang w:val="en-GB" w:eastAsia="en-GB"/>
            </w:rPr>
          </w:pPr>
          <w:r w:rsidRPr="007030F3">
            <w:rPr>
              <w:color w:val="000000" w:themeColor="text1"/>
            </w:rPr>
            <w:fldChar w:fldCharType="begin"/>
          </w:r>
          <w:r w:rsidRPr="007030F3">
            <w:rPr>
              <w:color w:val="000000" w:themeColor="text1"/>
            </w:rPr>
            <w:instrText xml:space="preserve"> TOC \o "1-3" \h \z \u </w:instrText>
          </w:r>
          <w:r w:rsidRPr="007030F3">
            <w:rPr>
              <w:color w:val="000000" w:themeColor="text1"/>
            </w:rPr>
            <w:fldChar w:fldCharType="separate"/>
          </w:r>
          <w:hyperlink w:anchor="_Toc143473642" w:history="1">
            <w:r w:rsidRPr="007030F3">
              <w:rPr>
                <w:rStyle w:val="Hyperlink"/>
                <w:noProof/>
                <w:color w:val="000000" w:themeColor="text1"/>
                <w:lang w:val="en-US"/>
              </w:rPr>
              <w:t>1.</w:t>
            </w:r>
            <w:r w:rsidRPr="007030F3">
              <w:rPr>
                <w:rFonts w:eastAsiaTheme="minorEastAsia"/>
                <w:noProof/>
                <w:color w:val="000000" w:themeColor="text1"/>
                <w:lang w:val="en-GB" w:eastAsia="en-GB"/>
              </w:rPr>
              <w:tab/>
            </w:r>
            <w:r w:rsidRPr="007030F3">
              <w:rPr>
                <w:rStyle w:val="Hyperlink"/>
                <w:noProof/>
                <w:color w:val="000000" w:themeColor="text1"/>
                <w:lang w:val="en-US"/>
              </w:rPr>
              <w:t>Introduction</w:t>
            </w:r>
            <w:r w:rsidRPr="007030F3">
              <w:rPr>
                <w:noProof/>
                <w:webHidden/>
                <w:color w:val="000000" w:themeColor="text1"/>
              </w:rPr>
              <w:tab/>
            </w:r>
            <w:r w:rsidRPr="007030F3">
              <w:rPr>
                <w:noProof/>
                <w:webHidden/>
                <w:color w:val="000000" w:themeColor="text1"/>
              </w:rPr>
              <w:fldChar w:fldCharType="begin"/>
            </w:r>
            <w:r w:rsidRPr="007030F3">
              <w:rPr>
                <w:noProof/>
                <w:webHidden/>
                <w:color w:val="000000" w:themeColor="text1"/>
              </w:rPr>
              <w:instrText xml:space="preserve"> PAGEREF _Toc143473642 \h </w:instrText>
            </w:r>
            <w:r w:rsidRPr="007030F3">
              <w:rPr>
                <w:noProof/>
                <w:webHidden/>
                <w:color w:val="000000" w:themeColor="text1"/>
              </w:rPr>
            </w:r>
            <w:r w:rsidRPr="007030F3">
              <w:rPr>
                <w:noProof/>
                <w:webHidden/>
                <w:color w:val="000000" w:themeColor="text1"/>
              </w:rPr>
              <w:fldChar w:fldCharType="separate"/>
            </w:r>
            <w:r w:rsidRPr="007030F3">
              <w:rPr>
                <w:noProof/>
                <w:webHidden/>
                <w:color w:val="000000" w:themeColor="text1"/>
              </w:rPr>
              <w:t>2</w:t>
            </w:r>
            <w:r w:rsidRPr="007030F3">
              <w:rPr>
                <w:noProof/>
                <w:webHidden/>
                <w:color w:val="000000" w:themeColor="text1"/>
              </w:rPr>
              <w:fldChar w:fldCharType="end"/>
            </w:r>
          </w:hyperlink>
        </w:p>
        <w:p w14:paraId="0145F528" w14:textId="77777777" w:rsidR="002E4933" w:rsidRPr="007030F3" w:rsidRDefault="00A903D8" w:rsidP="002E4933">
          <w:pPr>
            <w:pStyle w:val="TOC1"/>
            <w:tabs>
              <w:tab w:val="left" w:pos="440"/>
              <w:tab w:val="right" w:leader="dot" w:pos="9016"/>
            </w:tabs>
            <w:rPr>
              <w:rFonts w:eastAsiaTheme="minorEastAsia"/>
              <w:noProof/>
              <w:color w:val="000000" w:themeColor="text1"/>
              <w:lang w:val="en-GB" w:eastAsia="en-GB"/>
            </w:rPr>
          </w:pPr>
          <w:hyperlink w:anchor="_Toc143473643" w:history="1">
            <w:r w:rsidR="002E4933" w:rsidRPr="007030F3">
              <w:rPr>
                <w:rStyle w:val="Hyperlink"/>
                <w:noProof/>
                <w:color w:val="000000" w:themeColor="text1"/>
                <w:lang w:val="en-US"/>
              </w:rPr>
              <w:t>2.</w:t>
            </w:r>
            <w:r w:rsidR="002E4933" w:rsidRPr="007030F3">
              <w:rPr>
                <w:rFonts w:eastAsiaTheme="minorEastAsia"/>
                <w:noProof/>
                <w:color w:val="000000" w:themeColor="text1"/>
                <w:lang w:val="en-GB" w:eastAsia="en-GB"/>
              </w:rPr>
              <w:tab/>
            </w:r>
            <w:r w:rsidR="002E4933" w:rsidRPr="007030F3">
              <w:rPr>
                <w:rStyle w:val="Hyperlink"/>
                <w:noProof/>
                <w:color w:val="000000" w:themeColor="text1"/>
                <w:lang w:val="en-US"/>
              </w:rPr>
              <w:t>What is Financial Institution</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_Toc143473643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3</w:t>
            </w:r>
            <w:r w:rsidR="002E4933" w:rsidRPr="007030F3">
              <w:rPr>
                <w:noProof/>
                <w:webHidden/>
                <w:color w:val="000000" w:themeColor="text1"/>
              </w:rPr>
              <w:fldChar w:fldCharType="end"/>
            </w:r>
          </w:hyperlink>
        </w:p>
        <w:p w14:paraId="73DAA07F" w14:textId="77777777" w:rsidR="002E4933" w:rsidRPr="007030F3" w:rsidRDefault="00A903D8" w:rsidP="002E4933">
          <w:pPr>
            <w:pStyle w:val="TOC1"/>
            <w:tabs>
              <w:tab w:val="left" w:pos="440"/>
              <w:tab w:val="right" w:leader="dot" w:pos="9016"/>
            </w:tabs>
            <w:rPr>
              <w:rFonts w:eastAsiaTheme="minorEastAsia"/>
              <w:noProof/>
              <w:color w:val="000000" w:themeColor="text1"/>
              <w:lang w:val="en-GB" w:eastAsia="en-GB"/>
            </w:rPr>
          </w:pPr>
          <w:hyperlink w:anchor="_Toc143473644" w:history="1">
            <w:r w:rsidR="002E4933" w:rsidRPr="007030F3">
              <w:rPr>
                <w:rStyle w:val="Hyperlink"/>
                <w:noProof/>
                <w:color w:val="000000" w:themeColor="text1"/>
                <w:lang w:val="en-US"/>
              </w:rPr>
              <w:t>3.</w:t>
            </w:r>
            <w:r w:rsidR="002E4933" w:rsidRPr="007030F3">
              <w:rPr>
                <w:rFonts w:eastAsiaTheme="minorEastAsia"/>
                <w:noProof/>
                <w:color w:val="000000" w:themeColor="text1"/>
                <w:lang w:val="en-GB" w:eastAsia="en-GB"/>
              </w:rPr>
              <w:tab/>
            </w:r>
            <w:r w:rsidR="002E4933" w:rsidRPr="007030F3">
              <w:rPr>
                <w:rStyle w:val="Hyperlink"/>
                <w:noProof/>
                <w:color w:val="000000" w:themeColor="text1"/>
                <w:lang w:val="en-US"/>
              </w:rPr>
              <w:t>What is Financial Market</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_Toc143473644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3</w:t>
            </w:r>
            <w:r w:rsidR="002E4933" w:rsidRPr="007030F3">
              <w:rPr>
                <w:noProof/>
                <w:webHidden/>
                <w:color w:val="000000" w:themeColor="text1"/>
              </w:rPr>
              <w:fldChar w:fldCharType="end"/>
            </w:r>
          </w:hyperlink>
        </w:p>
        <w:p w14:paraId="254C2558" w14:textId="77777777" w:rsidR="002E4933" w:rsidRPr="007030F3" w:rsidRDefault="00A903D8" w:rsidP="002E4933">
          <w:pPr>
            <w:pStyle w:val="TOC1"/>
            <w:tabs>
              <w:tab w:val="left" w:pos="440"/>
              <w:tab w:val="right" w:leader="dot" w:pos="9016"/>
            </w:tabs>
            <w:rPr>
              <w:rFonts w:eastAsiaTheme="minorEastAsia"/>
              <w:noProof/>
              <w:color w:val="000000" w:themeColor="text1"/>
              <w:lang w:val="en-GB" w:eastAsia="en-GB"/>
            </w:rPr>
          </w:pPr>
          <w:hyperlink w:anchor="_Toc143473645" w:history="1">
            <w:r w:rsidR="002E4933" w:rsidRPr="007030F3">
              <w:rPr>
                <w:rStyle w:val="Hyperlink"/>
                <w:noProof/>
                <w:color w:val="000000" w:themeColor="text1"/>
                <w:lang w:val="en-US"/>
              </w:rPr>
              <w:t>4.</w:t>
            </w:r>
            <w:r w:rsidR="002E4933" w:rsidRPr="007030F3">
              <w:rPr>
                <w:rFonts w:eastAsiaTheme="minorEastAsia"/>
                <w:noProof/>
                <w:color w:val="000000" w:themeColor="text1"/>
                <w:lang w:val="en-GB" w:eastAsia="en-GB"/>
              </w:rPr>
              <w:tab/>
            </w:r>
            <w:r w:rsidR="002E4933" w:rsidRPr="007030F3">
              <w:rPr>
                <w:rStyle w:val="Hyperlink"/>
                <w:noProof/>
                <w:color w:val="000000" w:themeColor="text1"/>
                <w:lang w:val="en-US"/>
              </w:rPr>
              <w:t>Types of Financial market</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_Toc143473645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4</w:t>
            </w:r>
            <w:r w:rsidR="002E4933" w:rsidRPr="007030F3">
              <w:rPr>
                <w:noProof/>
                <w:webHidden/>
                <w:color w:val="000000" w:themeColor="text1"/>
              </w:rPr>
              <w:fldChar w:fldCharType="end"/>
            </w:r>
          </w:hyperlink>
        </w:p>
        <w:p w14:paraId="75417410" w14:textId="77777777" w:rsidR="002E4933" w:rsidRPr="007030F3" w:rsidRDefault="00A903D8" w:rsidP="002E4933">
          <w:pPr>
            <w:pStyle w:val="TOC1"/>
            <w:tabs>
              <w:tab w:val="left" w:pos="440"/>
              <w:tab w:val="right" w:leader="dot" w:pos="9016"/>
            </w:tabs>
            <w:rPr>
              <w:rFonts w:eastAsiaTheme="minorEastAsia"/>
              <w:noProof/>
              <w:color w:val="000000" w:themeColor="text1"/>
              <w:lang w:val="en-GB" w:eastAsia="en-GB"/>
            </w:rPr>
          </w:pPr>
          <w:hyperlink w:anchor="_Toc143473646" w:history="1">
            <w:r w:rsidR="002E4933" w:rsidRPr="007030F3">
              <w:rPr>
                <w:rStyle w:val="Hyperlink"/>
                <w:noProof/>
                <w:color w:val="000000" w:themeColor="text1"/>
                <w:lang w:val="en-US"/>
              </w:rPr>
              <w:t>5.</w:t>
            </w:r>
            <w:r w:rsidR="002E4933" w:rsidRPr="007030F3">
              <w:rPr>
                <w:rFonts w:eastAsiaTheme="minorEastAsia"/>
                <w:noProof/>
                <w:color w:val="000000" w:themeColor="text1"/>
                <w:lang w:val="en-GB" w:eastAsia="en-GB"/>
              </w:rPr>
              <w:tab/>
            </w:r>
            <w:r w:rsidR="002E4933" w:rsidRPr="007030F3">
              <w:rPr>
                <w:rStyle w:val="Hyperlink"/>
                <w:noProof/>
                <w:color w:val="000000" w:themeColor="text1"/>
                <w:lang w:val="en-US"/>
              </w:rPr>
              <w:t>What are Financial Instruments</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_Toc143473646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4</w:t>
            </w:r>
            <w:r w:rsidR="002E4933" w:rsidRPr="007030F3">
              <w:rPr>
                <w:noProof/>
                <w:webHidden/>
                <w:color w:val="000000" w:themeColor="text1"/>
              </w:rPr>
              <w:fldChar w:fldCharType="end"/>
            </w:r>
          </w:hyperlink>
        </w:p>
        <w:p w14:paraId="6B0E7482" w14:textId="77777777" w:rsidR="002E4933" w:rsidRPr="007030F3" w:rsidRDefault="00A903D8" w:rsidP="002E4933">
          <w:pPr>
            <w:pStyle w:val="TOC1"/>
            <w:tabs>
              <w:tab w:val="left" w:pos="440"/>
              <w:tab w:val="right" w:leader="dot" w:pos="9016"/>
            </w:tabs>
            <w:rPr>
              <w:rFonts w:eastAsiaTheme="minorEastAsia"/>
              <w:noProof/>
              <w:color w:val="000000" w:themeColor="text1"/>
              <w:lang w:val="en-GB" w:eastAsia="en-GB"/>
            </w:rPr>
          </w:pPr>
          <w:hyperlink w:anchor="_Toc143473647" w:history="1">
            <w:r w:rsidR="002E4933" w:rsidRPr="007030F3">
              <w:rPr>
                <w:rStyle w:val="Hyperlink"/>
                <w:noProof/>
                <w:color w:val="000000" w:themeColor="text1"/>
                <w:lang w:val="en-US"/>
              </w:rPr>
              <w:t>6.</w:t>
            </w:r>
            <w:r w:rsidR="002E4933" w:rsidRPr="007030F3">
              <w:rPr>
                <w:rFonts w:eastAsiaTheme="minorEastAsia"/>
                <w:noProof/>
                <w:color w:val="000000" w:themeColor="text1"/>
                <w:lang w:val="en-GB" w:eastAsia="en-GB"/>
              </w:rPr>
              <w:tab/>
            </w:r>
            <w:r w:rsidR="002E4933" w:rsidRPr="007030F3">
              <w:rPr>
                <w:rStyle w:val="Hyperlink"/>
                <w:noProof/>
                <w:color w:val="000000" w:themeColor="text1"/>
                <w:lang w:val="en-US"/>
              </w:rPr>
              <w:t>2008 Crisis in United States of America</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_Toc143473647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5</w:t>
            </w:r>
            <w:r w:rsidR="002E4933" w:rsidRPr="007030F3">
              <w:rPr>
                <w:noProof/>
                <w:webHidden/>
                <w:color w:val="000000" w:themeColor="text1"/>
              </w:rPr>
              <w:fldChar w:fldCharType="end"/>
            </w:r>
          </w:hyperlink>
        </w:p>
        <w:p w14:paraId="2498923E" w14:textId="77777777" w:rsidR="002E4933" w:rsidRPr="007030F3" w:rsidRDefault="00A903D8" w:rsidP="002E4933">
          <w:pPr>
            <w:pStyle w:val="TOC2"/>
            <w:tabs>
              <w:tab w:val="right" w:leader="dot" w:pos="9016"/>
            </w:tabs>
            <w:rPr>
              <w:rFonts w:eastAsiaTheme="minorEastAsia"/>
              <w:noProof/>
              <w:color w:val="000000" w:themeColor="text1"/>
              <w:lang w:val="en-GB" w:eastAsia="en-GB"/>
            </w:rPr>
          </w:pPr>
          <w:hyperlink w:anchor="_Toc143473648" w:history="1">
            <w:r w:rsidR="002E4933" w:rsidRPr="007030F3">
              <w:rPr>
                <w:rStyle w:val="Hyperlink"/>
                <w:noProof/>
                <w:color w:val="000000" w:themeColor="text1"/>
                <w:lang w:val="en-US"/>
              </w:rPr>
              <w:t>6.1 Causes of 2008 Crisis in J. P. Morgan</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_Toc143473648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5</w:t>
            </w:r>
            <w:r w:rsidR="002E4933" w:rsidRPr="007030F3">
              <w:rPr>
                <w:noProof/>
                <w:webHidden/>
                <w:color w:val="000000" w:themeColor="text1"/>
              </w:rPr>
              <w:fldChar w:fldCharType="end"/>
            </w:r>
          </w:hyperlink>
        </w:p>
        <w:p w14:paraId="0C2F2779" w14:textId="77777777" w:rsidR="002E4933" w:rsidRPr="007030F3" w:rsidRDefault="00A903D8" w:rsidP="002E4933">
          <w:pPr>
            <w:pStyle w:val="TOC2"/>
            <w:tabs>
              <w:tab w:val="right" w:leader="dot" w:pos="9016"/>
            </w:tabs>
            <w:rPr>
              <w:rFonts w:eastAsiaTheme="minorEastAsia"/>
              <w:noProof/>
              <w:color w:val="000000" w:themeColor="text1"/>
              <w:lang w:val="en-GB" w:eastAsia="en-GB"/>
            </w:rPr>
          </w:pPr>
          <w:hyperlink w:anchor="_Toc143473649" w:history="1">
            <w:r w:rsidR="002E4933" w:rsidRPr="007030F3">
              <w:rPr>
                <w:rStyle w:val="Hyperlink"/>
                <w:noProof/>
                <w:color w:val="000000" w:themeColor="text1"/>
                <w:lang w:val="en-US"/>
              </w:rPr>
              <w:t>6.2 Effects of 2008 Crisis in J. P. Morgan</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_Toc143473649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5</w:t>
            </w:r>
            <w:r w:rsidR="002E4933" w:rsidRPr="007030F3">
              <w:rPr>
                <w:noProof/>
                <w:webHidden/>
                <w:color w:val="000000" w:themeColor="text1"/>
              </w:rPr>
              <w:fldChar w:fldCharType="end"/>
            </w:r>
          </w:hyperlink>
        </w:p>
        <w:p w14:paraId="080A035C" w14:textId="77777777" w:rsidR="002E4933" w:rsidRPr="007030F3" w:rsidRDefault="00A903D8" w:rsidP="002E4933">
          <w:pPr>
            <w:pStyle w:val="TOC1"/>
            <w:tabs>
              <w:tab w:val="left" w:pos="440"/>
              <w:tab w:val="right" w:leader="dot" w:pos="9016"/>
            </w:tabs>
            <w:rPr>
              <w:rFonts w:eastAsiaTheme="minorEastAsia"/>
              <w:noProof/>
              <w:color w:val="000000" w:themeColor="text1"/>
              <w:lang w:val="en-GB" w:eastAsia="en-GB"/>
            </w:rPr>
          </w:pPr>
          <w:hyperlink w:anchor="_Toc143473650" w:history="1">
            <w:r w:rsidR="002E4933" w:rsidRPr="007030F3">
              <w:rPr>
                <w:rStyle w:val="Hyperlink"/>
                <w:noProof/>
                <w:color w:val="000000" w:themeColor="text1"/>
                <w:lang w:val="en-US"/>
              </w:rPr>
              <w:t>7.</w:t>
            </w:r>
            <w:r w:rsidR="002E4933" w:rsidRPr="007030F3">
              <w:rPr>
                <w:rFonts w:eastAsiaTheme="minorEastAsia"/>
                <w:noProof/>
                <w:color w:val="000000" w:themeColor="text1"/>
                <w:lang w:val="en-GB" w:eastAsia="en-GB"/>
              </w:rPr>
              <w:tab/>
            </w:r>
            <w:r w:rsidR="002E4933" w:rsidRPr="007030F3">
              <w:rPr>
                <w:rStyle w:val="Hyperlink"/>
                <w:noProof/>
                <w:color w:val="000000" w:themeColor="text1"/>
                <w:lang w:val="en-US"/>
              </w:rPr>
              <w:t>Question 1</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_Toc143473650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6</w:t>
            </w:r>
            <w:r w:rsidR="002E4933" w:rsidRPr="007030F3">
              <w:rPr>
                <w:noProof/>
                <w:webHidden/>
                <w:color w:val="000000" w:themeColor="text1"/>
              </w:rPr>
              <w:fldChar w:fldCharType="end"/>
            </w:r>
          </w:hyperlink>
        </w:p>
        <w:p w14:paraId="032F8EF5" w14:textId="77777777" w:rsidR="002E4933" w:rsidRPr="007030F3" w:rsidRDefault="00A903D8" w:rsidP="002E4933">
          <w:pPr>
            <w:pStyle w:val="TOC1"/>
            <w:tabs>
              <w:tab w:val="left" w:pos="440"/>
              <w:tab w:val="right" w:leader="dot" w:pos="9016"/>
            </w:tabs>
            <w:rPr>
              <w:rFonts w:eastAsiaTheme="minorEastAsia"/>
              <w:noProof/>
              <w:color w:val="000000" w:themeColor="text1"/>
              <w:lang w:val="en-GB" w:eastAsia="en-GB"/>
            </w:rPr>
          </w:pPr>
          <w:hyperlink w:anchor="_Toc143473651" w:history="1">
            <w:r w:rsidR="002E4933" w:rsidRPr="007030F3">
              <w:rPr>
                <w:rStyle w:val="Hyperlink"/>
                <w:noProof/>
                <w:color w:val="000000" w:themeColor="text1"/>
                <w:lang w:val="en-US"/>
              </w:rPr>
              <w:t>8.</w:t>
            </w:r>
            <w:r w:rsidR="002E4933" w:rsidRPr="007030F3">
              <w:rPr>
                <w:rFonts w:eastAsiaTheme="minorEastAsia"/>
                <w:noProof/>
                <w:color w:val="000000" w:themeColor="text1"/>
                <w:lang w:val="en-GB" w:eastAsia="en-GB"/>
              </w:rPr>
              <w:tab/>
            </w:r>
            <w:r w:rsidR="002E4933" w:rsidRPr="007030F3">
              <w:rPr>
                <w:rStyle w:val="Hyperlink"/>
                <w:noProof/>
                <w:color w:val="000000" w:themeColor="text1"/>
                <w:lang w:val="en-US"/>
              </w:rPr>
              <w:t>Question 2</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_Toc143473651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7</w:t>
            </w:r>
            <w:r w:rsidR="002E4933" w:rsidRPr="007030F3">
              <w:rPr>
                <w:noProof/>
                <w:webHidden/>
                <w:color w:val="000000" w:themeColor="text1"/>
              </w:rPr>
              <w:fldChar w:fldCharType="end"/>
            </w:r>
          </w:hyperlink>
        </w:p>
        <w:p w14:paraId="528BF8C3" w14:textId="77777777" w:rsidR="002E4933" w:rsidRPr="007030F3" w:rsidRDefault="00A903D8" w:rsidP="002E4933">
          <w:pPr>
            <w:pStyle w:val="TOC1"/>
            <w:tabs>
              <w:tab w:val="left" w:pos="440"/>
              <w:tab w:val="right" w:leader="dot" w:pos="9016"/>
            </w:tabs>
            <w:rPr>
              <w:rFonts w:eastAsiaTheme="minorEastAsia"/>
              <w:noProof/>
              <w:color w:val="000000" w:themeColor="text1"/>
              <w:lang w:val="en-GB" w:eastAsia="en-GB"/>
            </w:rPr>
          </w:pPr>
          <w:hyperlink w:anchor="_Toc143473652" w:history="1">
            <w:r w:rsidR="002E4933" w:rsidRPr="007030F3">
              <w:rPr>
                <w:rStyle w:val="Hyperlink"/>
                <w:noProof/>
                <w:color w:val="000000" w:themeColor="text1"/>
                <w:lang w:val="en-US"/>
              </w:rPr>
              <w:t>9.</w:t>
            </w:r>
            <w:r w:rsidR="002E4933" w:rsidRPr="007030F3">
              <w:rPr>
                <w:rFonts w:eastAsiaTheme="minorEastAsia"/>
                <w:noProof/>
                <w:color w:val="000000" w:themeColor="text1"/>
                <w:lang w:val="en-GB" w:eastAsia="en-GB"/>
              </w:rPr>
              <w:tab/>
            </w:r>
            <w:r w:rsidR="002E4933" w:rsidRPr="007030F3">
              <w:rPr>
                <w:rStyle w:val="Hyperlink"/>
                <w:noProof/>
                <w:color w:val="000000" w:themeColor="text1"/>
                <w:lang w:val="en-US"/>
              </w:rPr>
              <w:t>Question 3</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_Toc143473652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8</w:t>
            </w:r>
            <w:r w:rsidR="002E4933" w:rsidRPr="007030F3">
              <w:rPr>
                <w:noProof/>
                <w:webHidden/>
                <w:color w:val="000000" w:themeColor="text1"/>
              </w:rPr>
              <w:fldChar w:fldCharType="end"/>
            </w:r>
          </w:hyperlink>
        </w:p>
        <w:p w14:paraId="5ED32DAD" w14:textId="77777777" w:rsidR="002E4933" w:rsidRPr="007030F3" w:rsidRDefault="00A903D8" w:rsidP="002E4933">
          <w:pPr>
            <w:pStyle w:val="TOC1"/>
            <w:tabs>
              <w:tab w:val="left" w:pos="660"/>
              <w:tab w:val="right" w:leader="dot" w:pos="9016"/>
            </w:tabs>
            <w:rPr>
              <w:rFonts w:eastAsiaTheme="minorEastAsia"/>
              <w:noProof/>
              <w:color w:val="000000" w:themeColor="text1"/>
              <w:lang w:val="en-GB" w:eastAsia="en-GB"/>
            </w:rPr>
          </w:pPr>
          <w:hyperlink w:anchor="_Toc143473653" w:history="1">
            <w:r w:rsidR="002E4933" w:rsidRPr="007030F3">
              <w:rPr>
                <w:rStyle w:val="Hyperlink"/>
                <w:noProof/>
                <w:color w:val="000000" w:themeColor="text1"/>
              </w:rPr>
              <w:t>10.</w:t>
            </w:r>
            <w:r w:rsidR="002E4933" w:rsidRPr="007030F3">
              <w:rPr>
                <w:rFonts w:eastAsiaTheme="minorEastAsia"/>
                <w:noProof/>
                <w:color w:val="000000" w:themeColor="text1"/>
                <w:lang w:val="en-GB" w:eastAsia="en-GB"/>
              </w:rPr>
              <w:tab/>
            </w:r>
            <w:r w:rsidR="002E4933" w:rsidRPr="007030F3">
              <w:rPr>
                <w:rStyle w:val="Hyperlink"/>
                <w:noProof/>
                <w:color w:val="000000" w:themeColor="text1"/>
              </w:rPr>
              <w:t>Background of J. P. Morgan</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_Toc143473653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9</w:t>
            </w:r>
            <w:r w:rsidR="002E4933" w:rsidRPr="007030F3">
              <w:rPr>
                <w:noProof/>
                <w:webHidden/>
                <w:color w:val="000000" w:themeColor="text1"/>
              </w:rPr>
              <w:fldChar w:fldCharType="end"/>
            </w:r>
          </w:hyperlink>
        </w:p>
        <w:p w14:paraId="668C38B6" w14:textId="77777777" w:rsidR="002E4933" w:rsidRPr="007030F3" w:rsidRDefault="00A903D8" w:rsidP="002E4933">
          <w:pPr>
            <w:pStyle w:val="TOC1"/>
            <w:tabs>
              <w:tab w:val="left" w:pos="660"/>
              <w:tab w:val="right" w:leader="dot" w:pos="9016"/>
            </w:tabs>
            <w:rPr>
              <w:rFonts w:eastAsiaTheme="minorEastAsia"/>
              <w:noProof/>
              <w:color w:val="000000" w:themeColor="text1"/>
              <w:lang w:val="en-GB" w:eastAsia="en-GB"/>
            </w:rPr>
          </w:pPr>
          <w:hyperlink w:anchor="_Toc143473654" w:history="1">
            <w:r w:rsidR="002E4933" w:rsidRPr="007030F3">
              <w:rPr>
                <w:rStyle w:val="Hyperlink"/>
                <w:noProof/>
                <w:color w:val="000000" w:themeColor="text1"/>
                <w:lang w:val="en-US"/>
              </w:rPr>
              <w:t>11.</w:t>
            </w:r>
            <w:r w:rsidR="002E4933" w:rsidRPr="007030F3">
              <w:rPr>
                <w:rFonts w:eastAsiaTheme="minorEastAsia"/>
                <w:noProof/>
                <w:color w:val="000000" w:themeColor="text1"/>
                <w:lang w:val="en-GB" w:eastAsia="en-GB"/>
              </w:rPr>
              <w:tab/>
            </w:r>
            <w:r w:rsidR="002E4933" w:rsidRPr="007030F3">
              <w:rPr>
                <w:rStyle w:val="Hyperlink"/>
                <w:noProof/>
                <w:color w:val="000000" w:themeColor="text1"/>
                <w:lang w:val="en-US"/>
              </w:rPr>
              <w:t>Question 4</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_Toc143473654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10</w:t>
            </w:r>
            <w:r w:rsidR="002E4933" w:rsidRPr="007030F3">
              <w:rPr>
                <w:noProof/>
                <w:webHidden/>
                <w:color w:val="000000" w:themeColor="text1"/>
              </w:rPr>
              <w:fldChar w:fldCharType="end"/>
            </w:r>
          </w:hyperlink>
        </w:p>
        <w:p w14:paraId="2C68896B" w14:textId="77777777" w:rsidR="002E4933" w:rsidRPr="007030F3" w:rsidRDefault="00A903D8" w:rsidP="002E4933">
          <w:pPr>
            <w:pStyle w:val="TOC1"/>
            <w:tabs>
              <w:tab w:val="right" w:leader="dot" w:pos="9016"/>
            </w:tabs>
            <w:rPr>
              <w:rFonts w:eastAsiaTheme="minorEastAsia"/>
              <w:noProof/>
              <w:color w:val="000000" w:themeColor="text1"/>
              <w:lang w:val="en-GB" w:eastAsia="en-GB"/>
            </w:rPr>
          </w:pPr>
          <w:hyperlink w:anchor="_Toc143473655" w:history="1">
            <w:r w:rsidR="002E4933" w:rsidRPr="007030F3">
              <w:rPr>
                <w:rStyle w:val="Hyperlink"/>
                <w:noProof/>
                <w:color w:val="000000" w:themeColor="text1"/>
                <w:lang w:val="en-US"/>
              </w:rPr>
              <w:t>11.1 Global debt has ballooned</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_Toc143473655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10</w:t>
            </w:r>
            <w:r w:rsidR="002E4933" w:rsidRPr="007030F3">
              <w:rPr>
                <w:noProof/>
                <w:webHidden/>
                <w:color w:val="000000" w:themeColor="text1"/>
              </w:rPr>
              <w:fldChar w:fldCharType="end"/>
            </w:r>
          </w:hyperlink>
        </w:p>
        <w:p w14:paraId="416C858B" w14:textId="77777777" w:rsidR="002E4933" w:rsidRPr="007030F3" w:rsidRDefault="00A903D8" w:rsidP="002E4933">
          <w:pPr>
            <w:pStyle w:val="TOC2"/>
            <w:tabs>
              <w:tab w:val="right" w:leader="dot" w:pos="9016"/>
            </w:tabs>
            <w:rPr>
              <w:rFonts w:eastAsiaTheme="minorEastAsia"/>
              <w:noProof/>
              <w:color w:val="000000" w:themeColor="text1"/>
              <w:lang w:val="en-GB" w:eastAsia="en-GB"/>
            </w:rPr>
          </w:pPr>
          <w:hyperlink w:anchor="_Toc143473656" w:history="1">
            <w:r w:rsidR="002E4933" w:rsidRPr="007030F3">
              <w:rPr>
                <w:rStyle w:val="Hyperlink"/>
                <w:noProof/>
                <w:color w:val="000000" w:themeColor="text1"/>
              </w:rPr>
              <w:t>11.2 The housing bubbles</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_Toc143473656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11</w:t>
            </w:r>
            <w:r w:rsidR="002E4933" w:rsidRPr="007030F3">
              <w:rPr>
                <w:noProof/>
                <w:webHidden/>
                <w:color w:val="000000" w:themeColor="text1"/>
              </w:rPr>
              <w:fldChar w:fldCharType="end"/>
            </w:r>
          </w:hyperlink>
        </w:p>
        <w:p w14:paraId="7B4BFDC2" w14:textId="77777777" w:rsidR="002E4933" w:rsidRPr="007030F3" w:rsidRDefault="00A903D8" w:rsidP="002E4933">
          <w:pPr>
            <w:pStyle w:val="TOC2"/>
            <w:tabs>
              <w:tab w:val="right" w:leader="dot" w:pos="9016"/>
            </w:tabs>
            <w:rPr>
              <w:rFonts w:eastAsiaTheme="minorEastAsia"/>
              <w:noProof/>
              <w:color w:val="000000" w:themeColor="text1"/>
              <w:lang w:val="en-GB" w:eastAsia="en-GB"/>
            </w:rPr>
          </w:pPr>
          <w:hyperlink w:anchor="_Toc143473657" w:history="1">
            <w:r w:rsidR="002E4933" w:rsidRPr="007030F3">
              <w:rPr>
                <w:rStyle w:val="Hyperlink"/>
                <w:noProof/>
                <w:color w:val="000000" w:themeColor="text1"/>
              </w:rPr>
              <w:t>11.3 Central bank balance sheets</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_Toc143473657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12</w:t>
            </w:r>
            <w:r w:rsidR="002E4933" w:rsidRPr="007030F3">
              <w:rPr>
                <w:noProof/>
                <w:webHidden/>
                <w:color w:val="000000" w:themeColor="text1"/>
              </w:rPr>
              <w:fldChar w:fldCharType="end"/>
            </w:r>
          </w:hyperlink>
        </w:p>
        <w:p w14:paraId="2D52FAA2" w14:textId="77777777" w:rsidR="002E4933" w:rsidRPr="007030F3" w:rsidRDefault="00A903D8" w:rsidP="002E4933">
          <w:pPr>
            <w:pStyle w:val="TOC2"/>
            <w:tabs>
              <w:tab w:val="right" w:leader="dot" w:pos="9016"/>
            </w:tabs>
            <w:rPr>
              <w:rFonts w:eastAsiaTheme="minorEastAsia"/>
              <w:noProof/>
              <w:color w:val="000000" w:themeColor="text1"/>
              <w:lang w:val="en-GB" w:eastAsia="en-GB"/>
            </w:rPr>
          </w:pPr>
          <w:hyperlink w:anchor="_Toc143473658" w:history="1">
            <w:r w:rsidR="002E4933" w:rsidRPr="007030F3">
              <w:rPr>
                <w:rStyle w:val="Hyperlink"/>
                <w:noProof/>
                <w:color w:val="000000" w:themeColor="text1"/>
              </w:rPr>
              <w:t>11.4 Household debt to income</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_Toc143473658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12</w:t>
            </w:r>
            <w:r w:rsidR="002E4933" w:rsidRPr="007030F3">
              <w:rPr>
                <w:noProof/>
                <w:webHidden/>
                <w:color w:val="000000" w:themeColor="text1"/>
              </w:rPr>
              <w:fldChar w:fldCharType="end"/>
            </w:r>
          </w:hyperlink>
        </w:p>
        <w:p w14:paraId="6365D5C4" w14:textId="77777777" w:rsidR="002E4933" w:rsidRPr="007030F3" w:rsidRDefault="00A903D8" w:rsidP="002E4933">
          <w:pPr>
            <w:pStyle w:val="TOC2"/>
            <w:tabs>
              <w:tab w:val="right" w:leader="dot" w:pos="9016"/>
            </w:tabs>
            <w:rPr>
              <w:rFonts w:eastAsiaTheme="minorEastAsia"/>
              <w:noProof/>
              <w:color w:val="000000" w:themeColor="text1"/>
              <w:lang w:val="en-GB" w:eastAsia="en-GB"/>
            </w:rPr>
          </w:pPr>
          <w:hyperlink w:anchor="_Toc143473659" w:history="1">
            <w:r w:rsidR="002E4933" w:rsidRPr="007030F3">
              <w:rPr>
                <w:rStyle w:val="Hyperlink"/>
                <w:noProof/>
                <w:color w:val="000000" w:themeColor="text1"/>
              </w:rPr>
              <w:t>11.5 Tougher regulation</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_Toc143473659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13</w:t>
            </w:r>
            <w:r w:rsidR="002E4933" w:rsidRPr="007030F3">
              <w:rPr>
                <w:noProof/>
                <w:webHidden/>
                <w:color w:val="000000" w:themeColor="text1"/>
              </w:rPr>
              <w:fldChar w:fldCharType="end"/>
            </w:r>
          </w:hyperlink>
        </w:p>
        <w:p w14:paraId="54C6B3E4" w14:textId="77777777" w:rsidR="002E4933" w:rsidRPr="007030F3" w:rsidRDefault="00A903D8" w:rsidP="002E4933">
          <w:pPr>
            <w:pStyle w:val="TOC2"/>
            <w:tabs>
              <w:tab w:val="right" w:leader="dot" w:pos="9016"/>
            </w:tabs>
            <w:rPr>
              <w:rFonts w:eastAsiaTheme="minorEastAsia"/>
              <w:noProof/>
              <w:color w:val="000000" w:themeColor="text1"/>
              <w:lang w:val="en-GB" w:eastAsia="en-GB"/>
            </w:rPr>
          </w:pPr>
          <w:hyperlink w:anchor="_Toc143473660" w:history="1">
            <w:r w:rsidR="002E4933" w:rsidRPr="007030F3">
              <w:rPr>
                <w:rStyle w:val="Hyperlink"/>
                <w:noProof/>
                <w:color w:val="000000" w:themeColor="text1"/>
              </w:rPr>
              <w:t>11.6 A Blow Growth</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_Toc143473660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13</w:t>
            </w:r>
            <w:r w:rsidR="002E4933" w:rsidRPr="007030F3">
              <w:rPr>
                <w:noProof/>
                <w:webHidden/>
                <w:color w:val="000000" w:themeColor="text1"/>
              </w:rPr>
              <w:fldChar w:fldCharType="end"/>
            </w:r>
          </w:hyperlink>
        </w:p>
        <w:p w14:paraId="65F01D0C" w14:textId="77777777" w:rsidR="002E4933" w:rsidRPr="007030F3" w:rsidRDefault="00A903D8" w:rsidP="002E4933">
          <w:pPr>
            <w:pStyle w:val="TOC2"/>
            <w:tabs>
              <w:tab w:val="right" w:leader="dot" w:pos="9016"/>
            </w:tabs>
            <w:rPr>
              <w:rFonts w:eastAsiaTheme="minorEastAsia"/>
              <w:noProof/>
              <w:color w:val="000000" w:themeColor="text1"/>
              <w:lang w:val="en-GB" w:eastAsia="en-GB"/>
            </w:rPr>
          </w:pPr>
          <w:hyperlink w:anchor="_Toc143473661" w:history="1">
            <w:r w:rsidR="002E4933" w:rsidRPr="007030F3">
              <w:rPr>
                <w:rStyle w:val="Hyperlink"/>
                <w:noProof/>
                <w:color w:val="000000" w:themeColor="text1"/>
              </w:rPr>
              <w:t>11.7 Impact on Business Model</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_Toc143473661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14</w:t>
            </w:r>
            <w:r w:rsidR="002E4933" w:rsidRPr="007030F3">
              <w:rPr>
                <w:noProof/>
                <w:webHidden/>
                <w:color w:val="000000" w:themeColor="text1"/>
              </w:rPr>
              <w:fldChar w:fldCharType="end"/>
            </w:r>
          </w:hyperlink>
        </w:p>
        <w:p w14:paraId="479752CA" w14:textId="77777777" w:rsidR="002E4933" w:rsidRPr="007030F3" w:rsidRDefault="00A903D8" w:rsidP="002E4933">
          <w:pPr>
            <w:pStyle w:val="TOC2"/>
            <w:tabs>
              <w:tab w:val="right" w:leader="dot" w:pos="9016"/>
            </w:tabs>
            <w:rPr>
              <w:rFonts w:eastAsiaTheme="minorEastAsia"/>
              <w:noProof/>
              <w:color w:val="000000" w:themeColor="text1"/>
              <w:lang w:val="en-GB" w:eastAsia="en-GB"/>
            </w:rPr>
          </w:pPr>
          <w:hyperlink w:anchor="_Toc143473662" w:history="1">
            <w:r w:rsidR="002E4933" w:rsidRPr="007030F3">
              <w:rPr>
                <w:rStyle w:val="Hyperlink"/>
                <w:noProof/>
                <w:color w:val="000000" w:themeColor="text1"/>
              </w:rPr>
              <w:t>11.8 Compliance Record</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_Toc143473662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14</w:t>
            </w:r>
            <w:r w:rsidR="002E4933" w:rsidRPr="007030F3">
              <w:rPr>
                <w:noProof/>
                <w:webHidden/>
                <w:color w:val="000000" w:themeColor="text1"/>
              </w:rPr>
              <w:fldChar w:fldCharType="end"/>
            </w:r>
          </w:hyperlink>
        </w:p>
        <w:p w14:paraId="134FEBC6" w14:textId="77777777" w:rsidR="002E4933" w:rsidRPr="007030F3" w:rsidRDefault="00A903D8" w:rsidP="002E4933">
          <w:pPr>
            <w:pStyle w:val="TOC1"/>
            <w:tabs>
              <w:tab w:val="left" w:pos="660"/>
              <w:tab w:val="right" w:leader="dot" w:pos="9016"/>
            </w:tabs>
            <w:rPr>
              <w:rFonts w:eastAsiaTheme="minorEastAsia"/>
              <w:noProof/>
              <w:color w:val="000000" w:themeColor="text1"/>
              <w:lang w:val="en-GB" w:eastAsia="en-GB"/>
            </w:rPr>
          </w:pPr>
          <w:hyperlink w:anchor="_Toc143473663" w:history="1">
            <w:r w:rsidR="002E4933" w:rsidRPr="007030F3">
              <w:rPr>
                <w:rStyle w:val="Hyperlink"/>
                <w:noProof/>
                <w:color w:val="000000" w:themeColor="text1"/>
              </w:rPr>
              <w:t>12.</w:t>
            </w:r>
            <w:r w:rsidR="002E4933" w:rsidRPr="007030F3">
              <w:rPr>
                <w:rFonts w:eastAsiaTheme="minorEastAsia"/>
                <w:noProof/>
                <w:color w:val="000000" w:themeColor="text1"/>
                <w:lang w:val="en-GB" w:eastAsia="en-GB"/>
              </w:rPr>
              <w:tab/>
            </w:r>
            <w:r w:rsidR="002E4933" w:rsidRPr="007030F3">
              <w:rPr>
                <w:rStyle w:val="Hyperlink"/>
                <w:noProof/>
                <w:color w:val="000000" w:themeColor="text1"/>
              </w:rPr>
              <w:t>Conclusion</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_Toc143473663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14</w:t>
            </w:r>
            <w:r w:rsidR="002E4933" w:rsidRPr="007030F3">
              <w:rPr>
                <w:noProof/>
                <w:webHidden/>
                <w:color w:val="000000" w:themeColor="text1"/>
              </w:rPr>
              <w:fldChar w:fldCharType="end"/>
            </w:r>
          </w:hyperlink>
        </w:p>
        <w:p w14:paraId="7C14BCFA" w14:textId="77777777" w:rsidR="002E4933" w:rsidRPr="007030F3" w:rsidRDefault="00A903D8" w:rsidP="002E4933">
          <w:pPr>
            <w:pStyle w:val="TOC1"/>
            <w:tabs>
              <w:tab w:val="left" w:pos="660"/>
              <w:tab w:val="right" w:leader="dot" w:pos="9016"/>
            </w:tabs>
            <w:rPr>
              <w:rFonts w:eastAsiaTheme="minorEastAsia"/>
              <w:noProof/>
              <w:color w:val="000000" w:themeColor="text1"/>
              <w:lang w:val="en-GB" w:eastAsia="en-GB"/>
            </w:rPr>
          </w:pPr>
          <w:hyperlink w:anchor="_Toc143473664" w:history="1">
            <w:r w:rsidR="002E4933" w:rsidRPr="007030F3">
              <w:rPr>
                <w:rStyle w:val="Hyperlink"/>
                <w:noProof/>
                <w:color w:val="000000" w:themeColor="text1"/>
              </w:rPr>
              <w:t>13.</w:t>
            </w:r>
            <w:r w:rsidR="002E4933" w:rsidRPr="007030F3">
              <w:rPr>
                <w:rFonts w:eastAsiaTheme="minorEastAsia"/>
                <w:noProof/>
                <w:color w:val="000000" w:themeColor="text1"/>
                <w:lang w:val="en-GB" w:eastAsia="en-GB"/>
              </w:rPr>
              <w:tab/>
            </w:r>
            <w:r w:rsidR="002E4933" w:rsidRPr="007030F3">
              <w:rPr>
                <w:rStyle w:val="Hyperlink"/>
                <w:noProof/>
                <w:color w:val="000000" w:themeColor="text1"/>
              </w:rPr>
              <w:t>References</w:t>
            </w:r>
            <w:r w:rsidR="002E4933" w:rsidRPr="007030F3">
              <w:rPr>
                <w:noProof/>
                <w:webHidden/>
                <w:color w:val="000000" w:themeColor="text1"/>
              </w:rPr>
              <w:tab/>
            </w:r>
            <w:r w:rsidR="002E4933" w:rsidRPr="007030F3">
              <w:rPr>
                <w:noProof/>
                <w:webHidden/>
                <w:color w:val="000000" w:themeColor="text1"/>
              </w:rPr>
              <w:fldChar w:fldCharType="begin"/>
            </w:r>
            <w:r w:rsidR="002E4933" w:rsidRPr="007030F3">
              <w:rPr>
                <w:noProof/>
                <w:webHidden/>
                <w:color w:val="000000" w:themeColor="text1"/>
              </w:rPr>
              <w:instrText xml:space="preserve"> PAGEREF _Toc143473664 \h </w:instrText>
            </w:r>
            <w:r w:rsidR="002E4933" w:rsidRPr="007030F3">
              <w:rPr>
                <w:noProof/>
                <w:webHidden/>
                <w:color w:val="000000" w:themeColor="text1"/>
              </w:rPr>
            </w:r>
            <w:r w:rsidR="002E4933" w:rsidRPr="007030F3">
              <w:rPr>
                <w:noProof/>
                <w:webHidden/>
                <w:color w:val="000000" w:themeColor="text1"/>
              </w:rPr>
              <w:fldChar w:fldCharType="separate"/>
            </w:r>
            <w:r w:rsidR="002E4933" w:rsidRPr="007030F3">
              <w:rPr>
                <w:noProof/>
                <w:webHidden/>
                <w:color w:val="000000" w:themeColor="text1"/>
              </w:rPr>
              <w:t>15</w:t>
            </w:r>
            <w:r w:rsidR="002E4933" w:rsidRPr="007030F3">
              <w:rPr>
                <w:noProof/>
                <w:webHidden/>
                <w:color w:val="000000" w:themeColor="text1"/>
              </w:rPr>
              <w:fldChar w:fldCharType="end"/>
            </w:r>
          </w:hyperlink>
        </w:p>
        <w:p w14:paraId="42A2CFE9" w14:textId="77777777" w:rsidR="002E4933" w:rsidRPr="007030F3" w:rsidRDefault="002E4933" w:rsidP="002E4933">
          <w:pPr>
            <w:rPr>
              <w:b/>
              <w:bCs/>
              <w:noProof/>
              <w:color w:val="000000" w:themeColor="text1"/>
            </w:rPr>
          </w:pPr>
          <w:r w:rsidRPr="007030F3">
            <w:rPr>
              <w:b/>
              <w:bCs/>
              <w:noProof/>
              <w:color w:val="000000" w:themeColor="text1"/>
            </w:rPr>
            <w:fldChar w:fldCharType="end"/>
          </w:r>
        </w:p>
      </w:sdtContent>
    </w:sdt>
    <w:p w14:paraId="3EE2C47B" w14:textId="77777777" w:rsidR="0062027C" w:rsidRPr="007030F3" w:rsidRDefault="0062027C">
      <w:pPr>
        <w:rPr>
          <w:b/>
          <w:bCs/>
          <w:color w:val="000000" w:themeColor="text1"/>
          <w:sz w:val="36"/>
          <w:szCs w:val="36"/>
          <w:lang w:val="en-US"/>
        </w:rPr>
      </w:pPr>
    </w:p>
    <w:p w14:paraId="6CB14996" w14:textId="77777777" w:rsidR="002E4933" w:rsidRPr="007030F3" w:rsidRDefault="002E4933">
      <w:pPr>
        <w:rPr>
          <w:b/>
          <w:bCs/>
          <w:color w:val="000000" w:themeColor="text1"/>
          <w:sz w:val="36"/>
          <w:szCs w:val="36"/>
          <w:lang w:val="en-US"/>
        </w:rPr>
      </w:pPr>
    </w:p>
    <w:p w14:paraId="6CAB5C7E" w14:textId="77777777" w:rsidR="002E4933" w:rsidRPr="007030F3" w:rsidRDefault="002E4933">
      <w:pPr>
        <w:rPr>
          <w:b/>
          <w:bCs/>
          <w:color w:val="000000" w:themeColor="text1"/>
          <w:sz w:val="36"/>
          <w:szCs w:val="36"/>
          <w:lang w:val="en-US"/>
        </w:rPr>
      </w:pPr>
    </w:p>
    <w:p w14:paraId="7DBA2A9B" w14:textId="77777777" w:rsidR="002E4933" w:rsidRDefault="002E4933">
      <w:pPr>
        <w:rPr>
          <w:b/>
          <w:bCs/>
          <w:color w:val="000000" w:themeColor="text1"/>
          <w:sz w:val="36"/>
          <w:szCs w:val="36"/>
          <w:lang w:val="en-US"/>
        </w:rPr>
      </w:pPr>
    </w:p>
    <w:p w14:paraId="42CABC79" w14:textId="77777777" w:rsidR="00A903D8" w:rsidRDefault="00A903D8">
      <w:pPr>
        <w:rPr>
          <w:b/>
          <w:bCs/>
          <w:color w:val="000000" w:themeColor="text1"/>
          <w:sz w:val="36"/>
          <w:szCs w:val="36"/>
          <w:lang w:val="en-US"/>
        </w:rPr>
      </w:pPr>
    </w:p>
    <w:p w14:paraId="6DEDAE34" w14:textId="77777777" w:rsidR="00A903D8" w:rsidRPr="007030F3" w:rsidRDefault="00A903D8">
      <w:pPr>
        <w:rPr>
          <w:b/>
          <w:bCs/>
          <w:color w:val="000000" w:themeColor="text1"/>
          <w:sz w:val="36"/>
          <w:szCs w:val="36"/>
          <w:lang w:val="en-US"/>
        </w:rPr>
      </w:pPr>
    </w:p>
    <w:p w14:paraId="6353D391" w14:textId="7172F45F" w:rsidR="00B14180" w:rsidRPr="007030F3" w:rsidRDefault="00834DE6" w:rsidP="00B10952">
      <w:pPr>
        <w:pStyle w:val="Heading1"/>
        <w:numPr>
          <w:ilvl w:val="0"/>
          <w:numId w:val="7"/>
        </w:numPr>
        <w:rPr>
          <w:color w:val="000000" w:themeColor="text1"/>
          <w:lang w:val="en-US"/>
        </w:rPr>
      </w:pPr>
      <w:bookmarkStart w:id="0" w:name="_Toc143473642"/>
      <w:r w:rsidRPr="007030F3">
        <w:rPr>
          <w:color w:val="000000" w:themeColor="text1"/>
          <w:lang w:val="en-US"/>
        </w:rPr>
        <w:lastRenderedPageBreak/>
        <w:t>Introduction</w:t>
      </w:r>
      <w:bookmarkEnd w:id="0"/>
    </w:p>
    <w:p w14:paraId="04FD2853" w14:textId="365591D9" w:rsidR="005F4454" w:rsidRPr="007030F3" w:rsidRDefault="00C8528E" w:rsidP="005F4454">
      <w:pPr>
        <w:rPr>
          <w:color w:val="000000" w:themeColor="text1"/>
          <w:sz w:val="24"/>
          <w:szCs w:val="24"/>
          <w:lang w:val="en-US"/>
        </w:rPr>
      </w:pPr>
      <w:r w:rsidRPr="007030F3">
        <w:rPr>
          <w:color w:val="000000" w:themeColor="text1"/>
          <w:sz w:val="24"/>
          <w:szCs w:val="24"/>
          <w:lang w:val="en-US"/>
        </w:rPr>
        <w:t xml:space="preserve">The real estate market began to collapse in 2007, which was the first indication of the 2008 financial crises that ultimately brought down the entire financial system of primarily developed economies </w:t>
      </w:r>
      <w:r w:rsidRPr="007030F3">
        <w:rPr>
          <w:i/>
          <w:iCs/>
          <w:color w:val="000000" w:themeColor="text1"/>
          <w:sz w:val="24"/>
          <w:szCs w:val="24"/>
          <w:lang w:val="en-US"/>
        </w:rPr>
        <w:t>(Koch &amp; MacDonald, 2006).</w:t>
      </w:r>
      <w:r w:rsidRPr="007030F3">
        <w:rPr>
          <w:color w:val="000000" w:themeColor="text1"/>
          <w:sz w:val="24"/>
          <w:szCs w:val="24"/>
          <w:lang w:val="en-US"/>
        </w:rPr>
        <w:t xml:space="preserve"> After the crisis started to develop, there were also delinquencies in the mortgages that had been underwritten </w:t>
      </w:r>
      <w:r w:rsidRPr="007030F3">
        <w:rPr>
          <w:i/>
          <w:iCs/>
          <w:color w:val="000000" w:themeColor="text1"/>
          <w:sz w:val="24"/>
          <w:szCs w:val="24"/>
          <w:lang w:val="en-US"/>
        </w:rPr>
        <w:t>(Mishkin, 2009)</w:t>
      </w:r>
      <w:r w:rsidRPr="007030F3">
        <w:rPr>
          <w:color w:val="000000" w:themeColor="text1"/>
          <w:sz w:val="24"/>
          <w:szCs w:val="24"/>
          <w:lang w:val="en-US"/>
        </w:rPr>
        <w:t xml:space="preserve">. Governments were forced to respond by enacting stimulus plans that included raising expenditure, lowering interest rates, and aiding various financial institutions financially </w:t>
      </w:r>
      <w:r w:rsidRPr="007030F3">
        <w:rPr>
          <w:i/>
          <w:iCs/>
          <w:color w:val="000000" w:themeColor="text1"/>
          <w:sz w:val="24"/>
          <w:szCs w:val="24"/>
          <w:lang w:val="en-US"/>
        </w:rPr>
        <w:t>(Koch &amp; MacDonald, 2006).</w:t>
      </w:r>
      <w:r w:rsidRPr="007030F3">
        <w:rPr>
          <w:color w:val="000000" w:themeColor="text1"/>
          <w:sz w:val="24"/>
          <w:szCs w:val="24"/>
          <w:lang w:val="en-US"/>
        </w:rPr>
        <w:t xml:space="preserve"> </w:t>
      </w:r>
      <w:r w:rsidR="00C04D31" w:rsidRPr="007030F3">
        <w:rPr>
          <w:color w:val="000000" w:themeColor="text1"/>
          <w:sz w:val="24"/>
          <w:szCs w:val="24"/>
          <w:lang w:val="en-US"/>
        </w:rPr>
        <w:t xml:space="preserve">The value of their currencies was declining while the prices for agricultural commodities, oil and gas, etc. we’re rising as a result of all the stimulus packages that were being implemented in developed economies as a result of this crisis </w:t>
      </w:r>
      <w:r w:rsidR="00C04D31" w:rsidRPr="007030F3">
        <w:rPr>
          <w:i/>
          <w:iCs/>
          <w:color w:val="000000" w:themeColor="text1"/>
          <w:sz w:val="24"/>
          <w:szCs w:val="24"/>
          <w:lang w:val="en-US"/>
        </w:rPr>
        <w:t>(Mishkin, 2009)</w:t>
      </w:r>
      <w:r w:rsidR="00C04D31" w:rsidRPr="007030F3">
        <w:rPr>
          <w:color w:val="000000" w:themeColor="text1"/>
          <w:sz w:val="24"/>
          <w:szCs w:val="24"/>
          <w:lang w:val="en-US"/>
        </w:rPr>
        <w:t xml:space="preserve">. Several of these financial </w:t>
      </w:r>
      <w:r w:rsidR="006F0A0A" w:rsidRPr="007030F3">
        <w:rPr>
          <w:color w:val="000000" w:themeColor="text1"/>
          <w:sz w:val="24"/>
          <w:szCs w:val="24"/>
          <w:lang w:val="en-US"/>
        </w:rPr>
        <w:t>organizations</w:t>
      </w:r>
      <w:r w:rsidR="00C04D31" w:rsidRPr="007030F3">
        <w:rPr>
          <w:color w:val="000000" w:themeColor="text1"/>
          <w:sz w:val="24"/>
          <w:szCs w:val="24"/>
          <w:lang w:val="en-US"/>
        </w:rPr>
        <w:t xml:space="preserve"> that have a substantial exposure to mortgages had their market value decline during this time </w:t>
      </w:r>
      <w:r w:rsidR="00C04D31" w:rsidRPr="007030F3">
        <w:rPr>
          <w:i/>
          <w:iCs/>
          <w:color w:val="000000" w:themeColor="text1"/>
          <w:sz w:val="24"/>
          <w:szCs w:val="24"/>
          <w:lang w:val="en-US"/>
        </w:rPr>
        <w:t>(Koch &amp; MacDonald, 2006)</w:t>
      </w:r>
      <w:r w:rsidR="00C04D31" w:rsidRPr="007030F3">
        <w:rPr>
          <w:color w:val="000000" w:themeColor="text1"/>
          <w:sz w:val="24"/>
          <w:szCs w:val="24"/>
          <w:lang w:val="en-US"/>
        </w:rPr>
        <w:t xml:space="preserve">. A number of these </w:t>
      </w:r>
      <w:r w:rsidR="006F0A0A" w:rsidRPr="007030F3">
        <w:rPr>
          <w:color w:val="000000" w:themeColor="text1"/>
          <w:sz w:val="24"/>
          <w:szCs w:val="24"/>
          <w:lang w:val="en-US"/>
        </w:rPr>
        <w:t>organizations</w:t>
      </w:r>
      <w:r w:rsidR="00C04D31" w:rsidRPr="007030F3">
        <w:rPr>
          <w:color w:val="000000" w:themeColor="text1"/>
          <w:sz w:val="24"/>
          <w:szCs w:val="24"/>
          <w:lang w:val="en-US"/>
        </w:rPr>
        <w:t xml:space="preserve"> were compelled to combine with other </w:t>
      </w:r>
      <w:r w:rsidR="006F0A0A" w:rsidRPr="007030F3">
        <w:rPr>
          <w:color w:val="000000" w:themeColor="text1"/>
          <w:sz w:val="24"/>
          <w:szCs w:val="24"/>
          <w:lang w:val="en-US"/>
        </w:rPr>
        <w:t>organizations</w:t>
      </w:r>
      <w:r w:rsidR="00C04D31" w:rsidRPr="007030F3">
        <w:rPr>
          <w:color w:val="000000" w:themeColor="text1"/>
          <w:sz w:val="24"/>
          <w:szCs w:val="24"/>
          <w:lang w:val="en-US"/>
        </w:rPr>
        <w:t xml:space="preserve">, and some of them obtained capital infusions from additional investors such as sovereign wealth funds, hedge funds, etc. </w:t>
      </w:r>
      <w:r w:rsidR="00C04D31" w:rsidRPr="007030F3">
        <w:rPr>
          <w:i/>
          <w:iCs/>
          <w:color w:val="000000" w:themeColor="text1"/>
          <w:sz w:val="24"/>
          <w:szCs w:val="24"/>
          <w:lang w:val="en-US"/>
        </w:rPr>
        <w:t>(Mishkin, 2009).</w:t>
      </w:r>
      <w:r w:rsidR="00C04D31" w:rsidRPr="007030F3">
        <w:rPr>
          <w:color w:val="000000" w:themeColor="text1"/>
          <w:sz w:val="24"/>
          <w:szCs w:val="24"/>
          <w:lang w:val="en-US"/>
        </w:rPr>
        <w:t xml:space="preserve"> Others got government help to keep them from going under </w:t>
      </w:r>
      <w:r w:rsidR="00C04D31" w:rsidRPr="007030F3">
        <w:rPr>
          <w:i/>
          <w:iCs/>
          <w:color w:val="000000" w:themeColor="text1"/>
          <w:sz w:val="24"/>
          <w:szCs w:val="24"/>
          <w:lang w:val="en-US"/>
        </w:rPr>
        <w:t>(Koch &amp; MacDonald, 2006)</w:t>
      </w:r>
      <w:r w:rsidR="00C04D31" w:rsidRPr="007030F3">
        <w:rPr>
          <w:color w:val="000000" w:themeColor="text1"/>
          <w:sz w:val="24"/>
          <w:szCs w:val="24"/>
          <w:lang w:val="en-US"/>
        </w:rPr>
        <w:t>.</w:t>
      </w:r>
    </w:p>
    <w:p w14:paraId="570759B2" w14:textId="77140BA7" w:rsidR="005F4454" w:rsidRPr="007030F3" w:rsidRDefault="00B44A9D" w:rsidP="00D822CA">
      <w:pPr>
        <w:pStyle w:val="Heading1"/>
        <w:numPr>
          <w:ilvl w:val="0"/>
          <w:numId w:val="7"/>
        </w:numPr>
        <w:rPr>
          <w:color w:val="000000" w:themeColor="text1"/>
          <w:lang w:val="en-US"/>
        </w:rPr>
      </w:pPr>
      <w:bookmarkStart w:id="1" w:name="_Toc143473643"/>
      <w:r w:rsidRPr="007030F3">
        <w:rPr>
          <w:color w:val="000000" w:themeColor="text1"/>
          <w:lang w:val="en-US"/>
        </w:rPr>
        <w:t>What is Financial Institution</w:t>
      </w:r>
      <w:bookmarkEnd w:id="1"/>
    </w:p>
    <w:p w14:paraId="615B00E1" w14:textId="3074FB1A" w:rsidR="005A4FEB" w:rsidRPr="007030F3" w:rsidRDefault="00B8718D" w:rsidP="005A4FEB">
      <w:pPr>
        <w:rPr>
          <w:color w:val="000000" w:themeColor="text1"/>
          <w:sz w:val="24"/>
          <w:szCs w:val="24"/>
          <w:lang w:val="en-US"/>
        </w:rPr>
      </w:pPr>
      <w:r w:rsidRPr="007030F3">
        <w:rPr>
          <w:color w:val="000000" w:themeColor="text1"/>
          <w:sz w:val="24"/>
          <w:szCs w:val="24"/>
          <w:lang w:val="en-US"/>
        </w:rPr>
        <w:t>A financial institution is a company that makes it easier for people, companies, and governments to exchange money. It serves as a middleman by obtaining funds from individuals who have extra cash and distributing them to those who require money for various needs. Through the provision of necessary services including deposit taking, lending, investment management, and payment processing, financial institutions play a significant role in the economy.</w:t>
      </w:r>
      <w:r w:rsidR="00E0677C" w:rsidRPr="007030F3">
        <w:rPr>
          <w:color w:val="000000" w:themeColor="text1"/>
          <w:sz w:val="24"/>
          <w:szCs w:val="24"/>
          <w:lang w:val="en-US"/>
        </w:rPr>
        <w:t xml:space="preserve"> Commercial banks, investment banks, credit unions, insurance businesses, brokerage firms, and asset management organizations are just a few examples of the several types of institutions that can fall under this category. Each sort of financial organization has certain duties and rules that must be followed. The most typical kind of financial organization is a commercial bank, which provides a wide range of services like receiving deposits, making loans, and processing payments. On the other side, investment banks concentrate on activities related to the capital markets, such as underwriting securities, arranging mergers and acquisitions, and offering advisory services </w:t>
      </w:r>
      <w:r w:rsidR="00E23DCD" w:rsidRPr="007030F3">
        <w:rPr>
          <w:color w:val="000000" w:themeColor="text1"/>
          <w:sz w:val="24"/>
          <w:szCs w:val="24"/>
          <w:lang w:val="en-US"/>
        </w:rPr>
        <w:t>(S. Heffernan 2004).</w:t>
      </w:r>
    </w:p>
    <w:p w14:paraId="06AEAA26" w14:textId="71A28F0D" w:rsidR="00D60578" w:rsidRPr="007030F3" w:rsidRDefault="00D60578" w:rsidP="00D822CA">
      <w:pPr>
        <w:pStyle w:val="Heading1"/>
        <w:numPr>
          <w:ilvl w:val="0"/>
          <w:numId w:val="7"/>
        </w:numPr>
        <w:rPr>
          <w:color w:val="000000" w:themeColor="text1"/>
          <w:lang w:val="en-US"/>
        </w:rPr>
      </w:pPr>
      <w:bookmarkStart w:id="2" w:name="_Toc143473644"/>
      <w:r w:rsidRPr="007030F3">
        <w:rPr>
          <w:color w:val="000000" w:themeColor="text1"/>
          <w:lang w:val="en-US"/>
        </w:rPr>
        <w:t>What is Financial Market</w:t>
      </w:r>
      <w:bookmarkEnd w:id="2"/>
    </w:p>
    <w:p w14:paraId="79F5EA9A" w14:textId="1DCCB804" w:rsidR="00D60578" w:rsidRPr="007030F3" w:rsidRDefault="00416E3C" w:rsidP="005A4FEB">
      <w:pPr>
        <w:rPr>
          <w:color w:val="000000" w:themeColor="text1"/>
          <w:sz w:val="24"/>
          <w:szCs w:val="24"/>
          <w:lang w:val="en-US"/>
        </w:rPr>
      </w:pPr>
      <w:r w:rsidRPr="007030F3">
        <w:rPr>
          <w:color w:val="000000" w:themeColor="text1"/>
          <w:sz w:val="24"/>
          <w:szCs w:val="24"/>
          <w:lang w:val="en-US"/>
        </w:rPr>
        <w:t xml:space="preserve">The markets where financial securities including stocks, bonds, currencies, and derivatives are traded between buyers and sellers are referred to as financial markets. By facilitating the transfer of money between savers and borrowers, financial markets play a significant role in allocating resources and capital in an economy (Mishkin, 2009). </w:t>
      </w:r>
    </w:p>
    <w:p w14:paraId="3CA79031" w14:textId="7307B077" w:rsidR="00F52EF2" w:rsidRPr="007030F3" w:rsidRDefault="00F52EF2" w:rsidP="005A4FEB">
      <w:pPr>
        <w:rPr>
          <w:color w:val="000000" w:themeColor="text1"/>
          <w:sz w:val="24"/>
          <w:szCs w:val="24"/>
          <w:lang w:val="en-US"/>
        </w:rPr>
      </w:pPr>
      <w:r w:rsidRPr="007030F3">
        <w:rPr>
          <w:color w:val="000000" w:themeColor="text1"/>
          <w:sz w:val="24"/>
          <w:szCs w:val="24"/>
          <w:lang w:val="en-US"/>
        </w:rPr>
        <w:t xml:space="preserve">Money markets and capital markets are examples of financial markets, according to Mishkin (2009). The two types of capital markets are stock markets, where shares of publicly listed firms are issued and traded, and bond markets, were issue and trade interest-bearing debt securities. Treasury bills, commercial papers, and certificates of deposits are examples of short-term debt securities having maturities less than a year that are traded on the money </w:t>
      </w:r>
      <w:r w:rsidRPr="007030F3">
        <w:rPr>
          <w:color w:val="000000" w:themeColor="text1"/>
          <w:sz w:val="24"/>
          <w:szCs w:val="24"/>
          <w:lang w:val="en-US"/>
        </w:rPr>
        <w:lastRenderedPageBreak/>
        <w:t>markets. Price discovery, liquidity provision, lowering transaction costs, and promoting the mobilization of savings are some of the main purposes of financial markets (Mishkin, 2009).</w:t>
      </w:r>
    </w:p>
    <w:p w14:paraId="6FE1B7E3" w14:textId="09C35E3B" w:rsidR="00E576FF" w:rsidRPr="007030F3" w:rsidRDefault="00E576FF" w:rsidP="005A4FEB">
      <w:pPr>
        <w:rPr>
          <w:color w:val="000000" w:themeColor="text1"/>
          <w:sz w:val="24"/>
          <w:szCs w:val="24"/>
          <w:lang w:val="en-US"/>
        </w:rPr>
      </w:pPr>
      <w:r w:rsidRPr="007030F3">
        <w:rPr>
          <w:color w:val="000000" w:themeColor="text1"/>
          <w:sz w:val="24"/>
          <w:szCs w:val="24"/>
          <w:lang w:val="en-US"/>
        </w:rPr>
        <w:t>Commercial banks, investment banks, hedge funds, mutual funds, insurance companies, pension funds, and retail investors are a few of the prominent players in the financial markets. Economic growth and progress depend on financial markets operating well because it enables capital to be directed towards profitable investment possibilities. However, if financial markets are not properly controlled, they may also contribute to instability.</w:t>
      </w:r>
    </w:p>
    <w:p w14:paraId="7ED3D9DF" w14:textId="1B51B7F9" w:rsidR="00D22ECE" w:rsidRPr="007030F3" w:rsidRDefault="00D22ECE" w:rsidP="00D822CA">
      <w:pPr>
        <w:pStyle w:val="Heading1"/>
        <w:numPr>
          <w:ilvl w:val="0"/>
          <w:numId w:val="7"/>
        </w:numPr>
        <w:rPr>
          <w:color w:val="000000" w:themeColor="text1"/>
          <w:lang w:val="en-US"/>
        </w:rPr>
      </w:pPr>
      <w:bookmarkStart w:id="3" w:name="_Toc143473645"/>
      <w:r w:rsidRPr="007030F3">
        <w:rPr>
          <w:color w:val="000000" w:themeColor="text1"/>
          <w:lang w:val="en-US"/>
        </w:rPr>
        <w:t>Types of Financial market</w:t>
      </w:r>
      <w:bookmarkEnd w:id="3"/>
    </w:p>
    <w:p w14:paraId="1CCF01F3" w14:textId="78FEBE05" w:rsidR="00933B64" w:rsidRPr="007030F3" w:rsidRDefault="000D1C90" w:rsidP="005A4FEB">
      <w:pPr>
        <w:rPr>
          <w:color w:val="000000" w:themeColor="text1"/>
          <w:sz w:val="24"/>
          <w:szCs w:val="24"/>
          <w:lang w:val="en-US"/>
        </w:rPr>
      </w:pPr>
      <w:r w:rsidRPr="007030F3">
        <w:rPr>
          <w:color w:val="000000" w:themeColor="text1"/>
          <w:sz w:val="24"/>
          <w:szCs w:val="24"/>
          <w:lang w:val="en-US"/>
        </w:rPr>
        <w:t>Stocks signify a company's partial ownership. Shareholders have rights to the company's assets and profits. Owning stocks offers the chance for dividend payments as well as long-term capital growth that may outpace inflation. Equities, on the other hand, are riskier than fixed income securities like bonds (Elton et al., 2022).</w:t>
      </w:r>
    </w:p>
    <w:p w14:paraId="7ECC0063" w14:textId="7A8D15DD" w:rsidR="000D1C90" w:rsidRPr="007030F3" w:rsidRDefault="00EA3B2D" w:rsidP="005A4FEB">
      <w:pPr>
        <w:rPr>
          <w:color w:val="000000" w:themeColor="text1"/>
          <w:sz w:val="24"/>
          <w:szCs w:val="24"/>
          <w:lang w:val="en-US"/>
        </w:rPr>
      </w:pPr>
      <w:r w:rsidRPr="007030F3">
        <w:rPr>
          <w:color w:val="000000" w:themeColor="text1"/>
          <w:sz w:val="24"/>
          <w:szCs w:val="24"/>
          <w:lang w:val="en-US"/>
        </w:rPr>
        <w:t>Governments or businesses issue bonds as fixed-income debt instruments to raise money. Over the course of the bond's existence, bondholders receive periodic interest payments known as coupon payments. Bondholders also receive payment from the issuer for the bond's face value or par at maturity. Although they have lesser long-term return potential than stocks, bonds often carry fewer risk (Fabozzi, 2021).</w:t>
      </w:r>
    </w:p>
    <w:p w14:paraId="00BA8039" w14:textId="77777777" w:rsidR="003B5AFE" w:rsidRPr="007030F3" w:rsidRDefault="003B5AFE" w:rsidP="003B5AFE">
      <w:pPr>
        <w:rPr>
          <w:color w:val="000000" w:themeColor="text1"/>
          <w:sz w:val="24"/>
          <w:szCs w:val="24"/>
          <w:lang w:val="en-US"/>
        </w:rPr>
      </w:pPr>
      <w:r w:rsidRPr="007030F3">
        <w:rPr>
          <w:color w:val="000000" w:themeColor="text1"/>
          <w:sz w:val="24"/>
          <w:szCs w:val="24"/>
          <w:lang w:val="en-US"/>
        </w:rPr>
        <w:t>Financial contracts known as derivatives, such as futures, options, swaps, and forwards, derive their value from an underlying asset class. Asset managers can use them to protect their investments from risk, while traders can use them to speculatively forecast price fluctuations. In contrast to stocks and bonds, derivatives contain counterparty risks and leverage (Chance and Brooks, 2015).</w:t>
      </w:r>
    </w:p>
    <w:p w14:paraId="69A34BA8" w14:textId="0DD5B7BE" w:rsidR="00EA3B2D" w:rsidRPr="007030F3" w:rsidRDefault="003B5AFE" w:rsidP="003B5AFE">
      <w:pPr>
        <w:rPr>
          <w:color w:val="000000" w:themeColor="text1"/>
          <w:sz w:val="24"/>
          <w:szCs w:val="24"/>
          <w:lang w:val="en-US"/>
        </w:rPr>
      </w:pPr>
      <w:r w:rsidRPr="007030F3">
        <w:rPr>
          <w:color w:val="000000" w:themeColor="text1"/>
          <w:sz w:val="24"/>
          <w:szCs w:val="24"/>
          <w:lang w:val="en-US"/>
        </w:rPr>
        <w:t>Mutual funds pool money from a variety of participants to buy stock and bond portfolios. Investment choices are made by fund managers in accordance with the strategy and objectives of the fund. According to the mutual fund's holdings, each investor has a certain number of shares (Elton et al., 2022).</w:t>
      </w:r>
    </w:p>
    <w:p w14:paraId="545D2FA1" w14:textId="7F5389B4" w:rsidR="00AB2AD4" w:rsidRPr="007030F3" w:rsidRDefault="00AB2AD4" w:rsidP="00AB2AD4">
      <w:pPr>
        <w:rPr>
          <w:color w:val="000000" w:themeColor="text1"/>
          <w:sz w:val="24"/>
          <w:szCs w:val="24"/>
          <w:lang w:val="en-US"/>
        </w:rPr>
      </w:pPr>
      <w:r w:rsidRPr="007030F3">
        <w:rPr>
          <w:color w:val="000000" w:themeColor="text1"/>
          <w:sz w:val="24"/>
          <w:szCs w:val="24"/>
          <w:lang w:val="en-US"/>
        </w:rPr>
        <w:t>ETFs are pooled investment vehicles that mimic the trading of stocks on exchanges while tracking indices or bundles of assets. In comparison to actively managed mutual funds, ETFs offer diversification, liquidity, transparency, and are frequently less expensive. According to Antoniewicz and Heinrichs (2014), investors are becoming more and more interested in ETFs.</w:t>
      </w:r>
    </w:p>
    <w:p w14:paraId="344D2497" w14:textId="173B2765" w:rsidR="003B5AFE" w:rsidRPr="007030F3" w:rsidRDefault="00F31B66" w:rsidP="00AB2AD4">
      <w:pPr>
        <w:rPr>
          <w:color w:val="000000" w:themeColor="text1"/>
          <w:sz w:val="24"/>
          <w:szCs w:val="24"/>
          <w:lang w:val="en-US"/>
        </w:rPr>
      </w:pPr>
      <w:r w:rsidRPr="007030F3">
        <w:rPr>
          <w:color w:val="000000" w:themeColor="text1"/>
          <w:sz w:val="24"/>
          <w:szCs w:val="24"/>
          <w:lang w:val="en-US"/>
        </w:rPr>
        <w:t>At the end, f</w:t>
      </w:r>
      <w:r w:rsidR="00AB2AD4" w:rsidRPr="007030F3">
        <w:rPr>
          <w:color w:val="000000" w:themeColor="text1"/>
          <w:sz w:val="24"/>
          <w:szCs w:val="24"/>
          <w:lang w:val="en-US"/>
        </w:rPr>
        <w:t>inancial instruments have unique traits, risks, and cash flow rights that allow investors to build portfolios that are in line with their goals.</w:t>
      </w:r>
    </w:p>
    <w:p w14:paraId="5F4C27E1" w14:textId="365BE9C8" w:rsidR="00D30EB0" w:rsidRPr="007030F3" w:rsidRDefault="00D30EB0" w:rsidP="00110FD1">
      <w:pPr>
        <w:pStyle w:val="Heading1"/>
        <w:numPr>
          <w:ilvl w:val="0"/>
          <w:numId w:val="7"/>
        </w:numPr>
        <w:rPr>
          <w:color w:val="000000" w:themeColor="text1"/>
          <w:lang w:val="en-US"/>
        </w:rPr>
      </w:pPr>
      <w:bookmarkStart w:id="4" w:name="_Toc143473646"/>
      <w:r w:rsidRPr="007030F3">
        <w:rPr>
          <w:color w:val="000000" w:themeColor="text1"/>
          <w:lang w:val="en-US"/>
        </w:rPr>
        <w:t xml:space="preserve">What </w:t>
      </w:r>
      <w:r w:rsidR="00A16A6F" w:rsidRPr="007030F3">
        <w:rPr>
          <w:color w:val="000000" w:themeColor="text1"/>
          <w:lang w:val="en-US"/>
        </w:rPr>
        <w:t>are</w:t>
      </w:r>
      <w:r w:rsidRPr="007030F3">
        <w:rPr>
          <w:color w:val="000000" w:themeColor="text1"/>
          <w:lang w:val="en-US"/>
        </w:rPr>
        <w:t xml:space="preserve"> Financial Instruments</w:t>
      </w:r>
      <w:bookmarkEnd w:id="4"/>
    </w:p>
    <w:p w14:paraId="73221BF9" w14:textId="584962AC" w:rsidR="00A77155" w:rsidRPr="007030F3" w:rsidRDefault="00A77155" w:rsidP="00A77155">
      <w:pPr>
        <w:rPr>
          <w:color w:val="000000" w:themeColor="text1"/>
          <w:sz w:val="24"/>
          <w:szCs w:val="24"/>
          <w:lang w:val="en-US"/>
        </w:rPr>
      </w:pPr>
      <w:r w:rsidRPr="007030F3">
        <w:rPr>
          <w:color w:val="000000" w:themeColor="text1"/>
          <w:sz w:val="24"/>
          <w:szCs w:val="24"/>
          <w:lang w:val="en-US"/>
        </w:rPr>
        <w:t>According to Madura (2018), financial instruments are transferable assets with a financial value like securities, contracts, or currencies. They serve as tools for managing risk and raising capital in the financial markets.</w:t>
      </w:r>
    </w:p>
    <w:p w14:paraId="2CA48C7C" w14:textId="36EF47EE" w:rsidR="00A77155" w:rsidRPr="007030F3" w:rsidRDefault="00A77155" w:rsidP="00A77155">
      <w:pPr>
        <w:rPr>
          <w:color w:val="000000" w:themeColor="text1"/>
          <w:sz w:val="24"/>
          <w:szCs w:val="24"/>
          <w:lang w:val="en-US"/>
        </w:rPr>
      </w:pPr>
      <w:r w:rsidRPr="007030F3">
        <w:rPr>
          <w:color w:val="000000" w:themeColor="text1"/>
          <w:sz w:val="24"/>
          <w:szCs w:val="24"/>
          <w:lang w:val="en-US"/>
        </w:rPr>
        <w:t>Key categories of financial instruments include:</w:t>
      </w:r>
    </w:p>
    <w:p w14:paraId="3FAE46FD" w14:textId="42264B3C" w:rsidR="00A77155" w:rsidRPr="007030F3" w:rsidRDefault="00A77155" w:rsidP="00A77155">
      <w:pPr>
        <w:pStyle w:val="ListParagraph"/>
        <w:numPr>
          <w:ilvl w:val="0"/>
          <w:numId w:val="1"/>
        </w:numPr>
        <w:rPr>
          <w:color w:val="000000" w:themeColor="text1"/>
          <w:sz w:val="24"/>
          <w:szCs w:val="24"/>
          <w:lang w:val="en-US"/>
        </w:rPr>
      </w:pPr>
      <w:r w:rsidRPr="007030F3">
        <w:rPr>
          <w:color w:val="000000" w:themeColor="text1"/>
          <w:sz w:val="24"/>
          <w:szCs w:val="24"/>
          <w:lang w:val="en-US"/>
        </w:rPr>
        <w:lastRenderedPageBreak/>
        <w:t>Common stocks are an example of an equity instrument that represents ownership in a company (Madura, 2018).</w:t>
      </w:r>
    </w:p>
    <w:p w14:paraId="1BE63EDD" w14:textId="20A16BFC" w:rsidR="00A77155" w:rsidRPr="007030F3" w:rsidRDefault="00A77155" w:rsidP="00A77155">
      <w:pPr>
        <w:pStyle w:val="ListParagraph"/>
        <w:numPr>
          <w:ilvl w:val="0"/>
          <w:numId w:val="1"/>
        </w:numPr>
        <w:rPr>
          <w:color w:val="000000" w:themeColor="text1"/>
          <w:sz w:val="24"/>
          <w:szCs w:val="24"/>
          <w:lang w:val="en-US"/>
        </w:rPr>
      </w:pPr>
      <w:r w:rsidRPr="007030F3">
        <w:rPr>
          <w:color w:val="000000" w:themeColor="text1"/>
          <w:sz w:val="24"/>
          <w:szCs w:val="24"/>
          <w:lang w:val="en-US"/>
        </w:rPr>
        <w:t>Bonds and notes are examples of debt products that act as loans from investors to their issuers (Madura, 2018).</w:t>
      </w:r>
    </w:p>
    <w:p w14:paraId="6B066DCA" w14:textId="539720A4" w:rsidR="00A77155" w:rsidRPr="007030F3" w:rsidRDefault="00A77155" w:rsidP="00A77155">
      <w:pPr>
        <w:pStyle w:val="ListParagraph"/>
        <w:numPr>
          <w:ilvl w:val="0"/>
          <w:numId w:val="1"/>
        </w:numPr>
        <w:rPr>
          <w:color w:val="000000" w:themeColor="text1"/>
          <w:sz w:val="24"/>
          <w:szCs w:val="24"/>
          <w:lang w:val="en-US"/>
        </w:rPr>
      </w:pPr>
      <w:r w:rsidRPr="007030F3">
        <w:rPr>
          <w:color w:val="000000" w:themeColor="text1"/>
          <w:sz w:val="24"/>
          <w:szCs w:val="24"/>
          <w:lang w:val="en-US"/>
        </w:rPr>
        <w:t>Options, futures, and swaps are examples of derivatives that draw value from the underlying asset (Madura, 2018).</w:t>
      </w:r>
    </w:p>
    <w:p w14:paraId="70AEBF7D" w14:textId="1375D743" w:rsidR="00A77155" w:rsidRPr="007030F3" w:rsidRDefault="00A77155" w:rsidP="00A77155">
      <w:pPr>
        <w:pStyle w:val="ListParagraph"/>
        <w:numPr>
          <w:ilvl w:val="0"/>
          <w:numId w:val="1"/>
        </w:numPr>
        <w:rPr>
          <w:color w:val="000000" w:themeColor="text1"/>
          <w:sz w:val="24"/>
          <w:szCs w:val="24"/>
          <w:lang w:val="en-US"/>
        </w:rPr>
      </w:pPr>
      <w:r w:rsidRPr="007030F3">
        <w:rPr>
          <w:color w:val="000000" w:themeColor="text1"/>
          <w:sz w:val="24"/>
          <w:szCs w:val="24"/>
          <w:lang w:val="en-US"/>
        </w:rPr>
        <w:t>Currency and other foreign currency instruments are used to facilitate trade and international transactions.</w:t>
      </w:r>
    </w:p>
    <w:p w14:paraId="590293C8" w14:textId="364CF4BC" w:rsidR="00A16A6F" w:rsidRPr="007030F3" w:rsidRDefault="00A77155" w:rsidP="00A77155">
      <w:pPr>
        <w:pStyle w:val="ListParagraph"/>
        <w:numPr>
          <w:ilvl w:val="0"/>
          <w:numId w:val="1"/>
        </w:numPr>
        <w:rPr>
          <w:color w:val="000000" w:themeColor="text1"/>
          <w:sz w:val="24"/>
          <w:szCs w:val="24"/>
          <w:lang w:val="en-US"/>
        </w:rPr>
      </w:pPr>
      <w:r w:rsidRPr="007030F3">
        <w:rPr>
          <w:color w:val="000000" w:themeColor="text1"/>
          <w:sz w:val="24"/>
          <w:szCs w:val="24"/>
          <w:lang w:val="en-US"/>
        </w:rPr>
        <w:t>Treasury bills, certificates of deposit, and commercial paper are examples of cash products that offer short-term liquidity.</w:t>
      </w:r>
    </w:p>
    <w:p w14:paraId="50AB23B2" w14:textId="1D5C4F6A" w:rsidR="002757B9" w:rsidRPr="007030F3" w:rsidRDefault="00D87729" w:rsidP="00B8679A">
      <w:pPr>
        <w:rPr>
          <w:color w:val="000000" w:themeColor="text1"/>
          <w:sz w:val="24"/>
          <w:szCs w:val="24"/>
          <w:lang w:val="en-US"/>
        </w:rPr>
      </w:pPr>
      <w:r w:rsidRPr="007030F3">
        <w:rPr>
          <w:color w:val="000000" w:themeColor="text1"/>
          <w:sz w:val="24"/>
          <w:szCs w:val="24"/>
          <w:lang w:val="en-US"/>
        </w:rPr>
        <w:t>Organized exchanges or over-the-counter markets can be used for the exchange of financial instruments. They facilitate financial market operations like trading, hedging, and arbitrage as well as enable organizations to control risk exposure and acquire finance (Madura, 2018). As a result, financial instruments play a crucial role in enabling the effective operation of financial institutions and markets.</w:t>
      </w:r>
    </w:p>
    <w:p w14:paraId="5A76FB72" w14:textId="1D5D93D1" w:rsidR="00712BEB" w:rsidRPr="007030F3" w:rsidRDefault="00712BEB" w:rsidP="00110FD1">
      <w:pPr>
        <w:pStyle w:val="Heading1"/>
        <w:numPr>
          <w:ilvl w:val="0"/>
          <w:numId w:val="7"/>
        </w:numPr>
        <w:rPr>
          <w:color w:val="000000" w:themeColor="text1"/>
          <w:lang w:val="en-US"/>
        </w:rPr>
      </w:pPr>
      <w:bookmarkStart w:id="5" w:name="_Toc143473647"/>
      <w:r w:rsidRPr="007030F3">
        <w:rPr>
          <w:color w:val="000000" w:themeColor="text1"/>
          <w:lang w:val="en-US"/>
        </w:rPr>
        <w:t xml:space="preserve">2008 Crisis in United States </w:t>
      </w:r>
      <w:r w:rsidR="00C67188" w:rsidRPr="007030F3">
        <w:rPr>
          <w:color w:val="000000" w:themeColor="text1"/>
          <w:lang w:val="en-US"/>
        </w:rPr>
        <w:t>of America</w:t>
      </w:r>
      <w:bookmarkEnd w:id="5"/>
    </w:p>
    <w:p w14:paraId="39BF0BCC" w14:textId="6139A7E4" w:rsidR="00C67188" w:rsidRPr="007030F3" w:rsidRDefault="00C67188" w:rsidP="00B8679A">
      <w:pPr>
        <w:rPr>
          <w:color w:val="000000" w:themeColor="text1"/>
          <w:sz w:val="24"/>
          <w:szCs w:val="24"/>
          <w:lang w:val="en-US"/>
        </w:rPr>
      </w:pPr>
      <w:r w:rsidRPr="007030F3">
        <w:rPr>
          <w:color w:val="000000" w:themeColor="text1"/>
          <w:sz w:val="24"/>
          <w:szCs w:val="24"/>
          <w:lang w:val="en-US"/>
        </w:rPr>
        <w:t>The US housing bubble burst in 2006–2007, which caused the market for subprime mortgages to collapse and marked the beginning of the crisis. Early in the decade, easy credit conditions encouraged high-risk lending of subprime mortgages to borrowers with bad credit, which in turn drove up property prices. Mortgage defaults and foreclosures sharply surged when property prices dropped. Due to the significant losses suffered by banks and investors who held assets backed by subprime mortgages, a global banking crisis started in 2008. Lehman Brothers' bankruptcy, bank bailouts, and significant reductions in consumer and business credit marked the crisis's conclusion. After the crisis, the US and the rest of the world's economies were negatively damaged for several years by the housing market collapse, the credit crunch, stock market volatility, and high unemployment (Mishkin,2009)</w:t>
      </w:r>
    </w:p>
    <w:p w14:paraId="5A1ACF21" w14:textId="2D445CB5" w:rsidR="00F00162" w:rsidRPr="007030F3" w:rsidRDefault="00EA5ED2" w:rsidP="00110FD1">
      <w:pPr>
        <w:pStyle w:val="Heading2"/>
        <w:rPr>
          <w:color w:val="000000" w:themeColor="text1"/>
          <w:lang w:val="en-US"/>
        </w:rPr>
      </w:pPr>
      <w:bookmarkStart w:id="6" w:name="_Toc143473648"/>
      <w:r w:rsidRPr="007030F3">
        <w:rPr>
          <w:color w:val="000000" w:themeColor="text1"/>
          <w:lang w:val="en-US"/>
        </w:rPr>
        <w:t xml:space="preserve">6.1 </w:t>
      </w:r>
      <w:r w:rsidR="0099064F" w:rsidRPr="007030F3">
        <w:rPr>
          <w:color w:val="000000" w:themeColor="text1"/>
          <w:lang w:val="en-US"/>
        </w:rPr>
        <w:t>Causes of 2008 Crisis in J. P. Morgan</w:t>
      </w:r>
      <w:bookmarkEnd w:id="6"/>
    </w:p>
    <w:p w14:paraId="6AE11165" w14:textId="77777777" w:rsidR="000606AE" w:rsidRPr="007030F3" w:rsidRDefault="000606AE" w:rsidP="000606AE">
      <w:pPr>
        <w:pStyle w:val="ListParagraph"/>
        <w:numPr>
          <w:ilvl w:val="0"/>
          <w:numId w:val="1"/>
        </w:numPr>
        <w:rPr>
          <w:color w:val="000000" w:themeColor="text1"/>
          <w:sz w:val="24"/>
          <w:szCs w:val="24"/>
          <w:lang w:val="en-US"/>
        </w:rPr>
      </w:pPr>
      <w:r w:rsidRPr="007030F3">
        <w:rPr>
          <w:color w:val="000000" w:themeColor="text1"/>
          <w:sz w:val="24"/>
          <w:szCs w:val="24"/>
          <w:lang w:val="en-US"/>
        </w:rPr>
        <w:t>Subprime mortgage exposure: Prior to the crisis, JPMorgan bought and originated significant amounts of subprime mortgage instruments. These assets saw significant losses once the housing bubble broke (FCIC, 2011).</w:t>
      </w:r>
    </w:p>
    <w:p w14:paraId="57655237" w14:textId="7579B70F" w:rsidR="000606AE" w:rsidRPr="007030F3" w:rsidRDefault="000606AE" w:rsidP="000606AE">
      <w:pPr>
        <w:pStyle w:val="ListParagraph"/>
        <w:numPr>
          <w:ilvl w:val="0"/>
          <w:numId w:val="1"/>
        </w:numPr>
        <w:rPr>
          <w:color w:val="000000" w:themeColor="text1"/>
          <w:sz w:val="24"/>
          <w:szCs w:val="24"/>
          <w:lang w:val="en-US"/>
        </w:rPr>
      </w:pPr>
      <w:r w:rsidRPr="007030F3">
        <w:rPr>
          <w:color w:val="000000" w:themeColor="text1"/>
          <w:sz w:val="24"/>
          <w:szCs w:val="24"/>
          <w:lang w:val="en-US"/>
        </w:rPr>
        <w:t>Lax risk management: The corporation allowed its risk models to overestimate possible mortgage losses and failed to recognize the mounting systemic risks posed by its subprime holdings (FCIC, 2011).</w:t>
      </w:r>
    </w:p>
    <w:p w14:paraId="75093275" w14:textId="650FF201" w:rsidR="0099064F" w:rsidRPr="007030F3" w:rsidRDefault="000606AE" w:rsidP="000606AE">
      <w:pPr>
        <w:pStyle w:val="ListParagraph"/>
        <w:numPr>
          <w:ilvl w:val="0"/>
          <w:numId w:val="1"/>
        </w:numPr>
        <w:rPr>
          <w:color w:val="000000" w:themeColor="text1"/>
          <w:sz w:val="24"/>
          <w:szCs w:val="24"/>
          <w:lang w:val="en-US"/>
        </w:rPr>
      </w:pPr>
      <w:r w:rsidRPr="007030F3">
        <w:rPr>
          <w:color w:val="000000" w:themeColor="text1"/>
          <w:sz w:val="24"/>
          <w:szCs w:val="24"/>
          <w:lang w:val="en-US"/>
        </w:rPr>
        <w:t>In order to hold securitized assets, JPMorgan considerably expanded its leverage through off-balance sheet vehicles, placing itself at higher risk for both liquidity and credit (FCIC, 2011).</w:t>
      </w:r>
    </w:p>
    <w:p w14:paraId="1855BA4D" w14:textId="77777777" w:rsidR="00D51826" w:rsidRPr="007030F3" w:rsidRDefault="00D51826" w:rsidP="00D51826">
      <w:pPr>
        <w:pStyle w:val="ListParagraph"/>
        <w:numPr>
          <w:ilvl w:val="0"/>
          <w:numId w:val="1"/>
        </w:numPr>
        <w:rPr>
          <w:color w:val="000000" w:themeColor="text1"/>
          <w:sz w:val="24"/>
          <w:szCs w:val="24"/>
          <w:lang w:val="en-US"/>
        </w:rPr>
      </w:pPr>
      <w:r w:rsidRPr="007030F3">
        <w:rPr>
          <w:color w:val="000000" w:themeColor="text1"/>
          <w:sz w:val="24"/>
          <w:szCs w:val="24"/>
          <w:lang w:val="en-US"/>
        </w:rPr>
        <w:t xml:space="preserve">inadequate underwriting: When it came to loans </w:t>
      </w:r>
      <w:proofErr w:type="gramStart"/>
      <w:r w:rsidRPr="007030F3">
        <w:rPr>
          <w:color w:val="000000" w:themeColor="text1"/>
          <w:sz w:val="24"/>
          <w:szCs w:val="24"/>
          <w:lang w:val="en-US"/>
        </w:rPr>
        <w:t>it</w:t>
      </w:r>
      <w:proofErr w:type="gramEnd"/>
      <w:r w:rsidRPr="007030F3">
        <w:rPr>
          <w:color w:val="000000" w:themeColor="text1"/>
          <w:sz w:val="24"/>
          <w:szCs w:val="24"/>
          <w:lang w:val="en-US"/>
        </w:rPr>
        <w:t xml:space="preserve"> both created and bought from third parties in the subprime market, the company used inadequate underwriting criteria (FCIC, 2011).</w:t>
      </w:r>
    </w:p>
    <w:p w14:paraId="2BD8EB53" w14:textId="77777777" w:rsidR="00D51826" w:rsidRPr="007030F3" w:rsidRDefault="00D51826" w:rsidP="00D51826">
      <w:pPr>
        <w:pStyle w:val="ListParagraph"/>
        <w:numPr>
          <w:ilvl w:val="0"/>
          <w:numId w:val="1"/>
        </w:numPr>
        <w:rPr>
          <w:color w:val="000000" w:themeColor="text1"/>
          <w:sz w:val="24"/>
          <w:szCs w:val="24"/>
          <w:lang w:val="en-US"/>
        </w:rPr>
      </w:pPr>
      <w:r w:rsidRPr="007030F3">
        <w:rPr>
          <w:color w:val="000000" w:themeColor="text1"/>
          <w:sz w:val="24"/>
          <w:szCs w:val="24"/>
          <w:lang w:val="en-US"/>
        </w:rPr>
        <w:lastRenderedPageBreak/>
        <w:t>Securities having a complex structure: JPMorgan traded collateralized debt obligations, which had a large exposure to subprime mortgages and increased systemic risk (FCIC, 2011).</w:t>
      </w:r>
    </w:p>
    <w:p w14:paraId="7AFD547F" w14:textId="3DE91BC5" w:rsidR="00DA4A7E" w:rsidRPr="007030F3" w:rsidRDefault="00D51826" w:rsidP="00DA4A7E">
      <w:pPr>
        <w:pStyle w:val="ListParagraph"/>
        <w:numPr>
          <w:ilvl w:val="0"/>
          <w:numId w:val="1"/>
        </w:numPr>
        <w:rPr>
          <w:color w:val="000000" w:themeColor="text1"/>
          <w:sz w:val="24"/>
          <w:szCs w:val="24"/>
          <w:lang w:val="en-US"/>
        </w:rPr>
      </w:pPr>
      <w:r w:rsidRPr="007030F3">
        <w:rPr>
          <w:color w:val="000000" w:themeColor="text1"/>
          <w:sz w:val="24"/>
          <w:szCs w:val="24"/>
          <w:lang w:val="en-US"/>
        </w:rPr>
        <w:t>Lack of capital: According to FCIC (2011), the company did not keep sufficient capital buffers for its hazardous assets and was unprepared to sustain losses as the crisis developed.</w:t>
      </w:r>
    </w:p>
    <w:p w14:paraId="7C653DA4" w14:textId="7CD74D3A" w:rsidR="0087629D" w:rsidRPr="007030F3" w:rsidRDefault="00EA5ED2" w:rsidP="00EA5ED2">
      <w:pPr>
        <w:pStyle w:val="Heading2"/>
        <w:rPr>
          <w:color w:val="000000" w:themeColor="text1"/>
          <w:lang w:val="en-US"/>
        </w:rPr>
      </w:pPr>
      <w:bookmarkStart w:id="7" w:name="_Toc143473649"/>
      <w:r w:rsidRPr="007030F3">
        <w:rPr>
          <w:color w:val="000000" w:themeColor="text1"/>
          <w:lang w:val="en-US"/>
        </w:rPr>
        <w:t xml:space="preserve">6.2 </w:t>
      </w:r>
      <w:r w:rsidR="0087629D" w:rsidRPr="007030F3">
        <w:rPr>
          <w:color w:val="000000" w:themeColor="text1"/>
          <w:lang w:val="en-US"/>
        </w:rPr>
        <w:t>Effects of 2008 Crisis in J. P. Morgan</w:t>
      </w:r>
      <w:bookmarkEnd w:id="7"/>
    </w:p>
    <w:p w14:paraId="23652671" w14:textId="47E24044" w:rsidR="00EB6FC2" w:rsidRPr="007030F3" w:rsidRDefault="00EB6FC2" w:rsidP="00EB6FC2">
      <w:pPr>
        <w:pStyle w:val="ListParagraph"/>
        <w:numPr>
          <w:ilvl w:val="0"/>
          <w:numId w:val="1"/>
        </w:numPr>
        <w:rPr>
          <w:color w:val="000000" w:themeColor="text1"/>
          <w:sz w:val="24"/>
          <w:szCs w:val="24"/>
          <w:lang w:val="en-US"/>
        </w:rPr>
      </w:pPr>
      <w:r w:rsidRPr="007030F3">
        <w:rPr>
          <w:color w:val="000000" w:themeColor="text1"/>
          <w:sz w:val="24"/>
          <w:szCs w:val="24"/>
          <w:lang w:val="en-US"/>
        </w:rPr>
        <w:t>About $5 billion in losses were reportedly reported in 2008 as a result of leveraged loans and mortgage-backed securities (JPMorgan Chase, 2008).</w:t>
      </w:r>
    </w:p>
    <w:p w14:paraId="7A807E9C" w14:textId="0832DC2E" w:rsidR="00EB6FC2" w:rsidRPr="007030F3" w:rsidRDefault="00EB6FC2" w:rsidP="00EB6FC2">
      <w:pPr>
        <w:pStyle w:val="ListParagraph"/>
        <w:numPr>
          <w:ilvl w:val="0"/>
          <w:numId w:val="1"/>
        </w:numPr>
        <w:rPr>
          <w:color w:val="000000" w:themeColor="text1"/>
          <w:sz w:val="24"/>
          <w:szCs w:val="24"/>
          <w:lang w:val="en-US"/>
        </w:rPr>
      </w:pPr>
      <w:r w:rsidRPr="007030F3">
        <w:rPr>
          <w:color w:val="000000" w:themeColor="text1"/>
          <w:sz w:val="24"/>
          <w:szCs w:val="24"/>
          <w:lang w:val="en-US"/>
        </w:rPr>
        <w:t>Forced to accept a capital infusion of $25 billion from the Troubled Asset Relief Programmed (TARP) of the US government in 2008 to strengthen its balance sheet (JPMorgan Chase, 2008).</w:t>
      </w:r>
    </w:p>
    <w:p w14:paraId="2E862467" w14:textId="7AD7CEB3" w:rsidR="00EB6FC2" w:rsidRPr="007030F3" w:rsidRDefault="00EB6FC2" w:rsidP="00EB6FC2">
      <w:pPr>
        <w:pStyle w:val="ListParagraph"/>
        <w:numPr>
          <w:ilvl w:val="0"/>
          <w:numId w:val="1"/>
        </w:numPr>
        <w:rPr>
          <w:color w:val="000000" w:themeColor="text1"/>
          <w:sz w:val="24"/>
          <w:szCs w:val="24"/>
          <w:lang w:val="en-US"/>
        </w:rPr>
      </w:pPr>
      <w:r w:rsidRPr="007030F3">
        <w:rPr>
          <w:color w:val="000000" w:themeColor="text1"/>
          <w:sz w:val="24"/>
          <w:szCs w:val="24"/>
          <w:lang w:val="en-US"/>
        </w:rPr>
        <w:t>Early in the crisis, faced liquidity problems and was subject to bank runs until utilizing a number of government assistance programmer (FCIC, 2011).</w:t>
      </w:r>
    </w:p>
    <w:p w14:paraId="5A6EADDE" w14:textId="2BAD0269" w:rsidR="00EB6FC2" w:rsidRPr="007030F3" w:rsidRDefault="00EB6FC2" w:rsidP="00EB6FC2">
      <w:pPr>
        <w:pStyle w:val="ListParagraph"/>
        <w:numPr>
          <w:ilvl w:val="0"/>
          <w:numId w:val="1"/>
        </w:numPr>
        <w:rPr>
          <w:color w:val="000000" w:themeColor="text1"/>
          <w:sz w:val="24"/>
          <w:szCs w:val="24"/>
          <w:lang w:val="en-US"/>
        </w:rPr>
      </w:pPr>
      <w:r w:rsidRPr="007030F3">
        <w:rPr>
          <w:color w:val="000000" w:themeColor="text1"/>
          <w:sz w:val="24"/>
          <w:szCs w:val="24"/>
          <w:lang w:val="en-US"/>
        </w:rPr>
        <w:t>Early in 2009, the dividend payout was reduced in order to preserve capital due to credit portfolio losses (JPMorgan Chase, 2009).</w:t>
      </w:r>
    </w:p>
    <w:p w14:paraId="5B292C5D" w14:textId="77777777" w:rsidR="00EF6AD2" w:rsidRPr="007030F3" w:rsidRDefault="00EF6AD2" w:rsidP="00EF6AD2">
      <w:pPr>
        <w:pStyle w:val="ListParagraph"/>
        <w:numPr>
          <w:ilvl w:val="0"/>
          <w:numId w:val="1"/>
        </w:numPr>
        <w:rPr>
          <w:color w:val="000000" w:themeColor="text1"/>
          <w:sz w:val="24"/>
          <w:szCs w:val="24"/>
          <w:lang w:val="en-US"/>
        </w:rPr>
      </w:pPr>
      <w:r w:rsidRPr="007030F3">
        <w:rPr>
          <w:color w:val="000000" w:themeColor="text1"/>
          <w:sz w:val="24"/>
          <w:szCs w:val="24"/>
          <w:lang w:val="en-US"/>
        </w:rPr>
        <w:t>Due to market instability and a halt in transactions, investment banking fees drastically decreased in 2008 and 2009.</w:t>
      </w:r>
    </w:p>
    <w:p w14:paraId="5597DFB3" w14:textId="77777777" w:rsidR="00EF6AD2" w:rsidRPr="007030F3" w:rsidRDefault="00EF6AD2" w:rsidP="00EF6AD2">
      <w:pPr>
        <w:pStyle w:val="ListParagraph"/>
        <w:numPr>
          <w:ilvl w:val="0"/>
          <w:numId w:val="1"/>
        </w:numPr>
        <w:rPr>
          <w:color w:val="000000" w:themeColor="text1"/>
          <w:sz w:val="24"/>
          <w:szCs w:val="24"/>
          <w:lang w:val="en-US"/>
        </w:rPr>
      </w:pPr>
      <w:r w:rsidRPr="007030F3">
        <w:rPr>
          <w:color w:val="000000" w:themeColor="text1"/>
          <w:sz w:val="24"/>
          <w:szCs w:val="24"/>
          <w:lang w:val="en-US"/>
        </w:rPr>
        <w:t>After acquiring them through crisis-driven transactions, Bear Stearns and Washington Mutual's assets required risk management (FCIC, 2011).</w:t>
      </w:r>
    </w:p>
    <w:p w14:paraId="3E6DAFCB" w14:textId="16A208AE" w:rsidR="00EF6AD2" w:rsidRPr="007030F3" w:rsidRDefault="00EF6AD2" w:rsidP="00EF6AD2">
      <w:pPr>
        <w:pStyle w:val="ListParagraph"/>
        <w:numPr>
          <w:ilvl w:val="0"/>
          <w:numId w:val="1"/>
        </w:numPr>
        <w:rPr>
          <w:color w:val="000000" w:themeColor="text1"/>
          <w:sz w:val="24"/>
          <w:szCs w:val="24"/>
          <w:lang w:val="en-US"/>
        </w:rPr>
      </w:pPr>
      <w:r w:rsidRPr="007030F3">
        <w:rPr>
          <w:color w:val="000000" w:themeColor="text1"/>
          <w:sz w:val="24"/>
          <w:szCs w:val="24"/>
          <w:lang w:val="en-US"/>
        </w:rPr>
        <w:t>Settlements for misrepresenting dangerous mortgages it offered to investors prior to the crisis resulted in settlements totaling billions of dollars</w:t>
      </w:r>
      <w:r w:rsidR="004230F1" w:rsidRPr="007030F3">
        <w:rPr>
          <w:color w:val="000000" w:themeColor="text1"/>
          <w:sz w:val="24"/>
          <w:szCs w:val="24"/>
          <w:lang w:val="en-US"/>
        </w:rPr>
        <w:t>.</w:t>
      </w:r>
    </w:p>
    <w:p w14:paraId="2B12C569" w14:textId="27AC13EB" w:rsidR="00E701D5" w:rsidRPr="007030F3" w:rsidRDefault="00EF6AD2" w:rsidP="004230F1">
      <w:pPr>
        <w:pStyle w:val="ListParagraph"/>
        <w:numPr>
          <w:ilvl w:val="0"/>
          <w:numId w:val="1"/>
        </w:numPr>
        <w:rPr>
          <w:color w:val="000000" w:themeColor="text1"/>
          <w:sz w:val="24"/>
          <w:szCs w:val="24"/>
          <w:lang w:val="en-US"/>
        </w:rPr>
      </w:pPr>
      <w:r w:rsidRPr="007030F3">
        <w:rPr>
          <w:color w:val="000000" w:themeColor="text1"/>
          <w:sz w:val="24"/>
          <w:szCs w:val="24"/>
          <w:lang w:val="en-US"/>
        </w:rPr>
        <w:t>After seeing a decline in revenues, the company implemented significant cost cuts and let almost 9,000</w:t>
      </w:r>
      <w:r w:rsidR="004230F1" w:rsidRPr="007030F3">
        <w:rPr>
          <w:color w:val="000000" w:themeColor="text1"/>
          <w:sz w:val="24"/>
          <w:szCs w:val="24"/>
          <w:lang w:val="en-US"/>
        </w:rPr>
        <w:t>.</w:t>
      </w:r>
    </w:p>
    <w:p w14:paraId="58461AE9" w14:textId="3B512666" w:rsidR="00EF6AD2" w:rsidRPr="007030F3" w:rsidRDefault="009F4EDB" w:rsidP="00EA5ED2">
      <w:pPr>
        <w:pStyle w:val="Heading1"/>
        <w:numPr>
          <w:ilvl w:val="0"/>
          <w:numId w:val="7"/>
        </w:numPr>
        <w:rPr>
          <w:color w:val="000000" w:themeColor="text1"/>
          <w:lang w:val="en-US"/>
        </w:rPr>
      </w:pPr>
      <w:bookmarkStart w:id="8" w:name="_Toc143473650"/>
      <w:r w:rsidRPr="007030F3">
        <w:rPr>
          <w:color w:val="000000" w:themeColor="text1"/>
          <w:lang w:val="en-US"/>
        </w:rPr>
        <w:t>Question</w:t>
      </w:r>
      <w:r w:rsidR="00BC4202" w:rsidRPr="007030F3">
        <w:rPr>
          <w:color w:val="000000" w:themeColor="text1"/>
          <w:lang w:val="en-US"/>
        </w:rPr>
        <w:t xml:space="preserve"> 1</w:t>
      </w:r>
      <w:bookmarkEnd w:id="8"/>
    </w:p>
    <w:p w14:paraId="775AD14F" w14:textId="77777777" w:rsidR="00D34A71" w:rsidRPr="007030F3" w:rsidRDefault="00D34A71" w:rsidP="00D34A71">
      <w:pPr>
        <w:rPr>
          <w:b/>
          <w:bCs/>
          <w:i/>
          <w:iCs/>
          <w:color w:val="000000" w:themeColor="text1"/>
          <w:sz w:val="24"/>
          <w:szCs w:val="24"/>
        </w:rPr>
      </w:pPr>
    </w:p>
    <w:p w14:paraId="0107349A" w14:textId="333AF1CB" w:rsidR="009F4EDB" w:rsidRPr="007030F3" w:rsidRDefault="00D34A71" w:rsidP="00D34A71">
      <w:pPr>
        <w:rPr>
          <w:b/>
          <w:bCs/>
          <w:i/>
          <w:iCs/>
          <w:color w:val="000000" w:themeColor="text1"/>
          <w:sz w:val="24"/>
          <w:szCs w:val="24"/>
        </w:rPr>
      </w:pPr>
      <w:r w:rsidRPr="007030F3">
        <w:rPr>
          <w:b/>
          <w:bCs/>
          <w:i/>
          <w:iCs/>
          <w:color w:val="000000" w:themeColor="text1"/>
          <w:sz w:val="24"/>
          <w:szCs w:val="24"/>
        </w:rPr>
        <w:t>I</w:t>
      </w:r>
      <w:r w:rsidR="00EC4282" w:rsidRPr="007030F3">
        <w:rPr>
          <w:b/>
          <w:bCs/>
          <w:i/>
          <w:iCs/>
          <w:color w:val="000000" w:themeColor="text1"/>
          <w:sz w:val="24"/>
          <w:szCs w:val="24"/>
        </w:rPr>
        <w:t>dentify the key laws, regulations and contracts that were enacted post the 2008 financial crises in US Authorities.</w:t>
      </w:r>
    </w:p>
    <w:p w14:paraId="3ECA31E0" w14:textId="53EBF76F" w:rsidR="00EC4282" w:rsidRPr="007030F3" w:rsidRDefault="00C4074A" w:rsidP="00EF6AD2">
      <w:pPr>
        <w:rPr>
          <w:color w:val="000000" w:themeColor="text1"/>
          <w:sz w:val="24"/>
          <w:szCs w:val="24"/>
          <w:lang w:val="en-US"/>
        </w:rPr>
      </w:pPr>
      <w:r w:rsidRPr="007030F3">
        <w:rPr>
          <w:color w:val="000000" w:themeColor="text1"/>
          <w:sz w:val="24"/>
          <w:szCs w:val="24"/>
          <w:lang w:val="en-US"/>
        </w:rPr>
        <w:t>In the US, a number of laws, rules, and contracts were created in response to the 2008 financial crisis. Some of the most important legislation, rules, and agreements that US authorities passed after the 2008 financial crisis include the following:</w:t>
      </w:r>
    </w:p>
    <w:p w14:paraId="2F10D436" w14:textId="7F1B93BB" w:rsidR="003C1E13" w:rsidRPr="007030F3" w:rsidRDefault="00585383" w:rsidP="00AC50F8">
      <w:pPr>
        <w:rPr>
          <w:color w:val="000000" w:themeColor="text1"/>
          <w:sz w:val="24"/>
          <w:szCs w:val="24"/>
        </w:rPr>
      </w:pPr>
      <w:r w:rsidRPr="007030F3">
        <w:rPr>
          <w:color w:val="000000" w:themeColor="text1"/>
          <w:sz w:val="24"/>
          <w:szCs w:val="24"/>
        </w:rPr>
        <w:t>In 2010, in response to the financial crisis of 2008, the Dodd-Frank Wall Street Reform and Consumer Protection Act (Dodd-Frank Act) was passed, enacting significant changes to financial regulation (CFPB, 2020). Important provisions included the creation of the Consumer Financial Protection Bureau to protect consumers, the Financial Stability Oversight Council to monitor systemic risks, the Volcker Rule to restrict banks' speculative trading, and an expansion of oversight of "too big to fail" institutions (CFPB, 2020).</w:t>
      </w:r>
    </w:p>
    <w:p w14:paraId="0D5B1277" w14:textId="77777777" w:rsidR="00AC5CA2" w:rsidRPr="007030F3" w:rsidRDefault="00AC5CA2" w:rsidP="00AC5CA2">
      <w:pPr>
        <w:rPr>
          <w:color w:val="000000" w:themeColor="text1"/>
          <w:sz w:val="24"/>
          <w:szCs w:val="24"/>
        </w:rPr>
      </w:pPr>
      <w:r w:rsidRPr="007030F3">
        <w:rPr>
          <w:color w:val="000000" w:themeColor="text1"/>
          <w:sz w:val="24"/>
          <w:szCs w:val="24"/>
        </w:rPr>
        <w:t xml:space="preserve">To discourage overly risky activities, the Volcker Rule, a component of Dodd-Frank, forbade commercial banks from engaging in proprietary trading and limited their participation in </w:t>
      </w:r>
      <w:r w:rsidRPr="007030F3">
        <w:rPr>
          <w:color w:val="000000" w:themeColor="text1"/>
          <w:sz w:val="24"/>
          <w:szCs w:val="24"/>
        </w:rPr>
        <w:lastRenderedPageBreak/>
        <w:t>hedge funds and private equity (FSOC, 2012). The rule was formally enforced in 2015, after years of business opposition (FSOC, 2012).</w:t>
      </w:r>
    </w:p>
    <w:p w14:paraId="6D2FEEC6" w14:textId="79E00B36" w:rsidR="00585383" w:rsidRPr="007030F3" w:rsidRDefault="00AC5CA2" w:rsidP="00AC5CA2">
      <w:pPr>
        <w:rPr>
          <w:color w:val="000000" w:themeColor="text1"/>
          <w:sz w:val="24"/>
          <w:szCs w:val="24"/>
        </w:rPr>
      </w:pPr>
      <w:r w:rsidRPr="007030F3">
        <w:rPr>
          <w:color w:val="000000" w:themeColor="text1"/>
          <w:sz w:val="24"/>
          <w:szCs w:val="24"/>
        </w:rPr>
        <w:t>Following the financial crisis, the Basel III accord was adopted as a global framework to improve bank capital adequacy, stress testing, and liquidity risk management (BIS, 2017). A final Basel III implementation regulation was published by US federal banking authorities in 2013, including measures that would gradually take effect until 2019 (FDIC, n.d.).</w:t>
      </w:r>
    </w:p>
    <w:p w14:paraId="74F10659" w14:textId="68648207" w:rsidR="005C39E3" w:rsidRPr="007030F3" w:rsidRDefault="005C39E3" w:rsidP="005C39E3">
      <w:pPr>
        <w:rPr>
          <w:color w:val="000000" w:themeColor="text1"/>
          <w:sz w:val="24"/>
          <w:szCs w:val="24"/>
        </w:rPr>
      </w:pPr>
      <w:r w:rsidRPr="007030F3">
        <w:rPr>
          <w:color w:val="000000" w:themeColor="text1"/>
          <w:sz w:val="24"/>
          <w:szCs w:val="24"/>
        </w:rPr>
        <w:t>The Federal Reserve used its emergency lending authority to save companies like Bear Stearns, AIG, and Citigroup during the 2008 financial crisis (Bernanke, 2015). Later, the Fed was obligated by the Dodd-Frank Act to report these activities and submit to audits (Bernanke, 2015).</w:t>
      </w:r>
    </w:p>
    <w:p w14:paraId="0F178B38" w14:textId="5D8D7F70" w:rsidR="00AC5CA2" w:rsidRPr="007030F3" w:rsidRDefault="005C39E3" w:rsidP="005C39E3">
      <w:pPr>
        <w:rPr>
          <w:color w:val="000000" w:themeColor="text1"/>
          <w:sz w:val="24"/>
          <w:szCs w:val="24"/>
        </w:rPr>
      </w:pPr>
      <w:r w:rsidRPr="007030F3">
        <w:rPr>
          <w:color w:val="000000" w:themeColor="text1"/>
          <w:sz w:val="24"/>
          <w:szCs w:val="24"/>
        </w:rPr>
        <w:t>Major US banks reached agreements with regulators in 2012 on violations related to mortgage and foreclosure practises during the crisis, paying funds for consumer assistance (Smith, 2020).</w:t>
      </w:r>
    </w:p>
    <w:p w14:paraId="40212873" w14:textId="77777777" w:rsidR="00F5388C" w:rsidRPr="007030F3" w:rsidRDefault="00F5388C" w:rsidP="007D38C0">
      <w:pPr>
        <w:rPr>
          <w:color w:val="000000" w:themeColor="text1"/>
          <w:sz w:val="24"/>
          <w:szCs w:val="24"/>
        </w:rPr>
      </w:pPr>
    </w:p>
    <w:p w14:paraId="42469064" w14:textId="5EE9C8F8" w:rsidR="001970FC" w:rsidRPr="007030F3" w:rsidRDefault="0039250F" w:rsidP="00BC4202">
      <w:pPr>
        <w:pStyle w:val="Heading1"/>
        <w:numPr>
          <w:ilvl w:val="0"/>
          <w:numId w:val="7"/>
        </w:numPr>
        <w:rPr>
          <w:color w:val="000000" w:themeColor="text1"/>
          <w:lang w:val="en-US"/>
        </w:rPr>
      </w:pPr>
      <w:bookmarkStart w:id="9" w:name="_Toc143473651"/>
      <w:r w:rsidRPr="007030F3">
        <w:rPr>
          <w:color w:val="000000" w:themeColor="text1"/>
          <w:lang w:val="en-US"/>
        </w:rPr>
        <w:t>Question 2</w:t>
      </w:r>
      <w:bookmarkEnd w:id="9"/>
    </w:p>
    <w:p w14:paraId="7693F4D0" w14:textId="6F15FA39" w:rsidR="0039250F" w:rsidRPr="007030F3" w:rsidRDefault="00D34A71" w:rsidP="00D34A71">
      <w:pPr>
        <w:rPr>
          <w:b/>
          <w:bCs/>
          <w:i/>
          <w:iCs/>
          <w:color w:val="000000" w:themeColor="text1"/>
          <w:sz w:val="24"/>
          <w:szCs w:val="24"/>
        </w:rPr>
      </w:pPr>
      <w:r w:rsidRPr="007030F3">
        <w:rPr>
          <w:b/>
          <w:bCs/>
          <w:i/>
          <w:iCs/>
          <w:color w:val="000000" w:themeColor="text1"/>
          <w:sz w:val="24"/>
          <w:szCs w:val="24"/>
        </w:rPr>
        <w:br/>
      </w:r>
      <w:r w:rsidR="0039250F" w:rsidRPr="007030F3">
        <w:rPr>
          <w:b/>
          <w:bCs/>
          <w:i/>
          <w:iCs/>
          <w:color w:val="000000" w:themeColor="text1"/>
          <w:sz w:val="24"/>
          <w:szCs w:val="24"/>
        </w:rPr>
        <w:t>Identify the key laws, regulations and contracts that were enacted post the 2008 financial crises by Global players in the financial system to end the financial crises</w:t>
      </w:r>
      <w:r w:rsidR="00723B2F" w:rsidRPr="007030F3">
        <w:rPr>
          <w:b/>
          <w:bCs/>
          <w:i/>
          <w:iCs/>
          <w:color w:val="000000" w:themeColor="text1"/>
          <w:sz w:val="24"/>
          <w:szCs w:val="24"/>
        </w:rPr>
        <w:t>.</w:t>
      </w:r>
    </w:p>
    <w:p w14:paraId="6729E1CA" w14:textId="77777777" w:rsidR="006327E7" w:rsidRPr="007030F3" w:rsidRDefault="006327E7" w:rsidP="006327E7">
      <w:pPr>
        <w:rPr>
          <w:i/>
          <w:iCs/>
          <w:color w:val="000000" w:themeColor="text1"/>
          <w:sz w:val="24"/>
          <w:szCs w:val="24"/>
        </w:rPr>
      </w:pPr>
    </w:p>
    <w:p w14:paraId="3FAEA7E1" w14:textId="77777777" w:rsidR="005B3CB9" w:rsidRPr="007030F3" w:rsidRDefault="005B3CB9" w:rsidP="005B3CB9">
      <w:pPr>
        <w:rPr>
          <w:color w:val="000000" w:themeColor="text1"/>
          <w:sz w:val="24"/>
          <w:szCs w:val="24"/>
          <w:lang w:val="en-US"/>
        </w:rPr>
      </w:pPr>
      <w:r w:rsidRPr="007030F3">
        <w:rPr>
          <w:color w:val="000000" w:themeColor="text1"/>
          <w:sz w:val="24"/>
          <w:szCs w:val="24"/>
          <w:lang w:val="en-US"/>
        </w:rPr>
        <w:t>The Dodd-Frank Wall Street Reform and Consumer Protection Act was passed in the United States in 2010, and it brought about a number of significant new regulations for the financial sector, including capital and liquidity requirements, stress tests for banks, oversight of systemic risks, limitations on bank proprietary trading, and consumer protection (CFPB, 2020).</w:t>
      </w:r>
    </w:p>
    <w:p w14:paraId="0C055BB9" w14:textId="2A6B3323" w:rsidR="00CF6C2E" w:rsidRPr="007030F3" w:rsidRDefault="005B3CB9" w:rsidP="005B3CB9">
      <w:pPr>
        <w:rPr>
          <w:color w:val="000000" w:themeColor="text1"/>
          <w:sz w:val="24"/>
          <w:szCs w:val="24"/>
          <w:lang w:val="en-US"/>
        </w:rPr>
      </w:pPr>
      <w:r w:rsidRPr="007030F3">
        <w:rPr>
          <w:color w:val="000000" w:themeColor="text1"/>
          <w:sz w:val="24"/>
          <w:szCs w:val="24"/>
          <w:lang w:val="en-US"/>
        </w:rPr>
        <w:t>To curb risk-taking, the Volcker Rule, a component of Dodd-Frank, specifically forbade proprietary trading and limited commercial banks' investments in hedge funds and private equity (FSOC, 2012). To improve bank capital adequacy, stress testing, leverage ratios, and liquidity risk management, the Basel III accord was enacted on a global scale (BIS, 2017).</w:t>
      </w:r>
    </w:p>
    <w:p w14:paraId="2183FE8E" w14:textId="3DD8593A" w:rsidR="003F5BAB" w:rsidRPr="007030F3" w:rsidRDefault="003F5BAB" w:rsidP="003F5BAB">
      <w:pPr>
        <w:rPr>
          <w:color w:val="000000" w:themeColor="text1"/>
          <w:sz w:val="24"/>
          <w:szCs w:val="24"/>
          <w:lang w:val="en-US"/>
        </w:rPr>
      </w:pPr>
      <w:r w:rsidRPr="007030F3">
        <w:rPr>
          <w:color w:val="000000" w:themeColor="text1"/>
          <w:sz w:val="24"/>
          <w:szCs w:val="24"/>
          <w:lang w:val="en-US"/>
        </w:rPr>
        <w:t>According to the UK Parliament (2009), the Banking Act of 2009 gave authorities greater authority to deal with bank failures by establishing "bail-in" procedures to save faltering financial organizations. In order to improve bank capital reserves, the UK then also adopted the Basel III rules on a national level.</w:t>
      </w:r>
    </w:p>
    <w:p w14:paraId="7F578C9A" w14:textId="4B9E5500" w:rsidR="005B3CB9" w:rsidRPr="007030F3" w:rsidRDefault="003F5BAB" w:rsidP="003F5BAB">
      <w:pPr>
        <w:rPr>
          <w:color w:val="000000" w:themeColor="text1"/>
          <w:sz w:val="24"/>
          <w:szCs w:val="24"/>
          <w:lang w:val="en-US"/>
        </w:rPr>
      </w:pPr>
      <w:r w:rsidRPr="007030F3">
        <w:rPr>
          <w:color w:val="000000" w:themeColor="text1"/>
          <w:sz w:val="24"/>
          <w:szCs w:val="24"/>
          <w:lang w:val="en-US"/>
        </w:rPr>
        <w:t>A flurry of financial changes was enacted by the European Union with the goal of boosting stability and protecting consumers. Strict bank stress tests, deposit insurance requirements, restrictions on banker bonuses, and increased authority for financial regulators were some of these (Jones, 2020). Over-the-counter derivatives are now subject to more regulation thanks to the European Market Infrastructure Regulation (EMIR).</w:t>
      </w:r>
    </w:p>
    <w:p w14:paraId="349E8AE1" w14:textId="7B46B8F4" w:rsidR="00CF76BB" w:rsidRPr="007030F3" w:rsidRDefault="00CF76BB" w:rsidP="00CF76BB">
      <w:pPr>
        <w:rPr>
          <w:color w:val="000000" w:themeColor="text1"/>
          <w:sz w:val="24"/>
          <w:szCs w:val="24"/>
          <w:lang w:val="en-US"/>
        </w:rPr>
      </w:pPr>
      <w:r w:rsidRPr="007030F3">
        <w:rPr>
          <w:color w:val="000000" w:themeColor="text1"/>
          <w:sz w:val="24"/>
          <w:szCs w:val="24"/>
          <w:lang w:val="en-US"/>
        </w:rPr>
        <w:lastRenderedPageBreak/>
        <w:t>Globally, the G20 nations endorsed additional capital reserve requirements, and the Basel III agreement was approved in 2010 and put into effect throughout the next years. In order to coordinate international efforts in financial regulation, the G20 also created the Financial Stability Board (FSB) (FSB, 2022).</w:t>
      </w:r>
    </w:p>
    <w:p w14:paraId="51FDF73E" w14:textId="1FCA79C5" w:rsidR="003F5BAB" w:rsidRPr="007030F3" w:rsidRDefault="00CF76BB" w:rsidP="00CF76BB">
      <w:pPr>
        <w:rPr>
          <w:color w:val="000000" w:themeColor="text1"/>
          <w:sz w:val="24"/>
          <w:szCs w:val="24"/>
          <w:lang w:val="en-US"/>
        </w:rPr>
      </w:pPr>
      <w:r w:rsidRPr="007030F3">
        <w:rPr>
          <w:color w:val="000000" w:themeColor="text1"/>
          <w:sz w:val="24"/>
          <w:szCs w:val="24"/>
          <w:lang w:val="en-US"/>
        </w:rPr>
        <w:t>Major banks have reached agreements on practices related to foreclosures and mortgages during the crisis. Five of the biggest US banks, including JPMorgan Chase, Bank of America, and Citigroup, reached settlements totaling $25 billion in 2012 to relieve mortgage stress (Smith, 2020).</w:t>
      </w:r>
    </w:p>
    <w:p w14:paraId="78CCAF46" w14:textId="2FCBC4B7" w:rsidR="00CF76BB" w:rsidRPr="007030F3" w:rsidRDefault="008C7DDF" w:rsidP="00CF76BB">
      <w:pPr>
        <w:rPr>
          <w:color w:val="000000" w:themeColor="text1"/>
          <w:sz w:val="24"/>
          <w:szCs w:val="24"/>
          <w:lang w:val="en-US"/>
        </w:rPr>
      </w:pPr>
      <w:r w:rsidRPr="007030F3">
        <w:rPr>
          <w:color w:val="000000" w:themeColor="text1"/>
          <w:sz w:val="24"/>
          <w:szCs w:val="24"/>
          <w:lang w:val="en-US"/>
        </w:rPr>
        <w:t>The major nations of the Group of Twenty (G20) have agreed to set global capital reserve targets on a more general level. The Basel III agreement was approved by the G20 in 2010 and put into effect in the following years (FSB, 2022). The Financial Stability Board (FSB) was also established by the G20 in order to better coordinate international regulatory efforts and combat systemic concerns.</w:t>
      </w:r>
    </w:p>
    <w:p w14:paraId="77FDD2B5" w14:textId="73AA627A" w:rsidR="00020D3A" w:rsidRPr="007030F3" w:rsidRDefault="00020D3A" w:rsidP="00020D3A">
      <w:pPr>
        <w:rPr>
          <w:color w:val="000000" w:themeColor="text1"/>
          <w:sz w:val="24"/>
          <w:szCs w:val="24"/>
          <w:lang w:val="en-US"/>
        </w:rPr>
      </w:pPr>
      <w:r w:rsidRPr="007030F3">
        <w:rPr>
          <w:color w:val="000000" w:themeColor="text1"/>
          <w:sz w:val="24"/>
          <w:szCs w:val="24"/>
          <w:lang w:val="en-US"/>
        </w:rPr>
        <w:t>Moreover, huge settlements involving mortgage and foreclosure violations during the crisis were reached by big institutions like JPMorgan Chase, Bank of America, and Citigroup. Consumers were given mortgage relief after five major US banks reached a $25 billion settlement in 2012 (Smith, 2020).</w:t>
      </w:r>
    </w:p>
    <w:p w14:paraId="29BF25F1" w14:textId="5F897126" w:rsidR="008C7DDF" w:rsidRPr="007030F3" w:rsidRDefault="00020D3A" w:rsidP="00020D3A">
      <w:pPr>
        <w:rPr>
          <w:color w:val="000000" w:themeColor="text1"/>
          <w:sz w:val="24"/>
          <w:szCs w:val="24"/>
          <w:lang w:val="en-US"/>
        </w:rPr>
      </w:pPr>
      <w:r w:rsidRPr="007030F3">
        <w:rPr>
          <w:color w:val="000000" w:themeColor="text1"/>
          <w:sz w:val="24"/>
          <w:szCs w:val="24"/>
          <w:lang w:val="en-US"/>
        </w:rPr>
        <w:t>In conclusion, major international reactions focused on strengthening bank rules, improving international cooperation, reducing high-risk activity, and enhancing consumer safeguards in order to improve financial stability. Continued attention to detail is required.</w:t>
      </w:r>
    </w:p>
    <w:p w14:paraId="497D3817" w14:textId="77777777" w:rsidR="00CD7EEA" w:rsidRPr="007030F3" w:rsidRDefault="00CD7EEA" w:rsidP="00020D3A">
      <w:pPr>
        <w:rPr>
          <w:color w:val="000000" w:themeColor="text1"/>
          <w:sz w:val="24"/>
          <w:szCs w:val="24"/>
          <w:lang w:val="en-US"/>
        </w:rPr>
      </w:pPr>
    </w:p>
    <w:p w14:paraId="25AB77AA" w14:textId="19C776E3" w:rsidR="002A2787" w:rsidRPr="007030F3" w:rsidRDefault="00801A13" w:rsidP="00BC4202">
      <w:pPr>
        <w:pStyle w:val="Heading1"/>
        <w:numPr>
          <w:ilvl w:val="0"/>
          <w:numId w:val="7"/>
        </w:numPr>
        <w:rPr>
          <w:color w:val="000000" w:themeColor="text1"/>
          <w:lang w:val="en-US"/>
        </w:rPr>
      </w:pPr>
      <w:bookmarkStart w:id="10" w:name="_Toc143473652"/>
      <w:r w:rsidRPr="007030F3">
        <w:rPr>
          <w:color w:val="000000" w:themeColor="text1"/>
          <w:lang w:val="en-US"/>
        </w:rPr>
        <w:t>Question 3</w:t>
      </w:r>
      <w:bookmarkEnd w:id="10"/>
    </w:p>
    <w:p w14:paraId="2BFA2D4F" w14:textId="518A6BD1" w:rsidR="00BD1985" w:rsidRPr="007030F3" w:rsidRDefault="00045D6E" w:rsidP="00B10F04">
      <w:pPr>
        <w:rPr>
          <w:color w:val="000000" w:themeColor="text1"/>
          <w:sz w:val="24"/>
          <w:szCs w:val="24"/>
          <w:lang w:val="en-US"/>
        </w:rPr>
      </w:pPr>
      <w:r w:rsidRPr="007030F3">
        <w:rPr>
          <w:color w:val="000000" w:themeColor="text1"/>
          <w:sz w:val="24"/>
          <w:szCs w:val="24"/>
          <w:lang w:val="en-US"/>
        </w:rPr>
        <w:br/>
      </w:r>
      <w:r w:rsidR="002E4933" w:rsidRPr="007030F3">
        <w:rPr>
          <w:b/>
          <w:bCs/>
          <w:i/>
          <w:iCs/>
          <w:color w:val="000000" w:themeColor="text1"/>
          <w:sz w:val="24"/>
          <w:szCs w:val="24"/>
          <w:lang w:val="en-US"/>
        </w:rPr>
        <w:t xml:space="preserve">Referencing points one and two above, critically review the extent to which you think that these reforms have contributed towards </w:t>
      </w:r>
      <w:r w:rsidR="002E4933" w:rsidRPr="007030F3">
        <w:rPr>
          <w:b/>
          <w:bCs/>
          <w:i/>
          <w:iCs/>
          <w:color w:val="000000" w:themeColor="text1"/>
          <w:sz w:val="24"/>
          <w:szCs w:val="24"/>
        </w:rPr>
        <w:t>stabilizing</w:t>
      </w:r>
      <w:r w:rsidR="002E4933" w:rsidRPr="007030F3">
        <w:rPr>
          <w:b/>
          <w:bCs/>
          <w:i/>
          <w:iCs/>
          <w:color w:val="000000" w:themeColor="text1"/>
          <w:sz w:val="24"/>
          <w:szCs w:val="24"/>
          <w:lang w:val="en-US"/>
        </w:rPr>
        <w:t xml:space="preserve"> the financial system and the different banking institutions post the 2008 crises.</w:t>
      </w:r>
      <w:r w:rsidR="002E4933" w:rsidRPr="007030F3">
        <w:rPr>
          <w:color w:val="000000" w:themeColor="text1"/>
          <w:sz w:val="24"/>
          <w:szCs w:val="24"/>
          <w:lang w:val="en-US"/>
        </w:rPr>
        <w:br/>
      </w:r>
      <w:r w:rsidR="002E4933" w:rsidRPr="007030F3">
        <w:rPr>
          <w:color w:val="000000" w:themeColor="text1"/>
          <w:sz w:val="24"/>
          <w:szCs w:val="24"/>
          <w:lang w:val="en-US"/>
        </w:rPr>
        <w:br/>
      </w:r>
      <w:r w:rsidR="009F6DB2" w:rsidRPr="007030F3">
        <w:rPr>
          <w:color w:val="000000" w:themeColor="text1"/>
          <w:sz w:val="24"/>
          <w:szCs w:val="24"/>
          <w:lang w:val="en-US"/>
        </w:rPr>
        <w:t>There has been a critical evaluation of how much these have done to stabilize the financial system and the various banking institutions.</w:t>
      </w:r>
    </w:p>
    <w:p w14:paraId="1C0D0A1F" w14:textId="1D85A3A4" w:rsidR="00294E8F" w:rsidRPr="007030F3" w:rsidRDefault="00294E8F" w:rsidP="00045D6E">
      <w:pPr>
        <w:rPr>
          <w:color w:val="000000" w:themeColor="text1"/>
          <w:sz w:val="24"/>
          <w:szCs w:val="24"/>
          <w:lang w:val="en-US"/>
        </w:rPr>
      </w:pPr>
      <w:r w:rsidRPr="007030F3">
        <w:rPr>
          <w:color w:val="000000" w:themeColor="text1"/>
          <w:sz w:val="24"/>
          <w:szCs w:val="24"/>
          <w:lang w:val="en-US"/>
        </w:rPr>
        <w:t xml:space="preserve">The financial regulation measures implemented in the wake of the 2008 financial crisis were possibly the broadest since the Great Depression. Supporters assert that the changes have </w:t>
      </w:r>
      <w:r w:rsidR="00DE7CDF" w:rsidRPr="007030F3">
        <w:rPr>
          <w:color w:val="000000" w:themeColor="text1"/>
          <w:sz w:val="24"/>
          <w:szCs w:val="24"/>
          <w:lang w:val="en-US"/>
        </w:rPr>
        <w:t>stabilized</w:t>
      </w:r>
      <w:r w:rsidRPr="007030F3">
        <w:rPr>
          <w:color w:val="000000" w:themeColor="text1"/>
          <w:sz w:val="24"/>
          <w:szCs w:val="24"/>
          <w:lang w:val="en-US"/>
        </w:rPr>
        <w:t xml:space="preserve"> important institutions and made the banking system safer. Critics contend that the improvements haven't gone far enough in some places.</w:t>
      </w:r>
    </w:p>
    <w:p w14:paraId="771F1C51" w14:textId="1FD8E782" w:rsidR="00294E8F" w:rsidRPr="007030F3" w:rsidRDefault="00D63571" w:rsidP="006327E7">
      <w:pPr>
        <w:rPr>
          <w:color w:val="000000" w:themeColor="text1"/>
          <w:sz w:val="24"/>
          <w:szCs w:val="24"/>
          <w:lang w:val="en-US"/>
        </w:rPr>
      </w:pPr>
      <w:r w:rsidRPr="007030F3">
        <w:rPr>
          <w:color w:val="000000" w:themeColor="text1"/>
          <w:sz w:val="24"/>
          <w:szCs w:val="24"/>
          <w:lang w:val="en-US"/>
        </w:rPr>
        <w:t xml:space="preserve">A significant increase in the capital reserve requirements for banks under Basel III regulations has been one of the post-crisis reforms' most important contributions. Banks are better able to sustain losses during recessions when they have larger capital cushions. According to studies, the typical common equity tier 1 capital ratio for systemically important banks increased from 5.5% in 2008 to 12.2% in 2021, a more than doubling. By </w:t>
      </w:r>
      <w:r w:rsidRPr="007030F3">
        <w:rPr>
          <w:color w:val="000000" w:themeColor="text1"/>
          <w:sz w:val="24"/>
          <w:szCs w:val="24"/>
          <w:lang w:val="en-US"/>
        </w:rPr>
        <w:lastRenderedPageBreak/>
        <w:t>doing this, shock resistance is increased. Additionally forcing banks to improve capital planning are the US stress tests and living will requirements.</w:t>
      </w:r>
    </w:p>
    <w:p w14:paraId="3CD7C549" w14:textId="182A9709" w:rsidR="00D63571" w:rsidRPr="007030F3" w:rsidRDefault="00DE7CDF" w:rsidP="006327E7">
      <w:pPr>
        <w:rPr>
          <w:color w:val="000000" w:themeColor="text1"/>
          <w:sz w:val="24"/>
          <w:szCs w:val="24"/>
          <w:lang w:val="en-US"/>
        </w:rPr>
      </w:pPr>
      <w:r w:rsidRPr="007030F3">
        <w:rPr>
          <w:color w:val="000000" w:themeColor="text1"/>
          <w:sz w:val="24"/>
          <w:szCs w:val="24"/>
          <w:lang w:val="en-US"/>
        </w:rPr>
        <w:t>A significant increase in the capital reserve requirements for banks under Basel III regulations has been one of the post-crisis reforms' most important contributions. Banks are better able to sustain losses during recessions when they have larger capital cushions. According to studies, the typical common equity tier 1 capital ratio for systemically important banks increased from 5.5% in 2008 to 12.2% in 2021, a more than doubling. By doing this, shock resistance is increased. Additionally forcing banks to improve capital planning are the US stress tests and living will requirements.</w:t>
      </w:r>
    </w:p>
    <w:p w14:paraId="18988054" w14:textId="224F85AD" w:rsidR="00DE7CDF" w:rsidRPr="007030F3" w:rsidRDefault="0041215A" w:rsidP="006327E7">
      <w:pPr>
        <w:rPr>
          <w:color w:val="000000" w:themeColor="text1"/>
          <w:sz w:val="24"/>
          <w:szCs w:val="24"/>
          <w:lang w:val="en-US"/>
        </w:rPr>
      </w:pPr>
      <w:r w:rsidRPr="007030F3">
        <w:rPr>
          <w:color w:val="000000" w:themeColor="text1"/>
          <w:sz w:val="24"/>
          <w:szCs w:val="24"/>
          <w:lang w:val="en-US"/>
        </w:rPr>
        <w:t>Convergence in regulatory norms has also been supported by international coordinating organizations like the Basel Committee and the Financial Stability Board. By doing this, regulatory arbitrage concerns are reduced. Early warning signs are provided by the FSB's monitoring of financial system vulnerabilities.</w:t>
      </w:r>
    </w:p>
    <w:p w14:paraId="170B7199" w14:textId="2DCAB1CF" w:rsidR="0041215A" w:rsidRPr="007030F3" w:rsidRDefault="00530884" w:rsidP="006327E7">
      <w:pPr>
        <w:rPr>
          <w:color w:val="000000" w:themeColor="text1"/>
          <w:sz w:val="24"/>
          <w:szCs w:val="24"/>
          <w:lang w:val="en-US"/>
        </w:rPr>
      </w:pPr>
      <w:r w:rsidRPr="007030F3">
        <w:rPr>
          <w:color w:val="000000" w:themeColor="text1"/>
          <w:sz w:val="24"/>
          <w:szCs w:val="24"/>
          <w:lang w:val="en-US"/>
        </w:rPr>
        <w:t>Analysts contend that systemic risk still exists because "too-big-to-fail" organizations have not been dismantled by reforms. US banks continue to rule the sector; the top 6 banks account for more than 70% of all banking assets. There are still concerns about whether living wills offer sufficient settlement strategies. The US regulators discovered that the risk-weight models used by the banks themselves under the Basel guidelines are unreliable during the 2020 pandemic slump. The use of shadow banking for regulatory arbitrage still exists.</w:t>
      </w:r>
    </w:p>
    <w:p w14:paraId="20D11C83" w14:textId="625B8635" w:rsidR="00530884" w:rsidRPr="007030F3" w:rsidRDefault="00A86670" w:rsidP="006327E7">
      <w:pPr>
        <w:rPr>
          <w:color w:val="000000" w:themeColor="text1"/>
          <w:sz w:val="24"/>
          <w:szCs w:val="24"/>
          <w:lang w:val="en-US"/>
        </w:rPr>
      </w:pPr>
      <w:r w:rsidRPr="007030F3">
        <w:rPr>
          <w:color w:val="000000" w:themeColor="text1"/>
          <w:sz w:val="24"/>
          <w:szCs w:val="24"/>
          <w:lang w:val="en-US"/>
        </w:rPr>
        <w:t xml:space="preserve">Additionally, some claim that the sheer complexity of laws like Dodd-Frank increases compliance costs and uncertainty without demonstrably lowering systemic risks. Sheila Bair, a former chair of the FDIC, has argued in </w:t>
      </w:r>
      <w:r w:rsidR="004444C2" w:rsidRPr="007030F3">
        <w:rPr>
          <w:color w:val="000000" w:themeColor="text1"/>
          <w:sz w:val="24"/>
          <w:szCs w:val="24"/>
          <w:lang w:val="en-US"/>
        </w:rPr>
        <w:t>favor</w:t>
      </w:r>
      <w:r w:rsidRPr="007030F3">
        <w:rPr>
          <w:color w:val="000000" w:themeColor="text1"/>
          <w:sz w:val="24"/>
          <w:szCs w:val="24"/>
          <w:lang w:val="en-US"/>
        </w:rPr>
        <w:t xml:space="preserve"> of streamlining regulations by limiting bank leverage through simple size ceilings and greater capital requirements as opposed to intricate risk-based regulations.</w:t>
      </w:r>
    </w:p>
    <w:p w14:paraId="31C81FB1" w14:textId="0A1AAE16" w:rsidR="00246AB5" w:rsidRPr="007030F3" w:rsidRDefault="000D4258" w:rsidP="00D31A68">
      <w:pPr>
        <w:rPr>
          <w:color w:val="000000" w:themeColor="text1"/>
          <w:sz w:val="24"/>
          <w:szCs w:val="24"/>
          <w:lang w:val="en-US"/>
        </w:rPr>
      </w:pPr>
      <w:r w:rsidRPr="007030F3">
        <w:rPr>
          <w:color w:val="000000" w:themeColor="text1"/>
          <w:sz w:val="24"/>
          <w:szCs w:val="24"/>
          <w:lang w:val="en-US"/>
        </w:rPr>
        <w:t>Although great progress has been made, additional effort may still be required to streamline and improve the post-crisis regulatory framework in order to effectively minimize systemic risks. However, it is evident that the changes have increased the banking system's resilience and addressed some of the most unsettling behaviors that contributed to the crisis. Future updates should be carefully examined in order to strike a balance between innovation and risk control.</w:t>
      </w:r>
    </w:p>
    <w:p w14:paraId="1666E8CB" w14:textId="7E831E13" w:rsidR="00512CF4" w:rsidRPr="007030F3" w:rsidRDefault="00512CF4" w:rsidP="004D2E4E">
      <w:pPr>
        <w:pStyle w:val="Heading1"/>
        <w:numPr>
          <w:ilvl w:val="0"/>
          <w:numId w:val="7"/>
        </w:numPr>
        <w:rPr>
          <w:color w:val="000000" w:themeColor="text1"/>
        </w:rPr>
      </w:pPr>
      <w:bookmarkStart w:id="11" w:name="_Toc143473653"/>
      <w:r w:rsidRPr="007030F3">
        <w:rPr>
          <w:color w:val="000000" w:themeColor="text1"/>
        </w:rPr>
        <w:t>Background of J. P. Morgan</w:t>
      </w:r>
      <w:bookmarkEnd w:id="11"/>
    </w:p>
    <w:p w14:paraId="04FD64D4" w14:textId="77777777" w:rsidR="00512CF4" w:rsidRPr="007030F3" w:rsidRDefault="00512CF4" w:rsidP="00512CF4">
      <w:pPr>
        <w:rPr>
          <w:color w:val="000000" w:themeColor="text1"/>
          <w:sz w:val="24"/>
          <w:szCs w:val="24"/>
          <w:lang w:val="en-US"/>
        </w:rPr>
      </w:pPr>
      <w:r w:rsidRPr="007030F3">
        <w:rPr>
          <w:color w:val="000000" w:themeColor="text1"/>
          <w:sz w:val="24"/>
          <w:szCs w:val="24"/>
          <w:lang w:val="en-US"/>
        </w:rPr>
        <w:t xml:space="preserve">A banking organization with a history spanning more than 200 years, JPMorgan Chase &amp; Co. is among the biggest and oldest in the country. The company was established in 2000 as a result of the union of two of the country's oldest banks, J.P. Morgan &amp; Co. and Chase Manhattan Bank (JPMorgan Chase &amp; Co., 2022). Investment banking, asset management, private banking, treasury services, and retail banking are just a few of the many financial services that JPMorgan Chase offers on a global scale. Through its nationwide network of more than 16,000 ATMs and close to 5,000 bank locations, the corporation provides services to millions of customers (JPMorgan Chase &amp; Co., 2022). Additionally, it operates in over 100 </w:t>
      </w:r>
      <w:r w:rsidRPr="007030F3">
        <w:rPr>
          <w:color w:val="000000" w:themeColor="text1"/>
          <w:sz w:val="24"/>
          <w:szCs w:val="24"/>
          <w:lang w:val="en-US"/>
        </w:rPr>
        <w:lastRenderedPageBreak/>
        <w:t>markets around the world. With total assets of more than $3 trillion, JPMorgan Chase is currently the largest bank in the United States and the sixth largest bank in the world (JPMorgan Chase &amp; Co., 2022). Consumer &amp; Community Banking, Corporate &amp; Investment Banking, Commercial Banking, and Asset &amp; Wealth Management are its four main business segments through which it does business. Under Jamie Demon’s direction, the company has over 250,000 employees worldwide. Through its provision of financing, consulting services, and market-making activities for businesses, institutional investors, and governmental organizations, JPMorgan Chase plays a crucial role in the global financial system. JPMorgan Chase is one of the most systemically important banks both locally and internationally due to its size and expertise across a wide range of financial services.</w:t>
      </w:r>
    </w:p>
    <w:p w14:paraId="0811CB85" w14:textId="77777777" w:rsidR="00512CF4" w:rsidRPr="007030F3" w:rsidRDefault="00512CF4" w:rsidP="00512CF4">
      <w:pPr>
        <w:rPr>
          <w:color w:val="000000" w:themeColor="text1"/>
        </w:rPr>
      </w:pPr>
    </w:p>
    <w:p w14:paraId="2DB97121" w14:textId="77777777" w:rsidR="00512CF4" w:rsidRPr="007030F3" w:rsidRDefault="00512CF4" w:rsidP="00512CF4">
      <w:pPr>
        <w:pStyle w:val="ListParagraph"/>
        <w:numPr>
          <w:ilvl w:val="0"/>
          <w:numId w:val="1"/>
        </w:numPr>
        <w:rPr>
          <w:color w:val="000000" w:themeColor="text1"/>
          <w:sz w:val="24"/>
          <w:szCs w:val="24"/>
          <w:lang w:val="en-US"/>
        </w:rPr>
      </w:pPr>
      <w:r w:rsidRPr="007030F3">
        <w:rPr>
          <w:color w:val="000000" w:themeColor="text1"/>
          <w:sz w:val="24"/>
          <w:szCs w:val="24"/>
          <w:lang w:val="en-US"/>
        </w:rPr>
        <w:t>JPMorgan Chase was the largest bank in the US and the sixth-largest bank in the world as of December 31, 2021, with total assets of $3.74 trillion (JPMorgan Chase &amp; Co., 2022).</w:t>
      </w:r>
    </w:p>
    <w:p w14:paraId="3E35C13A" w14:textId="77777777" w:rsidR="00512CF4" w:rsidRPr="007030F3" w:rsidRDefault="00512CF4" w:rsidP="00512CF4">
      <w:pPr>
        <w:pStyle w:val="ListParagraph"/>
        <w:numPr>
          <w:ilvl w:val="0"/>
          <w:numId w:val="1"/>
        </w:numPr>
        <w:rPr>
          <w:color w:val="000000" w:themeColor="text1"/>
          <w:sz w:val="24"/>
          <w:szCs w:val="24"/>
          <w:lang w:val="en-US"/>
        </w:rPr>
      </w:pPr>
      <w:r w:rsidRPr="007030F3">
        <w:rPr>
          <w:color w:val="000000" w:themeColor="text1"/>
          <w:sz w:val="24"/>
          <w:szCs w:val="24"/>
          <w:lang w:val="en-US"/>
        </w:rPr>
        <w:t>The business recorded net sales of $127.4 billion and net income of $48.3 billion for the entire year 2021 (JPMorgan Chase &amp; Co., 2022).</w:t>
      </w:r>
    </w:p>
    <w:p w14:paraId="2F42976D" w14:textId="77777777" w:rsidR="00512CF4" w:rsidRPr="007030F3" w:rsidRDefault="00512CF4" w:rsidP="00512CF4">
      <w:pPr>
        <w:pStyle w:val="ListParagraph"/>
        <w:numPr>
          <w:ilvl w:val="0"/>
          <w:numId w:val="1"/>
        </w:numPr>
        <w:rPr>
          <w:color w:val="000000" w:themeColor="text1"/>
          <w:sz w:val="24"/>
          <w:szCs w:val="24"/>
          <w:lang w:val="en-US"/>
        </w:rPr>
      </w:pPr>
      <w:r w:rsidRPr="007030F3">
        <w:rPr>
          <w:color w:val="000000" w:themeColor="text1"/>
          <w:sz w:val="24"/>
          <w:szCs w:val="24"/>
          <w:lang w:val="en-US"/>
        </w:rPr>
        <w:t>Consumer &amp; Community Banking (52% of the company's revenue), Corporate &amp; Investment Banking (31%), Commercial Banking (12%), and Asset &amp; Wealth Management (5%), in that order (JPMorgan Chase &amp; Co., 2022).</w:t>
      </w:r>
    </w:p>
    <w:p w14:paraId="28B803C5" w14:textId="77777777" w:rsidR="00512CF4" w:rsidRPr="007030F3" w:rsidRDefault="00512CF4" w:rsidP="00512CF4">
      <w:pPr>
        <w:pStyle w:val="ListParagraph"/>
        <w:numPr>
          <w:ilvl w:val="0"/>
          <w:numId w:val="1"/>
        </w:numPr>
        <w:rPr>
          <w:color w:val="000000" w:themeColor="text1"/>
          <w:sz w:val="24"/>
          <w:szCs w:val="24"/>
          <w:lang w:val="en-US"/>
        </w:rPr>
      </w:pPr>
      <w:r w:rsidRPr="007030F3">
        <w:rPr>
          <w:color w:val="000000" w:themeColor="text1"/>
          <w:sz w:val="24"/>
          <w:szCs w:val="24"/>
          <w:lang w:val="en-US"/>
        </w:rPr>
        <w:t>Over 60 million households are served by the company's consumer &amp; small business banking, home lending, and card services under the umbrella of consumer &amp; community banking (JPMorgan Chase &amp; Co., 2022).</w:t>
      </w:r>
    </w:p>
    <w:p w14:paraId="367567DF" w14:textId="77777777" w:rsidR="00512CF4" w:rsidRPr="007030F3" w:rsidRDefault="00512CF4" w:rsidP="00512CF4">
      <w:pPr>
        <w:pStyle w:val="ListParagraph"/>
        <w:numPr>
          <w:ilvl w:val="0"/>
          <w:numId w:val="1"/>
        </w:numPr>
        <w:rPr>
          <w:color w:val="000000" w:themeColor="text1"/>
          <w:sz w:val="24"/>
          <w:szCs w:val="24"/>
          <w:lang w:val="en-US"/>
        </w:rPr>
      </w:pPr>
      <w:r w:rsidRPr="007030F3">
        <w:rPr>
          <w:color w:val="000000" w:themeColor="text1"/>
          <w:sz w:val="24"/>
          <w:szCs w:val="24"/>
          <w:lang w:val="en-US"/>
        </w:rPr>
        <w:t>The Corporate &amp; Investment Bank offers credit and lending to businesses, investors, and governments all across the world (JPMorgan Chase &amp; Co., 2022). It also offers investment banking services.</w:t>
      </w:r>
    </w:p>
    <w:p w14:paraId="511E9E8B" w14:textId="77777777" w:rsidR="00512CF4" w:rsidRPr="007030F3" w:rsidRDefault="00512CF4" w:rsidP="00512CF4">
      <w:pPr>
        <w:pStyle w:val="ListParagraph"/>
        <w:numPr>
          <w:ilvl w:val="0"/>
          <w:numId w:val="1"/>
        </w:numPr>
        <w:rPr>
          <w:color w:val="000000" w:themeColor="text1"/>
          <w:sz w:val="24"/>
          <w:szCs w:val="24"/>
          <w:lang w:val="en-US"/>
        </w:rPr>
      </w:pPr>
      <w:r w:rsidRPr="007030F3">
        <w:rPr>
          <w:color w:val="000000" w:themeColor="text1"/>
          <w:sz w:val="24"/>
          <w:szCs w:val="24"/>
          <w:lang w:val="en-US"/>
        </w:rPr>
        <w:t>Over 4 million small company, corporate, municipal, and nonprofit clients are served by commercial banking through the provision of loan, treasury, and investment services (JPMorgan Chase &amp; Co., 2022).</w:t>
      </w:r>
    </w:p>
    <w:p w14:paraId="6AD5A2FF" w14:textId="32C4414D" w:rsidR="00512CF4" w:rsidRPr="007030F3" w:rsidRDefault="00512CF4" w:rsidP="00D31A68">
      <w:pPr>
        <w:pStyle w:val="ListParagraph"/>
        <w:numPr>
          <w:ilvl w:val="0"/>
          <w:numId w:val="1"/>
        </w:numPr>
        <w:rPr>
          <w:color w:val="000000" w:themeColor="text1"/>
          <w:sz w:val="24"/>
          <w:szCs w:val="24"/>
          <w:lang w:val="en-US"/>
        </w:rPr>
      </w:pPr>
      <w:r w:rsidRPr="007030F3">
        <w:rPr>
          <w:color w:val="000000" w:themeColor="text1"/>
          <w:sz w:val="24"/>
          <w:szCs w:val="24"/>
          <w:lang w:val="en-US"/>
        </w:rPr>
        <w:t>Asset &amp; Wealth Management offers investment and wealth management services with over $3 trillion in assets under management (JPMorgan Chase &amp; Co., 2022).</w:t>
      </w:r>
    </w:p>
    <w:p w14:paraId="363A065D" w14:textId="41F3AC91" w:rsidR="00246AB5" w:rsidRPr="007030F3" w:rsidRDefault="00246AB5" w:rsidP="00E21DBB">
      <w:pPr>
        <w:pStyle w:val="Heading1"/>
        <w:numPr>
          <w:ilvl w:val="0"/>
          <w:numId w:val="7"/>
        </w:numPr>
        <w:rPr>
          <w:color w:val="000000" w:themeColor="text1"/>
          <w:lang w:val="en-US"/>
        </w:rPr>
      </w:pPr>
      <w:bookmarkStart w:id="12" w:name="_Toc143473654"/>
      <w:r w:rsidRPr="007030F3">
        <w:rPr>
          <w:color w:val="000000" w:themeColor="text1"/>
          <w:lang w:val="en-US"/>
        </w:rPr>
        <w:t>Question 4</w:t>
      </w:r>
      <w:bookmarkEnd w:id="12"/>
    </w:p>
    <w:p w14:paraId="5E8B8F4C" w14:textId="16090520" w:rsidR="00D31A68" w:rsidRPr="007030F3" w:rsidRDefault="00EE1DC0" w:rsidP="00D31A68">
      <w:pPr>
        <w:rPr>
          <w:b/>
          <w:bCs/>
          <w:i/>
          <w:iCs/>
          <w:color w:val="000000" w:themeColor="text1"/>
          <w:sz w:val="24"/>
          <w:szCs w:val="24"/>
        </w:rPr>
      </w:pPr>
      <w:r w:rsidRPr="007030F3">
        <w:rPr>
          <w:b/>
          <w:bCs/>
          <w:i/>
          <w:iCs/>
          <w:color w:val="000000" w:themeColor="text1"/>
          <w:sz w:val="24"/>
          <w:szCs w:val="24"/>
        </w:rPr>
        <w:t>Choose any publicly listed Financial Services company and analyse the extent to which these reforms have had an impact on their business model and their level of compliance/non-compliance to these reforms.</w:t>
      </w:r>
    </w:p>
    <w:p w14:paraId="4FF0A07F" w14:textId="379B435A" w:rsidR="00EE1DC0" w:rsidRPr="007030F3" w:rsidRDefault="0084412C" w:rsidP="00D31A68">
      <w:pPr>
        <w:rPr>
          <w:color w:val="000000" w:themeColor="text1"/>
          <w:sz w:val="24"/>
          <w:szCs w:val="24"/>
          <w:lang w:val="en-US"/>
        </w:rPr>
      </w:pPr>
      <w:r w:rsidRPr="007030F3">
        <w:rPr>
          <w:color w:val="000000" w:themeColor="text1"/>
          <w:sz w:val="24"/>
          <w:szCs w:val="24"/>
          <w:lang w:val="en-US"/>
        </w:rPr>
        <w:br/>
      </w:r>
      <w:r w:rsidR="00EE1DC0" w:rsidRPr="007030F3">
        <w:rPr>
          <w:color w:val="000000" w:themeColor="text1"/>
          <w:sz w:val="24"/>
          <w:szCs w:val="24"/>
          <w:lang w:val="en-US"/>
        </w:rPr>
        <w:t xml:space="preserve">The collapse of the investment firm Lehman Brothers in September 2008 is widely seen as the turning point in the catastrophic recession that drove the global economy to its knees during the financial crisis. In the same year, the U.S. housing market collapsed, the stock markets tanked, the Federal Reserve lowered interest rates to their lowest levels in history, and J.P. Morgan acquired Bear Stearns in record time as it neared collapse. The J.P. Morgan </w:t>
      </w:r>
      <w:r w:rsidR="00EE1DC0" w:rsidRPr="007030F3">
        <w:rPr>
          <w:color w:val="000000" w:themeColor="text1"/>
          <w:sz w:val="24"/>
          <w:szCs w:val="24"/>
          <w:lang w:val="en-US"/>
        </w:rPr>
        <w:lastRenderedPageBreak/>
        <w:t>Research team investigates what has changed and what the future may hold for the world economy and markets ten years later</w:t>
      </w:r>
      <w:r w:rsidR="003A4C95" w:rsidRPr="007030F3">
        <w:rPr>
          <w:color w:val="000000" w:themeColor="text1"/>
          <w:sz w:val="24"/>
          <w:szCs w:val="24"/>
          <w:lang w:val="en-US"/>
        </w:rPr>
        <w:t xml:space="preserve"> </w:t>
      </w:r>
      <w:r w:rsidR="003A4C95" w:rsidRPr="007030F3">
        <w:rPr>
          <w:color w:val="000000" w:themeColor="text1"/>
          <w:sz w:val="24"/>
          <w:szCs w:val="24"/>
        </w:rPr>
        <w:t>("10 years after the financial crisis," 2018)</w:t>
      </w:r>
      <w:r w:rsidR="00EE1DC0" w:rsidRPr="007030F3">
        <w:rPr>
          <w:color w:val="000000" w:themeColor="text1"/>
          <w:sz w:val="24"/>
          <w:szCs w:val="24"/>
          <w:lang w:val="en-US"/>
        </w:rPr>
        <w:t>.</w:t>
      </w:r>
    </w:p>
    <w:p w14:paraId="4A2158E3" w14:textId="6AB1ECC3" w:rsidR="00EE1DC0" w:rsidRPr="007030F3" w:rsidRDefault="00E21DBB" w:rsidP="00E21DBB">
      <w:pPr>
        <w:pStyle w:val="Heading1"/>
        <w:rPr>
          <w:color w:val="000000" w:themeColor="text1"/>
          <w:lang w:val="en-US"/>
        </w:rPr>
      </w:pPr>
      <w:bookmarkStart w:id="13" w:name="_Toc143473655"/>
      <w:r w:rsidRPr="007030F3">
        <w:rPr>
          <w:color w:val="000000" w:themeColor="text1"/>
          <w:lang w:val="en-US"/>
        </w:rPr>
        <w:t xml:space="preserve">11.1 </w:t>
      </w:r>
      <w:r w:rsidR="003F234B" w:rsidRPr="007030F3">
        <w:rPr>
          <w:color w:val="000000" w:themeColor="text1"/>
          <w:lang w:val="en-US"/>
        </w:rPr>
        <w:t>Global debt has ballooned</w:t>
      </w:r>
      <w:bookmarkEnd w:id="13"/>
    </w:p>
    <w:p w14:paraId="070C7A67" w14:textId="25166DA4" w:rsidR="00D71E99" w:rsidRPr="007030F3" w:rsidRDefault="00E85436" w:rsidP="00D71E99">
      <w:pPr>
        <w:rPr>
          <w:color w:val="000000" w:themeColor="text1"/>
          <w:sz w:val="24"/>
          <w:szCs w:val="24"/>
        </w:rPr>
      </w:pPr>
      <w:r w:rsidRPr="007030F3">
        <w:rPr>
          <w:color w:val="000000" w:themeColor="text1"/>
          <w:sz w:val="24"/>
          <w:szCs w:val="24"/>
        </w:rPr>
        <w:t>Since 2007, the size of the world's sovereign debt has increased by 26 percentage points of GDP. Debt-to-GDP has increased by about 41 percentage points in developed markets (DM), whereas it has increased by only 12 percentage points in emerging countries. There is no indication that debt levels will be decreasing in the near future because budget deficits are still rather high. A post-World War II low of about -9% was reached in 2009 when the fiscal loan position of DM as a proportion of GDP dropped drastically by more than 8 percentage points. The worldwide fiscal deficit is still high at 2.9% of GDP despite a significant drop from its peak of 7.3% in 2009</w:t>
      </w:r>
      <w:r w:rsidR="003A4C95" w:rsidRPr="007030F3">
        <w:rPr>
          <w:color w:val="000000" w:themeColor="text1"/>
          <w:sz w:val="24"/>
          <w:szCs w:val="24"/>
        </w:rPr>
        <w:t xml:space="preserve"> ("10 years after the financial crisis," 2018)</w:t>
      </w:r>
      <w:r w:rsidRPr="007030F3">
        <w:rPr>
          <w:color w:val="000000" w:themeColor="text1"/>
          <w:sz w:val="24"/>
          <w:szCs w:val="24"/>
        </w:rPr>
        <w:t>.</w:t>
      </w:r>
      <w:r w:rsidR="00291925" w:rsidRPr="007030F3">
        <w:rPr>
          <w:color w:val="000000" w:themeColor="text1"/>
          <w:sz w:val="24"/>
          <w:szCs w:val="24"/>
        </w:rPr>
        <w:br/>
      </w:r>
      <w:r w:rsidR="009F0C2B" w:rsidRPr="007030F3">
        <w:rPr>
          <w:color w:val="000000" w:themeColor="text1"/>
          <w:sz w:val="24"/>
          <w:szCs w:val="24"/>
        </w:rPr>
        <w:br/>
      </w:r>
      <w:r w:rsidR="00D71E99" w:rsidRPr="007030F3">
        <w:rPr>
          <w:color w:val="000000" w:themeColor="text1"/>
          <w:sz w:val="24"/>
          <w:szCs w:val="24"/>
        </w:rPr>
        <w:t xml:space="preserve">                                                 </w:t>
      </w:r>
      <w:r w:rsidR="00D71E99" w:rsidRPr="007030F3">
        <w:rPr>
          <w:b/>
          <w:bCs/>
          <w:color w:val="000000" w:themeColor="text1"/>
          <w:sz w:val="28"/>
          <w:szCs w:val="28"/>
        </w:rPr>
        <w:t>Global sovereign debt has spiked</w:t>
      </w:r>
    </w:p>
    <w:p w14:paraId="287A77A4" w14:textId="4EBE244D" w:rsidR="00E85436" w:rsidRPr="007030F3" w:rsidRDefault="00036EB8" w:rsidP="00D31A68">
      <w:pPr>
        <w:rPr>
          <w:color w:val="000000" w:themeColor="text1"/>
          <w:sz w:val="24"/>
          <w:szCs w:val="24"/>
        </w:rPr>
      </w:pPr>
      <w:r w:rsidRPr="007030F3">
        <w:rPr>
          <w:noProof/>
          <w:color w:val="000000" w:themeColor="text1"/>
          <w:sz w:val="24"/>
          <w:szCs w:val="24"/>
        </w:rPr>
        <w:drawing>
          <wp:inline distT="0" distB="0" distL="0" distR="0" wp14:anchorId="6F838D17" wp14:editId="42073C45">
            <wp:extent cx="5731510" cy="3352800"/>
            <wp:effectExtent l="0" t="0" r="2540" b="0"/>
            <wp:docPr id="89379163" name="Picture 2" descr="cc&#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79163" name="Picture 2" descr="cc&#10;"/>
                    <pic:cNvPicPr/>
                  </pic:nvPicPr>
                  <pic:blipFill>
                    <a:blip r:embed="rId9">
                      <a:extLst>
                        <a:ext uri="{28A0092B-C50C-407E-A947-70E740481C1C}">
                          <a14:useLocalDpi xmlns:a14="http://schemas.microsoft.com/office/drawing/2010/main" val="0"/>
                        </a:ext>
                      </a:extLst>
                    </a:blip>
                    <a:stretch>
                      <a:fillRect/>
                    </a:stretch>
                  </pic:blipFill>
                  <pic:spPr>
                    <a:xfrm>
                      <a:off x="0" y="0"/>
                      <a:ext cx="5731510" cy="3352800"/>
                    </a:xfrm>
                    <a:prstGeom prst="rect">
                      <a:avLst/>
                    </a:prstGeom>
                  </pic:spPr>
                </pic:pic>
              </a:graphicData>
            </a:graphic>
          </wp:inline>
        </w:drawing>
      </w:r>
    </w:p>
    <w:p w14:paraId="29644290" w14:textId="6EF5D734" w:rsidR="00036EB8" w:rsidRPr="007030F3" w:rsidRDefault="00036EB8" w:rsidP="00036EB8">
      <w:pPr>
        <w:jc w:val="center"/>
        <w:rPr>
          <w:i/>
          <w:iCs/>
          <w:color w:val="000000" w:themeColor="text1"/>
          <w:sz w:val="18"/>
          <w:szCs w:val="18"/>
        </w:rPr>
      </w:pPr>
      <w:r w:rsidRPr="007030F3">
        <w:rPr>
          <w:i/>
          <w:iCs/>
          <w:color w:val="000000" w:themeColor="text1"/>
          <w:sz w:val="18"/>
          <w:szCs w:val="18"/>
        </w:rPr>
        <w:t>Source</w:t>
      </w:r>
      <w:r w:rsidR="00EF4577" w:rsidRPr="007030F3">
        <w:rPr>
          <w:i/>
          <w:iCs/>
          <w:color w:val="000000" w:themeColor="text1"/>
          <w:sz w:val="18"/>
          <w:szCs w:val="18"/>
        </w:rPr>
        <w:t>: J.P. Morgan, Shaded area is forecast</w:t>
      </w:r>
    </w:p>
    <w:p w14:paraId="1E3616EE" w14:textId="1D6BFE1B" w:rsidR="00036EB8" w:rsidRPr="007030F3" w:rsidRDefault="003E196E" w:rsidP="003E196E">
      <w:pPr>
        <w:pStyle w:val="Heading2"/>
        <w:rPr>
          <w:color w:val="000000" w:themeColor="text1"/>
        </w:rPr>
      </w:pPr>
      <w:bookmarkStart w:id="14" w:name="_Toc143473656"/>
      <w:r w:rsidRPr="007030F3">
        <w:rPr>
          <w:color w:val="000000" w:themeColor="text1"/>
        </w:rPr>
        <w:t xml:space="preserve">11.2 </w:t>
      </w:r>
      <w:r w:rsidR="00676B54" w:rsidRPr="007030F3">
        <w:rPr>
          <w:color w:val="000000" w:themeColor="text1"/>
        </w:rPr>
        <w:t>The housing bubbles</w:t>
      </w:r>
      <w:bookmarkEnd w:id="14"/>
    </w:p>
    <w:p w14:paraId="59CDF0C6" w14:textId="58D6F08A" w:rsidR="00EC6635" w:rsidRPr="007030F3" w:rsidRDefault="00B24ABC" w:rsidP="00036EB8">
      <w:pPr>
        <w:rPr>
          <w:color w:val="000000" w:themeColor="text1"/>
          <w:sz w:val="24"/>
          <w:szCs w:val="24"/>
        </w:rPr>
      </w:pPr>
      <w:r w:rsidRPr="007030F3">
        <w:rPr>
          <w:color w:val="000000" w:themeColor="text1"/>
          <w:sz w:val="24"/>
          <w:szCs w:val="24"/>
        </w:rPr>
        <w:t>The Federal Reserve significantly raised interest rates in the years leading up to the 2008 crisis, while mortgage credit expanded quickly. Securitized mortgages saw a surge in demand from investors, particularly for subprime and alt-A loans. These problematic mortgages were bought in bulk from banks by government-sponsored Fannie Mae and Freddie Mac, who then resold them as securities. The collapse of the housing market, the bailout of Fannie and Freddie, and the wider financial crisis were ultimately caused by excessive leverage, lax lending regulations, and poor risk management. Compared to pre-crisis levels, there are now a lot fewer mortgages with adjustable rates, which lowers consumer interest rate exposure</w:t>
      </w:r>
      <w:r w:rsidR="00365F81" w:rsidRPr="007030F3">
        <w:rPr>
          <w:color w:val="000000" w:themeColor="text1"/>
          <w:sz w:val="24"/>
          <w:szCs w:val="24"/>
        </w:rPr>
        <w:t xml:space="preserve"> ("10 years after the financial crisis," 2018)</w:t>
      </w:r>
      <w:r w:rsidRPr="007030F3">
        <w:rPr>
          <w:color w:val="000000" w:themeColor="text1"/>
          <w:sz w:val="24"/>
          <w:szCs w:val="24"/>
        </w:rPr>
        <w:t>.</w:t>
      </w:r>
    </w:p>
    <w:p w14:paraId="17C03C2A" w14:textId="77777777" w:rsidR="00B24ABC" w:rsidRPr="007030F3" w:rsidRDefault="00B24ABC" w:rsidP="00036EB8">
      <w:pPr>
        <w:rPr>
          <w:color w:val="000000" w:themeColor="text1"/>
          <w:sz w:val="24"/>
          <w:szCs w:val="24"/>
        </w:rPr>
      </w:pPr>
    </w:p>
    <w:p w14:paraId="690D97C6" w14:textId="174ACC66" w:rsidR="00EC6635" w:rsidRPr="007030F3" w:rsidRDefault="00665EFB" w:rsidP="00665EFB">
      <w:pPr>
        <w:jc w:val="center"/>
        <w:rPr>
          <w:b/>
          <w:bCs/>
          <w:color w:val="000000" w:themeColor="text1"/>
          <w:sz w:val="28"/>
          <w:szCs w:val="28"/>
        </w:rPr>
      </w:pPr>
      <w:r w:rsidRPr="007030F3">
        <w:rPr>
          <w:b/>
          <w:bCs/>
          <w:color w:val="000000" w:themeColor="text1"/>
          <w:sz w:val="28"/>
          <w:szCs w:val="28"/>
        </w:rPr>
        <w:t>Annual issuance of selected non-agency securities, $ billion</w:t>
      </w:r>
    </w:p>
    <w:p w14:paraId="53153F0D" w14:textId="0D229A35" w:rsidR="00665EFB" w:rsidRPr="007030F3" w:rsidRDefault="00514804" w:rsidP="00665EFB">
      <w:pPr>
        <w:rPr>
          <w:i/>
          <w:iCs/>
          <w:noProof/>
          <w:color w:val="000000" w:themeColor="text1"/>
          <w:sz w:val="18"/>
          <w:szCs w:val="18"/>
        </w:rPr>
      </w:pPr>
      <w:r w:rsidRPr="007030F3">
        <w:rPr>
          <w:noProof/>
          <w:color w:val="000000" w:themeColor="text1"/>
          <w:sz w:val="24"/>
          <w:szCs w:val="24"/>
        </w:rPr>
        <w:drawing>
          <wp:inline distT="0" distB="0" distL="0" distR="0" wp14:anchorId="03828859" wp14:editId="4CD51385">
            <wp:extent cx="5731510" cy="3150870"/>
            <wp:effectExtent l="0" t="0" r="2540" b="0"/>
            <wp:docPr id="15010545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054525" name="Picture 1501054525"/>
                    <pic:cNvPicPr/>
                  </pic:nvPicPr>
                  <pic:blipFill>
                    <a:blip r:embed="rId10">
                      <a:extLst>
                        <a:ext uri="{28A0092B-C50C-407E-A947-70E740481C1C}">
                          <a14:useLocalDpi xmlns:a14="http://schemas.microsoft.com/office/drawing/2010/main" val="0"/>
                        </a:ext>
                      </a:extLst>
                    </a:blip>
                    <a:stretch>
                      <a:fillRect/>
                    </a:stretch>
                  </pic:blipFill>
                  <pic:spPr>
                    <a:xfrm>
                      <a:off x="0" y="0"/>
                      <a:ext cx="5731510" cy="3150870"/>
                    </a:xfrm>
                    <a:prstGeom prst="rect">
                      <a:avLst/>
                    </a:prstGeom>
                  </pic:spPr>
                </pic:pic>
              </a:graphicData>
            </a:graphic>
          </wp:inline>
        </w:drawing>
      </w:r>
    </w:p>
    <w:p w14:paraId="3314D4EA" w14:textId="2DBF828B" w:rsidR="00705031" w:rsidRPr="007030F3" w:rsidRDefault="00F479CB" w:rsidP="00705031">
      <w:pPr>
        <w:tabs>
          <w:tab w:val="left" w:pos="1668"/>
        </w:tabs>
        <w:jc w:val="center"/>
        <w:rPr>
          <w:i/>
          <w:iCs/>
          <w:color w:val="000000" w:themeColor="text1"/>
          <w:sz w:val="18"/>
          <w:szCs w:val="18"/>
        </w:rPr>
      </w:pPr>
      <w:r w:rsidRPr="007030F3">
        <w:rPr>
          <w:i/>
          <w:iCs/>
          <w:color w:val="000000" w:themeColor="text1"/>
          <w:sz w:val="18"/>
          <w:szCs w:val="18"/>
        </w:rPr>
        <w:t>Source:</w:t>
      </w:r>
      <w:r w:rsidR="00705031" w:rsidRPr="007030F3">
        <w:rPr>
          <w:i/>
          <w:iCs/>
          <w:color w:val="000000" w:themeColor="text1"/>
          <w:sz w:val="18"/>
          <w:szCs w:val="18"/>
        </w:rPr>
        <w:t xml:space="preserve"> </w:t>
      </w:r>
      <w:r w:rsidR="00D379B8" w:rsidRPr="007030F3">
        <w:rPr>
          <w:i/>
          <w:iCs/>
          <w:color w:val="000000" w:themeColor="text1"/>
          <w:sz w:val="18"/>
          <w:szCs w:val="18"/>
        </w:rPr>
        <w:t>J.P. Morgan, Loan, Performance, FNM</w:t>
      </w:r>
      <w:r w:rsidR="00B23BC8" w:rsidRPr="007030F3">
        <w:rPr>
          <w:i/>
          <w:iCs/>
          <w:color w:val="000000" w:themeColor="text1"/>
          <w:sz w:val="18"/>
          <w:szCs w:val="18"/>
        </w:rPr>
        <w:t>A, FHLMC, G</w:t>
      </w:r>
      <w:r w:rsidRPr="007030F3">
        <w:rPr>
          <w:i/>
          <w:iCs/>
          <w:color w:val="000000" w:themeColor="text1"/>
          <w:sz w:val="18"/>
          <w:szCs w:val="18"/>
        </w:rPr>
        <w:t>NMA</w:t>
      </w:r>
    </w:p>
    <w:p w14:paraId="7ED615E2" w14:textId="77777777" w:rsidR="00F479CB" w:rsidRPr="007030F3" w:rsidRDefault="00F479CB" w:rsidP="00F479CB">
      <w:pPr>
        <w:rPr>
          <w:i/>
          <w:iCs/>
          <w:color w:val="000000" w:themeColor="text1"/>
          <w:sz w:val="18"/>
          <w:szCs w:val="18"/>
        </w:rPr>
      </w:pPr>
    </w:p>
    <w:p w14:paraId="401D7453" w14:textId="6CC9F3DC" w:rsidR="00F479CB" w:rsidRPr="007030F3" w:rsidRDefault="003E196E" w:rsidP="003E196E">
      <w:pPr>
        <w:pStyle w:val="Heading2"/>
        <w:rPr>
          <w:color w:val="000000" w:themeColor="text1"/>
        </w:rPr>
      </w:pPr>
      <w:bookmarkStart w:id="15" w:name="_Toc143473657"/>
      <w:r w:rsidRPr="007030F3">
        <w:rPr>
          <w:color w:val="000000" w:themeColor="text1"/>
        </w:rPr>
        <w:t xml:space="preserve">11.3 </w:t>
      </w:r>
      <w:r w:rsidR="00340675" w:rsidRPr="007030F3">
        <w:rPr>
          <w:color w:val="000000" w:themeColor="text1"/>
        </w:rPr>
        <w:t>Central bank balance sheets</w:t>
      </w:r>
      <w:bookmarkEnd w:id="15"/>
    </w:p>
    <w:p w14:paraId="28389721" w14:textId="39730C91" w:rsidR="00340675" w:rsidRPr="007030F3" w:rsidRDefault="00E81DEB" w:rsidP="00F479CB">
      <w:pPr>
        <w:rPr>
          <w:color w:val="000000" w:themeColor="text1"/>
          <w:sz w:val="24"/>
          <w:szCs w:val="24"/>
        </w:rPr>
      </w:pPr>
      <w:r w:rsidRPr="007030F3">
        <w:rPr>
          <w:color w:val="000000" w:themeColor="text1"/>
          <w:sz w:val="24"/>
          <w:szCs w:val="24"/>
        </w:rPr>
        <w:t>Through quantitative easing programmes, major central banks like the Federal Reserve bought trillions of dollars' worth of bonds during the last ten years to boost their economies following the financial crisis. During this time, the Fed's balance sheet significantly increased, reaching a peak of $4.5 trillion. However, the Fed started reducing its balance sheet last year by letting some of its bond holdings mature without replacing them. As a result, its portfolio is currently getting smaller by around $40 billion every month. According to J.P. Morgan, this reduction will be finished by 2021, when the balance sheet will be $3 trillion. Later, the Fed would again boost its holdings of US Treasury securities as its main asset. 2019 will see the ECB begin to reduce its balance sheet, while the Bank of Japan's is anticipated to continue expanding for the time being</w:t>
      </w:r>
      <w:r w:rsidR="00365F81" w:rsidRPr="007030F3">
        <w:rPr>
          <w:color w:val="000000" w:themeColor="text1"/>
          <w:sz w:val="24"/>
          <w:szCs w:val="24"/>
        </w:rPr>
        <w:t xml:space="preserve"> ("10 years after the financial crisis," 2018)</w:t>
      </w:r>
      <w:r w:rsidRPr="007030F3">
        <w:rPr>
          <w:color w:val="000000" w:themeColor="text1"/>
          <w:sz w:val="24"/>
          <w:szCs w:val="24"/>
        </w:rPr>
        <w:t>.</w:t>
      </w:r>
    </w:p>
    <w:p w14:paraId="0CE7B337" w14:textId="3215B604" w:rsidR="00E81DEB" w:rsidRPr="007030F3" w:rsidRDefault="00EC1F0F" w:rsidP="00EC1F0F">
      <w:pPr>
        <w:pStyle w:val="Heading2"/>
        <w:rPr>
          <w:color w:val="000000" w:themeColor="text1"/>
        </w:rPr>
      </w:pPr>
      <w:bookmarkStart w:id="16" w:name="_Toc143473658"/>
      <w:r w:rsidRPr="007030F3">
        <w:rPr>
          <w:color w:val="000000" w:themeColor="text1"/>
        </w:rPr>
        <w:t xml:space="preserve">11.4 </w:t>
      </w:r>
      <w:r w:rsidR="00752B67" w:rsidRPr="007030F3">
        <w:rPr>
          <w:color w:val="000000" w:themeColor="text1"/>
        </w:rPr>
        <w:t>Household debt to income</w:t>
      </w:r>
      <w:bookmarkEnd w:id="16"/>
    </w:p>
    <w:p w14:paraId="336119EB" w14:textId="5E3C1745" w:rsidR="00A578F6" w:rsidRPr="007030F3" w:rsidRDefault="003C6871" w:rsidP="00F479CB">
      <w:pPr>
        <w:rPr>
          <w:color w:val="000000" w:themeColor="text1"/>
          <w:sz w:val="24"/>
          <w:szCs w:val="24"/>
        </w:rPr>
      </w:pPr>
      <w:r w:rsidRPr="007030F3">
        <w:rPr>
          <w:color w:val="000000" w:themeColor="text1"/>
          <w:sz w:val="24"/>
          <w:szCs w:val="24"/>
        </w:rPr>
        <w:t>In the years leading up to the crisis, households also piled up debt, primarily in the form of mortgages, in addition to banks and sovereigns. Prior to collapsing during the Great Recession, U.S. household debt peaked in 2007 at 1.3 times their personal income. Household debt in the United States is still increasing in value. However, when inflation, income growth, and population growth are taken into account, a quite different picture emerges, with the household debt-to-income ratio currently 30% lower than its 2007 peak. Mortgage delinquencies are at record lows and debt growth is slower. In contrast, as issuers have issued debt to take advantage of reduced interest rates, firms have seen their debt-to-EBITDA ratios rise significantly since the crisis</w:t>
      </w:r>
      <w:r w:rsidR="00365F81" w:rsidRPr="007030F3">
        <w:rPr>
          <w:color w:val="000000" w:themeColor="text1"/>
          <w:sz w:val="24"/>
          <w:szCs w:val="24"/>
        </w:rPr>
        <w:t xml:space="preserve"> ("10 years after the financial crisis," 2018)</w:t>
      </w:r>
      <w:r w:rsidRPr="007030F3">
        <w:rPr>
          <w:color w:val="000000" w:themeColor="text1"/>
          <w:sz w:val="24"/>
          <w:szCs w:val="24"/>
        </w:rPr>
        <w:t>.</w:t>
      </w:r>
    </w:p>
    <w:p w14:paraId="5FBFAB25" w14:textId="77777777" w:rsidR="003C6871" w:rsidRPr="007030F3" w:rsidRDefault="003C6871" w:rsidP="00F479CB">
      <w:pPr>
        <w:rPr>
          <w:color w:val="000000" w:themeColor="text1"/>
          <w:sz w:val="24"/>
          <w:szCs w:val="24"/>
        </w:rPr>
      </w:pPr>
    </w:p>
    <w:p w14:paraId="4BAEE087" w14:textId="6B03B0F1" w:rsidR="000C1F0C" w:rsidRPr="007030F3" w:rsidRDefault="000C1F0C" w:rsidP="000C1F0C">
      <w:pPr>
        <w:jc w:val="center"/>
        <w:rPr>
          <w:b/>
          <w:bCs/>
          <w:color w:val="000000" w:themeColor="text1"/>
          <w:sz w:val="27"/>
          <w:szCs w:val="27"/>
        </w:rPr>
      </w:pPr>
      <w:r w:rsidRPr="007030F3">
        <w:rPr>
          <w:b/>
          <w:bCs/>
          <w:color w:val="000000" w:themeColor="text1"/>
          <w:sz w:val="27"/>
          <w:szCs w:val="27"/>
        </w:rPr>
        <w:t>Household leverage has declined since the crisis, while corporate leverage is up</w:t>
      </w:r>
    </w:p>
    <w:p w14:paraId="4C048C9E" w14:textId="1190D748" w:rsidR="00325584" w:rsidRPr="007030F3" w:rsidRDefault="008B7CD0" w:rsidP="00325584">
      <w:pPr>
        <w:rPr>
          <w:b/>
          <w:bCs/>
          <w:noProof/>
          <w:color w:val="000000" w:themeColor="text1"/>
          <w:sz w:val="27"/>
          <w:szCs w:val="27"/>
        </w:rPr>
      </w:pPr>
      <w:r w:rsidRPr="007030F3">
        <w:rPr>
          <w:b/>
          <w:bCs/>
          <w:noProof/>
          <w:color w:val="000000" w:themeColor="text1"/>
          <w:sz w:val="27"/>
          <w:szCs w:val="27"/>
        </w:rPr>
        <w:drawing>
          <wp:inline distT="0" distB="0" distL="0" distR="0" wp14:anchorId="7C9F9F39" wp14:editId="4E1FF55C">
            <wp:extent cx="5731510" cy="3328035"/>
            <wp:effectExtent l="0" t="0" r="2540" b="5715"/>
            <wp:docPr id="619225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22528" name="Picture 61922528"/>
                    <pic:cNvPicPr/>
                  </pic:nvPicPr>
                  <pic:blipFill>
                    <a:blip r:embed="rId11">
                      <a:extLst>
                        <a:ext uri="{28A0092B-C50C-407E-A947-70E740481C1C}">
                          <a14:useLocalDpi xmlns:a14="http://schemas.microsoft.com/office/drawing/2010/main" val="0"/>
                        </a:ext>
                      </a:extLst>
                    </a:blip>
                    <a:stretch>
                      <a:fillRect/>
                    </a:stretch>
                  </pic:blipFill>
                  <pic:spPr>
                    <a:xfrm>
                      <a:off x="0" y="0"/>
                      <a:ext cx="5731510" cy="3328035"/>
                    </a:xfrm>
                    <a:prstGeom prst="rect">
                      <a:avLst/>
                    </a:prstGeom>
                  </pic:spPr>
                </pic:pic>
              </a:graphicData>
            </a:graphic>
          </wp:inline>
        </w:drawing>
      </w:r>
    </w:p>
    <w:p w14:paraId="123A9171" w14:textId="679C2B41" w:rsidR="003C4F1A" w:rsidRPr="007030F3" w:rsidRDefault="00466CB4" w:rsidP="00466CB4">
      <w:pPr>
        <w:tabs>
          <w:tab w:val="left" w:pos="1668"/>
        </w:tabs>
        <w:jc w:val="center"/>
        <w:rPr>
          <w:i/>
          <w:iCs/>
          <w:color w:val="000000" w:themeColor="text1"/>
          <w:sz w:val="18"/>
          <w:szCs w:val="18"/>
        </w:rPr>
      </w:pPr>
      <w:r w:rsidRPr="007030F3">
        <w:rPr>
          <w:i/>
          <w:iCs/>
          <w:color w:val="000000" w:themeColor="text1"/>
          <w:sz w:val="18"/>
          <w:szCs w:val="18"/>
        </w:rPr>
        <w:t xml:space="preserve">Source: J.P. Morgan, Loan, </w:t>
      </w:r>
      <w:r w:rsidR="00467593" w:rsidRPr="007030F3">
        <w:rPr>
          <w:i/>
          <w:iCs/>
          <w:color w:val="000000" w:themeColor="text1"/>
          <w:sz w:val="18"/>
          <w:szCs w:val="18"/>
        </w:rPr>
        <w:t>Federal Reserve, BEA</w:t>
      </w:r>
    </w:p>
    <w:p w14:paraId="1458D200" w14:textId="77777777" w:rsidR="00467593" w:rsidRPr="007030F3" w:rsidRDefault="00467593" w:rsidP="00467593">
      <w:pPr>
        <w:rPr>
          <w:color w:val="000000" w:themeColor="text1"/>
          <w:sz w:val="18"/>
          <w:szCs w:val="18"/>
        </w:rPr>
      </w:pPr>
    </w:p>
    <w:p w14:paraId="0A93D453" w14:textId="4A49889C" w:rsidR="00467593" w:rsidRPr="007030F3" w:rsidRDefault="00EC1F0F" w:rsidP="00EC1F0F">
      <w:pPr>
        <w:pStyle w:val="Heading2"/>
        <w:rPr>
          <w:color w:val="000000" w:themeColor="text1"/>
        </w:rPr>
      </w:pPr>
      <w:bookmarkStart w:id="17" w:name="_Toc143473659"/>
      <w:r w:rsidRPr="007030F3">
        <w:rPr>
          <w:color w:val="000000" w:themeColor="text1"/>
        </w:rPr>
        <w:t xml:space="preserve">11.5 </w:t>
      </w:r>
      <w:r w:rsidR="00CC197B" w:rsidRPr="007030F3">
        <w:rPr>
          <w:color w:val="000000" w:themeColor="text1"/>
        </w:rPr>
        <w:t>Tougher regulation</w:t>
      </w:r>
      <w:bookmarkEnd w:id="17"/>
    </w:p>
    <w:p w14:paraId="4E4183D0" w14:textId="27A9A7B8" w:rsidR="00467593" w:rsidRPr="007030F3" w:rsidRDefault="00D97078" w:rsidP="00467593">
      <w:pPr>
        <w:rPr>
          <w:color w:val="000000" w:themeColor="text1"/>
          <w:sz w:val="24"/>
          <w:szCs w:val="24"/>
        </w:rPr>
      </w:pPr>
      <w:r w:rsidRPr="007030F3">
        <w:rPr>
          <w:color w:val="000000" w:themeColor="text1"/>
          <w:sz w:val="24"/>
          <w:szCs w:val="24"/>
        </w:rPr>
        <w:t>International standard-setters created bank regulatory frameworks that adopted a systemic approach to risk in the wake of the crisis. In order to safeguard taxpayers, banks are now subject to increased risk-based capital, leverage capital, and liquidity requirements. With the founding of the Financial Stability Board, additional organisations were created in addition to the Basel Committee. To control and oversee giant banks, international regulatory and supervisory frameworks, such as Dodd Frank and the Comprehensive Capital Analysis and Review (CCAR), were developed. Requirements for stress testing have also been implemented in the US and Europe. Nearly ten years after the financial crisis, the Trump administration and Republican lawmakers are attempting to make several post-crisis laws and regulations less onerous, especially for small and medium-sized banks</w:t>
      </w:r>
      <w:r w:rsidR="00365F81" w:rsidRPr="007030F3">
        <w:rPr>
          <w:color w:val="000000" w:themeColor="text1"/>
          <w:sz w:val="24"/>
          <w:szCs w:val="24"/>
        </w:rPr>
        <w:t xml:space="preserve"> ("10 years after the financial crisis," 2018)</w:t>
      </w:r>
      <w:r w:rsidRPr="007030F3">
        <w:rPr>
          <w:color w:val="000000" w:themeColor="text1"/>
          <w:sz w:val="24"/>
          <w:szCs w:val="24"/>
        </w:rPr>
        <w:t>.</w:t>
      </w:r>
    </w:p>
    <w:p w14:paraId="5081212D" w14:textId="41E3DA3F" w:rsidR="00D97078" w:rsidRPr="007030F3" w:rsidRDefault="00D97078" w:rsidP="00467593">
      <w:pPr>
        <w:rPr>
          <w:color w:val="000000" w:themeColor="text1"/>
          <w:sz w:val="24"/>
          <w:szCs w:val="24"/>
        </w:rPr>
      </w:pPr>
    </w:p>
    <w:p w14:paraId="59105485" w14:textId="450A9A15" w:rsidR="00BA3846" w:rsidRPr="007030F3" w:rsidRDefault="00EC1F0F" w:rsidP="00EC1F0F">
      <w:pPr>
        <w:pStyle w:val="Heading2"/>
        <w:rPr>
          <w:color w:val="000000" w:themeColor="text1"/>
        </w:rPr>
      </w:pPr>
      <w:bookmarkStart w:id="18" w:name="_Toc143473660"/>
      <w:r w:rsidRPr="007030F3">
        <w:rPr>
          <w:color w:val="000000" w:themeColor="text1"/>
        </w:rPr>
        <w:t xml:space="preserve">11.6 </w:t>
      </w:r>
      <w:r w:rsidR="00BA3846" w:rsidRPr="007030F3">
        <w:rPr>
          <w:color w:val="000000" w:themeColor="text1"/>
        </w:rPr>
        <w:t>A Blow Growth</w:t>
      </w:r>
      <w:bookmarkEnd w:id="18"/>
    </w:p>
    <w:p w14:paraId="0215A177" w14:textId="1AB4F613" w:rsidR="00F64B94" w:rsidRPr="007030F3" w:rsidRDefault="00F64B94" w:rsidP="00467593">
      <w:pPr>
        <w:rPr>
          <w:color w:val="000000" w:themeColor="text1"/>
          <w:sz w:val="24"/>
          <w:szCs w:val="24"/>
        </w:rPr>
      </w:pPr>
      <w:r w:rsidRPr="007030F3">
        <w:rPr>
          <w:color w:val="000000" w:themeColor="text1"/>
          <w:sz w:val="24"/>
          <w:szCs w:val="24"/>
        </w:rPr>
        <w:t xml:space="preserve">Although there has been a lot of mending since 2008, the crisis's lasting costs continue to be felt. The substantial decline in long-term growth potential and the weak productivity growth are major causes for concern. According to a J.P. Morgan estimate, potential global growth has slowed during the past ten years to 2.7%, a decrease of 0.3 percentage points from its rate ten years ago. Since regional drops are far larger, this reduction significantly understates the true impact. For instance, potential growth in EM has decreased by 1.6 percentage </w:t>
      </w:r>
      <w:r w:rsidRPr="007030F3">
        <w:rPr>
          <w:color w:val="000000" w:themeColor="text1"/>
          <w:sz w:val="24"/>
          <w:szCs w:val="24"/>
        </w:rPr>
        <w:lastRenderedPageBreak/>
        <w:t>points during the past ten years. Additionally, since 2012, the annual productivity growth rate for the entire world has decreased by around 1%.</w:t>
      </w:r>
      <w:r w:rsidR="00365F81" w:rsidRPr="007030F3">
        <w:rPr>
          <w:color w:val="000000" w:themeColor="text1"/>
        </w:rPr>
        <w:t xml:space="preserve"> </w:t>
      </w:r>
      <w:r w:rsidR="00365F81" w:rsidRPr="007030F3">
        <w:rPr>
          <w:color w:val="000000" w:themeColor="text1"/>
          <w:sz w:val="24"/>
          <w:szCs w:val="24"/>
        </w:rPr>
        <w:t>("10 years after the financial crisis," 2018)</w:t>
      </w:r>
    </w:p>
    <w:p w14:paraId="594301BE" w14:textId="6897EEC2" w:rsidR="005D024C" w:rsidRPr="007030F3" w:rsidRDefault="00EC1F0F" w:rsidP="00EC1F0F">
      <w:pPr>
        <w:pStyle w:val="Heading2"/>
        <w:rPr>
          <w:color w:val="000000" w:themeColor="text1"/>
        </w:rPr>
      </w:pPr>
      <w:bookmarkStart w:id="19" w:name="_Toc143473661"/>
      <w:r w:rsidRPr="007030F3">
        <w:rPr>
          <w:color w:val="000000" w:themeColor="text1"/>
        </w:rPr>
        <w:t xml:space="preserve">11.7 </w:t>
      </w:r>
      <w:r w:rsidR="005D024C" w:rsidRPr="007030F3">
        <w:rPr>
          <w:color w:val="000000" w:themeColor="text1"/>
        </w:rPr>
        <w:t>Impact on Business Model</w:t>
      </w:r>
      <w:bookmarkEnd w:id="19"/>
    </w:p>
    <w:p w14:paraId="65FD062B" w14:textId="2D128D06" w:rsidR="005D024C" w:rsidRPr="007030F3" w:rsidRDefault="005B37B4" w:rsidP="00467593">
      <w:pPr>
        <w:rPr>
          <w:color w:val="000000" w:themeColor="text1"/>
          <w:sz w:val="24"/>
          <w:szCs w:val="24"/>
        </w:rPr>
      </w:pPr>
      <w:r w:rsidRPr="007030F3">
        <w:rPr>
          <w:color w:val="000000" w:themeColor="text1"/>
          <w:sz w:val="24"/>
          <w:szCs w:val="24"/>
        </w:rPr>
        <w:t>The Volcker Rule restricted JPM's involvement in private equity and hedge funds and outlawed proprietary trading (JPMorgan Chase &amp; Co., 2013). This decreased risk while increasing possible profit. Due to regulatory pressure, JPM also stopped operating in industries including dealing in actual commodities. Dodd-Frank's designation of JPM as a systemically significant entity resulted in stricter oversight and capital requirements (JPMorgan Chase &amp; Co., 2020). JPMorgan Chase &amp; Co., 2020). Basel III rules compelled JPM to increase leverage levels and maintain greater liquidity buffers.</w:t>
      </w:r>
    </w:p>
    <w:p w14:paraId="265F3476" w14:textId="70038F0A" w:rsidR="005B37B4" w:rsidRPr="007030F3" w:rsidRDefault="00EC1F0F" w:rsidP="00EC1F0F">
      <w:pPr>
        <w:pStyle w:val="Heading2"/>
        <w:rPr>
          <w:color w:val="000000" w:themeColor="text1"/>
        </w:rPr>
      </w:pPr>
      <w:bookmarkStart w:id="20" w:name="_Toc143473662"/>
      <w:r w:rsidRPr="007030F3">
        <w:rPr>
          <w:color w:val="000000" w:themeColor="text1"/>
        </w:rPr>
        <w:t xml:space="preserve">11.8 </w:t>
      </w:r>
      <w:r w:rsidR="005B37B4" w:rsidRPr="007030F3">
        <w:rPr>
          <w:color w:val="000000" w:themeColor="text1"/>
        </w:rPr>
        <w:t>Compliance Record</w:t>
      </w:r>
      <w:bookmarkEnd w:id="20"/>
    </w:p>
    <w:p w14:paraId="3162422F" w14:textId="7DB43203" w:rsidR="005B37B4" w:rsidRPr="007030F3" w:rsidRDefault="00514EDF" w:rsidP="00467593">
      <w:pPr>
        <w:rPr>
          <w:color w:val="000000" w:themeColor="text1"/>
          <w:sz w:val="24"/>
          <w:szCs w:val="24"/>
        </w:rPr>
      </w:pPr>
      <w:r w:rsidRPr="007030F3">
        <w:rPr>
          <w:color w:val="000000" w:themeColor="text1"/>
          <w:sz w:val="24"/>
          <w:szCs w:val="24"/>
        </w:rPr>
        <w:t>After 2008, JPM made significant investments in compliance and risk management, adding thousands of new employees in these fields (JPMorgan Chase &amp; Co., 2020). The bank declared that it intended to fully adhere to the tighter requirements. However, JPM was penalised for pre-reform actions such as misusing mortgages, being accused of manipulating the system, and breaking sanctions. The "London Whale" trading incident of 2012 revealed flaws in risk management and Volcker Rule compliance, leading to fines of more than $1 billion in 2013 (JPMorgan Chase &amp; Co., 2013).</w:t>
      </w:r>
    </w:p>
    <w:p w14:paraId="35D346A8" w14:textId="77777777" w:rsidR="00514EDF" w:rsidRPr="007030F3" w:rsidRDefault="00514EDF" w:rsidP="00467593">
      <w:pPr>
        <w:rPr>
          <w:color w:val="000000" w:themeColor="text1"/>
          <w:sz w:val="24"/>
          <w:szCs w:val="24"/>
        </w:rPr>
      </w:pPr>
    </w:p>
    <w:p w14:paraId="4E3610CD" w14:textId="720996AF" w:rsidR="00976649" w:rsidRPr="007030F3" w:rsidRDefault="00F5388C" w:rsidP="00EC1F0F">
      <w:pPr>
        <w:pStyle w:val="Heading1"/>
        <w:numPr>
          <w:ilvl w:val="0"/>
          <w:numId w:val="7"/>
        </w:numPr>
        <w:rPr>
          <w:color w:val="000000" w:themeColor="text1"/>
        </w:rPr>
      </w:pPr>
      <w:bookmarkStart w:id="21" w:name="_Toc143473663"/>
      <w:r w:rsidRPr="007030F3">
        <w:rPr>
          <w:color w:val="000000" w:themeColor="text1"/>
        </w:rPr>
        <w:t>Conclusion</w:t>
      </w:r>
      <w:bookmarkEnd w:id="21"/>
    </w:p>
    <w:p w14:paraId="2757DAE6" w14:textId="4AEAEAE7" w:rsidR="009D39F3" w:rsidRPr="007030F3" w:rsidRDefault="009D39F3" w:rsidP="009D39F3">
      <w:pPr>
        <w:rPr>
          <w:color w:val="000000" w:themeColor="text1"/>
          <w:sz w:val="24"/>
          <w:szCs w:val="24"/>
        </w:rPr>
      </w:pPr>
      <w:r w:rsidRPr="007030F3">
        <w:rPr>
          <w:color w:val="000000" w:themeColor="text1"/>
          <w:sz w:val="24"/>
          <w:szCs w:val="24"/>
        </w:rPr>
        <w:t>In conclusion, JPMorgan Chase's business operations, profitability, and risk management have been significantly influenced by the broad regulatory reforms implemented in the wake of the 2008 financial crisis, such as the Dodd-Frank Act, Volcker Rule, and Basel III accord.</w:t>
      </w:r>
    </w:p>
    <w:p w14:paraId="368E22D1" w14:textId="70757AB3" w:rsidR="00F5388C" w:rsidRPr="007030F3" w:rsidRDefault="009D39F3" w:rsidP="009D39F3">
      <w:pPr>
        <w:rPr>
          <w:color w:val="000000" w:themeColor="text1"/>
          <w:sz w:val="24"/>
          <w:szCs w:val="24"/>
        </w:rPr>
      </w:pPr>
      <w:r w:rsidRPr="007030F3">
        <w:rPr>
          <w:color w:val="000000" w:themeColor="text1"/>
          <w:sz w:val="24"/>
          <w:szCs w:val="24"/>
        </w:rPr>
        <w:t>In order to comply with the new regulations aimed at minimising systemic risk, JPMorgan Chase, one of the largest banks in the United States, was forced to make significant changes to its business model and practises. This involved stopping some trading activity, selling off hedge fund holdings, raising capital and leverage ratios, increasing liquidity, and putting the company through rigorous stress testing.</w:t>
      </w:r>
    </w:p>
    <w:p w14:paraId="415B0503" w14:textId="499D2D0B" w:rsidR="00D21D6F" w:rsidRPr="007030F3" w:rsidRDefault="00D21D6F" w:rsidP="00D21D6F">
      <w:pPr>
        <w:rPr>
          <w:color w:val="000000" w:themeColor="text1"/>
          <w:sz w:val="24"/>
          <w:szCs w:val="24"/>
        </w:rPr>
      </w:pPr>
      <w:r w:rsidRPr="007030F3">
        <w:rPr>
          <w:color w:val="000000" w:themeColor="text1"/>
          <w:sz w:val="24"/>
          <w:szCs w:val="24"/>
        </w:rPr>
        <w:t>Even though JPMorgan Chase made significant investments in its compliance programmes and declared its commitment to strictly abide by the new regulations, it nevertheless had to pay significant fines and penalties for actions taken before the changes. Particularly, the losses from the 2012 London Whale trading have drawn attention to gaps in risk management and Volcker Rule compliance.</w:t>
      </w:r>
    </w:p>
    <w:p w14:paraId="61F25540" w14:textId="5BDC2126" w:rsidR="00D21D6F" w:rsidRPr="007030F3" w:rsidRDefault="00D21D6F" w:rsidP="00D21D6F">
      <w:pPr>
        <w:rPr>
          <w:color w:val="000000" w:themeColor="text1"/>
          <w:sz w:val="24"/>
          <w:szCs w:val="24"/>
        </w:rPr>
      </w:pPr>
      <w:r w:rsidRPr="007030F3">
        <w:rPr>
          <w:color w:val="000000" w:themeColor="text1"/>
          <w:sz w:val="24"/>
          <w:szCs w:val="24"/>
        </w:rPr>
        <w:t xml:space="preserve">In the end, JPMorgan Chase had considerable difficulties as a result of the reforms, which required it to completely rebuild a key portion of its business. Profitability has been restricted as a result, and compliance initiatives have cost billions of dollars. As implementation moves forward, ongoing oversight and enforcement activities help to compel increased adherence and modify regulations. Vigilance is still required due to the </w:t>
      </w:r>
      <w:r w:rsidRPr="007030F3">
        <w:rPr>
          <w:color w:val="000000" w:themeColor="text1"/>
          <w:sz w:val="24"/>
          <w:szCs w:val="24"/>
        </w:rPr>
        <w:lastRenderedPageBreak/>
        <w:t>systemically significant role that organisations like JPMorgan Chase play, notwithstanding the advancements that have been made.</w:t>
      </w:r>
    </w:p>
    <w:p w14:paraId="2941D415" w14:textId="77777777" w:rsidR="000F0C22" w:rsidRPr="007030F3" w:rsidRDefault="000F0C22" w:rsidP="000F0C22">
      <w:pPr>
        <w:rPr>
          <w:b/>
          <w:bCs/>
          <w:color w:val="000000" w:themeColor="text1"/>
          <w:sz w:val="24"/>
          <w:szCs w:val="24"/>
        </w:rPr>
      </w:pPr>
    </w:p>
    <w:p w14:paraId="79B9C73D" w14:textId="4BEED3CC" w:rsidR="000F0C22" w:rsidRPr="007030F3" w:rsidRDefault="000F0C22" w:rsidP="00EC1F0F">
      <w:pPr>
        <w:pStyle w:val="Heading1"/>
        <w:numPr>
          <w:ilvl w:val="0"/>
          <w:numId w:val="7"/>
        </w:numPr>
        <w:rPr>
          <w:color w:val="000000" w:themeColor="text1"/>
        </w:rPr>
      </w:pPr>
      <w:bookmarkStart w:id="22" w:name="_Toc143473664"/>
      <w:r w:rsidRPr="007030F3">
        <w:rPr>
          <w:color w:val="000000" w:themeColor="text1"/>
        </w:rPr>
        <w:t>References</w:t>
      </w:r>
      <w:bookmarkEnd w:id="22"/>
    </w:p>
    <w:p w14:paraId="06E4CBB0" w14:textId="77777777" w:rsidR="004B014D" w:rsidRPr="007030F3" w:rsidRDefault="004B014D" w:rsidP="00EB7320">
      <w:pPr>
        <w:rPr>
          <w:color w:val="000000" w:themeColor="text1"/>
          <w:sz w:val="24"/>
          <w:szCs w:val="24"/>
          <w:lang w:val="en-US"/>
        </w:rPr>
      </w:pPr>
      <w:r w:rsidRPr="007030F3">
        <w:rPr>
          <w:color w:val="000000" w:themeColor="text1"/>
          <w:sz w:val="24"/>
          <w:szCs w:val="24"/>
          <w:lang w:val="en-US"/>
        </w:rPr>
        <w:t>Annual report of J. P. Morgan 2008</w:t>
      </w:r>
      <w:hyperlink r:id="rId12" w:history="1">
        <w:r w:rsidRPr="007030F3">
          <w:rPr>
            <w:rStyle w:val="Hyperlink"/>
            <w:color w:val="000000" w:themeColor="text1"/>
            <w:sz w:val="24"/>
            <w:szCs w:val="24"/>
            <w:lang w:val="en-US"/>
          </w:rPr>
          <w:t>https://www.jpmorganchase.com/content/dam/jpmc/jpmorgan-chase-and-co/investor-relations/documents/2008-AR-Complete-AR.pdf</w:t>
        </w:r>
      </w:hyperlink>
    </w:p>
    <w:p w14:paraId="1266D33E" w14:textId="77777777" w:rsidR="004B014D" w:rsidRPr="007030F3" w:rsidRDefault="004B014D" w:rsidP="00ED75BF">
      <w:pPr>
        <w:rPr>
          <w:color w:val="000000" w:themeColor="text1"/>
          <w:sz w:val="24"/>
          <w:szCs w:val="24"/>
          <w:lang w:val="en-US"/>
        </w:rPr>
      </w:pPr>
      <w:r w:rsidRPr="007030F3">
        <w:rPr>
          <w:color w:val="000000" w:themeColor="text1"/>
          <w:sz w:val="24"/>
          <w:szCs w:val="24"/>
          <w:lang w:val="en-US"/>
        </w:rPr>
        <w:t>Antoniewicz, R., &amp; Heinrichs, J. (2014). Understanding Exchange-Traded Funds: How ETFs Work. ICI Research Perspective, 20(5), 1-47.</w:t>
      </w:r>
    </w:p>
    <w:p w14:paraId="0DC29CC3" w14:textId="77777777" w:rsidR="004B014D" w:rsidRPr="007030F3" w:rsidRDefault="004B014D" w:rsidP="00582AC2">
      <w:pPr>
        <w:rPr>
          <w:color w:val="000000" w:themeColor="text1"/>
          <w:sz w:val="24"/>
          <w:szCs w:val="24"/>
          <w:lang w:val="en-US"/>
        </w:rPr>
      </w:pPr>
      <w:r w:rsidRPr="007030F3">
        <w:rPr>
          <w:color w:val="000000" w:themeColor="text1"/>
          <w:sz w:val="24"/>
          <w:szCs w:val="24"/>
          <w:lang w:val="en-US"/>
        </w:rPr>
        <w:t xml:space="preserve">Bank for International Settlements (BIS). (2017). Basel III: international regulatory framework for banks </w:t>
      </w:r>
      <w:hyperlink r:id="rId13" w:history="1">
        <w:r w:rsidRPr="007030F3">
          <w:rPr>
            <w:rStyle w:val="Hyperlink"/>
            <w:color w:val="000000" w:themeColor="text1"/>
            <w:sz w:val="24"/>
            <w:szCs w:val="24"/>
            <w:lang w:val="en-US"/>
          </w:rPr>
          <w:t>https://www.bis.org/bcbs/basel3.htm</w:t>
        </w:r>
      </w:hyperlink>
    </w:p>
    <w:p w14:paraId="7E0490E5" w14:textId="77777777" w:rsidR="004B014D" w:rsidRPr="007030F3" w:rsidRDefault="004B014D" w:rsidP="00582AC2">
      <w:pPr>
        <w:rPr>
          <w:color w:val="000000" w:themeColor="text1"/>
          <w:sz w:val="24"/>
          <w:szCs w:val="24"/>
        </w:rPr>
      </w:pPr>
      <w:r w:rsidRPr="007030F3">
        <w:rPr>
          <w:color w:val="000000" w:themeColor="text1"/>
          <w:sz w:val="24"/>
          <w:szCs w:val="24"/>
        </w:rPr>
        <w:t>Bernanke, B.S. (2015). The Courage to Act: A Memoir of a Crisis and Its Aftermath. W. W. Norton &amp; Company.</w:t>
      </w:r>
    </w:p>
    <w:p w14:paraId="103799E7" w14:textId="77777777" w:rsidR="004B014D" w:rsidRPr="007030F3" w:rsidRDefault="004B014D" w:rsidP="00ED75BF">
      <w:pPr>
        <w:rPr>
          <w:color w:val="000000" w:themeColor="text1"/>
          <w:sz w:val="24"/>
          <w:szCs w:val="24"/>
          <w:lang w:val="en-US"/>
        </w:rPr>
      </w:pPr>
      <w:r w:rsidRPr="007030F3">
        <w:rPr>
          <w:color w:val="000000" w:themeColor="text1"/>
          <w:sz w:val="24"/>
          <w:szCs w:val="24"/>
          <w:lang w:val="en-US"/>
        </w:rPr>
        <w:t>Besley, S., &amp; Brigham, E. F. (2000). Essentials of Managerial Finance (10th ed.). The Dryden Press.</w:t>
      </w:r>
    </w:p>
    <w:p w14:paraId="4017FE5F" w14:textId="77777777" w:rsidR="004B014D" w:rsidRPr="007030F3" w:rsidRDefault="004B014D" w:rsidP="00582AC2">
      <w:pPr>
        <w:rPr>
          <w:color w:val="000000" w:themeColor="text1"/>
          <w:sz w:val="24"/>
          <w:szCs w:val="24"/>
        </w:rPr>
      </w:pPr>
      <w:r w:rsidRPr="007030F3">
        <w:rPr>
          <w:color w:val="000000" w:themeColor="text1"/>
          <w:sz w:val="24"/>
          <w:szCs w:val="24"/>
        </w:rPr>
        <w:t xml:space="preserve">BIS (2017). Basel III: international regulatory framework for banks. Bank for International Settlements. </w:t>
      </w:r>
      <w:hyperlink r:id="rId14" w:history="1">
        <w:r w:rsidRPr="007030F3">
          <w:rPr>
            <w:rStyle w:val="Hyperlink"/>
            <w:color w:val="000000" w:themeColor="text1"/>
            <w:sz w:val="24"/>
            <w:szCs w:val="24"/>
          </w:rPr>
          <w:t>https://www.bis.org/bcbs/basel3.htm</w:t>
        </w:r>
      </w:hyperlink>
    </w:p>
    <w:p w14:paraId="738658FA" w14:textId="0CDA7411" w:rsidR="004B014D" w:rsidRPr="007030F3" w:rsidRDefault="004B014D" w:rsidP="0087405B">
      <w:pPr>
        <w:rPr>
          <w:color w:val="000000" w:themeColor="text1"/>
          <w:sz w:val="24"/>
          <w:szCs w:val="24"/>
          <w:lang w:val="en-US"/>
        </w:rPr>
      </w:pPr>
      <w:r w:rsidRPr="007030F3">
        <w:rPr>
          <w:color w:val="000000" w:themeColor="text1"/>
          <w:sz w:val="24"/>
          <w:szCs w:val="24"/>
          <w:lang w:val="en-US"/>
        </w:rPr>
        <w:t>Brookings Institution, have post-crisis reforms made the financial system safer?</w:t>
      </w:r>
      <w:hyperlink r:id="rId15" w:history="1">
        <w:r w:rsidRPr="007030F3">
          <w:rPr>
            <w:rStyle w:val="Hyperlink"/>
            <w:color w:val="000000" w:themeColor="text1"/>
            <w:sz w:val="24"/>
            <w:szCs w:val="24"/>
            <w:lang w:val="en-US"/>
          </w:rPr>
          <w:t>https://www.brookings.edu/articles/understanding-ring-fencing-and-how-it-could-make-banking-riskier/</w:t>
        </w:r>
      </w:hyperlink>
    </w:p>
    <w:p w14:paraId="04106031" w14:textId="77777777" w:rsidR="004B014D" w:rsidRPr="007030F3" w:rsidRDefault="004B014D" w:rsidP="00582AC2">
      <w:pPr>
        <w:rPr>
          <w:color w:val="000000" w:themeColor="text1"/>
        </w:rPr>
      </w:pPr>
      <w:r w:rsidRPr="007030F3">
        <w:rPr>
          <w:color w:val="000000" w:themeColor="text1"/>
          <w:sz w:val="24"/>
          <w:szCs w:val="24"/>
        </w:rPr>
        <w:t>CFPB. (2020). The Dodd-Frank Act. Consumer Financial Protection Bureau.</w:t>
      </w:r>
      <w:hyperlink r:id="rId16" w:history="1">
        <w:r w:rsidRPr="007030F3">
          <w:rPr>
            <w:rStyle w:val="Hyperlink"/>
            <w:color w:val="000000" w:themeColor="text1"/>
            <w:sz w:val="24"/>
            <w:szCs w:val="24"/>
          </w:rPr>
          <w:t>https://www.consumerfinance.gov/rules-policy/notice-opportunities-comment/archive-closed/dodd-frank-act-section-1033-consumer-access-to-financial-records/</w:t>
        </w:r>
      </w:hyperlink>
    </w:p>
    <w:p w14:paraId="0346E489" w14:textId="77777777" w:rsidR="004B014D" w:rsidRPr="007030F3" w:rsidRDefault="004B014D" w:rsidP="00ED75BF">
      <w:pPr>
        <w:rPr>
          <w:color w:val="000000" w:themeColor="text1"/>
          <w:sz w:val="24"/>
          <w:szCs w:val="24"/>
          <w:lang w:val="en-US"/>
        </w:rPr>
      </w:pPr>
      <w:r w:rsidRPr="007030F3">
        <w:rPr>
          <w:color w:val="000000" w:themeColor="text1"/>
          <w:sz w:val="24"/>
          <w:szCs w:val="24"/>
          <w:lang w:val="en-US"/>
        </w:rPr>
        <w:t>Chance, D. M., &amp; Brooks, R. (2015). An introduction to derivatives and risk management (10th ed.). Cengage Learning</w:t>
      </w:r>
    </w:p>
    <w:p w14:paraId="51BA201A" w14:textId="77777777" w:rsidR="004B014D" w:rsidRPr="007030F3" w:rsidRDefault="004B014D" w:rsidP="00582AC2">
      <w:pPr>
        <w:rPr>
          <w:color w:val="000000" w:themeColor="text1"/>
          <w:sz w:val="24"/>
          <w:szCs w:val="24"/>
          <w:lang w:val="en-US"/>
        </w:rPr>
      </w:pPr>
      <w:r w:rsidRPr="007030F3">
        <w:rPr>
          <w:color w:val="000000" w:themeColor="text1"/>
          <w:sz w:val="24"/>
          <w:szCs w:val="24"/>
          <w:lang w:val="en-US"/>
        </w:rPr>
        <w:t>Consumer Financial Protection Bureau (CFPB). (2020). The Dodd-Frank Act</w:t>
      </w:r>
      <w:hyperlink r:id="rId17" w:history="1">
        <w:r w:rsidRPr="007030F3">
          <w:rPr>
            <w:rStyle w:val="Hyperlink"/>
            <w:color w:val="000000" w:themeColor="text1"/>
            <w:sz w:val="24"/>
            <w:szCs w:val="24"/>
            <w:lang w:val="en-US"/>
          </w:rPr>
          <w:t>https://www.consumerfinance.gov/rules-policy/notice-opportunities-comment/archive-closed/dodd-frank-act-section-1033-consumer-access-to-financial-records/</w:t>
        </w:r>
      </w:hyperlink>
    </w:p>
    <w:p w14:paraId="6C6E7876" w14:textId="77777777" w:rsidR="004B014D" w:rsidRPr="007030F3" w:rsidRDefault="004B014D" w:rsidP="00ED75BF">
      <w:pPr>
        <w:rPr>
          <w:color w:val="000000" w:themeColor="text1"/>
          <w:sz w:val="24"/>
          <w:szCs w:val="24"/>
          <w:lang w:val="en-US"/>
        </w:rPr>
      </w:pPr>
      <w:r w:rsidRPr="007030F3">
        <w:rPr>
          <w:color w:val="000000" w:themeColor="text1"/>
          <w:sz w:val="24"/>
          <w:szCs w:val="24"/>
          <w:lang w:val="en-US"/>
        </w:rPr>
        <w:t>Elton, E. J., Gruber, M. J., Brown, S. J., &amp; Goetzmann, W. N. (2022). Modern portfolio theory and investment analysis (10th ed.). John Wiley &amp; Sons</w:t>
      </w:r>
    </w:p>
    <w:p w14:paraId="651030BD" w14:textId="77777777" w:rsidR="004B014D" w:rsidRPr="007030F3" w:rsidRDefault="004B014D" w:rsidP="00ED75BF">
      <w:pPr>
        <w:rPr>
          <w:color w:val="000000" w:themeColor="text1"/>
          <w:sz w:val="24"/>
          <w:szCs w:val="24"/>
          <w:lang w:val="en-US"/>
        </w:rPr>
      </w:pPr>
      <w:r w:rsidRPr="007030F3">
        <w:rPr>
          <w:color w:val="000000" w:themeColor="text1"/>
          <w:sz w:val="24"/>
          <w:szCs w:val="24"/>
          <w:lang w:val="en-US"/>
        </w:rPr>
        <w:t>Fabozzi, F. J. (2021). Bond markets, analysis, and strategies (10th ed.). Pearson.</w:t>
      </w:r>
    </w:p>
    <w:p w14:paraId="392AB5D3" w14:textId="77777777" w:rsidR="004B014D" w:rsidRPr="007030F3" w:rsidRDefault="004B014D" w:rsidP="00582AC2">
      <w:pPr>
        <w:rPr>
          <w:color w:val="000000" w:themeColor="text1"/>
          <w:sz w:val="24"/>
          <w:szCs w:val="24"/>
        </w:rPr>
      </w:pPr>
      <w:r w:rsidRPr="007030F3">
        <w:rPr>
          <w:color w:val="000000" w:themeColor="text1"/>
          <w:sz w:val="24"/>
          <w:szCs w:val="24"/>
        </w:rPr>
        <w:t>FDIC. (n.d.). Basel III Capital Rules. Federal Deposit Insurance Corporation</w:t>
      </w:r>
      <w:hyperlink r:id="rId18" w:history="1">
        <w:r w:rsidRPr="007030F3">
          <w:rPr>
            <w:rStyle w:val="Hyperlink"/>
            <w:color w:val="000000" w:themeColor="text1"/>
            <w:sz w:val="24"/>
            <w:szCs w:val="24"/>
          </w:rPr>
          <w:t>https://www.fdic.gov/regulations/capital/</w:t>
        </w:r>
      </w:hyperlink>
    </w:p>
    <w:p w14:paraId="368E4076" w14:textId="77777777" w:rsidR="004B014D" w:rsidRPr="007030F3" w:rsidRDefault="004B014D" w:rsidP="00EB7320">
      <w:pPr>
        <w:rPr>
          <w:color w:val="000000" w:themeColor="text1"/>
          <w:sz w:val="24"/>
          <w:szCs w:val="24"/>
          <w:lang w:val="en-US"/>
        </w:rPr>
      </w:pPr>
      <w:r w:rsidRPr="007030F3">
        <w:rPr>
          <w:color w:val="000000" w:themeColor="text1"/>
          <w:sz w:val="24"/>
          <w:szCs w:val="24"/>
          <w:lang w:val="en-US"/>
        </w:rPr>
        <w:t>Financial Crisis Inquiry Commission (FCIC). 2011. The Financial Crisis Inquiry Report:</w:t>
      </w:r>
      <w:hyperlink r:id="rId19" w:history="1">
        <w:r w:rsidRPr="007030F3">
          <w:rPr>
            <w:rStyle w:val="Hyperlink"/>
            <w:color w:val="000000" w:themeColor="text1"/>
            <w:sz w:val="24"/>
            <w:szCs w:val="24"/>
            <w:lang w:val="en-US"/>
          </w:rPr>
          <w:t>https://www.govinfo.gov/content/pkg/GPO-FCIC/pdf/GPO-FCIC.pdf</w:t>
        </w:r>
      </w:hyperlink>
    </w:p>
    <w:p w14:paraId="0A4BBC6C" w14:textId="77777777" w:rsidR="004B014D" w:rsidRPr="007030F3" w:rsidRDefault="004B014D" w:rsidP="00582AC2">
      <w:pPr>
        <w:rPr>
          <w:color w:val="000000" w:themeColor="text1"/>
          <w:sz w:val="24"/>
          <w:szCs w:val="24"/>
          <w:lang w:val="en-US"/>
        </w:rPr>
      </w:pPr>
      <w:r w:rsidRPr="007030F3">
        <w:rPr>
          <w:color w:val="000000" w:themeColor="text1"/>
          <w:sz w:val="24"/>
          <w:szCs w:val="24"/>
          <w:lang w:val="en-US"/>
        </w:rPr>
        <w:lastRenderedPageBreak/>
        <w:t xml:space="preserve">Financial Stability Board (FSB). (2022). About the FSB. </w:t>
      </w:r>
      <w:hyperlink r:id="rId20" w:history="1">
        <w:r w:rsidRPr="007030F3">
          <w:rPr>
            <w:rStyle w:val="Hyperlink"/>
            <w:color w:val="000000" w:themeColor="text1"/>
            <w:sz w:val="24"/>
            <w:szCs w:val="24"/>
            <w:lang w:val="en-US"/>
          </w:rPr>
          <w:t>https://www.fsb.org/</w:t>
        </w:r>
      </w:hyperlink>
    </w:p>
    <w:p w14:paraId="16882EA3" w14:textId="77777777" w:rsidR="004B014D" w:rsidRPr="007030F3" w:rsidRDefault="004B014D" w:rsidP="00582AC2">
      <w:pPr>
        <w:rPr>
          <w:color w:val="000000" w:themeColor="text1"/>
          <w:sz w:val="24"/>
          <w:szCs w:val="24"/>
          <w:lang w:val="en-US"/>
        </w:rPr>
      </w:pPr>
      <w:r w:rsidRPr="007030F3">
        <w:rPr>
          <w:color w:val="000000" w:themeColor="text1"/>
          <w:sz w:val="24"/>
          <w:szCs w:val="24"/>
          <w:lang w:val="en-US"/>
        </w:rPr>
        <w:t>Financial Stability Oversight Council (FSOC). (2012). Volcker Rule.</w:t>
      </w:r>
      <w:hyperlink r:id="rId21" w:history="1">
        <w:r w:rsidRPr="007030F3">
          <w:rPr>
            <w:rStyle w:val="Hyperlink"/>
            <w:color w:val="000000" w:themeColor="text1"/>
            <w:sz w:val="24"/>
            <w:szCs w:val="24"/>
            <w:lang w:val="en-US"/>
          </w:rPr>
          <w:t>https://home.treasury.gov/policy-issues/financial-markets-financial-institutions-and-fiscal-service/fsoc</w:t>
        </w:r>
      </w:hyperlink>
    </w:p>
    <w:p w14:paraId="0171EDEC" w14:textId="77777777" w:rsidR="004B014D" w:rsidRPr="007030F3" w:rsidRDefault="004B014D" w:rsidP="00582AC2">
      <w:pPr>
        <w:rPr>
          <w:color w:val="000000" w:themeColor="text1"/>
          <w:sz w:val="24"/>
          <w:szCs w:val="24"/>
        </w:rPr>
      </w:pPr>
      <w:r w:rsidRPr="007030F3">
        <w:rPr>
          <w:color w:val="000000" w:themeColor="text1"/>
          <w:sz w:val="24"/>
          <w:szCs w:val="24"/>
        </w:rPr>
        <w:t>FSOC (2012). Volcker Rule. Financial Stability Oversight Council</w:t>
      </w:r>
      <w:hyperlink r:id="rId22" w:history="1">
        <w:r w:rsidRPr="007030F3">
          <w:rPr>
            <w:rStyle w:val="Hyperlink"/>
            <w:color w:val="000000" w:themeColor="text1"/>
            <w:sz w:val="24"/>
            <w:szCs w:val="24"/>
          </w:rPr>
          <w:t>https://home.treasury.gov/news/press-releases/tg1028</w:t>
        </w:r>
      </w:hyperlink>
    </w:p>
    <w:p w14:paraId="0AC12DE3" w14:textId="77777777" w:rsidR="004B014D" w:rsidRPr="007030F3" w:rsidRDefault="004B014D" w:rsidP="000F0C22">
      <w:pPr>
        <w:rPr>
          <w:color w:val="000000" w:themeColor="text1"/>
          <w:sz w:val="24"/>
          <w:szCs w:val="24"/>
          <w:lang w:val="en-US"/>
        </w:rPr>
      </w:pPr>
      <w:r w:rsidRPr="007030F3">
        <w:rPr>
          <w:color w:val="000000" w:themeColor="text1"/>
          <w:sz w:val="24"/>
          <w:szCs w:val="24"/>
          <w:lang w:val="en-US"/>
        </w:rPr>
        <w:t>Heffernan, S. (2004), Modern Banking, 2nd ed, Chichester: John Wiley.</w:t>
      </w:r>
    </w:p>
    <w:p w14:paraId="300A04F4" w14:textId="77777777" w:rsidR="004B014D" w:rsidRPr="007030F3" w:rsidRDefault="004B014D" w:rsidP="00C94C9F">
      <w:pPr>
        <w:rPr>
          <w:color w:val="000000" w:themeColor="text1"/>
          <w:sz w:val="24"/>
          <w:szCs w:val="24"/>
          <w:lang w:val="en-US"/>
        </w:rPr>
      </w:pPr>
      <w:r w:rsidRPr="007030F3">
        <w:rPr>
          <w:color w:val="000000" w:themeColor="text1"/>
          <w:sz w:val="24"/>
          <w:szCs w:val="24"/>
        </w:rPr>
        <w:t xml:space="preserve">J. P. Morgan all annual reports </w:t>
      </w:r>
      <w:hyperlink r:id="rId23" w:history="1">
        <w:r w:rsidRPr="007030F3">
          <w:rPr>
            <w:rStyle w:val="Hyperlink"/>
            <w:color w:val="000000" w:themeColor="text1"/>
            <w:sz w:val="24"/>
            <w:szCs w:val="24"/>
            <w:lang w:val="en-US"/>
          </w:rPr>
          <w:t>https://www.jpmorganchase.com/ir/annual-report</w:t>
        </w:r>
      </w:hyperlink>
    </w:p>
    <w:p w14:paraId="0B6CDF6B" w14:textId="77777777" w:rsidR="004B014D" w:rsidRPr="007030F3" w:rsidRDefault="004B014D" w:rsidP="00C94C9F">
      <w:pPr>
        <w:rPr>
          <w:color w:val="000000" w:themeColor="text1"/>
          <w:sz w:val="24"/>
          <w:szCs w:val="24"/>
          <w:lang w:val="en-US"/>
        </w:rPr>
      </w:pPr>
      <w:r w:rsidRPr="007030F3">
        <w:rPr>
          <w:color w:val="000000" w:themeColor="text1"/>
          <w:sz w:val="24"/>
          <w:szCs w:val="24"/>
        </w:rPr>
        <w:t>J. P. Morgan Chase Annual report 2022</w:t>
      </w:r>
      <w:hyperlink r:id="rId24" w:history="1">
        <w:r w:rsidRPr="007030F3">
          <w:rPr>
            <w:rStyle w:val="Hyperlink"/>
            <w:color w:val="000000" w:themeColor="text1"/>
            <w:sz w:val="24"/>
            <w:szCs w:val="24"/>
            <w:lang w:val="en-US"/>
          </w:rPr>
          <w:t>https://www.jpmorganchase.com/content/dam/jpmc/jpmorgan-chase-and-co/investor-relations/documents/annualreport-2022.pdf</w:t>
        </w:r>
      </w:hyperlink>
    </w:p>
    <w:p w14:paraId="6AC3D4BD" w14:textId="77777777" w:rsidR="004B014D" w:rsidRPr="007030F3" w:rsidRDefault="004B014D" w:rsidP="00582AC2">
      <w:pPr>
        <w:rPr>
          <w:color w:val="000000" w:themeColor="text1"/>
          <w:sz w:val="24"/>
          <w:szCs w:val="24"/>
          <w:lang w:val="en-US"/>
        </w:rPr>
      </w:pPr>
      <w:r w:rsidRPr="007030F3">
        <w:rPr>
          <w:color w:val="000000" w:themeColor="text1"/>
          <w:sz w:val="24"/>
          <w:szCs w:val="24"/>
          <w:lang w:val="en-US"/>
        </w:rPr>
        <w:t>Jones, H. (2020). EU financial reforms in the aftermath of the global financial crisis: A critical review. Journal of Economic Policy Reform, 23(4), 371-390.</w:t>
      </w:r>
    </w:p>
    <w:p w14:paraId="75C53614" w14:textId="77777777" w:rsidR="004B014D" w:rsidRPr="007030F3" w:rsidRDefault="004B014D" w:rsidP="00C94C9F">
      <w:pPr>
        <w:rPr>
          <w:color w:val="000000" w:themeColor="text1"/>
          <w:sz w:val="24"/>
          <w:szCs w:val="24"/>
        </w:rPr>
      </w:pPr>
      <w:r w:rsidRPr="007030F3">
        <w:rPr>
          <w:color w:val="000000" w:themeColor="text1"/>
          <w:sz w:val="24"/>
          <w:szCs w:val="24"/>
        </w:rPr>
        <w:t>JPMorgan Chase &amp; Co. (2013). Annual Report 2013.</w:t>
      </w:r>
      <w:hyperlink r:id="rId25" w:history="1">
        <w:r w:rsidRPr="007030F3">
          <w:rPr>
            <w:rStyle w:val="Hyperlink"/>
            <w:color w:val="000000" w:themeColor="text1"/>
            <w:sz w:val="24"/>
            <w:szCs w:val="24"/>
          </w:rPr>
          <w:t>https://www.jpmorganchase.com/content/dam/jpmc/jpmorgan-chase-and-co/investor-relations/documents/2013AR-FULL-09.pdf</w:t>
        </w:r>
      </w:hyperlink>
    </w:p>
    <w:p w14:paraId="29B89680" w14:textId="77777777" w:rsidR="004B014D" w:rsidRPr="007030F3" w:rsidRDefault="004B014D" w:rsidP="00C94C9F">
      <w:pPr>
        <w:rPr>
          <w:color w:val="000000" w:themeColor="text1"/>
          <w:sz w:val="24"/>
          <w:szCs w:val="24"/>
        </w:rPr>
      </w:pPr>
      <w:r w:rsidRPr="007030F3">
        <w:rPr>
          <w:color w:val="000000" w:themeColor="text1"/>
          <w:sz w:val="24"/>
          <w:szCs w:val="24"/>
        </w:rPr>
        <w:t>JPMorgan Chase &amp; Co. (2020). Annual Report 2020.</w:t>
      </w:r>
      <w:hyperlink r:id="rId26" w:history="1">
        <w:r w:rsidRPr="007030F3">
          <w:rPr>
            <w:rStyle w:val="Hyperlink"/>
            <w:color w:val="000000" w:themeColor="text1"/>
            <w:sz w:val="24"/>
            <w:szCs w:val="24"/>
          </w:rPr>
          <w:t>https://www.jpmorganchase.com/content/dam/jpmc/jpmorgan-chase-and-co/investor-relations/documents/annualreport-2020.pdf</w:t>
        </w:r>
      </w:hyperlink>
    </w:p>
    <w:p w14:paraId="29728272" w14:textId="77777777" w:rsidR="004B014D" w:rsidRPr="007030F3" w:rsidRDefault="004B014D" w:rsidP="00C94C9F">
      <w:pPr>
        <w:rPr>
          <w:color w:val="000000" w:themeColor="text1"/>
          <w:sz w:val="24"/>
          <w:szCs w:val="24"/>
        </w:rPr>
      </w:pPr>
      <w:r w:rsidRPr="007030F3">
        <w:rPr>
          <w:color w:val="000000" w:themeColor="text1"/>
          <w:sz w:val="24"/>
          <w:szCs w:val="24"/>
        </w:rPr>
        <w:t>JPMorgan Chase &amp; Co. (n.d.). About us. Retrieved from</w:t>
      </w:r>
      <w:hyperlink r:id="rId27" w:history="1">
        <w:r w:rsidRPr="007030F3">
          <w:rPr>
            <w:rStyle w:val="Hyperlink"/>
            <w:color w:val="000000" w:themeColor="text1"/>
            <w:sz w:val="24"/>
            <w:szCs w:val="24"/>
          </w:rPr>
          <w:t>https://www.jpmorganchase.com/about</w:t>
        </w:r>
      </w:hyperlink>
    </w:p>
    <w:p w14:paraId="29031001" w14:textId="77777777" w:rsidR="004B014D" w:rsidRPr="007030F3" w:rsidRDefault="004B014D" w:rsidP="000F0C22">
      <w:pPr>
        <w:rPr>
          <w:color w:val="000000" w:themeColor="text1"/>
          <w:sz w:val="24"/>
          <w:szCs w:val="24"/>
          <w:lang w:val="en-US"/>
        </w:rPr>
      </w:pPr>
      <w:r w:rsidRPr="007030F3">
        <w:rPr>
          <w:color w:val="000000" w:themeColor="text1"/>
          <w:sz w:val="24"/>
          <w:szCs w:val="24"/>
          <w:lang w:val="en-US"/>
        </w:rPr>
        <w:t>Koch, T. and MacDonald, S. S. (2006), Management of Banking, 6th ed, Thomson South-Western.</w:t>
      </w:r>
    </w:p>
    <w:p w14:paraId="7589BFDD" w14:textId="77777777" w:rsidR="004B014D" w:rsidRPr="007030F3" w:rsidRDefault="004B014D" w:rsidP="00F61769">
      <w:pPr>
        <w:rPr>
          <w:color w:val="000000" w:themeColor="text1"/>
          <w:sz w:val="24"/>
          <w:szCs w:val="24"/>
          <w:lang w:val="en-US"/>
        </w:rPr>
      </w:pPr>
      <w:r w:rsidRPr="007030F3">
        <w:rPr>
          <w:color w:val="000000" w:themeColor="text1"/>
          <w:sz w:val="24"/>
          <w:szCs w:val="24"/>
          <w:lang w:val="en-US"/>
        </w:rPr>
        <w:t>Madura, J. (2018). Financial Markets and Institutions. Cengage Learning.</w:t>
      </w:r>
    </w:p>
    <w:p w14:paraId="409288C1" w14:textId="77777777" w:rsidR="004B014D" w:rsidRPr="007030F3" w:rsidRDefault="004B014D" w:rsidP="0087405B">
      <w:pPr>
        <w:rPr>
          <w:color w:val="000000" w:themeColor="text1"/>
          <w:sz w:val="24"/>
          <w:szCs w:val="24"/>
          <w:lang w:val="en-US"/>
        </w:rPr>
      </w:pPr>
      <w:r w:rsidRPr="007030F3">
        <w:rPr>
          <w:color w:val="000000" w:themeColor="text1"/>
          <w:sz w:val="24"/>
          <w:szCs w:val="24"/>
          <w:lang w:val="en-US"/>
        </w:rPr>
        <w:t>McKinsey &amp; Company, Global Banking Annual Review 2021</w:t>
      </w:r>
      <w:hyperlink r:id="rId28" w:history="1">
        <w:r w:rsidRPr="007030F3">
          <w:rPr>
            <w:rStyle w:val="Hyperlink"/>
            <w:color w:val="000000" w:themeColor="text1"/>
            <w:sz w:val="24"/>
            <w:szCs w:val="24"/>
            <w:lang w:val="en-US"/>
          </w:rPr>
          <w:t>https://www.mckinsey.com/industries/financial-services/our-insights/global-banking-annual-review</w:t>
        </w:r>
      </w:hyperlink>
    </w:p>
    <w:p w14:paraId="50953D89" w14:textId="77777777" w:rsidR="004B014D" w:rsidRPr="007030F3" w:rsidRDefault="004B014D" w:rsidP="000F0C22">
      <w:pPr>
        <w:rPr>
          <w:color w:val="000000" w:themeColor="text1"/>
          <w:sz w:val="24"/>
          <w:szCs w:val="24"/>
          <w:lang w:val="en-US"/>
        </w:rPr>
      </w:pPr>
      <w:r w:rsidRPr="007030F3">
        <w:rPr>
          <w:color w:val="000000" w:themeColor="text1"/>
          <w:sz w:val="24"/>
          <w:szCs w:val="24"/>
          <w:lang w:val="en-US"/>
        </w:rPr>
        <w:t>Mishkin, F. S. (2009), Financial Markets and Institutions,6th ed, Boston; London: Prentice-Hall.</w:t>
      </w:r>
    </w:p>
    <w:p w14:paraId="0866A06B" w14:textId="77777777" w:rsidR="004B014D" w:rsidRPr="007030F3" w:rsidRDefault="004B014D" w:rsidP="00EB7320">
      <w:pPr>
        <w:rPr>
          <w:color w:val="000000" w:themeColor="text1"/>
        </w:rPr>
      </w:pPr>
      <w:r w:rsidRPr="007030F3">
        <w:rPr>
          <w:color w:val="000000" w:themeColor="text1"/>
          <w:sz w:val="24"/>
          <w:szCs w:val="24"/>
          <w:lang w:val="en-US"/>
        </w:rPr>
        <w:t>Reuters. 2013. “JPMorgan agrees $13 billion settlement with U.S. over bad mortgages.”</w:t>
      </w:r>
      <w:hyperlink r:id="rId29" w:history="1">
        <w:r w:rsidRPr="007030F3">
          <w:rPr>
            <w:rStyle w:val="Hyperlink"/>
            <w:color w:val="000000" w:themeColor="text1"/>
            <w:sz w:val="24"/>
            <w:szCs w:val="24"/>
          </w:rPr>
          <w:t>https://www.reuters.com/article/us-jpmorgan-settlement-idUSBRE9AI0OA20131120</w:t>
        </w:r>
      </w:hyperlink>
    </w:p>
    <w:p w14:paraId="6424CEB5" w14:textId="77777777" w:rsidR="004B014D" w:rsidRPr="007030F3" w:rsidRDefault="004B014D" w:rsidP="00582AC2">
      <w:pPr>
        <w:rPr>
          <w:color w:val="000000" w:themeColor="text1"/>
        </w:rPr>
      </w:pPr>
      <w:r w:rsidRPr="007030F3">
        <w:rPr>
          <w:color w:val="000000" w:themeColor="text1"/>
          <w:sz w:val="24"/>
          <w:szCs w:val="24"/>
        </w:rPr>
        <w:t>Smith, Y. (2020). Big Bank Bailouts and Assistance During the Financial Crisis. The Balance.</w:t>
      </w:r>
      <w:hyperlink r:id="rId30" w:history="1">
        <w:r w:rsidRPr="007030F3">
          <w:rPr>
            <w:rStyle w:val="Hyperlink"/>
            <w:color w:val="000000" w:themeColor="text1"/>
            <w:sz w:val="24"/>
            <w:szCs w:val="24"/>
          </w:rPr>
          <w:t>https://www.theguardian.com/news/datablog/2011/nov/12/bank-bailouts-uk-credit-crunch</w:t>
        </w:r>
      </w:hyperlink>
    </w:p>
    <w:p w14:paraId="731AEB8A" w14:textId="77777777" w:rsidR="004B014D" w:rsidRPr="007030F3" w:rsidRDefault="004B014D" w:rsidP="00582AC2">
      <w:pPr>
        <w:rPr>
          <w:color w:val="000000" w:themeColor="text1"/>
          <w:sz w:val="24"/>
          <w:szCs w:val="24"/>
          <w:lang w:val="en-US"/>
        </w:rPr>
      </w:pPr>
      <w:r w:rsidRPr="007030F3">
        <w:rPr>
          <w:color w:val="000000" w:themeColor="text1"/>
          <w:sz w:val="24"/>
          <w:szCs w:val="24"/>
          <w:lang w:val="en-US"/>
        </w:rPr>
        <w:lastRenderedPageBreak/>
        <w:t>Smith, Y. (2020). Big Bank Bailouts and Assistance During the Financial Crisis. The Balance.</w:t>
      </w:r>
      <w:hyperlink r:id="rId31" w:history="1">
        <w:r w:rsidRPr="007030F3">
          <w:rPr>
            <w:rStyle w:val="Hyperlink"/>
            <w:color w:val="000000" w:themeColor="text1"/>
            <w:sz w:val="24"/>
            <w:szCs w:val="24"/>
            <w:lang w:val="en-US"/>
          </w:rPr>
          <w:t>https://www.theguardian.com/news/datablog/2011/nov/12/bank-bailouts-uk-credit-crunch</w:t>
        </w:r>
      </w:hyperlink>
    </w:p>
    <w:p w14:paraId="6ACAFBA6" w14:textId="77777777" w:rsidR="004B014D" w:rsidRPr="007030F3" w:rsidRDefault="004B014D" w:rsidP="0087405B">
      <w:pPr>
        <w:rPr>
          <w:color w:val="000000" w:themeColor="text1"/>
          <w:sz w:val="24"/>
          <w:szCs w:val="24"/>
          <w:lang w:val="en-US"/>
        </w:rPr>
      </w:pPr>
      <w:r w:rsidRPr="007030F3">
        <w:rPr>
          <w:color w:val="000000" w:themeColor="text1"/>
          <w:sz w:val="24"/>
          <w:szCs w:val="24"/>
          <w:lang w:val="en-US"/>
        </w:rPr>
        <w:t xml:space="preserve">Statista, Largest U.S. banks 2021, by assets </w:t>
      </w:r>
      <w:hyperlink r:id="rId32" w:history="1">
        <w:r w:rsidRPr="007030F3">
          <w:rPr>
            <w:rStyle w:val="Hyperlink"/>
            <w:color w:val="000000" w:themeColor="text1"/>
            <w:sz w:val="24"/>
            <w:szCs w:val="24"/>
            <w:lang w:val="en-US"/>
          </w:rPr>
          <w:t>https://www.statista.com/statistics/184550/top-15-us-commercial-banks-by-total-assets/</w:t>
        </w:r>
      </w:hyperlink>
    </w:p>
    <w:p w14:paraId="08250C83" w14:textId="77777777" w:rsidR="004B014D" w:rsidRPr="007030F3" w:rsidRDefault="004B014D" w:rsidP="00582AC2">
      <w:pPr>
        <w:rPr>
          <w:color w:val="000000" w:themeColor="text1"/>
          <w:sz w:val="24"/>
          <w:szCs w:val="24"/>
          <w:lang w:val="en-US"/>
        </w:rPr>
      </w:pPr>
      <w:r w:rsidRPr="007030F3">
        <w:rPr>
          <w:color w:val="000000" w:themeColor="text1"/>
          <w:sz w:val="24"/>
          <w:szCs w:val="24"/>
          <w:lang w:val="en-US"/>
        </w:rPr>
        <w:t>UK Parliament. (2009). Banking Act 2009.</w:t>
      </w:r>
      <w:hyperlink r:id="rId33" w:history="1">
        <w:r w:rsidRPr="007030F3">
          <w:rPr>
            <w:rStyle w:val="Hyperlink"/>
            <w:color w:val="000000" w:themeColor="text1"/>
            <w:sz w:val="24"/>
            <w:szCs w:val="24"/>
            <w:lang w:val="en-US"/>
          </w:rPr>
          <w:t>https://www.legislation.gov.uk/ukpga/2009/1/contents</w:t>
        </w:r>
      </w:hyperlink>
    </w:p>
    <w:p w14:paraId="105DC526" w14:textId="77777777" w:rsidR="004B014D" w:rsidRPr="007030F3" w:rsidRDefault="004B014D" w:rsidP="0087405B">
      <w:pPr>
        <w:rPr>
          <w:color w:val="000000" w:themeColor="text1"/>
          <w:sz w:val="24"/>
          <w:szCs w:val="24"/>
          <w:lang w:val="en-US"/>
        </w:rPr>
      </w:pPr>
      <w:r w:rsidRPr="007030F3">
        <w:rPr>
          <w:color w:val="000000" w:themeColor="text1"/>
          <w:sz w:val="24"/>
          <w:szCs w:val="24"/>
          <w:lang w:val="en-US"/>
        </w:rPr>
        <w:t>Wall Street Journal, How Faulty Bank Risk Models Froze the Flow of Credit in March 2020</w:t>
      </w:r>
      <w:hyperlink r:id="rId34" w:history="1">
        <w:r w:rsidRPr="007030F3">
          <w:rPr>
            <w:rStyle w:val="Hyperlink"/>
            <w:color w:val="000000" w:themeColor="text1"/>
            <w:sz w:val="24"/>
            <w:szCs w:val="24"/>
            <w:lang w:val="en-US"/>
          </w:rPr>
          <w:t>https://www.wsj.com/articles/how-faulty-bank-risk-models-froze-flow-of-credit-in-march-2020-11602615600</w:t>
        </w:r>
      </w:hyperlink>
    </w:p>
    <w:p w14:paraId="4263195F" w14:textId="77777777" w:rsidR="000F0C22" w:rsidRPr="007030F3" w:rsidRDefault="000F0C22" w:rsidP="000F0C22">
      <w:pPr>
        <w:rPr>
          <w:b/>
          <w:bCs/>
          <w:color w:val="000000" w:themeColor="text1"/>
          <w:sz w:val="24"/>
          <w:szCs w:val="24"/>
        </w:rPr>
      </w:pPr>
    </w:p>
    <w:sectPr w:rsidR="000F0C22" w:rsidRPr="007030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9C855" w14:textId="77777777" w:rsidR="000331C7" w:rsidRDefault="000331C7" w:rsidP="00EC1F0F">
      <w:pPr>
        <w:spacing w:after="0" w:line="240" w:lineRule="auto"/>
      </w:pPr>
      <w:r>
        <w:separator/>
      </w:r>
    </w:p>
  </w:endnote>
  <w:endnote w:type="continuationSeparator" w:id="0">
    <w:p w14:paraId="4911FF35" w14:textId="77777777" w:rsidR="000331C7" w:rsidRDefault="000331C7" w:rsidP="00EC1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A3027" w14:textId="77777777" w:rsidR="000331C7" w:rsidRDefault="000331C7" w:rsidP="00EC1F0F">
      <w:pPr>
        <w:spacing w:after="0" w:line="240" w:lineRule="auto"/>
      </w:pPr>
      <w:r>
        <w:separator/>
      </w:r>
    </w:p>
  </w:footnote>
  <w:footnote w:type="continuationSeparator" w:id="0">
    <w:p w14:paraId="41F21811" w14:textId="77777777" w:rsidR="000331C7" w:rsidRDefault="000331C7" w:rsidP="00EC1F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6D2B"/>
    <w:multiLevelType w:val="hybridMultilevel"/>
    <w:tmpl w:val="CFF438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22033F"/>
    <w:multiLevelType w:val="hybridMultilevel"/>
    <w:tmpl w:val="1A7ED620"/>
    <w:lvl w:ilvl="0" w:tplc="D1F2C9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871FB8"/>
    <w:multiLevelType w:val="hybridMultilevel"/>
    <w:tmpl w:val="6D26B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782536"/>
    <w:multiLevelType w:val="hybridMultilevel"/>
    <w:tmpl w:val="0298D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205900"/>
    <w:multiLevelType w:val="hybridMultilevel"/>
    <w:tmpl w:val="0B10C3D8"/>
    <w:lvl w:ilvl="0" w:tplc="55ACF8B6">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7660A84"/>
    <w:multiLevelType w:val="hybridMultilevel"/>
    <w:tmpl w:val="81365E9A"/>
    <w:lvl w:ilvl="0" w:tplc="5F9419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E5B5D04"/>
    <w:multiLevelType w:val="hybridMultilevel"/>
    <w:tmpl w:val="AF221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2564524">
    <w:abstractNumId w:val="4"/>
  </w:num>
  <w:num w:numId="2" w16cid:durableId="1250237083">
    <w:abstractNumId w:val="6"/>
  </w:num>
  <w:num w:numId="3" w16cid:durableId="2090809266">
    <w:abstractNumId w:val="1"/>
  </w:num>
  <w:num w:numId="4" w16cid:durableId="1627541075">
    <w:abstractNumId w:val="3"/>
  </w:num>
  <w:num w:numId="5" w16cid:durableId="924648335">
    <w:abstractNumId w:val="5"/>
  </w:num>
  <w:num w:numId="6" w16cid:durableId="81797841">
    <w:abstractNumId w:val="0"/>
  </w:num>
  <w:num w:numId="7" w16cid:durableId="1684358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A97"/>
    <w:rsid w:val="00012D71"/>
    <w:rsid w:val="00020D3A"/>
    <w:rsid w:val="00022E2C"/>
    <w:rsid w:val="000331C7"/>
    <w:rsid w:val="00036EB8"/>
    <w:rsid w:val="00044DF0"/>
    <w:rsid w:val="00045D6E"/>
    <w:rsid w:val="000606AE"/>
    <w:rsid w:val="000A64A3"/>
    <w:rsid w:val="000B29A5"/>
    <w:rsid w:val="000C1F0C"/>
    <w:rsid w:val="000C1F4D"/>
    <w:rsid w:val="000D1C90"/>
    <w:rsid w:val="000D4258"/>
    <w:rsid w:val="000D4DF5"/>
    <w:rsid w:val="000D4E35"/>
    <w:rsid w:val="000E1362"/>
    <w:rsid w:val="000E1A43"/>
    <w:rsid w:val="000E33B2"/>
    <w:rsid w:val="000E7083"/>
    <w:rsid w:val="000F0C22"/>
    <w:rsid w:val="000F1A5B"/>
    <w:rsid w:val="00110FD1"/>
    <w:rsid w:val="00141521"/>
    <w:rsid w:val="001618D2"/>
    <w:rsid w:val="00164D15"/>
    <w:rsid w:val="00177660"/>
    <w:rsid w:val="00187E67"/>
    <w:rsid w:val="00193E2C"/>
    <w:rsid w:val="001970FC"/>
    <w:rsid w:val="00197912"/>
    <w:rsid w:val="001A05CA"/>
    <w:rsid w:val="001B0145"/>
    <w:rsid w:val="001B1FCA"/>
    <w:rsid w:val="00213A89"/>
    <w:rsid w:val="0022265F"/>
    <w:rsid w:val="002351D2"/>
    <w:rsid w:val="00235D59"/>
    <w:rsid w:val="00246AB5"/>
    <w:rsid w:val="002615AA"/>
    <w:rsid w:val="002757B9"/>
    <w:rsid w:val="00291925"/>
    <w:rsid w:val="00294E8F"/>
    <w:rsid w:val="002A2787"/>
    <w:rsid w:val="002A7598"/>
    <w:rsid w:val="002D298D"/>
    <w:rsid w:val="002E4933"/>
    <w:rsid w:val="003013C0"/>
    <w:rsid w:val="00325584"/>
    <w:rsid w:val="00340675"/>
    <w:rsid w:val="00353AC8"/>
    <w:rsid w:val="00365F81"/>
    <w:rsid w:val="0039250F"/>
    <w:rsid w:val="003A4C95"/>
    <w:rsid w:val="003B1A0D"/>
    <w:rsid w:val="003B2AC4"/>
    <w:rsid w:val="003B5AFE"/>
    <w:rsid w:val="003C1E13"/>
    <w:rsid w:val="003C4F1A"/>
    <w:rsid w:val="003C6871"/>
    <w:rsid w:val="003D17E7"/>
    <w:rsid w:val="003D5134"/>
    <w:rsid w:val="003E196E"/>
    <w:rsid w:val="003E31A1"/>
    <w:rsid w:val="003F1130"/>
    <w:rsid w:val="003F11AF"/>
    <w:rsid w:val="003F234B"/>
    <w:rsid w:val="003F5BAB"/>
    <w:rsid w:val="00401E76"/>
    <w:rsid w:val="0040484D"/>
    <w:rsid w:val="004109B8"/>
    <w:rsid w:val="0041215A"/>
    <w:rsid w:val="004163EC"/>
    <w:rsid w:val="00416E3C"/>
    <w:rsid w:val="004230F1"/>
    <w:rsid w:val="00443A46"/>
    <w:rsid w:val="004444C2"/>
    <w:rsid w:val="00465E21"/>
    <w:rsid w:val="00466CB4"/>
    <w:rsid w:val="00467593"/>
    <w:rsid w:val="004814F8"/>
    <w:rsid w:val="004A2E3B"/>
    <w:rsid w:val="004A34BE"/>
    <w:rsid w:val="004A51DC"/>
    <w:rsid w:val="004B014D"/>
    <w:rsid w:val="004B424D"/>
    <w:rsid w:val="004D2E4E"/>
    <w:rsid w:val="00512CF4"/>
    <w:rsid w:val="00514804"/>
    <w:rsid w:val="00514EDF"/>
    <w:rsid w:val="00530884"/>
    <w:rsid w:val="00534D32"/>
    <w:rsid w:val="00567BA1"/>
    <w:rsid w:val="00582AC2"/>
    <w:rsid w:val="00585383"/>
    <w:rsid w:val="00595714"/>
    <w:rsid w:val="00597B59"/>
    <w:rsid w:val="005A4FEB"/>
    <w:rsid w:val="005A5AD9"/>
    <w:rsid w:val="005B37B4"/>
    <w:rsid w:val="005B3CB9"/>
    <w:rsid w:val="005C39E3"/>
    <w:rsid w:val="005D024C"/>
    <w:rsid w:val="005D4E4F"/>
    <w:rsid w:val="005E622B"/>
    <w:rsid w:val="005F4454"/>
    <w:rsid w:val="0061242D"/>
    <w:rsid w:val="0062027C"/>
    <w:rsid w:val="006327E7"/>
    <w:rsid w:val="006548A9"/>
    <w:rsid w:val="00654FEC"/>
    <w:rsid w:val="006631A4"/>
    <w:rsid w:val="00665EFB"/>
    <w:rsid w:val="00676B54"/>
    <w:rsid w:val="006E3839"/>
    <w:rsid w:val="006F0A0A"/>
    <w:rsid w:val="006F5075"/>
    <w:rsid w:val="00702240"/>
    <w:rsid w:val="007030F3"/>
    <w:rsid w:val="00705031"/>
    <w:rsid w:val="00712BEB"/>
    <w:rsid w:val="0072266E"/>
    <w:rsid w:val="00723B2F"/>
    <w:rsid w:val="00733619"/>
    <w:rsid w:val="00752B67"/>
    <w:rsid w:val="00755B2E"/>
    <w:rsid w:val="00790DA9"/>
    <w:rsid w:val="007D38C0"/>
    <w:rsid w:val="007E0A59"/>
    <w:rsid w:val="007E526D"/>
    <w:rsid w:val="007F0191"/>
    <w:rsid w:val="00801A13"/>
    <w:rsid w:val="00813526"/>
    <w:rsid w:val="008243B2"/>
    <w:rsid w:val="008329F7"/>
    <w:rsid w:val="00834DE6"/>
    <w:rsid w:val="0084412C"/>
    <w:rsid w:val="00863E73"/>
    <w:rsid w:val="0087405B"/>
    <w:rsid w:val="0087629D"/>
    <w:rsid w:val="00892ADE"/>
    <w:rsid w:val="0089388B"/>
    <w:rsid w:val="008B7CD0"/>
    <w:rsid w:val="008C1DA2"/>
    <w:rsid w:val="008C4435"/>
    <w:rsid w:val="008C7DDF"/>
    <w:rsid w:val="008D1721"/>
    <w:rsid w:val="008D46A9"/>
    <w:rsid w:val="008D49E5"/>
    <w:rsid w:val="008E2E86"/>
    <w:rsid w:val="008E6271"/>
    <w:rsid w:val="008F0F4B"/>
    <w:rsid w:val="008F2A18"/>
    <w:rsid w:val="009120B0"/>
    <w:rsid w:val="00933B64"/>
    <w:rsid w:val="009656B6"/>
    <w:rsid w:val="00974517"/>
    <w:rsid w:val="00976649"/>
    <w:rsid w:val="0099064F"/>
    <w:rsid w:val="00997D8D"/>
    <w:rsid w:val="009A3933"/>
    <w:rsid w:val="009B0CB4"/>
    <w:rsid w:val="009C3DAB"/>
    <w:rsid w:val="009D39F3"/>
    <w:rsid w:val="009F0C2B"/>
    <w:rsid w:val="009F2BDF"/>
    <w:rsid w:val="009F437B"/>
    <w:rsid w:val="009F4EDB"/>
    <w:rsid w:val="009F6DB2"/>
    <w:rsid w:val="00A11ADB"/>
    <w:rsid w:val="00A16A6F"/>
    <w:rsid w:val="00A427B0"/>
    <w:rsid w:val="00A52DCD"/>
    <w:rsid w:val="00A55964"/>
    <w:rsid w:val="00A578F6"/>
    <w:rsid w:val="00A77155"/>
    <w:rsid w:val="00A86670"/>
    <w:rsid w:val="00A903D8"/>
    <w:rsid w:val="00AB2AD4"/>
    <w:rsid w:val="00AC1DB8"/>
    <w:rsid w:val="00AC50F8"/>
    <w:rsid w:val="00AC5CA2"/>
    <w:rsid w:val="00AD5392"/>
    <w:rsid w:val="00AD6F0E"/>
    <w:rsid w:val="00AE018B"/>
    <w:rsid w:val="00AF68BD"/>
    <w:rsid w:val="00B10952"/>
    <w:rsid w:val="00B10F04"/>
    <w:rsid w:val="00B14180"/>
    <w:rsid w:val="00B16A0D"/>
    <w:rsid w:val="00B23BC8"/>
    <w:rsid w:val="00B24ABC"/>
    <w:rsid w:val="00B31D00"/>
    <w:rsid w:val="00B36F30"/>
    <w:rsid w:val="00B44A9D"/>
    <w:rsid w:val="00B83CB1"/>
    <w:rsid w:val="00B8679A"/>
    <w:rsid w:val="00B8718D"/>
    <w:rsid w:val="00BA2F2B"/>
    <w:rsid w:val="00BA3846"/>
    <w:rsid w:val="00BA4E09"/>
    <w:rsid w:val="00BB0156"/>
    <w:rsid w:val="00BC4202"/>
    <w:rsid w:val="00BD1985"/>
    <w:rsid w:val="00BE4BA0"/>
    <w:rsid w:val="00C04D31"/>
    <w:rsid w:val="00C17C3C"/>
    <w:rsid w:val="00C236F5"/>
    <w:rsid w:val="00C36A8D"/>
    <w:rsid w:val="00C4074A"/>
    <w:rsid w:val="00C47066"/>
    <w:rsid w:val="00C62C6F"/>
    <w:rsid w:val="00C67188"/>
    <w:rsid w:val="00C82D60"/>
    <w:rsid w:val="00C8528E"/>
    <w:rsid w:val="00C94C9F"/>
    <w:rsid w:val="00CC197B"/>
    <w:rsid w:val="00CD5F5C"/>
    <w:rsid w:val="00CD6284"/>
    <w:rsid w:val="00CD7EEA"/>
    <w:rsid w:val="00CF2CAB"/>
    <w:rsid w:val="00CF37BF"/>
    <w:rsid w:val="00CF6C2E"/>
    <w:rsid w:val="00CF76BB"/>
    <w:rsid w:val="00D0051A"/>
    <w:rsid w:val="00D13BEF"/>
    <w:rsid w:val="00D14F11"/>
    <w:rsid w:val="00D21D6F"/>
    <w:rsid w:val="00D22ECE"/>
    <w:rsid w:val="00D30EB0"/>
    <w:rsid w:val="00D31A68"/>
    <w:rsid w:val="00D34A71"/>
    <w:rsid w:val="00D379B8"/>
    <w:rsid w:val="00D51826"/>
    <w:rsid w:val="00D60578"/>
    <w:rsid w:val="00D63571"/>
    <w:rsid w:val="00D71E99"/>
    <w:rsid w:val="00D822CA"/>
    <w:rsid w:val="00D8369C"/>
    <w:rsid w:val="00D87729"/>
    <w:rsid w:val="00D97078"/>
    <w:rsid w:val="00DA4A7E"/>
    <w:rsid w:val="00DC71F6"/>
    <w:rsid w:val="00DC7431"/>
    <w:rsid w:val="00DE7CDF"/>
    <w:rsid w:val="00E0677C"/>
    <w:rsid w:val="00E21DBB"/>
    <w:rsid w:val="00E23DCD"/>
    <w:rsid w:val="00E576FF"/>
    <w:rsid w:val="00E67DBB"/>
    <w:rsid w:val="00E701D5"/>
    <w:rsid w:val="00E71315"/>
    <w:rsid w:val="00E7453D"/>
    <w:rsid w:val="00E81DEB"/>
    <w:rsid w:val="00E85436"/>
    <w:rsid w:val="00E86A97"/>
    <w:rsid w:val="00E97B72"/>
    <w:rsid w:val="00EA3B2D"/>
    <w:rsid w:val="00EA5ED2"/>
    <w:rsid w:val="00EB6FC2"/>
    <w:rsid w:val="00EB7320"/>
    <w:rsid w:val="00EC1F0F"/>
    <w:rsid w:val="00EC4282"/>
    <w:rsid w:val="00EC6635"/>
    <w:rsid w:val="00ED75BF"/>
    <w:rsid w:val="00EE1DC0"/>
    <w:rsid w:val="00EF21BA"/>
    <w:rsid w:val="00EF4577"/>
    <w:rsid w:val="00EF6AD2"/>
    <w:rsid w:val="00F00162"/>
    <w:rsid w:val="00F14D82"/>
    <w:rsid w:val="00F14E4A"/>
    <w:rsid w:val="00F31B66"/>
    <w:rsid w:val="00F479CB"/>
    <w:rsid w:val="00F47ADC"/>
    <w:rsid w:val="00F51442"/>
    <w:rsid w:val="00F52EF2"/>
    <w:rsid w:val="00F5388C"/>
    <w:rsid w:val="00F576B9"/>
    <w:rsid w:val="00F61769"/>
    <w:rsid w:val="00F64B94"/>
    <w:rsid w:val="00F81307"/>
    <w:rsid w:val="00F932DF"/>
    <w:rsid w:val="00FB52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F751B"/>
  <w15:chartTrackingRefBased/>
  <w15:docId w15:val="{BFD1D656-DB85-4B15-B1A7-B72610568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CB4"/>
  </w:style>
  <w:style w:type="paragraph" w:styleId="Heading1">
    <w:name w:val="heading 1"/>
    <w:basedOn w:val="Normal"/>
    <w:next w:val="Normal"/>
    <w:link w:val="Heading1Char"/>
    <w:uiPriority w:val="9"/>
    <w:qFormat/>
    <w:rsid w:val="00012D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0F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6F0E"/>
    <w:rPr>
      <w:color w:val="0563C1" w:themeColor="hyperlink"/>
      <w:u w:val="single"/>
    </w:rPr>
  </w:style>
  <w:style w:type="character" w:styleId="UnresolvedMention">
    <w:name w:val="Unresolved Mention"/>
    <w:basedOn w:val="DefaultParagraphFont"/>
    <w:uiPriority w:val="99"/>
    <w:semiHidden/>
    <w:unhideWhenUsed/>
    <w:rsid w:val="00AD6F0E"/>
    <w:rPr>
      <w:color w:val="605E5C"/>
      <w:shd w:val="clear" w:color="auto" w:fill="E1DFDD"/>
    </w:rPr>
  </w:style>
  <w:style w:type="paragraph" w:styleId="ListParagraph">
    <w:name w:val="List Paragraph"/>
    <w:basedOn w:val="Normal"/>
    <w:uiPriority w:val="34"/>
    <w:qFormat/>
    <w:rsid w:val="00A77155"/>
    <w:pPr>
      <w:ind w:left="720"/>
      <w:contextualSpacing/>
    </w:pPr>
  </w:style>
  <w:style w:type="character" w:customStyle="1" w:styleId="Heading1Char">
    <w:name w:val="Heading 1 Char"/>
    <w:basedOn w:val="DefaultParagraphFont"/>
    <w:link w:val="Heading1"/>
    <w:uiPriority w:val="9"/>
    <w:rsid w:val="00012D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2D71"/>
    <w:pPr>
      <w:outlineLvl w:val="9"/>
    </w:pPr>
    <w:rPr>
      <w:kern w:val="0"/>
      <w:lang w:val="en-US"/>
      <w14:ligatures w14:val="none"/>
    </w:rPr>
  </w:style>
  <w:style w:type="paragraph" w:styleId="TOC1">
    <w:name w:val="toc 1"/>
    <w:basedOn w:val="Normal"/>
    <w:next w:val="Normal"/>
    <w:autoRedefine/>
    <w:uiPriority w:val="39"/>
    <w:unhideWhenUsed/>
    <w:rsid w:val="00B10952"/>
    <w:pPr>
      <w:spacing w:after="100"/>
    </w:pPr>
  </w:style>
  <w:style w:type="character" w:customStyle="1" w:styleId="Heading2Char">
    <w:name w:val="Heading 2 Char"/>
    <w:basedOn w:val="DefaultParagraphFont"/>
    <w:link w:val="Heading2"/>
    <w:uiPriority w:val="9"/>
    <w:rsid w:val="00110FD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A5ED2"/>
    <w:pPr>
      <w:spacing w:after="100"/>
      <w:ind w:left="220"/>
    </w:pPr>
  </w:style>
  <w:style w:type="paragraph" w:styleId="Header">
    <w:name w:val="header"/>
    <w:basedOn w:val="Normal"/>
    <w:link w:val="HeaderChar"/>
    <w:uiPriority w:val="99"/>
    <w:unhideWhenUsed/>
    <w:rsid w:val="00EC1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F0F"/>
  </w:style>
  <w:style w:type="paragraph" w:styleId="Footer">
    <w:name w:val="footer"/>
    <w:basedOn w:val="Normal"/>
    <w:link w:val="FooterChar"/>
    <w:uiPriority w:val="99"/>
    <w:unhideWhenUsed/>
    <w:rsid w:val="00EC1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F0F"/>
  </w:style>
  <w:style w:type="paragraph" w:styleId="NoSpacing">
    <w:name w:val="No Spacing"/>
    <w:uiPriority w:val="1"/>
    <w:qFormat/>
    <w:rsid w:val="00D34A7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042166">
      <w:bodyDiv w:val="1"/>
      <w:marLeft w:val="0"/>
      <w:marRight w:val="0"/>
      <w:marTop w:val="0"/>
      <w:marBottom w:val="0"/>
      <w:divBdr>
        <w:top w:val="none" w:sz="0" w:space="0" w:color="auto"/>
        <w:left w:val="none" w:sz="0" w:space="0" w:color="auto"/>
        <w:bottom w:val="none" w:sz="0" w:space="0" w:color="auto"/>
        <w:right w:val="none" w:sz="0" w:space="0" w:color="auto"/>
      </w:divBdr>
    </w:div>
    <w:div w:id="1696540305">
      <w:bodyDiv w:val="1"/>
      <w:marLeft w:val="0"/>
      <w:marRight w:val="0"/>
      <w:marTop w:val="0"/>
      <w:marBottom w:val="0"/>
      <w:divBdr>
        <w:top w:val="none" w:sz="0" w:space="0" w:color="auto"/>
        <w:left w:val="none" w:sz="0" w:space="0" w:color="auto"/>
        <w:bottom w:val="none" w:sz="0" w:space="0" w:color="auto"/>
        <w:right w:val="none" w:sz="0" w:space="0" w:color="auto"/>
      </w:divBdr>
      <w:divsChild>
        <w:div w:id="1445810889">
          <w:marLeft w:val="0"/>
          <w:marRight w:val="0"/>
          <w:marTop w:val="0"/>
          <w:marBottom w:val="0"/>
          <w:divBdr>
            <w:top w:val="none" w:sz="0" w:space="0" w:color="auto"/>
            <w:left w:val="none" w:sz="0" w:space="0" w:color="auto"/>
            <w:bottom w:val="none" w:sz="0" w:space="0" w:color="auto"/>
            <w:right w:val="none" w:sz="0" w:space="0" w:color="auto"/>
          </w:divBdr>
          <w:divsChild>
            <w:div w:id="953168358">
              <w:marLeft w:val="0"/>
              <w:marRight w:val="0"/>
              <w:marTop w:val="0"/>
              <w:marBottom w:val="0"/>
              <w:divBdr>
                <w:top w:val="none" w:sz="0" w:space="0" w:color="auto"/>
                <w:left w:val="none" w:sz="0" w:space="0" w:color="auto"/>
                <w:bottom w:val="none" w:sz="0" w:space="0" w:color="auto"/>
                <w:right w:val="none" w:sz="0" w:space="0" w:color="auto"/>
              </w:divBdr>
            </w:div>
          </w:divsChild>
        </w:div>
        <w:div w:id="1378434155">
          <w:marLeft w:val="0"/>
          <w:marRight w:val="0"/>
          <w:marTop w:val="0"/>
          <w:marBottom w:val="0"/>
          <w:divBdr>
            <w:top w:val="none" w:sz="0" w:space="0" w:color="auto"/>
            <w:left w:val="none" w:sz="0" w:space="0" w:color="auto"/>
            <w:bottom w:val="none" w:sz="0" w:space="0" w:color="auto"/>
            <w:right w:val="none" w:sz="0" w:space="0" w:color="auto"/>
          </w:divBdr>
          <w:divsChild>
            <w:div w:id="1122118224">
              <w:marLeft w:val="0"/>
              <w:marRight w:val="0"/>
              <w:marTop w:val="0"/>
              <w:marBottom w:val="0"/>
              <w:divBdr>
                <w:top w:val="none" w:sz="0" w:space="0" w:color="auto"/>
                <w:left w:val="none" w:sz="0" w:space="0" w:color="auto"/>
                <w:bottom w:val="none" w:sz="0" w:space="0" w:color="auto"/>
                <w:right w:val="none" w:sz="0" w:space="0" w:color="auto"/>
              </w:divBdr>
              <w:divsChild>
                <w:div w:id="1188980875">
                  <w:marLeft w:val="0"/>
                  <w:marRight w:val="0"/>
                  <w:marTop w:val="0"/>
                  <w:marBottom w:val="0"/>
                  <w:divBdr>
                    <w:top w:val="none" w:sz="0" w:space="0" w:color="auto"/>
                    <w:left w:val="none" w:sz="0" w:space="0" w:color="auto"/>
                    <w:bottom w:val="none" w:sz="0" w:space="0" w:color="auto"/>
                    <w:right w:val="none" w:sz="0" w:space="0" w:color="auto"/>
                  </w:divBdr>
                  <w:divsChild>
                    <w:div w:id="213123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s.org/bcbs/basel3.htm" TargetMode="External"/><Relationship Id="rId18" Type="http://schemas.openxmlformats.org/officeDocument/2006/relationships/hyperlink" Target="https://www.fdic.gov/regulations/capital/" TargetMode="External"/><Relationship Id="rId26" Type="http://schemas.openxmlformats.org/officeDocument/2006/relationships/hyperlink" Target="https://www.jpmorganchase.com/content/dam/jpmc/jpmorgan-chase-and-co/investor-relations/documents/annualreport-2020.pdf" TargetMode="External"/><Relationship Id="rId3" Type="http://schemas.openxmlformats.org/officeDocument/2006/relationships/styles" Target="styles.xml"/><Relationship Id="rId21" Type="http://schemas.openxmlformats.org/officeDocument/2006/relationships/hyperlink" Target="https://home.treasury.gov/policy-issues/financial-markets-financial-institutions-and-fiscal-service/fsoc" TargetMode="External"/><Relationship Id="rId34" Type="http://schemas.openxmlformats.org/officeDocument/2006/relationships/hyperlink" Target="https://www.wsj.com/articles/how-faulty-bank-risk-models-froze-flow-of-credit-in-march-2020-11602615600" TargetMode="External"/><Relationship Id="rId7" Type="http://schemas.openxmlformats.org/officeDocument/2006/relationships/endnotes" Target="endnotes.xml"/><Relationship Id="rId12" Type="http://schemas.openxmlformats.org/officeDocument/2006/relationships/hyperlink" Target="https://www.jpmorganchase.com/content/dam/jpmc/jpmorgan-chase-and-co/investor-relations/documents/2008-AR-Complete-AR.pdf" TargetMode="External"/><Relationship Id="rId17" Type="http://schemas.openxmlformats.org/officeDocument/2006/relationships/hyperlink" Target="https://www.consumerfinance.gov/rules-policy/notice-opportunities-comment/archive-closed/dodd-frank-act-section-1033-consumer-access-to-financial-records/" TargetMode="External"/><Relationship Id="rId25" Type="http://schemas.openxmlformats.org/officeDocument/2006/relationships/hyperlink" Target="https://www.jpmorganchase.com/content/dam/jpmc/jpmorgan-chase-and-co/investor-relations/documents/2013AR-FULL-09.pdf" TargetMode="External"/><Relationship Id="rId33" Type="http://schemas.openxmlformats.org/officeDocument/2006/relationships/hyperlink" Target="https://www.legislation.gov.uk/ukpga/2009/1/contents" TargetMode="External"/><Relationship Id="rId2" Type="http://schemas.openxmlformats.org/officeDocument/2006/relationships/numbering" Target="numbering.xml"/><Relationship Id="rId16" Type="http://schemas.openxmlformats.org/officeDocument/2006/relationships/hyperlink" Target="https://www.consumerfinance.gov/rules-policy/notice-opportunities-comment/archive-closed/dodd-frank-act-section-1033-consumer-access-to-financial-records/" TargetMode="External"/><Relationship Id="rId20" Type="http://schemas.openxmlformats.org/officeDocument/2006/relationships/hyperlink" Target="https://www.fsb.org/" TargetMode="External"/><Relationship Id="rId29" Type="http://schemas.openxmlformats.org/officeDocument/2006/relationships/hyperlink" Target="https://www.reuters.com/article/us-jpmorgan-settlement-idUSBRE9AI0OA201311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hyperlink" Target="https://www.jpmorganchase.com/content/dam/jpmc/jpmorgan-chase-and-co/investor-relations/documents/annualreport-2022.pdf" TargetMode="External"/><Relationship Id="rId32" Type="http://schemas.openxmlformats.org/officeDocument/2006/relationships/hyperlink" Target="https://www.statista.com/statistics/184550/top-15-us-commercial-banks-by-total-assets/" TargetMode="External"/><Relationship Id="rId5" Type="http://schemas.openxmlformats.org/officeDocument/2006/relationships/webSettings" Target="webSettings.xml"/><Relationship Id="rId15" Type="http://schemas.openxmlformats.org/officeDocument/2006/relationships/hyperlink" Target="https://www.brookings.edu/articles/understanding-ring-fencing-and-how-it-could-make-banking-riskier/" TargetMode="External"/><Relationship Id="rId23" Type="http://schemas.openxmlformats.org/officeDocument/2006/relationships/hyperlink" Target="https://www.jpmorganchase.com/ir/annual-report" TargetMode="External"/><Relationship Id="rId28" Type="http://schemas.openxmlformats.org/officeDocument/2006/relationships/hyperlink" Target="https://www.mckinsey.com/industries/financial-services/our-insights/global-banking-annual-review" TargetMode="External"/><Relationship Id="rId36" Type="http://schemas.openxmlformats.org/officeDocument/2006/relationships/theme" Target="theme/theme1.xml"/><Relationship Id="rId10" Type="http://schemas.openxmlformats.org/officeDocument/2006/relationships/image" Target="media/image3.tmp"/><Relationship Id="rId19" Type="http://schemas.openxmlformats.org/officeDocument/2006/relationships/hyperlink" Target="https://www.govinfo.gov/content/pkg/GPO-FCIC/pdf/GPO-FCIC.pdf" TargetMode="External"/><Relationship Id="rId31" Type="http://schemas.openxmlformats.org/officeDocument/2006/relationships/hyperlink" Target="https://www.theguardian.com/news/datablog/2011/nov/12/bank-bailouts-uk-credit-crunch"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www.bis.org/bcbs/basel3.htm" TargetMode="External"/><Relationship Id="rId22" Type="http://schemas.openxmlformats.org/officeDocument/2006/relationships/hyperlink" Target="https://home.treasury.gov/news/press-releases/tg1028" TargetMode="External"/><Relationship Id="rId27" Type="http://schemas.openxmlformats.org/officeDocument/2006/relationships/hyperlink" Target="https://www.jpmorganchase.com/about" TargetMode="External"/><Relationship Id="rId30" Type="http://schemas.openxmlformats.org/officeDocument/2006/relationships/hyperlink" Target="https://www.theguardian.com/news/datablog/2011/nov/12/bank-bailouts-uk-credit-crunch" TargetMode="External"/><Relationship Id="rId35" Type="http://schemas.openxmlformats.org/officeDocument/2006/relationships/fontTable" Target="fontTable.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64E684-6E10-4DE4-96D6-ED41CA674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1012</TotalTime>
  <Pages>17</Pages>
  <Words>6061</Words>
  <Characters>34551</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ASHISH KHUBCHANDANI</dc:creator>
  <cp:keywords/>
  <dc:description/>
  <cp:lastModifiedBy>ASHISH KHUBCHANDANI</cp:lastModifiedBy>
  <cp:revision>282</cp:revision>
  <dcterms:created xsi:type="dcterms:W3CDTF">2023-07-22T16:12:00Z</dcterms:created>
  <dcterms:modified xsi:type="dcterms:W3CDTF">2023-08-21T10:58:00Z</dcterms:modified>
</cp:coreProperties>
</file>