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4C34" w:rsidRDefault="001D7F7B">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What does the letter sent by Lieutenant General Bernard Janvier (force commander) to General Rupert Smith, published by the United Nations Peace Forces </w:t>
      </w:r>
      <w:proofErr w:type="gramStart"/>
      <w:r>
        <w:rPr>
          <w:rFonts w:ascii="Segoe UI" w:hAnsi="Segoe UI" w:cs="Segoe UI"/>
          <w:color w:val="1D2125"/>
          <w:sz w:val="24"/>
          <w:szCs w:val="24"/>
          <w:shd w:val="clear" w:color="auto" w:fill="FFFFFF"/>
        </w:rPr>
        <w:t>HQ,</w:t>
      </w:r>
      <w:proofErr w:type="gramEnd"/>
      <w:r w:rsidR="009C0B9D" w:rsidRPr="009C0B9D">
        <w:rPr>
          <w:rFonts w:ascii="Segoe UI" w:hAnsi="Segoe UI" w:cs="Segoe UI"/>
          <w:color w:val="1D2125"/>
          <w:sz w:val="24"/>
          <w:szCs w:val="24"/>
          <w:shd w:val="clear" w:color="auto" w:fill="FFFFFF"/>
        </w:rPr>
        <w:t xml:space="preserve"> tell us about </w:t>
      </w:r>
      <w:r w:rsidR="009C0B9D">
        <w:rPr>
          <w:rFonts w:ascii="Segoe UI" w:hAnsi="Segoe UI" w:cs="Segoe UI"/>
          <w:color w:val="1D2125"/>
          <w:sz w:val="24"/>
          <w:szCs w:val="24"/>
          <w:shd w:val="clear" w:color="auto" w:fill="FFFFFF"/>
        </w:rPr>
        <w:t>the international response</w:t>
      </w:r>
      <w:r>
        <w:rPr>
          <w:rFonts w:ascii="Segoe UI" w:hAnsi="Segoe UI" w:cs="Segoe UI"/>
          <w:color w:val="1D2125"/>
          <w:sz w:val="24"/>
          <w:szCs w:val="24"/>
          <w:shd w:val="clear" w:color="auto" w:fill="FFFFFF"/>
        </w:rPr>
        <w:t xml:space="preserve"> to the Bosnian Genocide</w:t>
      </w:r>
      <w:r w:rsidR="009C0B9D" w:rsidRPr="009C0B9D">
        <w:rPr>
          <w:rFonts w:ascii="Segoe UI" w:hAnsi="Segoe UI" w:cs="Segoe UI"/>
          <w:color w:val="1D2125"/>
          <w:sz w:val="24"/>
          <w:szCs w:val="24"/>
          <w:shd w:val="clear" w:color="auto" w:fill="FFFFFF"/>
        </w:rPr>
        <w:t>?</w:t>
      </w:r>
    </w:p>
    <w:p w:rsidR="002F71ED" w:rsidRDefault="002F71ED">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Introduction</w:t>
      </w:r>
    </w:p>
    <w:p w:rsidR="002F71ED" w:rsidRDefault="002F71ED">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In studying and analysing the international response to the Bosnian Genocide, it is important to analyse a range of both primary and secondary sources, to understand the wider scholarly debate around the topic and to attempt to synthesise them together in order to reach an overall interpretation and judgement on whether the primary source matches or corroborates scholarship on the topic or whether it </w:t>
      </w:r>
      <w:proofErr w:type="spellStart"/>
      <w:r>
        <w:rPr>
          <w:rFonts w:ascii="Segoe UI" w:hAnsi="Segoe UI" w:cs="Segoe UI"/>
          <w:color w:val="1D2125"/>
          <w:sz w:val="24"/>
          <w:szCs w:val="24"/>
          <w:shd w:val="clear" w:color="auto" w:fill="FFFFFF"/>
        </w:rPr>
        <w:t>problematises</w:t>
      </w:r>
      <w:proofErr w:type="spellEnd"/>
      <w:r>
        <w:rPr>
          <w:rFonts w:ascii="Segoe UI" w:hAnsi="Segoe UI" w:cs="Segoe UI"/>
          <w:color w:val="1D2125"/>
          <w:sz w:val="24"/>
          <w:szCs w:val="24"/>
          <w:shd w:val="clear" w:color="auto" w:fill="FFFFFF"/>
        </w:rPr>
        <w:t xml:space="preserve"> current scholarship and interpretations. </w:t>
      </w:r>
      <w:r w:rsidR="00A10B34">
        <w:rPr>
          <w:rFonts w:ascii="Segoe UI" w:hAnsi="Segoe UI" w:cs="Segoe UI"/>
          <w:color w:val="1D2125"/>
          <w:sz w:val="24"/>
          <w:szCs w:val="24"/>
          <w:shd w:val="clear" w:color="auto" w:fill="FFFFFF"/>
        </w:rPr>
        <w:t>To do this, I will be focussing on a letter (primary source) sent by General Bernard Javier to General Rupert Smith, both working for the United Nations Peace Forces at the time of the war, and also secondary source schola</w:t>
      </w:r>
      <w:r w:rsidR="001B0E5C">
        <w:rPr>
          <w:rFonts w:ascii="Segoe UI" w:hAnsi="Segoe UI" w:cs="Segoe UI"/>
          <w:color w:val="1D2125"/>
          <w:sz w:val="24"/>
          <w:szCs w:val="24"/>
          <w:shd w:val="clear" w:color="auto" w:fill="FFFFFF"/>
        </w:rPr>
        <w:t>rship by</w:t>
      </w:r>
      <w:r w:rsidR="00A10B34">
        <w:rPr>
          <w:rFonts w:ascii="Segoe UI" w:hAnsi="Segoe UI" w:cs="Segoe UI"/>
          <w:color w:val="1D2125"/>
          <w:sz w:val="24"/>
          <w:szCs w:val="24"/>
          <w:shd w:val="clear" w:color="auto" w:fill="FFFFFF"/>
        </w:rPr>
        <w:t xml:space="preserve"> </w:t>
      </w:r>
      <w:r w:rsidR="001B0E5C">
        <w:rPr>
          <w:rFonts w:ascii="Segoe UI" w:hAnsi="Segoe UI" w:cs="Segoe UI"/>
          <w:color w:val="1D2125"/>
          <w:sz w:val="24"/>
          <w:szCs w:val="24"/>
          <w:shd w:val="clear" w:color="auto" w:fill="FFFFFF"/>
        </w:rPr>
        <w:t xml:space="preserve">four </w:t>
      </w:r>
      <w:r w:rsidR="00A10B34">
        <w:rPr>
          <w:rFonts w:ascii="Segoe UI" w:hAnsi="Segoe UI" w:cs="Segoe UI"/>
          <w:color w:val="1D2125"/>
          <w:sz w:val="24"/>
          <w:szCs w:val="24"/>
          <w:shd w:val="clear" w:color="auto" w:fill="FFFFFF"/>
        </w:rPr>
        <w:t xml:space="preserve">different scholars and authorities on the Bosnian Genocide. </w:t>
      </w:r>
      <w:r>
        <w:rPr>
          <w:rFonts w:ascii="Segoe UI" w:hAnsi="Segoe UI" w:cs="Segoe UI"/>
          <w:color w:val="1D2125"/>
          <w:sz w:val="24"/>
          <w:szCs w:val="24"/>
          <w:shd w:val="clear" w:color="auto" w:fill="FFFFFF"/>
        </w:rPr>
        <w:t xml:space="preserve"> </w:t>
      </w:r>
    </w:p>
    <w:p w:rsidR="001D7F7B" w:rsidRDefault="001D7F7B">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Literature Revie</w:t>
      </w:r>
      <w:r w:rsidR="002F71ED">
        <w:rPr>
          <w:rFonts w:ascii="Segoe UI" w:hAnsi="Segoe UI" w:cs="Segoe UI"/>
          <w:color w:val="1D2125"/>
          <w:sz w:val="24"/>
          <w:szCs w:val="24"/>
          <w:shd w:val="clear" w:color="auto" w:fill="FFFFFF"/>
        </w:rPr>
        <w:t>w</w:t>
      </w:r>
    </w:p>
    <w:p w:rsidR="001D7F7B" w:rsidRDefault="00963D33">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The book, </w:t>
      </w:r>
      <w:r w:rsidR="00B9791C">
        <w:rPr>
          <w:rFonts w:ascii="Segoe UI" w:hAnsi="Segoe UI" w:cs="Segoe UI"/>
          <w:color w:val="1D2125"/>
          <w:sz w:val="24"/>
          <w:szCs w:val="24"/>
          <w:shd w:val="clear" w:color="auto" w:fill="FFFFFF"/>
        </w:rPr>
        <w:t xml:space="preserve">‘A Century of Genocide’ by Eric D </w:t>
      </w:r>
      <w:proofErr w:type="spellStart"/>
      <w:r w:rsidR="00B9791C">
        <w:rPr>
          <w:rFonts w:ascii="Segoe UI" w:hAnsi="Segoe UI" w:cs="Segoe UI"/>
          <w:color w:val="1D2125"/>
          <w:sz w:val="24"/>
          <w:szCs w:val="24"/>
          <w:shd w:val="clear" w:color="auto" w:fill="FFFFFF"/>
        </w:rPr>
        <w:t>Weitz</w:t>
      </w:r>
      <w:proofErr w:type="spellEnd"/>
      <w:r w:rsidR="00B9791C">
        <w:rPr>
          <w:rFonts w:ascii="Segoe UI" w:hAnsi="Segoe UI" w:cs="Segoe UI"/>
          <w:color w:val="1D2125"/>
          <w:sz w:val="24"/>
          <w:szCs w:val="24"/>
          <w:shd w:val="clear" w:color="auto" w:fill="FFFFFF"/>
        </w:rPr>
        <w:t xml:space="preserve"> was published by Princeton University Press in 2013. </w:t>
      </w:r>
      <w:proofErr w:type="spellStart"/>
      <w:r w:rsidR="00B9791C">
        <w:rPr>
          <w:rFonts w:ascii="Segoe UI" w:hAnsi="Segoe UI" w:cs="Segoe UI"/>
          <w:color w:val="1D2125"/>
          <w:sz w:val="24"/>
          <w:szCs w:val="24"/>
          <w:shd w:val="clear" w:color="auto" w:fill="FFFFFF"/>
        </w:rPr>
        <w:t>Weitz</w:t>
      </w:r>
      <w:proofErr w:type="spellEnd"/>
      <w:r w:rsidR="00B9791C">
        <w:rPr>
          <w:rFonts w:ascii="Segoe UI" w:hAnsi="Segoe UI" w:cs="Segoe UI"/>
          <w:color w:val="1D2125"/>
          <w:sz w:val="24"/>
          <w:szCs w:val="24"/>
          <w:shd w:val="clear" w:color="auto" w:fill="FFFFFF"/>
        </w:rPr>
        <w:t xml:space="preserve"> is a historian, professor and humanitarian. In this work he covers in great detail, four of the major genocides of the twentieth century including the Bosnian Genocide. He relies heavily on historical sources and trial records to outline the historical events, to formulate his analysis and to reach his conclusions. It also covers exhaustively the nature and scope of Western intervention (or the lack thereof)</w:t>
      </w:r>
      <w:r w:rsidR="00A1781C">
        <w:rPr>
          <w:rFonts w:ascii="Segoe UI" w:hAnsi="Segoe UI" w:cs="Segoe UI"/>
          <w:color w:val="1D2125"/>
          <w:sz w:val="24"/>
          <w:szCs w:val="24"/>
          <w:shd w:val="clear" w:color="auto" w:fill="FFFFFF"/>
        </w:rPr>
        <w:t xml:space="preserve"> and the repercussions of that. </w:t>
      </w:r>
    </w:p>
    <w:p w:rsidR="00AD5BBB" w:rsidRDefault="006E37A0">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In ‘Genocide: A Comprehensive Introduction’, published by Abingdon in 2011, one of the leading genocide scholars, Adam Jones, authors one of the most comprehensive and authoritative works on ‘Genocide.’</w:t>
      </w:r>
      <w:r w:rsidR="00DD5D0B">
        <w:rPr>
          <w:rFonts w:ascii="Segoe UI" w:hAnsi="Segoe UI" w:cs="Segoe UI"/>
          <w:color w:val="1D2125"/>
          <w:sz w:val="24"/>
          <w:szCs w:val="24"/>
          <w:shd w:val="clear" w:color="auto" w:fill="FFFFFF"/>
        </w:rPr>
        <w:t xml:space="preserve"> It provides a historical perspective, legal analysis, </w:t>
      </w:r>
      <w:r w:rsidR="00AD6264">
        <w:rPr>
          <w:rFonts w:ascii="Segoe UI" w:hAnsi="Segoe UI" w:cs="Segoe UI"/>
          <w:color w:val="1D2125"/>
          <w:sz w:val="24"/>
          <w:szCs w:val="24"/>
          <w:shd w:val="clear" w:color="auto" w:fill="FFFFFF"/>
        </w:rPr>
        <w:t>and survivor</w:t>
      </w:r>
      <w:r w:rsidR="00DD5D0B">
        <w:rPr>
          <w:rFonts w:ascii="Segoe UI" w:hAnsi="Segoe UI" w:cs="Segoe UI"/>
          <w:color w:val="1D2125"/>
          <w:sz w:val="24"/>
          <w:szCs w:val="24"/>
          <w:shd w:val="clear" w:color="auto" w:fill="FFFFFF"/>
        </w:rPr>
        <w:t xml:space="preserve"> testimonies and takes an interdisciplinary approach to genocide while also focussing on intent and </w:t>
      </w:r>
      <w:r w:rsidR="00AD6264">
        <w:rPr>
          <w:rFonts w:ascii="Segoe UI" w:hAnsi="Segoe UI" w:cs="Segoe UI"/>
          <w:color w:val="1D2125"/>
          <w:sz w:val="24"/>
          <w:szCs w:val="24"/>
          <w:shd w:val="clear" w:color="auto" w:fill="FFFFFF"/>
        </w:rPr>
        <w:t xml:space="preserve">the role of western and other international bodies. </w:t>
      </w:r>
    </w:p>
    <w:p w:rsidR="001F1E1E" w:rsidRDefault="00BC0055">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‘This Time We Knew: Western Responses to Genocide in Bosnia’ was published by NYU Press in 1996. W</w:t>
      </w:r>
      <w:r w:rsidR="009257F5">
        <w:rPr>
          <w:rFonts w:ascii="Segoe UI" w:hAnsi="Segoe UI" w:cs="Segoe UI"/>
          <w:color w:val="1D2125"/>
          <w:sz w:val="24"/>
          <w:szCs w:val="24"/>
          <w:shd w:val="clear" w:color="auto" w:fill="FFFFFF"/>
        </w:rPr>
        <w:t xml:space="preserve">ritten by Thomas Cushman and </w:t>
      </w:r>
      <w:proofErr w:type="spellStart"/>
      <w:r w:rsidR="009257F5">
        <w:rPr>
          <w:rFonts w:ascii="Segoe UI" w:hAnsi="Segoe UI" w:cs="Segoe UI"/>
          <w:color w:val="1D2125"/>
          <w:sz w:val="24"/>
          <w:szCs w:val="24"/>
          <w:shd w:val="clear" w:color="auto" w:fill="FFFFFF"/>
        </w:rPr>
        <w:t>St</w:t>
      </w:r>
      <w:r>
        <w:rPr>
          <w:rFonts w:ascii="Segoe UI" w:hAnsi="Segoe UI" w:cs="Segoe UI"/>
          <w:color w:val="1D2125"/>
          <w:sz w:val="24"/>
          <w:szCs w:val="24"/>
          <w:shd w:val="clear" w:color="auto" w:fill="FFFFFF"/>
        </w:rPr>
        <w:t>jepan</w:t>
      </w:r>
      <w:proofErr w:type="spellEnd"/>
      <w:r>
        <w:rPr>
          <w:rFonts w:ascii="Segoe UI" w:hAnsi="Segoe UI" w:cs="Segoe UI"/>
          <w:color w:val="1D2125"/>
          <w:sz w:val="24"/>
          <w:szCs w:val="24"/>
          <w:shd w:val="clear" w:color="auto" w:fill="FFFFFF"/>
        </w:rPr>
        <w:t xml:space="preserve"> Mestrovic a year after the war ended, it </w:t>
      </w:r>
      <w:r w:rsidR="009257F5">
        <w:rPr>
          <w:rFonts w:ascii="Segoe UI" w:hAnsi="Segoe UI" w:cs="Segoe UI"/>
          <w:color w:val="1D2125"/>
          <w:sz w:val="24"/>
          <w:szCs w:val="24"/>
          <w:shd w:val="clear" w:color="auto" w:fill="FFFFFF"/>
        </w:rPr>
        <w:t>covers historical</w:t>
      </w:r>
      <w:r>
        <w:rPr>
          <w:rFonts w:ascii="Segoe UI" w:hAnsi="Segoe UI" w:cs="Segoe UI"/>
          <w:color w:val="1D2125"/>
          <w:sz w:val="24"/>
          <w:szCs w:val="24"/>
          <w:shd w:val="clear" w:color="auto" w:fill="FFFFFF"/>
        </w:rPr>
        <w:t xml:space="preserve">, political and social </w:t>
      </w:r>
      <w:r w:rsidR="009257F5">
        <w:rPr>
          <w:rFonts w:ascii="Segoe UI" w:hAnsi="Segoe UI" w:cs="Segoe UI"/>
          <w:color w:val="1D2125"/>
          <w:sz w:val="24"/>
          <w:szCs w:val="24"/>
          <w:shd w:val="clear" w:color="auto" w:fill="FFFFFF"/>
        </w:rPr>
        <w:t xml:space="preserve">perspectives, critiques and analysis on western responses to the conflict. It mainly argues that at a time when all the possible crimes were covered by news and media channels and outlets around </w:t>
      </w:r>
      <w:r w:rsidR="009257F5">
        <w:rPr>
          <w:rFonts w:ascii="Segoe UI" w:hAnsi="Segoe UI" w:cs="Segoe UI"/>
          <w:color w:val="1D2125"/>
          <w:sz w:val="24"/>
          <w:szCs w:val="24"/>
          <w:shd w:val="clear" w:color="auto" w:fill="FFFFFF"/>
        </w:rPr>
        <w:lastRenderedPageBreak/>
        <w:t xml:space="preserve">the world, how then could there still remain rationalisations for the delayed and lackadaisical responses by the west. </w:t>
      </w:r>
    </w:p>
    <w:p w:rsidR="001F1E1E" w:rsidRDefault="00EB3821">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The work ‘Decision to Intervene: How the War in Bosnia Ended’, was written in 1998, for the Brookings Institute, three years after the war had ended, by </w:t>
      </w:r>
      <w:proofErr w:type="spellStart"/>
      <w:r>
        <w:rPr>
          <w:rFonts w:ascii="Segoe UI" w:hAnsi="Segoe UI" w:cs="Segoe UI"/>
          <w:color w:val="1D2125"/>
          <w:sz w:val="24"/>
          <w:szCs w:val="24"/>
          <w:shd w:val="clear" w:color="auto" w:fill="FFFFFF"/>
        </w:rPr>
        <w:t>Ivo</w:t>
      </w:r>
      <w:proofErr w:type="spellEnd"/>
      <w:r>
        <w:rPr>
          <w:rFonts w:ascii="Segoe UI" w:hAnsi="Segoe UI" w:cs="Segoe UI"/>
          <w:color w:val="1D2125"/>
          <w:sz w:val="24"/>
          <w:szCs w:val="24"/>
          <w:shd w:val="clear" w:color="auto" w:fill="FFFFFF"/>
        </w:rPr>
        <w:t xml:space="preserve"> H </w:t>
      </w:r>
      <w:proofErr w:type="spellStart"/>
      <w:r>
        <w:rPr>
          <w:rFonts w:ascii="Segoe UI" w:hAnsi="Segoe UI" w:cs="Segoe UI"/>
          <w:color w:val="1D2125"/>
          <w:sz w:val="24"/>
          <w:szCs w:val="24"/>
          <w:shd w:val="clear" w:color="auto" w:fill="FFFFFF"/>
        </w:rPr>
        <w:t>Daalder</w:t>
      </w:r>
      <w:proofErr w:type="spellEnd"/>
      <w:r>
        <w:rPr>
          <w:rFonts w:ascii="Segoe UI" w:hAnsi="Segoe UI" w:cs="Segoe UI"/>
          <w:color w:val="1D2125"/>
          <w:sz w:val="24"/>
          <w:szCs w:val="24"/>
          <w:shd w:val="clear" w:color="auto" w:fill="FFFFFF"/>
        </w:rPr>
        <w:t xml:space="preserve">, a former US ambassador to NATO who also served as a member of the Unites States NSC at the time of the Clinton presidency. It gives an extremely detailed overview and analysis of events and reasons for their occurrence with great contextual awareness to propel and </w:t>
      </w:r>
      <w:r w:rsidR="001B0E5C">
        <w:rPr>
          <w:rFonts w:ascii="Segoe UI" w:hAnsi="Segoe UI" w:cs="Segoe UI"/>
          <w:color w:val="1D2125"/>
          <w:sz w:val="24"/>
          <w:szCs w:val="24"/>
          <w:shd w:val="clear" w:color="auto" w:fill="FFFFFF"/>
        </w:rPr>
        <w:t xml:space="preserve">firmly </w:t>
      </w:r>
      <w:r>
        <w:rPr>
          <w:rFonts w:ascii="Segoe UI" w:hAnsi="Segoe UI" w:cs="Segoe UI"/>
          <w:color w:val="1D2125"/>
          <w:sz w:val="24"/>
          <w:szCs w:val="24"/>
          <w:shd w:val="clear" w:color="auto" w:fill="FFFFFF"/>
        </w:rPr>
        <w:t xml:space="preserve">anchor his writing. Since he was still </w:t>
      </w:r>
      <w:r w:rsidR="004A2762">
        <w:rPr>
          <w:rFonts w:ascii="Segoe UI" w:hAnsi="Segoe UI" w:cs="Segoe UI"/>
          <w:color w:val="1D2125"/>
          <w:sz w:val="24"/>
          <w:szCs w:val="24"/>
          <w:shd w:val="clear" w:color="auto" w:fill="FFFFFF"/>
        </w:rPr>
        <w:t xml:space="preserve">employed in American politics, it seems as though there are elements of damage control and attempts to reduce or share blame. However, at times, </w:t>
      </w:r>
      <w:proofErr w:type="spellStart"/>
      <w:r w:rsidR="004A2762">
        <w:rPr>
          <w:rFonts w:ascii="Segoe UI" w:hAnsi="Segoe UI" w:cs="Segoe UI"/>
          <w:color w:val="1D2125"/>
          <w:sz w:val="24"/>
          <w:szCs w:val="24"/>
          <w:shd w:val="clear" w:color="auto" w:fill="FFFFFF"/>
        </w:rPr>
        <w:t>Daalder</w:t>
      </w:r>
      <w:proofErr w:type="spellEnd"/>
      <w:r w:rsidR="004A2762">
        <w:rPr>
          <w:rFonts w:ascii="Segoe UI" w:hAnsi="Segoe UI" w:cs="Segoe UI"/>
          <w:color w:val="1D2125"/>
          <w:sz w:val="24"/>
          <w:szCs w:val="24"/>
          <w:shd w:val="clear" w:color="auto" w:fill="FFFFFF"/>
        </w:rPr>
        <w:t xml:space="preserve"> is harsh on the Clinton administration and recognises Srebrenica as the ‘West’s greatest shame.’</w:t>
      </w:r>
      <w:r w:rsidR="00FB03CF">
        <w:rPr>
          <w:rStyle w:val="FootnoteReference"/>
          <w:rFonts w:ascii="Segoe UI" w:hAnsi="Segoe UI" w:cs="Segoe UI"/>
          <w:color w:val="1D2125"/>
          <w:sz w:val="24"/>
          <w:szCs w:val="24"/>
          <w:shd w:val="clear" w:color="auto" w:fill="FFFFFF"/>
        </w:rPr>
        <w:footnoteReference w:id="1"/>
      </w:r>
    </w:p>
    <w:p w:rsidR="001D7F7B" w:rsidRDefault="00D6541B">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Primary Source</w:t>
      </w:r>
    </w:p>
    <w:p w:rsidR="001D7F7B" w:rsidRDefault="00734F74">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The Letter sent by Lieutenant General Bernard Janvier, the force commander for UNPROFOR (United Nations Protection Forces) to General Rupert Smith who was als</w:t>
      </w:r>
      <w:r w:rsidR="00533098">
        <w:rPr>
          <w:rFonts w:ascii="Segoe UI" w:hAnsi="Segoe UI" w:cs="Segoe UI"/>
          <w:color w:val="1D2125"/>
          <w:sz w:val="24"/>
          <w:szCs w:val="24"/>
          <w:shd w:val="clear" w:color="auto" w:fill="FFFFFF"/>
        </w:rPr>
        <w:t xml:space="preserve">o an UNPROFOR </w:t>
      </w:r>
      <w:r w:rsidR="00D81475">
        <w:rPr>
          <w:rFonts w:ascii="Segoe UI" w:hAnsi="Segoe UI" w:cs="Segoe UI"/>
          <w:color w:val="1D2125"/>
          <w:sz w:val="24"/>
          <w:szCs w:val="24"/>
          <w:shd w:val="clear" w:color="auto" w:fill="FFFFFF"/>
        </w:rPr>
        <w:t>general, details and outlines</w:t>
      </w:r>
      <w:r w:rsidR="00533098">
        <w:rPr>
          <w:rFonts w:ascii="Segoe UI" w:hAnsi="Segoe UI" w:cs="Segoe UI"/>
          <w:color w:val="1D2125"/>
          <w:sz w:val="24"/>
          <w:szCs w:val="24"/>
          <w:shd w:val="clear" w:color="auto" w:fill="FFFFFF"/>
        </w:rPr>
        <w:t xml:space="preserve"> expectations and it also gives directives as to how they ought to </w:t>
      </w:r>
      <w:proofErr w:type="gramStart"/>
      <w:r w:rsidR="00533098">
        <w:rPr>
          <w:rFonts w:ascii="Segoe UI" w:hAnsi="Segoe UI" w:cs="Segoe UI"/>
          <w:color w:val="1D2125"/>
          <w:sz w:val="24"/>
          <w:szCs w:val="24"/>
          <w:shd w:val="clear" w:color="auto" w:fill="FFFFFF"/>
        </w:rPr>
        <w:t>proceed</w:t>
      </w:r>
      <w:proofErr w:type="gramEnd"/>
      <w:r w:rsidR="00533098">
        <w:rPr>
          <w:rFonts w:ascii="Segoe UI" w:hAnsi="Segoe UI" w:cs="Segoe UI"/>
          <w:color w:val="1D2125"/>
          <w:sz w:val="24"/>
          <w:szCs w:val="24"/>
          <w:shd w:val="clear" w:color="auto" w:fill="FFFFFF"/>
        </w:rPr>
        <w:t xml:space="preserve"> in the light of events during the war. It was sent on June 27</w:t>
      </w:r>
      <w:r w:rsidR="00533098" w:rsidRPr="00533098">
        <w:rPr>
          <w:rFonts w:ascii="Segoe UI" w:hAnsi="Segoe UI" w:cs="Segoe UI"/>
          <w:color w:val="1D2125"/>
          <w:sz w:val="24"/>
          <w:szCs w:val="24"/>
          <w:shd w:val="clear" w:color="auto" w:fill="FFFFFF"/>
          <w:vertAlign w:val="superscript"/>
        </w:rPr>
        <w:t>th</w:t>
      </w:r>
      <w:r w:rsidR="00533098">
        <w:rPr>
          <w:rFonts w:ascii="Segoe UI" w:hAnsi="Segoe UI" w:cs="Segoe UI"/>
          <w:color w:val="1D2125"/>
          <w:sz w:val="24"/>
          <w:szCs w:val="24"/>
          <w:shd w:val="clear" w:color="auto" w:fill="FFFFFF"/>
        </w:rPr>
        <w:t xml:space="preserve"> 1995, closer to the end of the war. It is a two page letter </w:t>
      </w:r>
      <w:r w:rsidR="00D81475">
        <w:rPr>
          <w:rFonts w:ascii="Segoe UI" w:hAnsi="Segoe UI" w:cs="Segoe UI"/>
          <w:color w:val="1D2125"/>
          <w:sz w:val="24"/>
          <w:szCs w:val="24"/>
          <w:shd w:val="clear" w:color="auto" w:fill="FFFFFF"/>
        </w:rPr>
        <w:t xml:space="preserve">and </w:t>
      </w:r>
      <w:r w:rsidR="00533098">
        <w:rPr>
          <w:rFonts w:ascii="Segoe UI" w:hAnsi="Segoe UI" w:cs="Segoe UI"/>
          <w:color w:val="1D2125"/>
          <w:sz w:val="24"/>
          <w:szCs w:val="24"/>
          <w:shd w:val="clear" w:color="auto" w:fill="FFFFFF"/>
        </w:rPr>
        <w:t xml:space="preserve">part of the last paragraph on the first page is missing. It seems to be a photocopied version of the original so perhaps the photocopy missed out some information as the page may not have been placed accurate on the photocopy. This is problematic since it makes it difficult to get the full message of what is being said. </w:t>
      </w:r>
      <w:r w:rsidR="007E1C15">
        <w:rPr>
          <w:rFonts w:ascii="Segoe UI" w:hAnsi="Segoe UI" w:cs="Segoe UI"/>
          <w:color w:val="1D2125"/>
          <w:sz w:val="24"/>
          <w:szCs w:val="24"/>
          <w:shd w:val="clear" w:color="auto" w:fill="FFFFFF"/>
        </w:rPr>
        <w:t>On the flip side though, the vast majority of the document is clearly visible and legible so this omissions do</w:t>
      </w:r>
      <w:r w:rsidR="00D81475">
        <w:rPr>
          <w:rFonts w:ascii="Segoe UI" w:hAnsi="Segoe UI" w:cs="Segoe UI"/>
          <w:color w:val="1D2125"/>
          <w:sz w:val="24"/>
          <w:szCs w:val="24"/>
          <w:shd w:val="clear" w:color="auto" w:fill="FFFFFF"/>
        </w:rPr>
        <w:t>es</w:t>
      </w:r>
      <w:r w:rsidR="007E1C15">
        <w:rPr>
          <w:rFonts w:ascii="Segoe UI" w:hAnsi="Segoe UI" w:cs="Segoe UI"/>
          <w:color w:val="1D2125"/>
          <w:sz w:val="24"/>
          <w:szCs w:val="24"/>
          <w:shd w:val="clear" w:color="auto" w:fill="FFFFFF"/>
        </w:rPr>
        <w:t xml:space="preserve"> not impact the effectiveness or the potential analysis of the letter. </w:t>
      </w:r>
    </w:p>
    <w:p w:rsidR="002C624C" w:rsidRDefault="002C624C">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When analysing the content of the letter, the statements reveal a great deal about the entire </w:t>
      </w:r>
      <w:r w:rsidR="005D6749">
        <w:rPr>
          <w:rFonts w:ascii="Segoe UI" w:hAnsi="Segoe UI" w:cs="Segoe UI"/>
          <w:color w:val="1D2125"/>
          <w:sz w:val="24"/>
          <w:szCs w:val="24"/>
          <w:shd w:val="clear" w:color="auto" w:fill="FFFFFF"/>
        </w:rPr>
        <w:t>war and genocide and the involvement of all bodies, particularly the western governments and international organisations. There seems to be a hesitancy and reluctance to use force when we examine comments such as ‘</w:t>
      </w:r>
      <w:r w:rsidR="00AE3176">
        <w:rPr>
          <w:rFonts w:ascii="Segoe UI" w:hAnsi="Segoe UI" w:cs="Segoe UI"/>
          <w:color w:val="1D2125"/>
          <w:sz w:val="24"/>
          <w:szCs w:val="24"/>
          <w:shd w:val="clear" w:color="auto" w:fill="FFFFFF"/>
        </w:rPr>
        <w:t>this force must not become the vehicle through which we become engaged in peace enforcement’ and ‘we must resist the temptation, no matter how inviting, to use force except in self-defence.’</w:t>
      </w:r>
      <w:r w:rsidR="00AE3176">
        <w:rPr>
          <w:rStyle w:val="FootnoteReference"/>
          <w:rFonts w:ascii="Segoe UI" w:hAnsi="Segoe UI" w:cs="Segoe UI"/>
          <w:color w:val="1D2125"/>
          <w:sz w:val="24"/>
          <w:szCs w:val="24"/>
          <w:shd w:val="clear" w:color="auto" w:fill="FFFFFF"/>
        </w:rPr>
        <w:footnoteReference w:id="2"/>
      </w:r>
    </w:p>
    <w:p w:rsidR="001D7F7B" w:rsidRDefault="00F6711C">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lastRenderedPageBreak/>
        <w:t>As well as a clear lack of mandate and directive, there also seems to have been a sense of confusion caused partly by this fact but also by conflicting interests and political and diplomatic limitations and constraints. We can see this when we examine statements in the letter such as ‘the situation has become more complex’, ‘we have a right to defend ourselves’, ‘I am now reviewing those options’, we ‘must remain a peace-keeping force.’</w:t>
      </w:r>
      <w:r w:rsidR="00D81475">
        <w:rPr>
          <w:rFonts w:ascii="Segoe UI" w:hAnsi="Segoe UI" w:cs="Segoe UI"/>
          <w:color w:val="1D2125"/>
          <w:sz w:val="24"/>
          <w:szCs w:val="24"/>
          <w:shd w:val="clear" w:color="auto" w:fill="FFFFFF"/>
        </w:rPr>
        <w:t xml:space="preserve"> From</w:t>
      </w:r>
      <w:r>
        <w:rPr>
          <w:rFonts w:ascii="Segoe UI" w:hAnsi="Segoe UI" w:cs="Segoe UI"/>
          <w:color w:val="1D2125"/>
          <w:sz w:val="24"/>
          <w:szCs w:val="24"/>
          <w:shd w:val="clear" w:color="auto" w:fill="FFFFFF"/>
        </w:rPr>
        <w:t xml:space="preserve"> these statements we can deduce contradictory </w:t>
      </w:r>
      <w:r w:rsidR="00D81475">
        <w:rPr>
          <w:rFonts w:ascii="Segoe UI" w:hAnsi="Segoe UI" w:cs="Segoe UI"/>
          <w:color w:val="1D2125"/>
          <w:sz w:val="24"/>
          <w:szCs w:val="24"/>
          <w:shd w:val="clear" w:color="auto" w:fill="FFFFFF"/>
        </w:rPr>
        <w:t>statements. On</w:t>
      </w:r>
      <w:r w:rsidR="0087649B">
        <w:rPr>
          <w:rFonts w:ascii="Segoe UI" w:hAnsi="Segoe UI" w:cs="Segoe UI"/>
          <w:color w:val="1D2125"/>
          <w:sz w:val="24"/>
          <w:szCs w:val="24"/>
          <w:shd w:val="clear" w:color="auto" w:fill="FFFFFF"/>
        </w:rPr>
        <w:t xml:space="preserve"> the one hand they have the right to defend themselves but at the same time it is being said that we must remain a peace-keeping force, but at the same time, Janvier is saying he will review those options. </w:t>
      </w:r>
      <w:r w:rsidR="0083698C">
        <w:rPr>
          <w:rFonts w:ascii="Segoe UI" w:hAnsi="Segoe UI" w:cs="Segoe UI"/>
          <w:color w:val="1D2125"/>
          <w:sz w:val="24"/>
          <w:szCs w:val="24"/>
          <w:shd w:val="clear" w:color="auto" w:fill="FFFFFF"/>
        </w:rPr>
        <w:t xml:space="preserve">Also, by the very fact that Janvier and Smith are both generals representing different countries, France and Britain respectively, in the UNPROFOR forces </w:t>
      </w:r>
      <w:r w:rsidR="00D81475">
        <w:rPr>
          <w:rFonts w:ascii="Segoe UI" w:hAnsi="Segoe UI" w:cs="Segoe UI"/>
          <w:color w:val="1D2125"/>
          <w:sz w:val="24"/>
          <w:szCs w:val="24"/>
          <w:shd w:val="clear" w:color="auto" w:fill="FFFFFF"/>
        </w:rPr>
        <w:t>hints at how different European</w:t>
      </w:r>
      <w:r w:rsidR="0083698C">
        <w:rPr>
          <w:rFonts w:ascii="Segoe UI" w:hAnsi="Segoe UI" w:cs="Segoe UI"/>
          <w:color w:val="1D2125"/>
          <w:sz w:val="24"/>
          <w:szCs w:val="24"/>
          <w:shd w:val="clear" w:color="auto" w:fill="FFFFFF"/>
        </w:rPr>
        <w:t xml:space="preserve"> and world powers were on different pages on how to proceed. Placing peacekeeping troops there but not willing to militarily show force seems to be a contradiction of intentions and actions. </w:t>
      </w:r>
    </w:p>
    <w:p w:rsidR="00734F74" w:rsidRDefault="0083698C">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The letter does have a focus in the second half particularly on hu</w:t>
      </w:r>
      <w:r w:rsidR="00440635">
        <w:rPr>
          <w:rFonts w:ascii="Segoe UI" w:hAnsi="Segoe UI" w:cs="Segoe UI"/>
          <w:color w:val="1D2125"/>
          <w:sz w:val="24"/>
          <w:szCs w:val="24"/>
          <w:shd w:val="clear" w:color="auto" w:fill="FFFFFF"/>
        </w:rPr>
        <w:t>manitarian efforts</w:t>
      </w:r>
      <w:r>
        <w:rPr>
          <w:rFonts w:ascii="Segoe UI" w:hAnsi="Segoe UI" w:cs="Segoe UI"/>
          <w:color w:val="1D2125"/>
          <w:sz w:val="24"/>
          <w:szCs w:val="24"/>
          <w:shd w:val="clear" w:color="auto" w:fill="FFFFFF"/>
        </w:rPr>
        <w:t xml:space="preserve">. </w:t>
      </w:r>
      <w:r w:rsidR="00440635">
        <w:rPr>
          <w:rFonts w:ascii="Segoe UI" w:hAnsi="Segoe UI" w:cs="Segoe UI"/>
          <w:color w:val="1D2125"/>
          <w:sz w:val="24"/>
          <w:szCs w:val="24"/>
          <w:shd w:val="clear" w:color="auto" w:fill="FFFFFF"/>
        </w:rPr>
        <w:t xml:space="preserve">Statements of this nature include, </w:t>
      </w:r>
      <w:r>
        <w:rPr>
          <w:rFonts w:ascii="Segoe UI" w:hAnsi="Segoe UI" w:cs="Segoe UI"/>
          <w:color w:val="1D2125"/>
          <w:sz w:val="24"/>
          <w:szCs w:val="24"/>
          <w:shd w:val="clear" w:color="auto" w:fill="FFFFFF"/>
        </w:rPr>
        <w:t xml:space="preserve">‘Humanitarian aid continues to be a high priority’, ‘UNHRC will continue to negotiate’, </w:t>
      </w:r>
      <w:r w:rsidR="00440635">
        <w:rPr>
          <w:rFonts w:ascii="Segoe UI" w:hAnsi="Segoe UI" w:cs="Segoe UI"/>
          <w:color w:val="1D2125"/>
          <w:sz w:val="24"/>
          <w:szCs w:val="24"/>
          <w:shd w:val="clear" w:color="auto" w:fill="FFFFFF"/>
        </w:rPr>
        <w:t>‘UNMO rotation for the Eastern Enclaves.’</w:t>
      </w:r>
      <w:r w:rsidR="00440635">
        <w:rPr>
          <w:rStyle w:val="FootnoteReference"/>
          <w:rFonts w:ascii="Segoe UI" w:hAnsi="Segoe UI" w:cs="Segoe UI"/>
          <w:color w:val="1D2125"/>
          <w:sz w:val="24"/>
          <w:szCs w:val="24"/>
          <w:shd w:val="clear" w:color="auto" w:fill="FFFFFF"/>
        </w:rPr>
        <w:footnoteReference w:id="3"/>
      </w:r>
      <w:r w:rsidR="007739A7">
        <w:rPr>
          <w:rFonts w:ascii="Segoe UI" w:hAnsi="Segoe UI" w:cs="Segoe UI"/>
          <w:color w:val="1D2125"/>
          <w:sz w:val="24"/>
          <w:szCs w:val="24"/>
          <w:shd w:val="clear" w:color="auto" w:fill="FFFFFF"/>
        </w:rPr>
        <w:t xml:space="preserve"> In the second to last paragraph of the letter, Janvier writes that their intentions ‘remain very much in keeping with the present situations’, again showing a sense of confusion, lack of constructive plan and wanting to maintain the status quo whether favourable or not. </w:t>
      </w:r>
    </w:p>
    <w:p w:rsidR="001D7F7B" w:rsidRDefault="00BB025D">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Synthesis</w:t>
      </w:r>
    </w:p>
    <w:p w:rsidR="002F71ED" w:rsidRDefault="00407FDC">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The secondary sources seem to corroborate much of the above analysis of the primary source letter. There are</w:t>
      </w:r>
      <w:r w:rsidR="00D81475">
        <w:rPr>
          <w:rFonts w:ascii="Segoe UI" w:hAnsi="Segoe UI" w:cs="Segoe UI"/>
          <w:color w:val="1D2125"/>
          <w:sz w:val="24"/>
          <w:szCs w:val="24"/>
          <w:shd w:val="clear" w:color="auto" w:fill="FFFFFF"/>
        </w:rPr>
        <w:t xml:space="preserve"> some overarching similarities </w:t>
      </w:r>
      <w:r>
        <w:rPr>
          <w:rFonts w:ascii="Segoe UI" w:hAnsi="Segoe UI" w:cs="Segoe UI"/>
          <w:color w:val="1D2125"/>
          <w:sz w:val="24"/>
          <w:szCs w:val="24"/>
          <w:shd w:val="clear" w:color="auto" w:fill="FFFFFF"/>
        </w:rPr>
        <w:t xml:space="preserve">and some slight divergences namely when blame is the point in question. </w:t>
      </w:r>
      <w:proofErr w:type="spellStart"/>
      <w:r w:rsidR="00657204">
        <w:rPr>
          <w:rFonts w:ascii="Segoe UI" w:hAnsi="Segoe UI" w:cs="Segoe UI"/>
          <w:color w:val="1D2125"/>
          <w:sz w:val="24"/>
          <w:szCs w:val="24"/>
          <w:shd w:val="clear" w:color="auto" w:fill="FFFFFF"/>
        </w:rPr>
        <w:t>Weitz</w:t>
      </w:r>
      <w:proofErr w:type="spellEnd"/>
      <w:r>
        <w:rPr>
          <w:rFonts w:ascii="Segoe UI" w:hAnsi="Segoe UI" w:cs="Segoe UI"/>
          <w:color w:val="1D2125"/>
          <w:sz w:val="24"/>
          <w:szCs w:val="24"/>
          <w:shd w:val="clear" w:color="auto" w:fill="FFFFFF"/>
        </w:rPr>
        <w:t xml:space="preserve"> writes of the UN and the West’s stance, ‘the US was fearful of being drawn into the conflict’ and that Srebrenica was ‘a political disaster for the west and the UN’ and that ‘it reluctantly had been drawn into the war.’</w:t>
      </w:r>
      <w:r>
        <w:rPr>
          <w:rStyle w:val="FootnoteReference"/>
          <w:rFonts w:ascii="Segoe UI" w:hAnsi="Segoe UI" w:cs="Segoe UI"/>
          <w:color w:val="1D2125"/>
          <w:sz w:val="24"/>
          <w:szCs w:val="24"/>
          <w:shd w:val="clear" w:color="auto" w:fill="FFFFFF"/>
        </w:rPr>
        <w:footnoteReference w:id="4"/>
      </w:r>
      <w:r w:rsidR="00722216">
        <w:rPr>
          <w:rFonts w:ascii="Segoe UI" w:hAnsi="Segoe UI" w:cs="Segoe UI"/>
          <w:color w:val="1D2125"/>
          <w:sz w:val="24"/>
          <w:szCs w:val="24"/>
          <w:shd w:val="clear" w:color="auto" w:fill="FFFFFF"/>
        </w:rPr>
        <w:t xml:space="preserve"> In the same vein, Adam Jones says the ‘United States was characterised by vacillation’ and </w:t>
      </w:r>
      <w:proofErr w:type="spellStart"/>
      <w:r w:rsidR="00722216">
        <w:rPr>
          <w:rFonts w:ascii="Segoe UI" w:hAnsi="Segoe UI" w:cs="Segoe UI"/>
          <w:color w:val="1D2125"/>
          <w:sz w:val="24"/>
          <w:szCs w:val="24"/>
          <w:shd w:val="clear" w:color="auto" w:fill="FFFFFF"/>
        </w:rPr>
        <w:t>Haadler</w:t>
      </w:r>
      <w:proofErr w:type="spellEnd"/>
      <w:r w:rsidR="00722216">
        <w:rPr>
          <w:rFonts w:ascii="Segoe UI" w:hAnsi="Segoe UI" w:cs="Segoe UI"/>
          <w:color w:val="1D2125"/>
          <w:sz w:val="24"/>
          <w:szCs w:val="24"/>
          <w:shd w:val="clear" w:color="auto" w:fill="FFFFFF"/>
        </w:rPr>
        <w:t xml:space="preserve"> puts the lack of UNPROFOR action on </w:t>
      </w:r>
      <w:r w:rsidR="00722216">
        <w:rPr>
          <w:rFonts w:ascii="Segoe UI" w:hAnsi="Segoe UI" w:cs="Segoe UI"/>
          <w:color w:val="1D2125"/>
          <w:sz w:val="24"/>
          <w:szCs w:val="24"/>
          <w:shd w:val="clear" w:color="auto" w:fill="FFFFFF"/>
        </w:rPr>
        <w:lastRenderedPageBreak/>
        <w:t>the UN not wanting to sacrifice ‘the even-handedness that is the hallmark of UN peacekeeping.’</w:t>
      </w:r>
      <w:r w:rsidR="006140C2">
        <w:rPr>
          <w:rStyle w:val="FootnoteReference"/>
          <w:rFonts w:ascii="Segoe UI" w:hAnsi="Segoe UI" w:cs="Segoe UI"/>
          <w:color w:val="1D2125"/>
          <w:sz w:val="24"/>
          <w:szCs w:val="24"/>
          <w:shd w:val="clear" w:color="auto" w:fill="FFFFFF"/>
        </w:rPr>
        <w:footnoteReference w:id="5"/>
      </w:r>
      <w:r w:rsidR="009928F1">
        <w:rPr>
          <w:rStyle w:val="FootnoteReference"/>
          <w:rFonts w:ascii="Segoe UI" w:hAnsi="Segoe UI" w:cs="Segoe UI"/>
          <w:color w:val="1D2125"/>
          <w:sz w:val="24"/>
          <w:szCs w:val="24"/>
          <w:shd w:val="clear" w:color="auto" w:fill="FFFFFF"/>
        </w:rPr>
        <w:footnoteReference w:id="6"/>
      </w:r>
    </w:p>
    <w:p w:rsidR="009928F1" w:rsidRDefault="009928F1">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Regarding the analysis of general confusion and the lack of a clear directive or mandate, there seems to be consensus amongst the scholarship. </w:t>
      </w:r>
      <w:r w:rsidR="0076501B">
        <w:rPr>
          <w:rFonts w:ascii="Segoe UI" w:hAnsi="Segoe UI" w:cs="Segoe UI"/>
          <w:color w:val="1D2125"/>
          <w:sz w:val="24"/>
          <w:szCs w:val="24"/>
          <w:shd w:val="clear" w:color="auto" w:fill="FFFFFF"/>
        </w:rPr>
        <w:t>Cushman and Mestrovic write ‘the bureaucratisation of peacekeeping’ was focussed more on ‘organisational needs’ and that ‘the United Nations was less interested in human security than its own well being.’</w:t>
      </w:r>
      <w:r w:rsidR="002431C7">
        <w:rPr>
          <w:rStyle w:val="FootnoteReference"/>
          <w:rFonts w:ascii="Segoe UI" w:hAnsi="Segoe UI" w:cs="Segoe UI"/>
          <w:color w:val="1D2125"/>
          <w:sz w:val="24"/>
          <w:szCs w:val="24"/>
          <w:shd w:val="clear" w:color="auto" w:fill="FFFFFF"/>
        </w:rPr>
        <w:footnoteReference w:id="7"/>
      </w:r>
      <w:r w:rsidR="0076501B">
        <w:rPr>
          <w:rFonts w:ascii="Segoe UI" w:hAnsi="Segoe UI" w:cs="Segoe UI"/>
          <w:color w:val="1D2125"/>
          <w:sz w:val="24"/>
          <w:szCs w:val="24"/>
          <w:shd w:val="clear" w:color="auto" w:fill="FFFFFF"/>
        </w:rPr>
        <w:t xml:space="preserve"> This not only alludes to the complex bureaucracy of peacekeeper forces but also to the lack of a clear goal and a reluctance to commit genuinely for the support of Bosnians. </w:t>
      </w:r>
      <w:proofErr w:type="spellStart"/>
      <w:r w:rsidR="007A11CD">
        <w:rPr>
          <w:rFonts w:ascii="Segoe UI" w:hAnsi="Segoe UI" w:cs="Segoe UI"/>
          <w:color w:val="1D2125"/>
          <w:sz w:val="24"/>
          <w:szCs w:val="24"/>
          <w:shd w:val="clear" w:color="auto" w:fill="FFFFFF"/>
        </w:rPr>
        <w:t>Weitz</w:t>
      </w:r>
      <w:proofErr w:type="spellEnd"/>
      <w:r w:rsidR="007A11CD">
        <w:rPr>
          <w:rFonts w:ascii="Segoe UI" w:hAnsi="Segoe UI" w:cs="Segoe UI"/>
          <w:color w:val="1D2125"/>
          <w:sz w:val="24"/>
          <w:szCs w:val="24"/>
          <w:shd w:val="clear" w:color="auto" w:fill="FFFFFF"/>
        </w:rPr>
        <w:t xml:space="preserve"> adds to this by stating that the ‘establishment of UNPROFOR was for ‘peacekeeping and not peace enforcement.’ This further cor</w:t>
      </w:r>
      <w:r w:rsidR="00657204">
        <w:rPr>
          <w:rFonts w:ascii="Segoe UI" w:hAnsi="Segoe UI" w:cs="Segoe UI"/>
          <w:color w:val="1D2125"/>
          <w:sz w:val="24"/>
          <w:szCs w:val="24"/>
          <w:shd w:val="clear" w:color="auto" w:fill="FFFFFF"/>
        </w:rPr>
        <w:t xml:space="preserve">roborates the views of </w:t>
      </w:r>
      <w:proofErr w:type="spellStart"/>
      <w:r w:rsidR="00657204">
        <w:rPr>
          <w:rFonts w:ascii="Segoe UI" w:hAnsi="Segoe UI" w:cs="Segoe UI"/>
          <w:color w:val="1D2125"/>
          <w:sz w:val="24"/>
          <w:szCs w:val="24"/>
          <w:shd w:val="clear" w:color="auto" w:fill="FFFFFF"/>
        </w:rPr>
        <w:t>Weitz</w:t>
      </w:r>
      <w:proofErr w:type="spellEnd"/>
      <w:r w:rsidR="007A11CD">
        <w:rPr>
          <w:rFonts w:ascii="Segoe UI" w:hAnsi="Segoe UI" w:cs="Segoe UI"/>
          <w:color w:val="1D2125"/>
          <w:sz w:val="24"/>
          <w:szCs w:val="24"/>
          <w:shd w:val="clear" w:color="auto" w:fill="FFFFFF"/>
        </w:rPr>
        <w:t xml:space="preserve"> and Jones that the West did not want to commit forces that would take concrete military action but instead act as a showpiece so that world could see that the west was involved and doing their part since there were expectations of this. The primary source clearly points to this</w:t>
      </w:r>
      <w:r w:rsidR="00D81475">
        <w:rPr>
          <w:rFonts w:ascii="Segoe UI" w:hAnsi="Segoe UI" w:cs="Segoe UI"/>
          <w:color w:val="1D2125"/>
          <w:sz w:val="24"/>
          <w:szCs w:val="24"/>
          <w:shd w:val="clear" w:color="auto" w:fill="FFFFFF"/>
        </w:rPr>
        <w:t>:</w:t>
      </w:r>
      <w:r w:rsidR="007A11CD">
        <w:rPr>
          <w:rFonts w:ascii="Segoe UI" w:hAnsi="Segoe UI" w:cs="Segoe UI"/>
          <w:color w:val="1D2125"/>
          <w:sz w:val="24"/>
          <w:szCs w:val="24"/>
          <w:shd w:val="clear" w:color="auto" w:fill="FFFFFF"/>
        </w:rPr>
        <w:t xml:space="preserve"> the arrival of the multi-national brigade ‘may raise in certain quarters, expectations, even demands for more robust action.’</w:t>
      </w:r>
      <w:r w:rsidR="003D05B8">
        <w:rPr>
          <w:rStyle w:val="FootnoteReference"/>
          <w:rFonts w:ascii="Segoe UI" w:hAnsi="Segoe UI" w:cs="Segoe UI"/>
          <w:color w:val="1D2125"/>
          <w:sz w:val="24"/>
          <w:szCs w:val="24"/>
          <w:shd w:val="clear" w:color="auto" w:fill="FFFFFF"/>
        </w:rPr>
        <w:footnoteReference w:id="8"/>
      </w:r>
    </w:p>
    <w:p w:rsidR="003D05B8" w:rsidRDefault="003D05B8">
      <w:pPr>
        <w:rPr>
          <w:rFonts w:ascii="Segoe UI" w:hAnsi="Segoe UI" w:cs="Segoe UI"/>
          <w:color w:val="1D2125"/>
          <w:sz w:val="24"/>
          <w:szCs w:val="24"/>
          <w:shd w:val="clear" w:color="auto" w:fill="FFFFFF"/>
        </w:rPr>
      </w:pPr>
      <w:proofErr w:type="spellStart"/>
      <w:r>
        <w:rPr>
          <w:rFonts w:ascii="Segoe UI" w:hAnsi="Segoe UI" w:cs="Segoe UI"/>
          <w:color w:val="1D2125"/>
          <w:sz w:val="24"/>
          <w:szCs w:val="24"/>
          <w:shd w:val="clear" w:color="auto" w:fill="FFFFFF"/>
        </w:rPr>
        <w:t>Weitz</w:t>
      </w:r>
      <w:proofErr w:type="spellEnd"/>
      <w:r>
        <w:rPr>
          <w:rFonts w:ascii="Segoe UI" w:hAnsi="Segoe UI" w:cs="Segoe UI"/>
          <w:color w:val="1D2125"/>
          <w:sz w:val="24"/>
          <w:szCs w:val="24"/>
          <w:shd w:val="clear" w:color="auto" w:fill="FFFFFF"/>
        </w:rPr>
        <w:t xml:space="preserve">, </w:t>
      </w:r>
      <w:proofErr w:type="spellStart"/>
      <w:r>
        <w:rPr>
          <w:rFonts w:ascii="Segoe UI" w:hAnsi="Segoe UI" w:cs="Segoe UI"/>
          <w:color w:val="1D2125"/>
          <w:sz w:val="24"/>
          <w:szCs w:val="24"/>
          <w:shd w:val="clear" w:color="auto" w:fill="FFFFFF"/>
        </w:rPr>
        <w:t>Haadler</w:t>
      </w:r>
      <w:proofErr w:type="spellEnd"/>
      <w:r>
        <w:rPr>
          <w:rFonts w:ascii="Segoe UI" w:hAnsi="Segoe UI" w:cs="Segoe UI"/>
          <w:color w:val="1D2125"/>
          <w:sz w:val="24"/>
          <w:szCs w:val="24"/>
          <w:shd w:val="clear" w:color="auto" w:fill="FFFFFF"/>
        </w:rPr>
        <w:t>, Cus</w:t>
      </w:r>
      <w:r w:rsidR="007131F1">
        <w:rPr>
          <w:rFonts w:ascii="Segoe UI" w:hAnsi="Segoe UI" w:cs="Segoe UI"/>
          <w:color w:val="1D2125"/>
          <w:sz w:val="24"/>
          <w:szCs w:val="24"/>
          <w:shd w:val="clear" w:color="auto" w:fill="FFFFFF"/>
        </w:rPr>
        <w:t>h</w:t>
      </w:r>
      <w:r>
        <w:rPr>
          <w:rFonts w:ascii="Segoe UI" w:hAnsi="Segoe UI" w:cs="Segoe UI"/>
          <w:color w:val="1D2125"/>
          <w:sz w:val="24"/>
          <w:szCs w:val="24"/>
          <w:shd w:val="clear" w:color="auto" w:fill="FFFFFF"/>
        </w:rPr>
        <w:t xml:space="preserve">man and Mestrovic seem to be on the same page when it comes to divergent aims and constraints amongst the western powers and organisations. </w:t>
      </w:r>
      <w:proofErr w:type="spellStart"/>
      <w:r w:rsidR="00CF654F">
        <w:rPr>
          <w:rFonts w:ascii="Segoe UI" w:hAnsi="Segoe UI" w:cs="Segoe UI"/>
          <w:color w:val="1D2125"/>
          <w:sz w:val="24"/>
          <w:szCs w:val="24"/>
          <w:shd w:val="clear" w:color="auto" w:fill="FFFFFF"/>
        </w:rPr>
        <w:t>Weitz</w:t>
      </w:r>
      <w:proofErr w:type="spellEnd"/>
      <w:r w:rsidR="00CF654F">
        <w:rPr>
          <w:rFonts w:ascii="Segoe UI" w:hAnsi="Segoe UI" w:cs="Segoe UI"/>
          <w:color w:val="1D2125"/>
          <w:sz w:val="24"/>
          <w:szCs w:val="24"/>
          <w:shd w:val="clear" w:color="auto" w:fill="FFFFFF"/>
        </w:rPr>
        <w:t xml:space="preserve"> writes ‘even the best-intentioned mediations were stymied by the complexities on the ground .......... and the disagreements and conflicts among the western nations.’</w:t>
      </w:r>
      <w:r w:rsidR="00CF654F">
        <w:rPr>
          <w:rStyle w:val="FootnoteReference"/>
          <w:rFonts w:ascii="Segoe UI" w:hAnsi="Segoe UI" w:cs="Segoe UI"/>
          <w:color w:val="1D2125"/>
          <w:sz w:val="24"/>
          <w:szCs w:val="24"/>
          <w:shd w:val="clear" w:color="auto" w:fill="FFFFFF"/>
        </w:rPr>
        <w:footnoteReference w:id="9"/>
      </w:r>
      <w:r w:rsidR="00CF654F">
        <w:rPr>
          <w:rFonts w:ascii="Segoe UI" w:hAnsi="Segoe UI" w:cs="Segoe UI"/>
          <w:color w:val="1D2125"/>
          <w:sz w:val="24"/>
          <w:szCs w:val="24"/>
          <w:shd w:val="clear" w:color="auto" w:fill="FFFFFF"/>
        </w:rPr>
        <w:t xml:space="preserve"> Cushman and Mestrovic state ‘there was a considerable fear that any UN failure would spel</w:t>
      </w:r>
      <w:r w:rsidR="003D48EA">
        <w:rPr>
          <w:rFonts w:ascii="Segoe UI" w:hAnsi="Segoe UI" w:cs="Segoe UI"/>
          <w:color w:val="1D2125"/>
          <w:sz w:val="24"/>
          <w:szCs w:val="24"/>
          <w:shd w:val="clear" w:color="auto" w:fill="FFFFFF"/>
        </w:rPr>
        <w:t>l the end of the United Nations</w:t>
      </w:r>
      <w:r w:rsidR="00CF654F">
        <w:rPr>
          <w:rFonts w:ascii="Segoe UI" w:hAnsi="Segoe UI" w:cs="Segoe UI"/>
          <w:color w:val="1D2125"/>
          <w:sz w:val="24"/>
          <w:szCs w:val="24"/>
          <w:shd w:val="clear" w:color="auto" w:fill="FFFFFF"/>
        </w:rPr>
        <w:t>’</w:t>
      </w:r>
      <w:r w:rsidR="003D48EA">
        <w:rPr>
          <w:rFonts w:ascii="Segoe UI" w:hAnsi="Segoe UI" w:cs="Segoe UI"/>
          <w:color w:val="1D2125"/>
          <w:sz w:val="24"/>
          <w:szCs w:val="24"/>
          <w:shd w:val="clear" w:color="auto" w:fill="FFFFFF"/>
        </w:rPr>
        <w:t xml:space="preserve"> and that ‘this western action was not agreeable to all members of the NATO alliance’ in reference to air-strikes.</w:t>
      </w:r>
      <w:r w:rsidR="003D48EA">
        <w:rPr>
          <w:rStyle w:val="FootnoteReference"/>
          <w:rFonts w:ascii="Segoe UI" w:hAnsi="Segoe UI" w:cs="Segoe UI"/>
          <w:color w:val="1D2125"/>
          <w:sz w:val="24"/>
          <w:szCs w:val="24"/>
          <w:shd w:val="clear" w:color="auto" w:fill="FFFFFF"/>
        </w:rPr>
        <w:footnoteReference w:id="10"/>
      </w:r>
      <w:r w:rsidR="00CF654F">
        <w:rPr>
          <w:rFonts w:ascii="Segoe UI" w:hAnsi="Segoe UI" w:cs="Segoe UI"/>
          <w:color w:val="1D2125"/>
          <w:sz w:val="24"/>
          <w:szCs w:val="24"/>
          <w:shd w:val="clear" w:color="auto" w:fill="FFFFFF"/>
        </w:rPr>
        <w:t xml:space="preserve"> </w:t>
      </w:r>
      <w:proofErr w:type="spellStart"/>
      <w:r w:rsidR="007131F1">
        <w:rPr>
          <w:rFonts w:ascii="Segoe UI" w:hAnsi="Segoe UI" w:cs="Segoe UI"/>
          <w:color w:val="1D2125"/>
          <w:sz w:val="24"/>
          <w:szCs w:val="24"/>
          <w:shd w:val="clear" w:color="auto" w:fill="FFFFFF"/>
        </w:rPr>
        <w:t>Haadler</w:t>
      </w:r>
      <w:proofErr w:type="spellEnd"/>
      <w:r w:rsidR="007131F1">
        <w:rPr>
          <w:rFonts w:ascii="Segoe UI" w:hAnsi="Segoe UI" w:cs="Segoe UI"/>
          <w:color w:val="1D2125"/>
          <w:sz w:val="24"/>
          <w:szCs w:val="24"/>
          <w:shd w:val="clear" w:color="auto" w:fill="FFFFFF"/>
        </w:rPr>
        <w:t xml:space="preserve"> posits that the ‘day-to-day crisis management approach that had characterised the Clinton administration’s Bosnia strategy had lost virtually all </w:t>
      </w:r>
      <w:r w:rsidR="007131F1">
        <w:rPr>
          <w:rFonts w:ascii="Segoe UI" w:hAnsi="Segoe UI" w:cs="Segoe UI"/>
          <w:color w:val="1D2125"/>
          <w:sz w:val="24"/>
          <w:szCs w:val="24"/>
          <w:shd w:val="clear" w:color="auto" w:fill="FFFFFF"/>
        </w:rPr>
        <w:lastRenderedPageBreak/>
        <w:t>credibility.’</w:t>
      </w:r>
      <w:r w:rsidR="007131F1">
        <w:rPr>
          <w:rStyle w:val="FootnoteReference"/>
          <w:rFonts w:ascii="Segoe UI" w:hAnsi="Segoe UI" w:cs="Segoe UI"/>
          <w:color w:val="1D2125"/>
          <w:sz w:val="24"/>
          <w:szCs w:val="24"/>
          <w:shd w:val="clear" w:color="auto" w:fill="FFFFFF"/>
        </w:rPr>
        <w:footnoteReference w:id="11"/>
      </w:r>
      <w:r w:rsidR="007131F1">
        <w:rPr>
          <w:rFonts w:ascii="Segoe UI" w:hAnsi="Segoe UI" w:cs="Segoe UI"/>
          <w:color w:val="1D2125"/>
          <w:sz w:val="24"/>
          <w:szCs w:val="24"/>
          <w:shd w:val="clear" w:color="auto" w:fill="FFFFFF"/>
        </w:rPr>
        <w:t xml:space="preserve"> </w:t>
      </w:r>
      <w:r w:rsidR="00657204">
        <w:rPr>
          <w:rFonts w:ascii="Segoe UI" w:hAnsi="Segoe UI" w:cs="Segoe UI"/>
          <w:color w:val="1D2125"/>
          <w:sz w:val="24"/>
          <w:szCs w:val="24"/>
          <w:shd w:val="clear" w:color="auto" w:fill="FFFFFF"/>
        </w:rPr>
        <w:t xml:space="preserve">These statements are in line with the deduced analysis of the letter that there was broad disagreement and a conflict of interests among the involved western bodies. </w:t>
      </w:r>
    </w:p>
    <w:p w:rsidR="001B0E5C" w:rsidRDefault="00680A77">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In terms of the failure to prevent the genocide by the involved bodies, namely the US, UN, NATO and the EC, there seems to be a consensus amongst the scholarship that these bodies were culpable. </w:t>
      </w:r>
      <w:proofErr w:type="spellStart"/>
      <w:r>
        <w:rPr>
          <w:rFonts w:ascii="Segoe UI" w:hAnsi="Segoe UI" w:cs="Segoe UI"/>
          <w:color w:val="1D2125"/>
          <w:sz w:val="24"/>
          <w:szCs w:val="24"/>
          <w:shd w:val="clear" w:color="auto" w:fill="FFFFFF"/>
        </w:rPr>
        <w:t>Weitz</w:t>
      </w:r>
      <w:proofErr w:type="spellEnd"/>
      <w:r>
        <w:rPr>
          <w:rFonts w:ascii="Segoe UI" w:hAnsi="Segoe UI" w:cs="Segoe UI"/>
          <w:color w:val="1D2125"/>
          <w:sz w:val="24"/>
          <w:szCs w:val="24"/>
          <w:shd w:val="clear" w:color="auto" w:fill="FFFFFF"/>
        </w:rPr>
        <w:t xml:space="preserve"> states ‘the US government and others had intelligence reports on the atrocities being committed but tried to keep it under wraps, fearful of being drawn into the conflict.’</w:t>
      </w:r>
      <w:r>
        <w:rPr>
          <w:rStyle w:val="FootnoteReference"/>
          <w:rFonts w:ascii="Segoe UI" w:hAnsi="Segoe UI" w:cs="Segoe UI"/>
          <w:color w:val="1D2125"/>
          <w:sz w:val="24"/>
          <w:szCs w:val="24"/>
          <w:shd w:val="clear" w:color="auto" w:fill="FFFFFF"/>
        </w:rPr>
        <w:footnoteReference w:id="12"/>
      </w:r>
      <w:r>
        <w:rPr>
          <w:rFonts w:ascii="Segoe UI" w:hAnsi="Segoe UI" w:cs="Segoe UI"/>
          <w:color w:val="1D2125"/>
          <w:sz w:val="24"/>
          <w:szCs w:val="24"/>
          <w:shd w:val="clear" w:color="auto" w:fill="FFFFFF"/>
        </w:rPr>
        <w:t xml:space="preserve"> At this stage it was the UN peacekeepers that were on the ground as shown in the primary source, ‘UN presence in the Eastern Enclaves.’</w:t>
      </w:r>
      <w:r>
        <w:rPr>
          <w:rStyle w:val="FootnoteReference"/>
          <w:rFonts w:ascii="Segoe UI" w:hAnsi="Segoe UI" w:cs="Segoe UI"/>
          <w:color w:val="1D2125"/>
          <w:sz w:val="24"/>
          <w:szCs w:val="24"/>
          <w:shd w:val="clear" w:color="auto" w:fill="FFFFFF"/>
        </w:rPr>
        <w:footnoteReference w:id="13"/>
      </w:r>
      <w:r>
        <w:rPr>
          <w:rFonts w:ascii="Segoe UI" w:hAnsi="Segoe UI" w:cs="Segoe UI"/>
          <w:color w:val="1D2125"/>
          <w:sz w:val="24"/>
          <w:szCs w:val="24"/>
          <w:shd w:val="clear" w:color="auto" w:fill="FFFFFF"/>
        </w:rPr>
        <w:t xml:space="preserve"> </w:t>
      </w:r>
      <w:proofErr w:type="spellStart"/>
      <w:r>
        <w:rPr>
          <w:rFonts w:ascii="Segoe UI" w:hAnsi="Segoe UI" w:cs="Segoe UI"/>
          <w:color w:val="1D2125"/>
          <w:sz w:val="24"/>
          <w:szCs w:val="24"/>
          <w:shd w:val="clear" w:color="auto" w:fill="FFFFFF"/>
        </w:rPr>
        <w:t>Weitz</w:t>
      </w:r>
      <w:proofErr w:type="spellEnd"/>
      <w:r>
        <w:rPr>
          <w:rFonts w:ascii="Segoe UI" w:hAnsi="Segoe UI" w:cs="Segoe UI"/>
          <w:color w:val="1D2125"/>
          <w:sz w:val="24"/>
          <w:szCs w:val="24"/>
          <w:shd w:val="clear" w:color="auto" w:fill="FFFFFF"/>
        </w:rPr>
        <w:t xml:space="preserve"> goes on to state ‘the Dutch forces were understaffed, under armed, and under supported’, ‘</w:t>
      </w:r>
      <w:r w:rsidR="00D81475">
        <w:rPr>
          <w:rFonts w:ascii="Segoe UI" w:hAnsi="Segoe UI" w:cs="Segoe UI"/>
          <w:color w:val="1D2125"/>
          <w:sz w:val="24"/>
          <w:szCs w:val="24"/>
          <w:shd w:val="clear" w:color="auto" w:fill="FFFFFF"/>
        </w:rPr>
        <w:t>the Dutch forces simpl</w:t>
      </w:r>
      <w:r>
        <w:rPr>
          <w:rFonts w:ascii="Segoe UI" w:hAnsi="Segoe UI" w:cs="Segoe UI"/>
          <w:color w:val="1D2125"/>
          <w:sz w:val="24"/>
          <w:szCs w:val="24"/>
          <w:shd w:val="clear" w:color="auto" w:fill="FFFFFF"/>
        </w:rPr>
        <w:t xml:space="preserve">y watched </w:t>
      </w:r>
      <w:r w:rsidR="000C7156">
        <w:rPr>
          <w:rFonts w:ascii="Segoe UI" w:hAnsi="Segoe UI" w:cs="Segoe UI"/>
          <w:color w:val="1D2125"/>
          <w:sz w:val="24"/>
          <w:szCs w:val="24"/>
          <w:shd w:val="clear" w:color="auto" w:fill="FFFFFF"/>
        </w:rPr>
        <w:t>the Serb forces’ commit atrocities and that the efforts of the EC, NATO and the UN, had often been ‘half-hearted, haphazard or ill-conceived.’</w:t>
      </w:r>
      <w:r w:rsidR="000C7156">
        <w:rPr>
          <w:rStyle w:val="FootnoteReference"/>
          <w:rFonts w:ascii="Segoe UI" w:hAnsi="Segoe UI" w:cs="Segoe UI"/>
          <w:color w:val="1D2125"/>
          <w:sz w:val="24"/>
          <w:szCs w:val="24"/>
          <w:shd w:val="clear" w:color="auto" w:fill="FFFFFF"/>
        </w:rPr>
        <w:footnoteReference w:id="14"/>
      </w:r>
      <w:r w:rsidR="000C7156">
        <w:rPr>
          <w:rFonts w:ascii="Segoe UI" w:hAnsi="Segoe UI" w:cs="Segoe UI"/>
          <w:color w:val="1D2125"/>
          <w:sz w:val="24"/>
          <w:szCs w:val="24"/>
          <w:shd w:val="clear" w:color="auto" w:fill="FFFFFF"/>
        </w:rPr>
        <w:t xml:space="preserve"> </w:t>
      </w:r>
      <w:r w:rsidR="00523421">
        <w:rPr>
          <w:rFonts w:ascii="Segoe UI" w:hAnsi="Segoe UI" w:cs="Segoe UI"/>
          <w:color w:val="1D2125"/>
          <w:sz w:val="24"/>
          <w:szCs w:val="24"/>
          <w:shd w:val="clear" w:color="auto" w:fill="FFFFFF"/>
        </w:rPr>
        <w:t>Jones writes about UN protection of ‘safe areas’ especially in Srebrenica that ‘these were not effectively defended’ and that the ‘American</w:t>
      </w:r>
      <w:r w:rsidR="00D81475">
        <w:rPr>
          <w:rFonts w:ascii="Segoe UI" w:hAnsi="Segoe UI" w:cs="Segoe UI"/>
          <w:color w:val="1D2125"/>
          <w:sz w:val="24"/>
          <w:szCs w:val="24"/>
          <w:shd w:val="clear" w:color="auto" w:fill="FFFFFF"/>
        </w:rPr>
        <w:t>s</w:t>
      </w:r>
      <w:r w:rsidR="00523421">
        <w:rPr>
          <w:rFonts w:ascii="Segoe UI" w:hAnsi="Segoe UI" w:cs="Segoe UI"/>
          <w:color w:val="1D2125"/>
          <w:sz w:val="24"/>
          <w:szCs w:val="24"/>
          <w:shd w:val="clear" w:color="auto" w:fill="FFFFFF"/>
        </w:rPr>
        <w:t xml:space="preserve"> and Europeans turned a blind eye to Croatia’s rearmament.’ </w:t>
      </w:r>
      <w:proofErr w:type="spellStart"/>
      <w:r w:rsidR="00523421">
        <w:rPr>
          <w:rFonts w:ascii="Segoe UI" w:hAnsi="Segoe UI" w:cs="Segoe UI"/>
          <w:color w:val="1D2125"/>
          <w:sz w:val="24"/>
          <w:szCs w:val="24"/>
          <w:shd w:val="clear" w:color="auto" w:fill="FFFFFF"/>
        </w:rPr>
        <w:t>Haadler</w:t>
      </w:r>
      <w:proofErr w:type="spellEnd"/>
      <w:r w:rsidR="00523421">
        <w:rPr>
          <w:rFonts w:ascii="Segoe UI" w:hAnsi="Segoe UI" w:cs="Segoe UI"/>
          <w:color w:val="1D2125"/>
          <w:sz w:val="24"/>
          <w:szCs w:val="24"/>
          <w:shd w:val="clear" w:color="auto" w:fill="FFFFFF"/>
        </w:rPr>
        <w:t xml:space="preserve"> corroborates this by stating the mess caused by the ‘longstanding refusal to put US troops on the ground’ and ‘UN insistence on traditional peacekeeping.’ This supports the primary source analysis further as it mentions the distinction between peace keepers and peace enforcers and that the focus was on the former. </w:t>
      </w:r>
    </w:p>
    <w:p w:rsidR="002F71ED" w:rsidRDefault="002F71ED">
      <w:pPr>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Conclusion</w:t>
      </w:r>
    </w:p>
    <w:p w:rsidR="00235A7E" w:rsidRDefault="009904D6">
      <w:pPr>
        <w:rPr>
          <w:sz w:val="24"/>
          <w:szCs w:val="24"/>
        </w:rPr>
      </w:pPr>
      <w:r>
        <w:rPr>
          <w:sz w:val="24"/>
          <w:szCs w:val="24"/>
        </w:rPr>
        <w:t xml:space="preserve">Overall, there seems to be an overarching consensus among scholars about the international response </w:t>
      </w:r>
      <w:r w:rsidR="00D81475">
        <w:rPr>
          <w:sz w:val="24"/>
          <w:szCs w:val="24"/>
        </w:rPr>
        <w:t>to the Bosnian Genocide p</w:t>
      </w:r>
      <w:r w:rsidR="00EB08C4">
        <w:rPr>
          <w:sz w:val="24"/>
          <w:szCs w:val="24"/>
        </w:rPr>
        <w:t>articularly when talking about western p</w:t>
      </w:r>
      <w:r w:rsidR="00D81475">
        <w:rPr>
          <w:sz w:val="24"/>
          <w:szCs w:val="24"/>
        </w:rPr>
        <w:t xml:space="preserve">owers </w:t>
      </w:r>
      <w:r w:rsidR="00EB08C4">
        <w:rPr>
          <w:sz w:val="24"/>
          <w:szCs w:val="24"/>
        </w:rPr>
        <w:t xml:space="preserve">namely the US and the EC </w:t>
      </w:r>
      <w:r w:rsidR="00D81475">
        <w:rPr>
          <w:sz w:val="24"/>
          <w:szCs w:val="24"/>
        </w:rPr>
        <w:t>and International</w:t>
      </w:r>
      <w:r w:rsidR="00EB08C4">
        <w:rPr>
          <w:sz w:val="24"/>
          <w:szCs w:val="24"/>
        </w:rPr>
        <w:t xml:space="preserve"> Org</w:t>
      </w:r>
      <w:r w:rsidR="00D81475">
        <w:rPr>
          <w:sz w:val="24"/>
          <w:szCs w:val="24"/>
        </w:rPr>
        <w:t>anisations such as NATO and the UN</w:t>
      </w:r>
      <w:r w:rsidR="00EB08C4">
        <w:rPr>
          <w:sz w:val="24"/>
          <w:szCs w:val="24"/>
        </w:rPr>
        <w:t xml:space="preserve"> and their umbrella organisations. There seems to be a focus on a failure to act, an unwillingness and reluctance to commit to any substantive effort to end the war and genocide. The sources outline and corroborate why this could have been so when mentioning about conflicting interests of involved bodies, fears of getting drawn into the </w:t>
      </w:r>
      <w:r w:rsidR="00EB08C4">
        <w:rPr>
          <w:sz w:val="24"/>
          <w:szCs w:val="24"/>
        </w:rPr>
        <w:lastRenderedPageBreak/>
        <w:t xml:space="preserve">conflict, fears of consequences and reprisals from the opposition forces and by a general lack of will and confused and complex state of affairs on the ground. </w:t>
      </w:r>
    </w:p>
    <w:p w:rsidR="00EB08C4" w:rsidRDefault="00EB08C4">
      <w:pPr>
        <w:rPr>
          <w:sz w:val="24"/>
          <w:szCs w:val="24"/>
        </w:rPr>
      </w:pPr>
      <w:r>
        <w:rPr>
          <w:sz w:val="24"/>
          <w:szCs w:val="24"/>
        </w:rPr>
        <w:t>Bibliography</w:t>
      </w:r>
    </w:p>
    <w:p w:rsidR="00861ED1" w:rsidRDefault="00861ED1" w:rsidP="00861ED1">
      <w:pPr>
        <w:pStyle w:val="FootnoteText"/>
      </w:pPr>
      <w:r w:rsidRPr="002431C7">
        <w:t xml:space="preserve">Cushman </w:t>
      </w:r>
      <w:r>
        <w:t xml:space="preserve">Thomas and </w:t>
      </w:r>
      <w:r w:rsidRPr="002431C7">
        <w:t>Mestrovic</w:t>
      </w:r>
      <w:r>
        <w:t xml:space="preserve"> </w:t>
      </w:r>
      <w:proofErr w:type="spellStart"/>
      <w:r>
        <w:t>Stjepan</w:t>
      </w:r>
      <w:proofErr w:type="spellEnd"/>
      <w:r w:rsidRPr="002431C7">
        <w:t xml:space="preserve">, </w:t>
      </w:r>
      <w:r w:rsidRPr="002431C7">
        <w:rPr>
          <w:i/>
          <w:iCs/>
        </w:rPr>
        <w:t xml:space="preserve">This Time We Knew: Western Responses to Genocide in Bosnia </w:t>
      </w:r>
      <w:r w:rsidRPr="002431C7">
        <w:t>(N</w:t>
      </w:r>
      <w:r>
        <w:t>ew York University Press, 1996)</w:t>
      </w:r>
    </w:p>
    <w:p w:rsidR="00861ED1" w:rsidRDefault="00861ED1" w:rsidP="00CD578D">
      <w:pPr>
        <w:pStyle w:val="FootnoteText"/>
      </w:pPr>
    </w:p>
    <w:p w:rsidR="00CD578D" w:rsidRDefault="00861ED1" w:rsidP="00CD578D">
      <w:pPr>
        <w:pStyle w:val="FootnoteText"/>
      </w:pPr>
      <w:proofErr w:type="spellStart"/>
      <w:r>
        <w:t>Daalder</w:t>
      </w:r>
      <w:proofErr w:type="spellEnd"/>
      <w:r>
        <w:t xml:space="preserve"> H </w:t>
      </w:r>
      <w:proofErr w:type="spellStart"/>
      <w:r>
        <w:t>Ivo</w:t>
      </w:r>
      <w:proofErr w:type="spellEnd"/>
      <w:proofErr w:type="gramStart"/>
      <w:r>
        <w:t xml:space="preserve">, </w:t>
      </w:r>
      <w:r w:rsidR="00CD578D">
        <w:t xml:space="preserve"> </w:t>
      </w:r>
      <w:r w:rsidR="00CD578D" w:rsidRPr="00722216">
        <w:rPr>
          <w:i/>
        </w:rPr>
        <w:t>‘Decision</w:t>
      </w:r>
      <w:proofErr w:type="gramEnd"/>
      <w:r w:rsidR="00CD578D" w:rsidRPr="00722216">
        <w:rPr>
          <w:i/>
        </w:rPr>
        <w:t xml:space="preserve"> to Intervene: How the War in Bosnia Ended’</w:t>
      </w:r>
      <w:r w:rsidR="00CD578D">
        <w:t>, Brookings Institute, 01/11/1998, ‘</w:t>
      </w:r>
      <w:r w:rsidR="00CD578D" w:rsidRPr="00FB03CF">
        <w:t>https://www.brookings.edu/articles/decision-to-intervene-how-the-war-in-bosnia-ended/</w:t>
      </w:r>
      <w:r w:rsidR="00CD578D">
        <w:t>’, [last accessed 18/08/2024]</w:t>
      </w:r>
    </w:p>
    <w:p w:rsidR="00CD578D" w:rsidRDefault="00CD578D" w:rsidP="00CD578D">
      <w:pPr>
        <w:pStyle w:val="FootnoteText"/>
      </w:pPr>
    </w:p>
    <w:p w:rsidR="00861ED1" w:rsidRPr="00861ED1" w:rsidRDefault="00861ED1" w:rsidP="00861ED1">
      <w:pPr>
        <w:rPr>
          <w:color w:val="FF0000"/>
        </w:rPr>
      </w:pPr>
      <w:r w:rsidRPr="006140C2">
        <w:t>Jones,</w:t>
      </w:r>
      <w:r>
        <w:t xml:space="preserve"> Adam</w:t>
      </w:r>
      <w:r w:rsidRPr="006140C2">
        <w:t xml:space="preserve"> </w:t>
      </w:r>
      <w:r w:rsidRPr="006140C2">
        <w:rPr>
          <w:i/>
          <w:iCs/>
        </w:rPr>
        <w:t xml:space="preserve">Genocide: A Comprehensive Introduction </w:t>
      </w:r>
      <w:r w:rsidRPr="006140C2">
        <w:t xml:space="preserve">(2nd. </w:t>
      </w:r>
      <w:proofErr w:type="gramStart"/>
      <w:r w:rsidRPr="006140C2">
        <w:t>ed</w:t>
      </w:r>
      <w:proofErr w:type="gramEnd"/>
      <w:r w:rsidRPr="006140C2">
        <w:t xml:space="preserve">.) </w:t>
      </w:r>
      <w:r w:rsidRPr="006140C2">
        <w:rPr>
          <w:i/>
          <w:iCs/>
        </w:rPr>
        <w:t xml:space="preserve"> </w:t>
      </w:r>
      <w:r>
        <w:t>(Abingdon, 2011), Chapter 8</w:t>
      </w:r>
    </w:p>
    <w:p w:rsidR="00EB08C4" w:rsidRDefault="00CD578D" w:rsidP="00CD578D">
      <w:pPr>
        <w:pStyle w:val="FootnoteText"/>
      </w:pPr>
      <w:r>
        <w:t>Nikolai</w:t>
      </w:r>
      <w:r w:rsidR="00861ED1">
        <w:t xml:space="preserve"> </w:t>
      </w:r>
      <w:proofErr w:type="spellStart"/>
      <w:r w:rsidR="00861ED1">
        <w:t>Kees</w:t>
      </w:r>
      <w:proofErr w:type="spellEnd"/>
      <w:r>
        <w:t xml:space="preserve"> Papers, The National Security Archive, 27/06/1995</w:t>
      </w:r>
      <w:proofErr w:type="gramStart"/>
      <w:r>
        <w:t>,  ‘</w:t>
      </w:r>
      <w:r w:rsidRPr="00AE3176">
        <w:t>https</w:t>
      </w:r>
      <w:proofErr w:type="gramEnd"/>
      <w:r w:rsidRPr="00AE3176">
        <w:t>://nsarchive2.gwu.edu/NSAEBB/NSAEBB519-Srebrenica-conference-documents-detail-path-to-genocide-from-1993-to-1995/Documents/DOCUMENT%2017%20-%2019950627%20janvier.pdf</w:t>
      </w:r>
      <w:r>
        <w:t>’, [last accessed 18/08/2024]</w:t>
      </w:r>
    </w:p>
    <w:p w:rsidR="00CD578D" w:rsidRPr="00CD578D" w:rsidRDefault="00CD578D" w:rsidP="00CD578D">
      <w:pPr>
        <w:pStyle w:val="FootnoteText"/>
      </w:pPr>
    </w:p>
    <w:p w:rsidR="00861ED1" w:rsidRDefault="00CD578D" w:rsidP="00CD578D">
      <w:pPr>
        <w:rPr>
          <w:color w:val="FF0000"/>
        </w:rPr>
      </w:pPr>
      <w:proofErr w:type="spellStart"/>
      <w:r w:rsidRPr="00722216">
        <w:t>Weitz</w:t>
      </w:r>
      <w:proofErr w:type="spellEnd"/>
      <w:r w:rsidRPr="00722216">
        <w:t xml:space="preserve">, </w:t>
      </w:r>
      <w:r w:rsidR="00861ED1">
        <w:t>D Eric,</w:t>
      </w:r>
      <w:r w:rsidR="00861ED1" w:rsidRPr="00722216">
        <w:t xml:space="preserve"> </w:t>
      </w:r>
      <w:r w:rsidRPr="00722216">
        <w:rPr>
          <w:i/>
          <w:iCs/>
        </w:rPr>
        <w:t xml:space="preserve">A Century of Genocide: Utopias of Race and Nation </w:t>
      </w:r>
      <w:r w:rsidRPr="00722216">
        <w:t>(Princeton Uni</w:t>
      </w:r>
      <w:r>
        <w:t>versity Press, 2013), chapter 5</w:t>
      </w:r>
    </w:p>
    <w:p w:rsidR="00CD578D" w:rsidRPr="00CD578D" w:rsidRDefault="00CD578D" w:rsidP="00CD578D">
      <w:pPr>
        <w:pStyle w:val="FootnoteText"/>
      </w:pPr>
    </w:p>
    <w:p w:rsidR="00CD578D" w:rsidRPr="009C0B9D" w:rsidRDefault="00CD578D">
      <w:pPr>
        <w:rPr>
          <w:sz w:val="24"/>
          <w:szCs w:val="24"/>
        </w:rPr>
      </w:pPr>
    </w:p>
    <w:sectPr w:rsidR="00CD578D" w:rsidRPr="009C0B9D" w:rsidSect="005F4C3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41FBD" w:rsidRDefault="00B41FBD" w:rsidP="00FB03CF">
      <w:pPr>
        <w:spacing w:after="0" w:line="240" w:lineRule="auto"/>
      </w:pPr>
      <w:r>
        <w:separator/>
      </w:r>
    </w:p>
  </w:endnote>
  <w:endnote w:type="continuationSeparator" w:id="0">
    <w:p w:rsidR="00B41FBD" w:rsidRDefault="00B41FBD" w:rsidP="00FB03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41FBD" w:rsidRDefault="00B41FBD" w:rsidP="00FB03CF">
      <w:pPr>
        <w:spacing w:after="0" w:line="240" w:lineRule="auto"/>
      </w:pPr>
      <w:r>
        <w:separator/>
      </w:r>
    </w:p>
  </w:footnote>
  <w:footnote w:type="continuationSeparator" w:id="0">
    <w:p w:rsidR="00B41FBD" w:rsidRDefault="00B41FBD" w:rsidP="00FB03CF">
      <w:pPr>
        <w:spacing w:after="0" w:line="240" w:lineRule="auto"/>
      </w:pPr>
      <w:r>
        <w:continuationSeparator/>
      </w:r>
    </w:p>
  </w:footnote>
  <w:footnote w:id="1">
    <w:p w:rsidR="00FB03CF" w:rsidRDefault="00FB03CF">
      <w:pPr>
        <w:pStyle w:val="FootnoteText"/>
      </w:pPr>
      <w:r>
        <w:rPr>
          <w:rStyle w:val="FootnoteReference"/>
        </w:rPr>
        <w:footnoteRef/>
      </w:r>
      <w:r>
        <w:t xml:space="preserve"> </w:t>
      </w:r>
      <w:proofErr w:type="spellStart"/>
      <w:r>
        <w:t>Ivo</w:t>
      </w:r>
      <w:proofErr w:type="spellEnd"/>
      <w:r>
        <w:t xml:space="preserve"> H. </w:t>
      </w:r>
      <w:proofErr w:type="spellStart"/>
      <w:r>
        <w:t>Daalder</w:t>
      </w:r>
      <w:proofErr w:type="spellEnd"/>
      <w:r>
        <w:t xml:space="preserve">, </w:t>
      </w:r>
      <w:r w:rsidRPr="00722216">
        <w:rPr>
          <w:i/>
        </w:rPr>
        <w:t>‘Decision to Intervene: How the War in Bosnia Ended’</w:t>
      </w:r>
      <w:r>
        <w:t>, Brookings Institute, 01/11/1998, ‘</w:t>
      </w:r>
      <w:r w:rsidRPr="00FB03CF">
        <w:t>https://www.brookings.edu/articles/decision-to-intervene-how-the-war-in-bosnia-ended/</w:t>
      </w:r>
      <w:r>
        <w:t>’, [last accessed 18/08/2024]</w:t>
      </w:r>
    </w:p>
  </w:footnote>
  <w:footnote w:id="2">
    <w:p w:rsidR="00AE3176" w:rsidRDefault="00AE3176">
      <w:pPr>
        <w:pStyle w:val="FootnoteText"/>
      </w:pPr>
      <w:r>
        <w:rPr>
          <w:rStyle w:val="FootnoteReference"/>
        </w:rPr>
        <w:footnoteRef/>
      </w:r>
      <w:r>
        <w:t xml:space="preserve"> </w:t>
      </w:r>
      <w:proofErr w:type="spellStart"/>
      <w:r>
        <w:t>Kees</w:t>
      </w:r>
      <w:proofErr w:type="spellEnd"/>
      <w:r>
        <w:t xml:space="preserve"> Nikolai Papers, The National Security Archive, 27/</w:t>
      </w:r>
      <w:r w:rsidR="00324021">
        <w:t xml:space="preserve">06/1995, </w:t>
      </w:r>
      <w:r>
        <w:t xml:space="preserve"> </w:t>
      </w:r>
      <w:r w:rsidR="00324021">
        <w:t>‘</w:t>
      </w:r>
      <w:r w:rsidRPr="00AE3176">
        <w:t>https://nsarchive2.gwu.edu/NSAEBB/NSAEBB519-Srebrenica-conference-documents-detail-path-to-genocide-from-1993-to-1995/Documents/DOCUMENT%2017%20-%2019950627%20janvier.pdf</w:t>
      </w:r>
      <w:r w:rsidR="00324021">
        <w:t>’, [last accessed 18/08/2024]</w:t>
      </w:r>
    </w:p>
  </w:footnote>
  <w:footnote w:id="3">
    <w:p w:rsidR="006140C2" w:rsidRDefault="00440635">
      <w:pPr>
        <w:pStyle w:val="FootnoteText"/>
      </w:pPr>
      <w:r>
        <w:rPr>
          <w:rStyle w:val="FootnoteReference"/>
        </w:rPr>
        <w:footnoteRef/>
      </w:r>
      <w:r>
        <w:t xml:space="preserve"> </w:t>
      </w:r>
      <w:proofErr w:type="spellStart"/>
      <w:r>
        <w:t>Kees</w:t>
      </w:r>
      <w:proofErr w:type="spellEnd"/>
      <w:r>
        <w:t xml:space="preserve"> Nikolai Papers, The National Security Archive, 27/06/1995,  ‘</w:t>
      </w:r>
      <w:r w:rsidRPr="00AE3176">
        <w:t>https://nsarchive2.gwu.edu/NSAEBB/NSAEBB519-Srebrenica-conference-documents-detail-path-to-genocide-from-1993-to-1995/Documents/DOCUMENT%2017%20-%2019950627%20janvier.pdf</w:t>
      </w:r>
      <w:r>
        <w:t>’, [last accessed 18/08/2024]</w:t>
      </w:r>
    </w:p>
  </w:footnote>
  <w:footnote w:id="4">
    <w:p w:rsidR="00407FDC" w:rsidRPr="006140C2" w:rsidRDefault="00407FDC" w:rsidP="006140C2">
      <w:pPr>
        <w:rPr>
          <w:color w:val="FF0000"/>
        </w:rPr>
      </w:pPr>
      <w:r>
        <w:rPr>
          <w:rStyle w:val="FootnoteReference"/>
        </w:rPr>
        <w:footnoteRef/>
      </w:r>
      <w:r>
        <w:t xml:space="preserve"> </w:t>
      </w:r>
      <w:r w:rsidRPr="00722216">
        <w:t xml:space="preserve">Eric D. Weitz, </w:t>
      </w:r>
      <w:r w:rsidRPr="00722216">
        <w:rPr>
          <w:i/>
          <w:iCs/>
        </w:rPr>
        <w:t xml:space="preserve">A Century of Genocide: Utopias of Race and Nation </w:t>
      </w:r>
      <w:r w:rsidRPr="00722216">
        <w:t>(Princeton Uni</w:t>
      </w:r>
      <w:r w:rsidR="00CF654F">
        <w:t>versity Press, 2013),</w:t>
      </w:r>
      <w:r w:rsidR="00722216">
        <w:t xml:space="preserve"> chapter 5, pages 216-217</w:t>
      </w:r>
    </w:p>
  </w:footnote>
  <w:footnote w:id="5">
    <w:p w:rsidR="006140C2" w:rsidRDefault="006140C2" w:rsidP="009928F1">
      <w:r w:rsidRPr="006140C2">
        <w:rPr>
          <w:rStyle w:val="FootnoteReference"/>
        </w:rPr>
        <w:footnoteRef/>
      </w:r>
      <w:r w:rsidRPr="006140C2">
        <w:t xml:space="preserve"> Adam Jones, </w:t>
      </w:r>
      <w:r w:rsidRPr="006140C2">
        <w:rPr>
          <w:i/>
          <w:iCs/>
        </w:rPr>
        <w:t xml:space="preserve">Genocide: A Comprehensive Introduction </w:t>
      </w:r>
      <w:r w:rsidRPr="006140C2">
        <w:t xml:space="preserve">(2nd. </w:t>
      </w:r>
      <w:proofErr w:type="gramStart"/>
      <w:r w:rsidRPr="006140C2">
        <w:t>ed</w:t>
      </w:r>
      <w:proofErr w:type="gramEnd"/>
      <w:r w:rsidRPr="006140C2">
        <w:t xml:space="preserve">.) </w:t>
      </w:r>
      <w:r w:rsidRPr="006140C2">
        <w:rPr>
          <w:i/>
          <w:iCs/>
        </w:rPr>
        <w:t xml:space="preserve"> </w:t>
      </w:r>
      <w:r>
        <w:t>(Abingdon, 2011), Chapter 8, p325</w:t>
      </w:r>
    </w:p>
  </w:footnote>
  <w:footnote w:id="6">
    <w:p w:rsidR="009928F1" w:rsidRDefault="009928F1">
      <w:pPr>
        <w:pStyle w:val="FootnoteText"/>
      </w:pPr>
      <w:r>
        <w:rPr>
          <w:rStyle w:val="FootnoteReference"/>
        </w:rPr>
        <w:footnoteRef/>
      </w:r>
      <w:r>
        <w:t xml:space="preserve"> </w:t>
      </w:r>
      <w:proofErr w:type="spellStart"/>
      <w:r>
        <w:t>Ivo</w:t>
      </w:r>
      <w:proofErr w:type="spellEnd"/>
      <w:r>
        <w:t xml:space="preserve"> H. </w:t>
      </w:r>
      <w:proofErr w:type="spellStart"/>
      <w:r>
        <w:t>Daalder</w:t>
      </w:r>
      <w:proofErr w:type="spellEnd"/>
      <w:r>
        <w:t xml:space="preserve">, </w:t>
      </w:r>
      <w:r w:rsidRPr="00722216">
        <w:rPr>
          <w:i/>
        </w:rPr>
        <w:t>‘Decision to Intervene: How the War in Bosnia Ended’</w:t>
      </w:r>
      <w:r>
        <w:t>, Brookings Institute, 01/11/1998, ‘</w:t>
      </w:r>
      <w:r w:rsidRPr="00FB03CF">
        <w:t>https://www.brookings.edu/articles/decision-to-intervene-how-the-war-in-bosnia-ended/</w:t>
      </w:r>
      <w:r>
        <w:t>’, [last accessed 18/08/2024]</w:t>
      </w:r>
    </w:p>
  </w:footnote>
  <w:footnote w:id="7">
    <w:p w:rsidR="002431C7" w:rsidRPr="002431C7" w:rsidRDefault="002431C7">
      <w:pPr>
        <w:pStyle w:val="FootnoteText"/>
      </w:pPr>
      <w:r w:rsidRPr="002431C7">
        <w:rPr>
          <w:rStyle w:val="FootnoteReference"/>
        </w:rPr>
        <w:footnoteRef/>
      </w:r>
      <w:r w:rsidRPr="002431C7">
        <w:t xml:space="preserve"> Thomas Cushman and </w:t>
      </w:r>
      <w:proofErr w:type="spellStart"/>
      <w:r w:rsidRPr="002431C7">
        <w:t>Stjepan</w:t>
      </w:r>
      <w:proofErr w:type="spellEnd"/>
      <w:r w:rsidRPr="002431C7">
        <w:t xml:space="preserve"> Mestrovic, </w:t>
      </w:r>
      <w:r w:rsidRPr="002431C7">
        <w:rPr>
          <w:i/>
          <w:iCs/>
        </w:rPr>
        <w:t xml:space="preserve">This Time We Knew: Western Responses to Genocide in Bosnia </w:t>
      </w:r>
      <w:r w:rsidRPr="002431C7">
        <w:t>(N</w:t>
      </w:r>
      <w:r>
        <w:t>ew York University Press, 1996), p138-139</w:t>
      </w:r>
    </w:p>
  </w:footnote>
  <w:footnote w:id="8">
    <w:p w:rsidR="003D05B8" w:rsidRDefault="003D05B8">
      <w:pPr>
        <w:pStyle w:val="FootnoteText"/>
      </w:pPr>
      <w:r>
        <w:rPr>
          <w:rStyle w:val="FootnoteReference"/>
        </w:rPr>
        <w:footnoteRef/>
      </w:r>
      <w:r>
        <w:t xml:space="preserve"> </w:t>
      </w:r>
      <w:proofErr w:type="spellStart"/>
      <w:r>
        <w:t>Kees</w:t>
      </w:r>
      <w:proofErr w:type="spellEnd"/>
      <w:r>
        <w:t xml:space="preserve"> Nikolai Papers, The National Security Archive, 27/06/1995,  ‘</w:t>
      </w:r>
      <w:r w:rsidRPr="00AE3176">
        <w:t>https://nsarchive2.gwu.edu/NSAEBB/NSAEBB519-Srebrenica-conference-documents-detail-path-to-genocide-from-1993-to-1995/Documents/DOCUMENT%2017%20-%2019950627%20janvier.pdf</w:t>
      </w:r>
      <w:r>
        <w:t>’, [last accessed 18/08/2024]</w:t>
      </w:r>
    </w:p>
  </w:footnote>
  <w:footnote w:id="9">
    <w:p w:rsidR="00CF654F" w:rsidRDefault="00CF654F">
      <w:pPr>
        <w:pStyle w:val="FootnoteText"/>
      </w:pPr>
      <w:r>
        <w:rPr>
          <w:rStyle w:val="FootnoteReference"/>
        </w:rPr>
        <w:footnoteRef/>
      </w:r>
      <w:r>
        <w:t xml:space="preserve"> </w:t>
      </w:r>
      <w:r w:rsidRPr="00722216">
        <w:t xml:space="preserve">Eric D. </w:t>
      </w:r>
      <w:proofErr w:type="spellStart"/>
      <w:r w:rsidRPr="00722216">
        <w:t>Weitz</w:t>
      </w:r>
      <w:proofErr w:type="spellEnd"/>
      <w:r w:rsidRPr="00722216">
        <w:t xml:space="preserve">, </w:t>
      </w:r>
      <w:r w:rsidRPr="00722216">
        <w:rPr>
          <w:i/>
          <w:iCs/>
        </w:rPr>
        <w:t xml:space="preserve">A Century of Genocide: Utopias of Race and Nation </w:t>
      </w:r>
      <w:r w:rsidRPr="00722216">
        <w:t>(Princeton Uni</w:t>
      </w:r>
      <w:r>
        <w:t>versity Press, 2013), chapter 5, page 217</w:t>
      </w:r>
    </w:p>
  </w:footnote>
  <w:footnote w:id="10">
    <w:p w:rsidR="003D48EA" w:rsidRDefault="003D48EA">
      <w:pPr>
        <w:pStyle w:val="FootnoteText"/>
      </w:pPr>
      <w:r>
        <w:rPr>
          <w:rStyle w:val="FootnoteReference"/>
        </w:rPr>
        <w:footnoteRef/>
      </w:r>
      <w:r>
        <w:t xml:space="preserve"> </w:t>
      </w:r>
      <w:r w:rsidRPr="002431C7">
        <w:t xml:space="preserve">Thomas Cushman and </w:t>
      </w:r>
      <w:proofErr w:type="spellStart"/>
      <w:r w:rsidRPr="002431C7">
        <w:t>Stjepan</w:t>
      </w:r>
      <w:proofErr w:type="spellEnd"/>
      <w:r w:rsidRPr="002431C7">
        <w:t xml:space="preserve"> Mestrovic, </w:t>
      </w:r>
      <w:r w:rsidRPr="002431C7">
        <w:rPr>
          <w:i/>
          <w:iCs/>
        </w:rPr>
        <w:t xml:space="preserve">This Time We Knew: Western Responses to Genocide in Bosnia </w:t>
      </w:r>
      <w:r w:rsidRPr="002431C7">
        <w:t>(N</w:t>
      </w:r>
      <w:r>
        <w:t>ew York University Press, 1996), p138-139</w:t>
      </w:r>
    </w:p>
  </w:footnote>
  <w:footnote w:id="11">
    <w:p w:rsidR="007131F1" w:rsidRDefault="007131F1">
      <w:pPr>
        <w:pStyle w:val="FootnoteText"/>
      </w:pPr>
      <w:r>
        <w:rPr>
          <w:rStyle w:val="FootnoteReference"/>
        </w:rPr>
        <w:footnoteRef/>
      </w:r>
      <w:r>
        <w:t xml:space="preserve"> </w:t>
      </w:r>
      <w:proofErr w:type="spellStart"/>
      <w:r>
        <w:t>Ivo</w:t>
      </w:r>
      <w:proofErr w:type="spellEnd"/>
      <w:r>
        <w:t xml:space="preserve"> H. </w:t>
      </w:r>
      <w:proofErr w:type="spellStart"/>
      <w:r>
        <w:t>Daalder</w:t>
      </w:r>
      <w:proofErr w:type="spellEnd"/>
      <w:r>
        <w:t xml:space="preserve">, </w:t>
      </w:r>
      <w:r w:rsidRPr="00722216">
        <w:rPr>
          <w:i/>
        </w:rPr>
        <w:t>‘Decision to Intervene: How the War in Bosnia Ended’</w:t>
      </w:r>
      <w:r>
        <w:t>, Brookings Institute, 01/11/1998, ‘</w:t>
      </w:r>
      <w:r w:rsidRPr="00FB03CF">
        <w:t>https://www.brookings.edu/articles/decision-to-intervene-how-the-war-in-bosnia-ended/</w:t>
      </w:r>
      <w:r>
        <w:t>’, [last accessed 18/08/2024]</w:t>
      </w:r>
    </w:p>
  </w:footnote>
  <w:footnote w:id="12">
    <w:p w:rsidR="00680A77" w:rsidRDefault="00680A77">
      <w:pPr>
        <w:pStyle w:val="FootnoteText"/>
      </w:pPr>
      <w:r>
        <w:rPr>
          <w:rStyle w:val="FootnoteReference"/>
        </w:rPr>
        <w:footnoteRef/>
      </w:r>
      <w:r>
        <w:t xml:space="preserve"> </w:t>
      </w:r>
      <w:r w:rsidRPr="00722216">
        <w:t xml:space="preserve">Eric D. </w:t>
      </w:r>
      <w:proofErr w:type="spellStart"/>
      <w:r w:rsidRPr="00722216">
        <w:t>Weitz</w:t>
      </w:r>
      <w:proofErr w:type="spellEnd"/>
      <w:r w:rsidRPr="00722216">
        <w:t xml:space="preserve">, </w:t>
      </w:r>
      <w:r w:rsidRPr="00722216">
        <w:rPr>
          <w:i/>
          <w:iCs/>
        </w:rPr>
        <w:t xml:space="preserve">A Century of Genocide: Utopias of Race and Nation </w:t>
      </w:r>
      <w:r w:rsidRPr="00722216">
        <w:t>(Princeton Uni</w:t>
      </w:r>
      <w:r>
        <w:t>versity Press, 2013), chapter 5, page 216</w:t>
      </w:r>
    </w:p>
  </w:footnote>
  <w:footnote w:id="13">
    <w:p w:rsidR="00680A77" w:rsidRDefault="00680A77" w:rsidP="00680A77">
      <w:pPr>
        <w:pStyle w:val="FootnoteText"/>
      </w:pPr>
      <w:r>
        <w:rPr>
          <w:rStyle w:val="FootnoteReference"/>
        </w:rPr>
        <w:footnoteRef/>
      </w:r>
      <w:r>
        <w:t xml:space="preserve"> </w:t>
      </w:r>
      <w:proofErr w:type="spellStart"/>
      <w:r>
        <w:t>Kees</w:t>
      </w:r>
      <w:proofErr w:type="spellEnd"/>
      <w:r>
        <w:t xml:space="preserve"> Nikolai Papers, The National Security Archive, 27/06/1995,  ‘</w:t>
      </w:r>
      <w:r w:rsidRPr="00AE3176">
        <w:t>https://nsarchive2.gwu.edu/NSAEBB/NSAEBB519-Srebrenica-conference-documents-detail-path-to-genocide-from-1993-to-1995/Documents/DOCUMENT%2017%20-%2019950627%20janvier.pdf</w:t>
      </w:r>
      <w:r>
        <w:t>’, [last accessed 18/08/2024]</w:t>
      </w:r>
    </w:p>
    <w:p w:rsidR="00680A77" w:rsidRDefault="00680A77">
      <w:pPr>
        <w:pStyle w:val="FootnoteText"/>
      </w:pPr>
    </w:p>
  </w:footnote>
  <w:footnote w:id="14">
    <w:p w:rsidR="000C7156" w:rsidRDefault="000C7156" w:rsidP="000C7156">
      <w:pPr>
        <w:pStyle w:val="FootnoteText"/>
      </w:pPr>
      <w:r>
        <w:rPr>
          <w:rStyle w:val="FootnoteReference"/>
        </w:rPr>
        <w:footnoteRef/>
      </w:r>
      <w:r>
        <w:t xml:space="preserve"> </w:t>
      </w:r>
      <w:r w:rsidRPr="00722216">
        <w:t xml:space="preserve">Eric D. </w:t>
      </w:r>
      <w:proofErr w:type="spellStart"/>
      <w:r w:rsidRPr="00722216">
        <w:t>Weitz</w:t>
      </w:r>
      <w:proofErr w:type="spellEnd"/>
      <w:r w:rsidRPr="00722216">
        <w:t xml:space="preserve">, </w:t>
      </w:r>
      <w:r w:rsidRPr="00722216">
        <w:rPr>
          <w:i/>
          <w:iCs/>
        </w:rPr>
        <w:t xml:space="preserve">A Century of Genocide: Utopias of Race and Nation </w:t>
      </w:r>
      <w:r w:rsidRPr="00722216">
        <w:t>(Princeton Uni</w:t>
      </w:r>
      <w:r>
        <w:t>versity Press, 2013), chapter 5, page 217</w:t>
      </w:r>
    </w:p>
    <w:p w:rsidR="000C7156" w:rsidRDefault="000C7156">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C0B9D"/>
    <w:rsid w:val="000C7156"/>
    <w:rsid w:val="00131DD1"/>
    <w:rsid w:val="001B0E5C"/>
    <w:rsid w:val="001D7F7B"/>
    <w:rsid w:val="001F1E1E"/>
    <w:rsid w:val="00235A7E"/>
    <w:rsid w:val="002431C7"/>
    <w:rsid w:val="002C624C"/>
    <w:rsid w:val="002F71ED"/>
    <w:rsid w:val="00324021"/>
    <w:rsid w:val="003D05B8"/>
    <w:rsid w:val="003D48EA"/>
    <w:rsid w:val="00407FDC"/>
    <w:rsid w:val="00440635"/>
    <w:rsid w:val="004A2762"/>
    <w:rsid w:val="00523421"/>
    <w:rsid w:val="00533098"/>
    <w:rsid w:val="005D6749"/>
    <w:rsid w:val="005F4C34"/>
    <w:rsid w:val="006140C2"/>
    <w:rsid w:val="00657204"/>
    <w:rsid w:val="00680A77"/>
    <w:rsid w:val="00693E58"/>
    <w:rsid w:val="006E37A0"/>
    <w:rsid w:val="007131F1"/>
    <w:rsid w:val="00722216"/>
    <w:rsid w:val="00734F74"/>
    <w:rsid w:val="0076501B"/>
    <w:rsid w:val="007739A7"/>
    <w:rsid w:val="007A11CD"/>
    <w:rsid w:val="007E1C15"/>
    <w:rsid w:val="00802983"/>
    <w:rsid w:val="0081406C"/>
    <w:rsid w:val="0083698C"/>
    <w:rsid w:val="00861ED1"/>
    <w:rsid w:val="0087649B"/>
    <w:rsid w:val="009257F5"/>
    <w:rsid w:val="00963D33"/>
    <w:rsid w:val="009904D6"/>
    <w:rsid w:val="009928F1"/>
    <w:rsid w:val="009C0B9D"/>
    <w:rsid w:val="00A10B34"/>
    <w:rsid w:val="00A1781C"/>
    <w:rsid w:val="00AD5BBB"/>
    <w:rsid w:val="00AD6264"/>
    <w:rsid w:val="00AE3176"/>
    <w:rsid w:val="00B41FBD"/>
    <w:rsid w:val="00B9791C"/>
    <w:rsid w:val="00BB025D"/>
    <w:rsid w:val="00BC0055"/>
    <w:rsid w:val="00CD578D"/>
    <w:rsid w:val="00CF654F"/>
    <w:rsid w:val="00D6541B"/>
    <w:rsid w:val="00D81475"/>
    <w:rsid w:val="00DD5D0B"/>
    <w:rsid w:val="00EB08C4"/>
    <w:rsid w:val="00EB3821"/>
    <w:rsid w:val="00F6711C"/>
    <w:rsid w:val="00FB03C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C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B03CF"/>
    <w:pPr>
      <w:spacing w:after="0" w:line="240" w:lineRule="auto"/>
    </w:pPr>
    <w:rPr>
      <w:sz w:val="20"/>
      <w:szCs w:val="20"/>
    </w:rPr>
  </w:style>
  <w:style w:type="character" w:customStyle="1" w:styleId="FootnoteTextChar">
    <w:name w:val="Footnote Text Char"/>
    <w:basedOn w:val="DefaultParagraphFont"/>
    <w:link w:val="FootnoteText"/>
    <w:uiPriority w:val="99"/>
    <w:rsid w:val="00FB03CF"/>
    <w:rPr>
      <w:sz w:val="20"/>
      <w:szCs w:val="20"/>
    </w:rPr>
  </w:style>
  <w:style w:type="character" w:styleId="FootnoteReference">
    <w:name w:val="footnote reference"/>
    <w:basedOn w:val="DefaultParagraphFont"/>
    <w:uiPriority w:val="99"/>
    <w:semiHidden/>
    <w:unhideWhenUsed/>
    <w:rsid w:val="00FB03CF"/>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D556B9D-D8C6-4E50-90FB-4E46A92E2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1496</TotalTime>
  <Pages>6</Pages>
  <Words>1771</Words>
  <Characters>10097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11845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33</cp:revision>
  <dcterms:created xsi:type="dcterms:W3CDTF">2024-08-17T10:05:00Z</dcterms:created>
  <dcterms:modified xsi:type="dcterms:W3CDTF">2024-08-18T17:31:00Z</dcterms:modified>
</cp:coreProperties>
</file>