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4D1E9D7" w:rsidR="00ED5964" w:rsidRPr="00C10341" w:rsidRDefault="00ED5964" w:rsidP="00ED5964">
      <w:pPr>
        <w:jc w:val="both"/>
        <w:rPr>
          <w:rFonts w:ascii="Arial" w:hAnsi="Arial" w:cs="Arial"/>
          <w:sz w:val="22"/>
        </w:rPr>
      </w:pPr>
      <w:r>
        <w:rPr>
          <w:rFonts w:asciiTheme="minorBidi" w:hAnsiTheme="minorBidi"/>
          <w:sz w:val="28"/>
          <w:szCs w:val="28"/>
        </w:rPr>
        <w:t xml:space="preserve">Name: </w:t>
      </w:r>
      <w:r w:rsidR="005064A3">
        <w:rPr>
          <w:rFonts w:asciiTheme="minorBidi" w:hAnsiTheme="minorBidi"/>
          <w:sz w:val="28"/>
          <w:szCs w:val="28"/>
        </w:rPr>
        <w:t>JOHN SUNDAY EBENOGWU</w:t>
      </w:r>
    </w:p>
    <w:p w14:paraId="485B6F49" w14:textId="7838B83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064A3">
        <w:rPr>
          <w:rFonts w:asciiTheme="minorBidi" w:hAnsiTheme="minorBidi"/>
          <w:sz w:val="28"/>
          <w:szCs w:val="28"/>
        </w:rPr>
        <w:t>253</w:t>
      </w:r>
      <w:r w:rsidR="00510531">
        <w:rPr>
          <w:rFonts w:asciiTheme="minorBidi" w:hAnsiTheme="minorBidi"/>
          <w:sz w:val="28"/>
          <w:szCs w:val="28"/>
        </w:rPr>
        <w:t>9674</w:t>
      </w:r>
    </w:p>
    <w:p w14:paraId="3C1E7A20" w14:textId="0DF113C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64D44" w:rsidRPr="003154D8">
        <w:rPr>
          <w:rFonts w:asciiTheme="minorBidi" w:hAnsiTheme="minorBidi"/>
          <w:b/>
          <w:bCs/>
          <w:sz w:val="28"/>
          <w:szCs w:val="28"/>
        </w:rPr>
        <w:t>LCHS4001</w:t>
      </w:r>
    </w:p>
    <w:p w14:paraId="4EEB2DA3" w14:textId="1EDC359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A2E24">
        <w:rPr>
          <w:rFonts w:asciiTheme="minorBidi" w:hAnsiTheme="minorBidi"/>
          <w:sz w:val="28"/>
          <w:szCs w:val="28"/>
        </w:rPr>
        <w:t xml:space="preserve">Academic and </w:t>
      </w:r>
      <w:r w:rsidR="00686261">
        <w:rPr>
          <w:rFonts w:asciiTheme="minorBidi" w:hAnsiTheme="minorBidi"/>
          <w:sz w:val="28"/>
          <w:szCs w:val="28"/>
        </w:rPr>
        <w:t>Employability</w:t>
      </w:r>
      <w:r w:rsidR="00EF4D22">
        <w:rPr>
          <w:rFonts w:asciiTheme="minorBidi" w:hAnsiTheme="minorBidi"/>
          <w:sz w:val="28"/>
          <w:szCs w:val="28"/>
        </w:rPr>
        <w:t xml:space="preserve"> Skills</w:t>
      </w:r>
    </w:p>
    <w:p w14:paraId="112342CB" w14:textId="42752D9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86261">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F940765" w:rsidR="00ED5964" w:rsidRPr="008D6ADC" w:rsidRDefault="00ED5964" w:rsidP="00ED5964">
      <w:pPr>
        <w:jc w:val="both"/>
        <w:rPr>
          <w:rFonts w:ascii="Arial" w:hAnsi="Arial" w:cs="Arial"/>
          <w:sz w:val="2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1D6CCD">
        <w:rPr>
          <w:rFonts w:ascii="Arial" w:hAnsi="Arial" w:cs="Arial"/>
          <w:sz w:val="22"/>
        </w:rPr>
        <w:t>20</w:t>
      </w:r>
      <w:r w:rsidR="001D6CCD" w:rsidRPr="001D6CCD">
        <w:rPr>
          <w:rFonts w:ascii="Arial" w:hAnsi="Arial" w:cs="Arial"/>
          <w:sz w:val="22"/>
          <w:vertAlign w:val="superscript"/>
        </w:rPr>
        <w:t>TH</w:t>
      </w:r>
      <w:r w:rsidR="001D6CCD">
        <w:rPr>
          <w:rFonts w:ascii="Arial" w:hAnsi="Arial" w:cs="Arial"/>
          <w:sz w:val="22"/>
        </w:rPr>
        <w:t xml:space="preserve"> AUGUST </w:t>
      </w:r>
      <w:r w:rsidR="005E29BA">
        <w:rPr>
          <w:rFonts w:ascii="Arial" w:hAnsi="Arial" w:cs="Arial"/>
          <w:sz w:val="22"/>
        </w:rPr>
        <w:t>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rsidP="00F447FA">
          <w:pPr>
            <w:pStyle w:val="TOCHeading"/>
            <w:spacing w:line="360" w:lineRule="auto"/>
            <w:rPr>
              <w:color w:val="4472C4" w:themeColor="accent1"/>
            </w:rPr>
          </w:pPr>
          <w:r w:rsidRPr="0CF501EC">
            <w:rPr>
              <w:color w:val="4471C4"/>
            </w:rPr>
            <w:t>Table of Contents</w:t>
          </w:r>
        </w:p>
        <w:p w14:paraId="152594D2" w14:textId="02B83841" w:rsidR="00511A9B" w:rsidRDefault="0156E134" w:rsidP="00F447FA">
          <w:pPr>
            <w:pStyle w:val="TOC2"/>
            <w:tabs>
              <w:tab w:val="right" w:leader="dot" w:pos="9016"/>
            </w:tabs>
            <w:spacing w:line="360" w:lineRule="auto"/>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7612549" w:history="1">
            <w:r w:rsidR="00511A9B" w:rsidRPr="00ED1C46">
              <w:rPr>
                <w:rStyle w:val="Hyperlink"/>
                <w:noProof/>
              </w:rPr>
              <w:t>1.1 Introduction</w:t>
            </w:r>
            <w:r w:rsidR="00511A9B">
              <w:rPr>
                <w:noProof/>
                <w:webHidden/>
              </w:rPr>
              <w:tab/>
            </w:r>
            <w:r w:rsidR="00511A9B">
              <w:rPr>
                <w:noProof/>
                <w:webHidden/>
              </w:rPr>
              <w:fldChar w:fldCharType="begin"/>
            </w:r>
            <w:r w:rsidR="00511A9B">
              <w:rPr>
                <w:noProof/>
                <w:webHidden/>
              </w:rPr>
              <w:instrText xml:space="preserve"> PAGEREF _Toc237612549 \h </w:instrText>
            </w:r>
            <w:r w:rsidR="00511A9B">
              <w:rPr>
                <w:noProof/>
                <w:webHidden/>
              </w:rPr>
            </w:r>
            <w:r w:rsidR="00511A9B">
              <w:rPr>
                <w:noProof/>
                <w:webHidden/>
              </w:rPr>
              <w:fldChar w:fldCharType="separate"/>
            </w:r>
            <w:r w:rsidR="00511A9B">
              <w:rPr>
                <w:noProof/>
                <w:webHidden/>
              </w:rPr>
              <w:t>3</w:t>
            </w:r>
            <w:r w:rsidR="00511A9B">
              <w:rPr>
                <w:noProof/>
                <w:webHidden/>
              </w:rPr>
              <w:fldChar w:fldCharType="end"/>
            </w:r>
          </w:hyperlink>
        </w:p>
        <w:p w14:paraId="5DCAE726" w14:textId="336F23BA" w:rsidR="00511A9B" w:rsidRDefault="00511A9B" w:rsidP="00F447FA">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37612550" w:history="1">
            <w:r w:rsidRPr="00ED1C46">
              <w:rPr>
                <w:rStyle w:val="Hyperlink"/>
                <w:noProof/>
              </w:rPr>
              <w:t>2 Adult Nursing in the Health and Social Care Field</w:t>
            </w:r>
            <w:r>
              <w:rPr>
                <w:noProof/>
                <w:webHidden/>
              </w:rPr>
              <w:tab/>
            </w:r>
            <w:r>
              <w:rPr>
                <w:noProof/>
                <w:webHidden/>
              </w:rPr>
              <w:fldChar w:fldCharType="begin"/>
            </w:r>
            <w:r>
              <w:rPr>
                <w:noProof/>
                <w:webHidden/>
              </w:rPr>
              <w:instrText xml:space="preserve"> PAGEREF _Toc237612550 \h </w:instrText>
            </w:r>
            <w:r>
              <w:rPr>
                <w:noProof/>
                <w:webHidden/>
              </w:rPr>
            </w:r>
            <w:r>
              <w:rPr>
                <w:noProof/>
                <w:webHidden/>
              </w:rPr>
              <w:fldChar w:fldCharType="separate"/>
            </w:r>
            <w:r>
              <w:rPr>
                <w:noProof/>
                <w:webHidden/>
              </w:rPr>
              <w:t>3</w:t>
            </w:r>
            <w:r>
              <w:rPr>
                <w:noProof/>
                <w:webHidden/>
              </w:rPr>
              <w:fldChar w:fldCharType="end"/>
            </w:r>
          </w:hyperlink>
        </w:p>
        <w:p w14:paraId="4C1272BF" w14:textId="118571AA" w:rsidR="00511A9B" w:rsidRDefault="00511A9B" w:rsidP="00F447FA">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37612551" w:history="1">
            <w:r w:rsidRPr="00ED1C46">
              <w:rPr>
                <w:rStyle w:val="Hyperlink"/>
                <w:noProof/>
              </w:rPr>
              <w:t>2.1 Description of Adult Nursing in Health and Social Care</w:t>
            </w:r>
            <w:r>
              <w:rPr>
                <w:noProof/>
                <w:webHidden/>
              </w:rPr>
              <w:tab/>
            </w:r>
            <w:r>
              <w:rPr>
                <w:noProof/>
                <w:webHidden/>
              </w:rPr>
              <w:fldChar w:fldCharType="begin"/>
            </w:r>
            <w:r>
              <w:rPr>
                <w:noProof/>
                <w:webHidden/>
              </w:rPr>
              <w:instrText xml:space="preserve"> PAGEREF _Toc237612551 \h </w:instrText>
            </w:r>
            <w:r>
              <w:rPr>
                <w:noProof/>
                <w:webHidden/>
              </w:rPr>
            </w:r>
            <w:r>
              <w:rPr>
                <w:noProof/>
                <w:webHidden/>
              </w:rPr>
              <w:fldChar w:fldCharType="separate"/>
            </w:r>
            <w:r>
              <w:rPr>
                <w:noProof/>
                <w:webHidden/>
              </w:rPr>
              <w:t>3</w:t>
            </w:r>
            <w:r>
              <w:rPr>
                <w:noProof/>
                <w:webHidden/>
              </w:rPr>
              <w:fldChar w:fldCharType="end"/>
            </w:r>
          </w:hyperlink>
        </w:p>
        <w:p w14:paraId="7AC8F056" w14:textId="3733E8B6" w:rsidR="00511A9B" w:rsidRDefault="00511A9B" w:rsidP="00F447FA">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37612552" w:history="1">
            <w:r w:rsidRPr="00ED1C46">
              <w:rPr>
                <w:rStyle w:val="Hyperlink"/>
                <w:noProof/>
              </w:rPr>
              <w:t>2.2 Explanation of Most Significant Skills Needed for Adult Nursing in Health and Social Care</w:t>
            </w:r>
            <w:r>
              <w:rPr>
                <w:noProof/>
                <w:webHidden/>
              </w:rPr>
              <w:tab/>
            </w:r>
            <w:r>
              <w:rPr>
                <w:noProof/>
                <w:webHidden/>
              </w:rPr>
              <w:fldChar w:fldCharType="begin"/>
            </w:r>
            <w:r>
              <w:rPr>
                <w:noProof/>
                <w:webHidden/>
              </w:rPr>
              <w:instrText xml:space="preserve"> PAGEREF _Toc237612552 \h </w:instrText>
            </w:r>
            <w:r>
              <w:rPr>
                <w:noProof/>
                <w:webHidden/>
              </w:rPr>
            </w:r>
            <w:r>
              <w:rPr>
                <w:noProof/>
                <w:webHidden/>
              </w:rPr>
              <w:fldChar w:fldCharType="separate"/>
            </w:r>
            <w:r>
              <w:rPr>
                <w:noProof/>
                <w:webHidden/>
              </w:rPr>
              <w:t>4</w:t>
            </w:r>
            <w:r>
              <w:rPr>
                <w:noProof/>
                <w:webHidden/>
              </w:rPr>
              <w:fldChar w:fldCharType="end"/>
            </w:r>
          </w:hyperlink>
        </w:p>
        <w:p w14:paraId="09B9031D" w14:textId="2F6DB36B" w:rsidR="00511A9B" w:rsidRDefault="00511A9B" w:rsidP="00F447FA">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37612553" w:history="1">
            <w:r w:rsidRPr="00ED1C46">
              <w:rPr>
                <w:rStyle w:val="Hyperlink"/>
                <w:noProof/>
              </w:rPr>
              <w:t>3 Strategies for Skill Improvement for Adult Nursing</w:t>
            </w:r>
            <w:r>
              <w:rPr>
                <w:noProof/>
                <w:webHidden/>
              </w:rPr>
              <w:tab/>
            </w:r>
            <w:r>
              <w:rPr>
                <w:noProof/>
                <w:webHidden/>
              </w:rPr>
              <w:fldChar w:fldCharType="begin"/>
            </w:r>
            <w:r>
              <w:rPr>
                <w:noProof/>
                <w:webHidden/>
              </w:rPr>
              <w:instrText xml:space="preserve"> PAGEREF _Toc237612553 \h </w:instrText>
            </w:r>
            <w:r>
              <w:rPr>
                <w:noProof/>
                <w:webHidden/>
              </w:rPr>
            </w:r>
            <w:r>
              <w:rPr>
                <w:noProof/>
                <w:webHidden/>
              </w:rPr>
              <w:fldChar w:fldCharType="separate"/>
            </w:r>
            <w:r>
              <w:rPr>
                <w:noProof/>
                <w:webHidden/>
              </w:rPr>
              <w:t>5</w:t>
            </w:r>
            <w:r>
              <w:rPr>
                <w:noProof/>
                <w:webHidden/>
              </w:rPr>
              <w:fldChar w:fldCharType="end"/>
            </w:r>
          </w:hyperlink>
        </w:p>
        <w:p w14:paraId="19B92A5B" w14:textId="042D4BCB" w:rsidR="00511A9B" w:rsidRDefault="00511A9B" w:rsidP="00F447FA">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37612554" w:history="1">
            <w:r w:rsidRPr="00ED1C46">
              <w:rPr>
                <w:rStyle w:val="Hyperlink"/>
                <w:noProof/>
              </w:rPr>
              <w:t>3.1 Three Strategies to Improve the Skills for Adult Nursing</w:t>
            </w:r>
            <w:r>
              <w:rPr>
                <w:noProof/>
                <w:webHidden/>
              </w:rPr>
              <w:tab/>
            </w:r>
            <w:r>
              <w:rPr>
                <w:noProof/>
                <w:webHidden/>
              </w:rPr>
              <w:fldChar w:fldCharType="begin"/>
            </w:r>
            <w:r>
              <w:rPr>
                <w:noProof/>
                <w:webHidden/>
              </w:rPr>
              <w:instrText xml:space="preserve"> PAGEREF _Toc237612554 \h </w:instrText>
            </w:r>
            <w:r>
              <w:rPr>
                <w:noProof/>
                <w:webHidden/>
              </w:rPr>
            </w:r>
            <w:r>
              <w:rPr>
                <w:noProof/>
                <w:webHidden/>
              </w:rPr>
              <w:fldChar w:fldCharType="separate"/>
            </w:r>
            <w:r>
              <w:rPr>
                <w:noProof/>
                <w:webHidden/>
              </w:rPr>
              <w:t>5</w:t>
            </w:r>
            <w:r>
              <w:rPr>
                <w:noProof/>
                <w:webHidden/>
              </w:rPr>
              <w:fldChar w:fldCharType="end"/>
            </w:r>
          </w:hyperlink>
        </w:p>
        <w:p w14:paraId="6F9AAF16" w14:textId="0FDDA4A3" w:rsidR="00511A9B" w:rsidRDefault="00511A9B" w:rsidP="00F447FA">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37612555" w:history="1">
            <w:r w:rsidRPr="00ED1C46">
              <w:rPr>
                <w:rStyle w:val="Hyperlink"/>
                <w:noProof/>
              </w:rPr>
              <w:t>4 Conclusion</w:t>
            </w:r>
            <w:r>
              <w:rPr>
                <w:noProof/>
                <w:webHidden/>
              </w:rPr>
              <w:tab/>
            </w:r>
            <w:r>
              <w:rPr>
                <w:noProof/>
                <w:webHidden/>
              </w:rPr>
              <w:fldChar w:fldCharType="begin"/>
            </w:r>
            <w:r>
              <w:rPr>
                <w:noProof/>
                <w:webHidden/>
              </w:rPr>
              <w:instrText xml:space="preserve"> PAGEREF _Toc237612555 \h </w:instrText>
            </w:r>
            <w:r>
              <w:rPr>
                <w:noProof/>
                <w:webHidden/>
              </w:rPr>
            </w:r>
            <w:r>
              <w:rPr>
                <w:noProof/>
                <w:webHidden/>
              </w:rPr>
              <w:fldChar w:fldCharType="separate"/>
            </w:r>
            <w:r>
              <w:rPr>
                <w:noProof/>
                <w:webHidden/>
              </w:rPr>
              <w:t>6</w:t>
            </w:r>
            <w:r>
              <w:rPr>
                <w:noProof/>
                <w:webHidden/>
              </w:rPr>
              <w:fldChar w:fldCharType="end"/>
            </w:r>
          </w:hyperlink>
        </w:p>
        <w:p w14:paraId="1C3BCA84" w14:textId="6F1BA959" w:rsidR="00511A9B" w:rsidRDefault="00511A9B" w:rsidP="00F447FA">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37612556" w:history="1">
            <w:r w:rsidRPr="00ED1C46">
              <w:rPr>
                <w:rStyle w:val="Hyperlink"/>
                <w:noProof/>
              </w:rPr>
              <w:t>5 Reference List</w:t>
            </w:r>
            <w:r>
              <w:rPr>
                <w:noProof/>
                <w:webHidden/>
              </w:rPr>
              <w:tab/>
            </w:r>
            <w:r>
              <w:rPr>
                <w:noProof/>
                <w:webHidden/>
              </w:rPr>
              <w:fldChar w:fldCharType="begin"/>
            </w:r>
            <w:r>
              <w:rPr>
                <w:noProof/>
                <w:webHidden/>
              </w:rPr>
              <w:instrText xml:space="preserve"> PAGEREF _Toc237612556 \h </w:instrText>
            </w:r>
            <w:r>
              <w:rPr>
                <w:noProof/>
                <w:webHidden/>
              </w:rPr>
            </w:r>
            <w:r>
              <w:rPr>
                <w:noProof/>
                <w:webHidden/>
              </w:rPr>
              <w:fldChar w:fldCharType="separate"/>
            </w:r>
            <w:r>
              <w:rPr>
                <w:noProof/>
                <w:webHidden/>
              </w:rPr>
              <w:t>7</w:t>
            </w:r>
            <w:r>
              <w:rPr>
                <w:noProof/>
                <w:webHidden/>
              </w:rPr>
              <w:fldChar w:fldCharType="end"/>
            </w:r>
          </w:hyperlink>
        </w:p>
        <w:p w14:paraId="2F2A1EA8" w14:textId="3CD4F69B" w:rsidR="0156E134" w:rsidRDefault="0156E134" w:rsidP="00F447FA">
          <w:pPr>
            <w:pStyle w:val="TOC2"/>
            <w:tabs>
              <w:tab w:val="right" w:leader="dot" w:pos="9015"/>
            </w:tabs>
            <w:spacing w:line="360" w:lineRule="auto"/>
            <w:rPr>
              <w:rStyle w:val="Hyperlink"/>
            </w:rPr>
          </w:pPr>
          <w:r>
            <w:fldChar w:fldCharType="end"/>
          </w:r>
        </w:p>
      </w:sdtContent>
    </w:sdt>
    <w:p w14:paraId="6138A55F" w14:textId="5BBC1E8C" w:rsidR="00184A9A" w:rsidRPr="00242974" w:rsidRDefault="00184A9A" w:rsidP="00F447FA">
      <w:pPr>
        <w:spacing w:line="360" w:lineRule="auto"/>
      </w:pPr>
    </w:p>
    <w:p w14:paraId="4A159F97" w14:textId="77777777" w:rsidR="00ED5964" w:rsidRPr="00242974" w:rsidRDefault="00ED5964" w:rsidP="00F447FA">
      <w:pPr>
        <w:spacing w:line="360" w:lineRule="auto"/>
        <w:jc w:val="both"/>
        <w:rPr>
          <w:rFonts w:asciiTheme="minorBidi" w:hAnsiTheme="minorBidi"/>
          <w:b/>
          <w:bCs/>
          <w:sz w:val="28"/>
          <w:szCs w:val="28"/>
        </w:rPr>
      </w:pPr>
    </w:p>
    <w:p w14:paraId="09E24E55" w14:textId="77777777" w:rsidR="00ED5964" w:rsidRPr="00242974" w:rsidRDefault="00ED5964" w:rsidP="00F447FA">
      <w:pPr>
        <w:spacing w:line="360" w:lineRule="auto"/>
        <w:jc w:val="both"/>
        <w:rPr>
          <w:rFonts w:asciiTheme="minorBidi" w:hAnsiTheme="minorBidi"/>
          <w:b/>
          <w:bCs/>
          <w:sz w:val="28"/>
          <w:szCs w:val="28"/>
        </w:rPr>
      </w:pPr>
    </w:p>
    <w:p w14:paraId="40BC340F" w14:textId="77777777" w:rsidR="00ED5964" w:rsidRPr="00242974" w:rsidRDefault="00ED5964" w:rsidP="00F447FA">
      <w:pPr>
        <w:spacing w:line="360" w:lineRule="auto"/>
        <w:jc w:val="both"/>
        <w:rPr>
          <w:rFonts w:asciiTheme="minorBidi" w:hAnsiTheme="minorBidi"/>
          <w:b/>
          <w:bCs/>
          <w:sz w:val="28"/>
          <w:szCs w:val="28"/>
        </w:rPr>
      </w:pPr>
    </w:p>
    <w:p w14:paraId="41A63835" w14:textId="77777777" w:rsidR="00ED5964" w:rsidRPr="00242974" w:rsidRDefault="00ED5964" w:rsidP="00F447FA">
      <w:pPr>
        <w:spacing w:line="360" w:lineRule="auto"/>
        <w:jc w:val="both"/>
        <w:rPr>
          <w:rFonts w:asciiTheme="minorBidi" w:hAnsiTheme="minorBidi"/>
          <w:b/>
          <w:bCs/>
          <w:sz w:val="28"/>
          <w:szCs w:val="28"/>
        </w:rPr>
      </w:pPr>
    </w:p>
    <w:p w14:paraId="123865CA" w14:textId="77777777" w:rsidR="00ED5964" w:rsidRPr="00242974" w:rsidRDefault="00ED5964" w:rsidP="00F447FA">
      <w:pPr>
        <w:spacing w:line="360" w:lineRule="auto"/>
        <w:jc w:val="both"/>
        <w:rPr>
          <w:rFonts w:asciiTheme="minorBidi" w:hAnsiTheme="minorBidi"/>
          <w:b/>
          <w:bCs/>
          <w:sz w:val="28"/>
          <w:szCs w:val="28"/>
        </w:rPr>
      </w:pPr>
    </w:p>
    <w:p w14:paraId="2A21042D" w14:textId="77777777" w:rsidR="00ED5964" w:rsidRPr="00242974" w:rsidRDefault="00ED5964" w:rsidP="00F447FA">
      <w:pPr>
        <w:spacing w:line="360" w:lineRule="auto"/>
        <w:jc w:val="both"/>
        <w:rPr>
          <w:rFonts w:asciiTheme="minorBidi" w:hAnsiTheme="minorBidi"/>
          <w:b/>
          <w:bCs/>
          <w:sz w:val="28"/>
          <w:szCs w:val="28"/>
        </w:rPr>
      </w:pPr>
    </w:p>
    <w:p w14:paraId="48382F67" w14:textId="77777777" w:rsidR="00ED5964" w:rsidRPr="00242974" w:rsidRDefault="00ED5964" w:rsidP="00F447FA">
      <w:pPr>
        <w:spacing w:line="360" w:lineRule="auto"/>
        <w:jc w:val="both"/>
        <w:rPr>
          <w:rFonts w:asciiTheme="minorBidi" w:hAnsiTheme="minorBidi"/>
          <w:b/>
          <w:bCs/>
          <w:sz w:val="28"/>
          <w:szCs w:val="28"/>
        </w:rPr>
      </w:pPr>
    </w:p>
    <w:p w14:paraId="6A057EFD" w14:textId="77777777" w:rsidR="00ED5964" w:rsidRPr="00242974" w:rsidRDefault="00ED5964" w:rsidP="00F447FA">
      <w:pPr>
        <w:spacing w:line="360" w:lineRule="auto"/>
        <w:jc w:val="both"/>
        <w:rPr>
          <w:rFonts w:asciiTheme="minorBidi" w:hAnsiTheme="minorBidi"/>
          <w:b/>
          <w:bCs/>
          <w:sz w:val="28"/>
          <w:szCs w:val="28"/>
        </w:rPr>
      </w:pPr>
    </w:p>
    <w:p w14:paraId="55078F3B" w14:textId="77777777" w:rsidR="00ED5964" w:rsidRPr="00242974" w:rsidRDefault="00ED5964" w:rsidP="00F447FA">
      <w:pPr>
        <w:spacing w:line="360" w:lineRule="auto"/>
        <w:jc w:val="both"/>
        <w:rPr>
          <w:rFonts w:asciiTheme="minorBidi" w:hAnsiTheme="minorBidi"/>
          <w:b/>
          <w:bCs/>
          <w:sz w:val="28"/>
          <w:szCs w:val="28"/>
        </w:rPr>
      </w:pPr>
    </w:p>
    <w:p w14:paraId="4CEF6B46" w14:textId="77777777" w:rsidR="005709B1" w:rsidRPr="00242974" w:rsidRDefault="005709B1" w:rsidP="00F447FA">
      <w:pPr>
        <w:spacing w:line="360" w:lineRule="auto"/>
      </w:pPr>
    </w:p>
    <w:p w14:paraId="3E34A5EF" w14:textId="77777777" w:rsidR="002E71BA" w:rsidRPr="00242974" w:rsidRDefault="002E71BA" w:rsidP="00F447FA">
      <w:pPr>
        <w:spacing w:line="360" w:lineRule="auto"/>
        <w:rPr>
          <w:b/>
          <w:bCs/>
          <w:sz w:val="21"/>
          <w:szCs w:val="21"/>
        </w:rPr>
      </w:pPr>
      <w:r w:rsidRPr="00242974">
        <w:rPr>
          <w:b/>
          <w:bCs/>
          <w:sz w:val="21"/>
          <w:szCs w:val="21"/>
        </w:rPr>
        <w:br w:type="page"/>
      </w:r>
    </w:p>
    <w:p w14:paraId="2F840957" w14:textId="01F6BC9F" w:rsidR="00500295" w:rsidRPr="00554690" w:rsidRDefault="00AA77C8" w:rsidP="00F447FA">
      <w:pPr>
        <w:pStyle w:val="Heading2"/>
        <w:spacing w:line="360" w:lineRule="auto"/>
        <w:rPr>
          <w:color w:val="4472C4" w:themeColor="accent1"/>
        </w:rPr>
      </w:pPr>
      <w:bookmarkStart w:id="0" w:name="_Toc237612549"/>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E30D582" w14:textId="6397BB03" w:rsidR="00A27BD4" w:rsidRPr="00A27BD4" w:rsidRDefault="00A27BD4" w:rsidP="00F447FA">
      <w:pPr>
        <w:spacing w:after="0" w:line="360" w:lineRule="auto"/>
        <w:jc w:val="both"/>
        <w:rPr>
          <w:rFonts w:ascii="Arial" w:hAnsi="Arial" w:cs="Arial"/>
          <w:sz w:val="22"/>
        </w:rPr>
      </w:pPr>
      <w:r>
        <w:rPr>
          <w:rFonts w:ascii="Arial" w:hAnsi="Arial" w:cs="Arial"/>
          <w:sz w:val="22"/>
        </w:rPr>
        <w:t>Health and social care service rely on a wide range of professionals whose knowledge and skills contribute to the safety, wellbeing and quality of life of individuals requiring care. These roles work together to meet physical, psychological and social needs while promoting dignity, independence and person-centred practice. Adult nursing is one of the largest professions within this sector and involves caring for adults with acute, chronic and complex health conditions across hospital and community settings. Adult nurses combine clinical expertise with effective communication and sound judgement to support patients throughout treatment and recovery (NMC, 2023). This report begins by describing the role of the adult nurse before examining three essential skills required for effective practice. It then discusses practical strategies that can be used to strengthen these skills and concludes by summarising their importance in delivering safe, effective and person-centred care.</w:t>
      </w:r>
    </w:p>
    <w:p w14:paraId="26D26AD9" w14:textId="77777777" w:rsidR="00A27BD4" w:rsidRPr="00242974" w:rsidRDefault="00A27BD4" w:rsidP="00F447FA">
      <w:pPr>
        <w:spacing w:after="0" w:line="360" w:lineRule="auto"/>
        <w:rPr>
          <w:sz w:val="22"/>
        </w:rPr>
      </w:pPr>
    </w:p>
    <w:p w14:paraId="64F36E68" w14:textId="70DA615D" w:rsidR="3C659699" w:rsidRDefault="3C659699" w:rsidP="00F447FA">
      <w:pPr>
        <w:pStyle w:val="Heading2"/>
        <w:spacing w:line="360" w:lineRule="auto"/>
        <w:rPr>
          <w:color w:val="4472C4" w:themeColor="accent1"/>
        </w:rPr>
      </w:pPr>
      <w:bookmarkStart w:id="1" w:name="_Toc237612550"/>
      <w:r w:rsidRPr="0CF501EC">
        <w:rPr>
          <w:color w:val="4471C4"/>
        </w:rPr>
        <w:t xml:space="preserve">2 </w:t>
      </w:r>
      <w:r w:rsidR="00A27BD4">
        <w:rPr>
          <w:color w:val="4471C4"/>
        </w:rPr>
        <w:t>Adult Nursing</w:t>
      </w:r>
      <w:r w:rsidRPr="0CF501EC">
        <w:rPr>
          <w:color w:val="4471C4"/>
        </w:rPr>
        <w:t xml:space="preserve"> in the Health and Social Care Field</w:t>
      </w:r>
      <w:bookmarkEnd w:id="1"/>
    </w:p>
    <w:p w14:paraId="3C079BEF" w14:textId="401104E7" w:rsidR="0156E134" w:rsidRDefault="0156E134" w:rsidP="00F447FA">
      <w:pPr>
        <w:spacing w:after="0" w:line="360" w:lineRule="auto"/>
        <w:jc w:val="both"/>
        <w:rPr>
          <w:sz w:val="21"/>
          <w:szCs w:val="21"/>
        </w:rPr>
      </w:pPr>
    </w:p>
    <w:p w14:paraId="50A9FBC6" w14:textId="343A90AC" w:rsidR="008B0B22" w:rsidRPr="002976D4" w:rsidRDefault="5CF7C3DB" w:rsidP="00F447FA">
      <w:pPr>
        <w:pStyle w:val="Heading2"/>
        <w:spacing w:line="360" w:lineRule="auto"/>
        <w:rPr>
          <w:color w:val="4472C4" w:themeColor="accent1"/>
        </w:rPr>
      </w:pPr>
      <w:bookmarkStart w:id="2" w:name="_Toc2376125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A27BD4">
        <w:rPr>
          <w:color w:val="4471C4"/>
        </w:rPr>
        <w:t xml:space="preserve">Adult Nursing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4F1C47B0" w14:textId="6008AAE3" w:rsidR="0156E134" w:rsidRDefault="0156E134" w:rsidP="00F447FA">
      <w:pPr>
        <w:spacing w:after="0" w:line="360" w:lineRule="auto"/>
        <w:jc w:val="both"/>
        <w:rPr>
          <w:sz w:val="22"/>
        </w:rPr>
      </w:pPr>
    </w:p>
    <w:p w14:paraId="218E32B5" w14:textId="32EEE2F7" w:rsidR="00B127B6" w:rsidRDefault="0005706A" w:rsidP="00F447FA">
      <w:pPr>
        <w:spacing w:after="0" w:line="360" w:lineRule="auto"/>
        <w:jc w:val="both"/>
        <w:rPr>
          <w:rFonts w:ascii="Arial" w:hAnsi="Arial" w:cs="Arial"/>
          <w:sz w:val="22"/>
        </w:rPr>
      </w:pPr>
      <w:r>
        <w:rPr>
          <w:rFonts w:ascii="Arial" w:hAnsi="Arial" w:cs="Arial"/>
          <w:sz w:val="22"/>
        </w:rPr>
        <w:t>Adults nursing is a core profession within health and social care which provide care for adults with acute illness, long-term conditions, injuries and complex health needs across hospitals, community services and residential settings. The role extends beyond treating illness by promoting recovery, protecting dignity, encouraging independence and supporting individuals throughout their healthcare journey. Professional practice is guided by the NMC (2023) which requires registered nurses to prioritise people, preserve safety, practise effectively and uphold professionalism. Working within these standards enables adult nurses to deliver care that is safe, compassionate and responsive to the needs of individuals, families and the wider community.</w:t>
      </w:r>
    </w:p>
    <w:p w14:paraId="59132942" w14:textId="1C7F6ABF" w:rsidR="0005706A" w:rsidRDefault="0005706A" w:rsidP="00F447FA">
      <w:pPr>
        <w:spacing w:after="0" w:line="360" w:lineRule="auto"/>
        <w:jc w:val="both"/>
        <w:rPr>
          <w:rFonts w:ascii="Arial" w:hAnsi="Arial" w:cs="Arial"/>
          <w:sz w:val="22"/>
        </w:rPr>
      </w:pPr>
      <w:r>
        <w:rPr>
          <w:rFonts w:ascii="Arial" w:hAnsi="Arial" w:cs="Arial"/>
          <w:sz w:val="22"/>
        </w:rPr>
        <w:t xml:space="preserve">Providing high quality care involves continuous assessment, careful observation and close collaboration with patients and other healthcare professionals. Adult nurses administer treatment, monitor changes in health and provide information that helps patients make informed decisions about their treatment. These responsibilities depend on sound communication, </w:t>
      </w:r>
      <w:r w:rsidR="00554690">
        <w:rPr>
          <w:rFonts w:ascii="Arial" w:hAnsi="Arial" w:cs="Arial"/>
          <w:sz w:val="22"/>
        </w:rPr>
        <w:t>clinical judgement and teamwork because patient needs can change quickly and often require timely action. Papathanasiou et al. (2021) argue that developing critical thinking enables nurses to interpret clinical information more effectively and make reasoned decisions in complex situations. Applying these skills consistently helps adult nurses deliver coordinated person-centred care while responding safely to changing clinical circumstances.</w:t>
      </w:r>
    </w:p>
    <w:p w14:paraId="473B5F41" w14:textId="77777777" w:rsidR="00B127B6" w:rsidRDefault="00B127B6" w:rsidP="00F447FA">
      <w:pPr>
        <w:spacing w:after="0" w:line="360" w:lineRule="auto"/>
        <w:jc w:val="both"/>
        <w:rPr>
          <w:b/>
          <w:bCs/>
          <w:sz w:val="22"/>
        </w:rPr>
      </w:pPr>
    </w:p>
    <w:p w14:paraId="7F4D1E1E" w14:textId="77777777" w:rsidR="00B127B6" w:rsidRDefault="00B127B6" w:rsidP="00F447FA">
      <w:pPr>
        <w:spacing w:after="0" w:line="360" w:lineRule="auto"/>
        <w:jc w:val="both"/>
        <w:rPr>
          <w:sz w:val="22"/>
        </w:rPr>
      </w:pPr>
    </w:p>
    <w:p w14:paraId="4010C35E" w14:textId="3698340C" w:rsidR="00EC7EBE" w:rsidRPr="002976D4" w:rsidRDefault="04019B15" w:rsidP="00F447FA">
      <w:pPr>
        <w:pStyle w:val="Heading2"/>
        <w:spacing w:line="360" w:lineRule="auto"/>
        <w:rPr>
          <w:color w:val="4472C4" w:themeColor="accent1"/>
        </w:rPr>
      </w:pPr>
      <w:bookmarkStart w:id="3" w:name="_Toc237612552"/>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554690">
        <w:rPr>
          <w:color w:val="4471C4"/>
        </w:rPr>
        <w:t>Adult Nursing</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146A19" w14:textId="53F60744" w:rsidR="0156E134" w:rsidRDefault="0156E134" w:rsidP="00F447FA">
      <w:pPr>
        <w:spacing w:after="0" w:line="360" w:lineRule="auto"/>
        <w:jc w:val="both"/>
        <w:rPr>
          <w:sz w:val="22"/>
        </w:rPr>
      </w:pPr>
    </w:p>
    <w:p w14:paraId="7338813D" w14:textId="4BF75DAE" w:rsidR="00C85A7C" w:rsidRDefault="0051502E" w:rsidP="00F447FA">
      <w:pPr>
        <w:spacing w:after="0" w:line="360" w:lineRule="auto"/>
        <w:jc w:val="both"/>
        <w:rPr>
          <w:rFonts w:ascii="Arial" w:hAnsi="Arial" w:cs="Arial"/>
          <w:sz w:val="22"/>
        </w:rPr>
      </w:pPr>
      <w:r>
        <w:rPr>
          <w:rFonts w:ascii="Arial" w:hAnsi="Arial" w:cs="Arial"/>
          <w:sz w:val="22"/>
        </w:rPr>
        <w:t xml:space="preserve">Communication is fundamental to adult nursing because every stage of patient care depends on the accurate exchange of information. Nurses must communicate effectively to assess symptoms, explain treatment options, provide reassurance and ensure patients understand the care they receive. Good communication also encourages patients to express concerns that may influence clinical decisions and helps establish trust during what can usually be a stressful experience. Kwame and Petrucka (2021) explain that effective communication strengthens therapeutic relationships, improves patient satisfaction and contributes to safer healthcare by reducing misunderstandings and communication related errors. For </w:t>
      </w:r>
      <w:r w:rsidR="00030303">
        <w:rPr>
          <w:rFonts w:ascii="Arial" w:hAnsi="Arial" w:cs="Arial"/>
          <w:sz w:val="22"/>
        </w:rPr>
        <w:t>example</w:t>
      </w:r>
      <w:r>
        <w:rPr>
          <w:rFonts w:ascii="Arial" w:hAnsi="Arial" w:cs="Arial"/>
          <w:sz w:val="22"/>
        </w:rPr>
        <w:t>, an adult nurse caring for a patient following a stroke may need to adapt their communication by speaking slowly, using simple language or involving visual aids to ensure the</w:t>
      </w:r>
      <w:r w:rsidR="002D5E9C">
        <w:rPr>
          <w:rFonts w:ascii="Arial" w:hAnsi="Arial" w:cs="Arial"/>
          <w:sz w:val="22"/>
        </w:rPr>
        <w:t xml:space="preserve"> </w:t>
      </w:r>
      <w:r>
        <w:rPr>
          <w:rFonts w:ascii="Arial" w:hAnsi="Arial" w:cs="Arial"/>
          <w:sz w:val="22"/>
        </w:rPr>
        <w:t>patient understands medication instructions and rehabilitation goals.</w:t>
      </w:r>
    </w:p>
    <w:p w14:paraId="311B9C7F" w14:textId="70BB9EB2" w:rsidR="0051502E" w:rsidRDefault="003A5992" w:rsidP="00F447FA">
      <w:pPr>
        <w:spacing w:after="0" w:line="360" w:lineRule="auto"/>
        <w:jc w:val="both"/>
        <w:rPr>
          <w:rFonts w:ascii="Arial" w:hAnsi="Arial" w:cs="Arial"/>
          <w:sz w:val="22"/>
        </w:rPr>
      </w:pPr>
      <w:r>
        <w:rPr>
          <w:rFonts w:ascii="Arial" w:hAnsi="Arial" w:cs="Arial"/>
          <w:sz w:val="22"/>
        </w:rPr>
        <w:t>Nurses are expected to interpret assessment findings, identify when a patient’s condition is worsening and decide whether immediate intervention or escalation of care is required. These decisions rely on careful observation, professional knowledge and the ability to weigh clinical evidence within a short period. Nibbelink and Brewer (2018) found that well developed clinical judgement supports accurate assessment and timely intervention which are closely associated with improved patient safety. A patient recovering from abdominal surgery who develops increasing pain, tachycardia and hypotension may be showing early signs of internal bleeding.</w:t>
      </w:r>
    </w:p>
    <w:p w14:paraId="025F3C84" w14:textId="40F91BD0" w:rsidR="003A5992" w:rsidRDefault="003A5992" w:rsidP="00F447FA">
      <w:pPr>
        <w:spacing w:after="0" w:line="360" w:lineRule="auto"/>
        <w:jc w:val="both"/>
        <w:rPr>
          <w:rFonts w:ascii="Arial" w:hAnsi="Arial" w:cs="Arial"/>
          <w:sz w:val="22"/>
        </w:rPr>
      </w:pPr>
      <w:r>
        <w:rPr>
          <w:rFonts w:ascii="Arial" w:hAnsi="Arial" w:cs="Arial"/>
          <w:sz w:val="22"/>
        </w:rPr>
        <w:t>Teamwork is an essential skill because caring for adults with complex health needs rarely depends on one professional working alone. Nurses coordinate with doctors, pharmacists, physiotherapists, occupational therapists and social workers so that different aspects of treatment complement one another. Information shared during ward rounds</w:t>
      </w:r>
      <w:r w:rsidR="00C30A75">
        <w:rPr>
          <w:rFonts w:ascii="Arial" w:hAnsi="Arial" w:cs="Arial"/>
          <w:sz w:val="22"/>
        </w:rPr>
        <w:t>, multidisciplinary meetings and handovers helps each professional understand the patients’ progress and contributes to more consistent care. Wei et al. (2022) reported that effective teamwork is associated with better patient safety, improved care quality and stronger collaboration among healthcare professionals. A patient preparing to leave hospital after a stroke may require medication review, mobility assessment, home adaptations and community follow-up before discharge. Achieving these outcomes depends on each professional contributing their expertise while working towards the same plan of care.</w:t>
      </w:r>
    </w:p>
    <w:p w14:paraId="3D740EE0" w14:textId="321207B0" w:rsidR="00021DFD" w:rsidRDefault="00C036E2" w:rsidP="00F447FA">
      <w:pPr>
        <w:spacing w:after="0" w:line="360" w:lineRule="auto"/>
        <w:jc w:val="both"/>
        <w:rPr>
          <w:rFonts w:ascii="Arial" w:hAnsi="Arial" w:cs="Arial"/>
          <w:sz w:val="22"/>
        </w:rPr>
      </w:pPr>
      <w:r>
        <w:rPr>
          <w:rFonts w:ascii="Arial" w:hAnsi="Arial" w:cs="Arial"/>
          <w:sz w:val="22"/>
        </w:rPr>
        <w:lastRenderedPageBreak/>
        <w:t>Weak communication, poor clinical judgement and ineffective teamwork can affect every stage of patient care. Information may be omitted during handovers, important symptoms may not be recognised and decisions may be delayed because professionals are working without a shared understanding of the patient’s condition. Such situations increase the likelihood of avoidable complications and reduce patients’ confidence in the care they receive.</w:t>
      </w:r>
      <w:r w:rsidR="002E2B3D">
        <w:rPr>
          <w:rFonts w:ascii="Arial" w:hAnsi="Arial" w:cs="Arial"/>
          <w:sz w:val="22"/>
        </w:rPr>
        <w:t xml:space="preserve"> Manias et al. (2020) identified communication failures and inadequate collaboration as recurring factors in patient safety incidents across healthcare settings. Consider a nurse who notices a change in a patient’s observations but fails to communicate it during shift handover. The delay in reviewing the patient may allow the condition to worsen before appropriate treatment begins which will expose the patient to unnecessary risk.</w:t>
      </w:r>
    </w:p>
    <w:p w14:paraId="6633A61C" w14:textId="77777777" w:rsidR="00021DFD" w:rsidRDefault="00021DFD" w:rsidP="00F447FA">
      <w:pPr>
        <w:spacing w:after="0" w:line="360" w:lineRule="auto"/>
        <w:jc w:val="both"/>
        <w:rPr>
          <w:rFonts w:ascii="Arial" w:hAnsi="Arial" w:cs="Arial"/>
          <w:sz w:val="22"/>
        </w:rPr>
      </w:pPr>
    </w:p>
    <w:p w14:paraId="07C835B3" w14:textId="77777777" w:rsidR="00021DFD" w:rsidRDefault="00021DFD" w:rsidP="00F447FA">
      <w:pPr>
        <w:spacing w:after="0" w:line="360" w:lineRule="auto"/>
        <w:jc w:val="both"/>
        <w:rPr>
          <w:rFonts w:ascii="Arial" w:hAnsi="Arial" w:cs="Arial"/>
          <w:sz w:val="22"/>
        </w:rPr>
      </w:pPr>
    </w:p>
    <w:p w14:paraId="776E66E9" w14:textId="77777777" w:rsidR="00021DFD" w:rsidRPr="00021DFD" w:rsidRDefault="00021DFD" w:rsidP="00F447FA">
      <w:pPr>
        <w:spacing w:after="0" w:line="360" w:lineRule="auto"/>
        <w:jc w:val="both"/>
        <w:rPr>
          <w:rFonts w:ascii="Arial" w:hAnsi="Arial" w:cs="Arial"/>
          <w:sz w:val="21"/>
          <w:szCs w:val="21"/>
        </w:rPr>
      </w:pPr>
    </w:p>
    <w:p w14:paraId="2CAEA1EC" w14:textId="69F0CD8F" w:rsidR="002370CE" w:rsidRPr="002976D4" w:rsidRDefault="1F09BC6E" w:rsidP="00F447FA">
      <w:pPr>
        <w:pStyle w:val="Heading2"/>
        <w:spacing w:line="360" w:lineRule="auto"/>
        <w:rPr>
          <w:color w:val="4472C4" w:themeColor="accent1"/>
        </w:rPr>
      </w:pPr>
      <w:bookmarkStart w:id="4" w:name="_Toc237612553"/>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554690">
        <w:rPr>
          <w:color w:val="4471C4"/>
        </w:rPr>
        <w:t>Adult Nursing</w:t>
      </w:r>
      <w:bookmarkEnd w:id="4"/>
    </w:p>
    <w:p w14:paraId="58A1B501" w14:textId="5EDB1FE4" w:rsidR="0156E134" w:rsidRPr="00511A9B" w:rsidRDefault="0C5D0C5C" w:rsidP="00F447FA">
      <w:pPr>
        <w:pStyle w:val="Heading2"/>
        <w:spacing w:line="360" w:lineRule="auto"/>
        <w:rPr>
          <w:color w:val="4472C4" w:themeColor="accent1"/>
        </w:rPr>
      </w:pPr>
      <w:bookmarkStart w:id="5" w:name="_Toc237612554"/>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554690">
        <w:rPr>
          <w:color w:val="4471C4"/>
        </w:rPr>
        <w:t>Adult Nursing</w:t>
      </w:r>
      <w:bookmarkEnd w:id="5"/>
    </w:p>
    <w:p w14:paraId="38A38B85" w14:textId="65EBB3D3" w:rsidR="00B32DF6" w:rsidRDefault="00B32DF6" w:rsidP="00F447FA">
      <w:pPr>
        <w:spacing w:after="0" w:line="360" w:lineRule="auto"/>
        <w:jc w:val="both"/>
        <w:rPr>
          <w:rFonts w:ascii="Arial" w:hAnsi="Arial" w:cs="Arial"/>
          <w:sz w:val="22"/>
        </w:rPr>
      </w:pPr>
      <w:r>
        <w:rPr>
          <w:rFonts w:ascii="Arial" w:hAnsi="Arial" w:cs="Arial"/>
          <w:sz w:val="22"/>
        </w:rPr>
        <w:t>Developing Communication through Active Listening</w:t>
      </w:r>
    </w:p>
    <w:p w14:paraId="2EEE212A" w14:textId="04D91CF3" w:rsidR="00B32DF6" w:rsidRDefault="00B32DF6" w:rsidP="00F447FA">
      <w:pPr>
        <w:spacing w:after="0" w:line="360" w:lineRule="auto"/>
        <w:jc w:val="both"/>
        <w:rPr>
          <w:rFonts w:ascii="Arial" w:hAnsi="Arial" w:cs="Arial"/>
          <w:sz w:val="22"/>
        </w:rPr>
      </w:pPr>
      <w:r>
        <w:rPr>
          <w:rFonts w:ascii="Arial" w:hAnsi="Arial" w:cs="Arial"/>
          <w:sz w:val="22"/>
        </w:rPr>
        <w:t>Every conversation with a patient provides an opportunity to strengthen communication skills. Paying close attention to what patients say would enable them enough time to speak and asking questions for clarification helps nurses understand concerns that may not emerge during routine assessments. This approach also reassures patients that their views are valued and encourages them to become more involved in decisions about their care. Foronda et al. (2021) found that active listening strengthens therapeutic relationships by improving trust, patient satisfaction, and the overall quality of communication. A patient admitted with chronic obstructive pulmonary disease may reveal difficulties with using an inhaler only after being given sufficient time to talk. Listening carefully enables the nurse to address these concerns and tailor education to the patient’s individual needs.</w:t>
      </w:r>
    </w:p>
    <w:p w14:paraId="43150BB4" w14:textId="77777777" w:rsidR="00B32DF6" w:rsidRDefault="00B32DF6" w:rsidP="00F447FA">
      <w:pPr>
        <w:spacing w:after="0" w:line="360" w:lineRule="auto"/>
        <w:jc w:val="both"/>
        <w:rPr>
          <w:rFonts w:ascii="Arial" w:hAnsi="Arial" w:cs="Arial"/>
          <w:sz w:val="22"/>
        </w:rPr>
      </w:pPr>
    </w:p>
    <w:p w14:paraId="2DBC8647" w14:textId="5B9D57AF" w:rsidR="00B32DF6" w:rsidRDefault="00B32DF6" w:rsidP="00F447FA">
      <w:pPr>
        <w:spacing w:after="0" w:line="360" w:lineRule="auto"/>
        <w:jc w:val="both"/>
        <w:rPr>
          <w:rFonts w:ascii="Arial" w:hAnsi="Arial" w:cs="Arial"/>
          <w:sz w:val="22"/>
        </w:rPr>
      </w:pPr>
      <w:r>
        <w:rPr>
          <w:rFonts w:ascii="Arial" w:hAnsi="Arial" w:cs="Arial"/>
          <w:sz w:val="22"/>
        </w:rPr>
        <w:t>Improving Clinical Decision Making through Feedback</w:t>
      </w:r>
    </w:p>
    <w:p w14:paraId="460488C2" w14:textId="51C00A3E" w:rsidR="00B32DF6" w:rsidRDefault="00554690" w:rsidP="00F447FA">
      <w:pPr>
        <w:spacing w:after="0" w:line="360" w:lineRule="auto"/>
        <w:jc w:val="both"/>
        <w:rPr>
          <w:rFonts w:ascii="Arial" w:hAnsi="Arial" w:cs="Arial"/>
          <w:sz w:val="22"/>
        </w:rPr>
      </w:pPr>
      <w:r>
        <w:rPr>
          <w:rFonts w:ascii="Arial" w:hAnsi="Arial" w:cs="Arial"/>
          <w:sz w:val="22"/>
        </w:rPr>
        <w:t xml:space="preserve">Constructive feedback provides valuable opportunities to strengthen clinical judgement because it helps nurses understand the reasoning behind their decisions and identify areas for improvement. Discussing patient assessments with experienced colleagues encourages reflection on what influenced each decision and how different actions might affect patient outcomes. Learning from these conversations gradually builds confidence when managing similar situations in practice. Bickhoff et al. (2022) found that regular structured feedback supports the development of clinical reasoning by encouraging nurses to evaluate their thinking and apply evidence more effectively in future situations. After assessing a patient with </w:t>
      </w:r>
      <w:r>
        <w:rPr>
          <w:rFonts w:ascii="Arial" w:hAnsi="Arial" w:cs="Arial"/>
          <w:sz w:val="22"/>
        </w:rPr>
        <w:lastRenderedPageBreak/>
        <w:t>signs of sepsis, reviewing the assessment and escalation process with a senior nurse can reinforce sound clinical judgement and improve decision making in subsequent cases.</w:t>
      </w:r>
    </w:p>
    <w:p w14:paraId="7FBEA113" w14:textId="77777777" w:rsidR="00554690" w:rsidRDefault="00554690" w:rsidP="00F447FA">
      <w:pPr>
        <w:spacing w:after="0" w:line="360" w:lineRule="auto"/>
        <w:jc w:val="both"/>
        <w:rPr>
          <w:rFonts w:ascii="Arial" w:hAnsi="Arial" w:cs="Arial"/>
          <w:sz w:val="22"/>
        </w:rPr>
      </w:pPr>
    </w:p>
    <w:p w14:paraId="60BF8273" w14:textId="41E4155B" w:rsidR="00B32DF6" w:rsidRDefault="00E818D5" w:rsidP="00F447FA">
      <w:pPr>
        <w:spacing w:after="0" w:line="360" w:lineRule="auto"/>
        <w:jc w:val="both"/>
        <w:rPr>
          <w:rFonts w:ascii="Arial" w:hAnsi="Arial" w:cs="Arial"/>
          <w:sz w:val="22"/>
        </w:rPr>
      </w:pPr>
      <w:r>
        <w:rPr>
          <w:rFonts w:ascii="Arial" w:hAnsi="Arial" w:cs="Arial"/>
          <w:sz w:val="22"/>
        </w:rPr>
        <w:t>Strengthening Teamwork Through Multidisciplinary Handovers</w:t>
      </w:r>
    </w:p>
    <w:p w14:paraId="2D0B0F62" w14:textId="23C45C7E" w:rsidR="00E818D5" w:rsidRDefault="00E818D5" w:rsidP="00F447FA">
      <w:pPr>
        <w:spacing w:after="0" w:line="360" w:lineRule="auto"/>
        <w:jc w:val="both"/>
        <w:rPr>
          <w:rFonts w:ascii="Arial" w:hAnsi="Arial" w:cs="Arial"/>
          <w:sz w:val="22"/>
        </w:rPr>
      </w:pPr>
      <w:r>
        <w:rPr>
          <w:rFonts w:ascii="Arial" w:hAnsi="Arial" w:cs="Arial"/>
          <w:sz w:val="22"/>
        </w:rPr>
        <w:t>Working closely with other healthcare professionals is an everyday part of adult nursing which make multidisciplinary handovers a valuable opportunity to develop teamwork. Taking an active role during handovers allows nurses to exchange information, clarify responsibilities and understand how different professionals contribute to patient care. Regular participation also promotes mutual respect and reduces the risk of important information being overlooked during transitions in care. Wei et al. (2022) reported that effective collaboration within multidisciplinary teams is associated with better patient safety and improved quality of care. When planning the discharge of an older adult following hip surgery, nurses, physiotherapists, pharmacists and social workers each contribute information that supports a safe return home. Learning from these discussions helps nurses coordinate care more effectively and work confidently within the wider healthcare team.</w:t>
      </w:r>
    </w:p>
    <w:p w14:paraId="7E6017DA" w14:textId="77777777" w:rsidR="00B32DF6" w:rsidRDefault="00B32DF6" w:rsidP="00F447FA">
      <w:pPr>
        <w:spacing w:after="0" w:line="360" w:lineRule="auto"/>
        <w:jc w:val="both"/>
        <w:rPr>
          <w:rFonts w:ascii="Arial" w:hAnsi="Arial" w:cs="Arial"/>
          <w:sz w:val="22"/>
        </w:rPr>
      </w:pPr>
    </w:p>
    <w:p w14:paraId="535F1C5A" w14:textId="77777777" w:rsidR="00B32DF6" w:rsidRPr="00B32DF6" w:rsidRDefault="00B32DF6" w:rsidP="00F447FA">
      <w:pPr>
        <w:spacing w:after="0" w:line="360" w:lineRule="auto"/>
        <w:rPr>
          <w:sz w:val="21"/>
          <w:szCs w:val="21"/>
        </w:rPr>
      </w:pPr>
    </w:p>
    <w:p w14:paraId="288A0877" w14:textId="15694F1D" w:rsidR="00F1720B" w:rsidRPr="0005706A" w:rsidRDefault="5617AA6E" w:rsidP="00F447FA">
      <w:pPr>
        <w:pStyle w:val="Heading2"/>
        <w:spacing w:line="360" w:lineRule="auto"/>
        <w:rPr>
          <w:color w:val="4472C4" w:themeColor="accent1"/>
        </w:rPr>
      </w:pPr>
      <w:bookmarkStart w:id="6" w:name="_Toc237612555"/>
      <w:r w:rsidRPr="0CF501EC">
        <w:rPr>
          <w:color w:val="4471C4"/>
        </w:rPr>
        <w:t>4</w:t>
      </w:r>
      <w:r w:rsidR="00A946CB" w:rsidRPr="0CF501EC">
        <w:rPr>
          <w:color w:val="4471C4"/>
        </w:rPr>
        <w:t xml:space="preserve"> Conclusion</w:t>
      </w:r>
      <w:bookmarkEnd w:id="6"/>
    </w:p>
    <w:p w14:paraId="5155B0ED" w14:textId="415374F0" w:rsidR="00D676C3" w:rsidRPr="00511A9B" w:rsidRDefault="00E818D5" w:rsidP="00F447FA">
      <w:pPr>
        <w:spacing w:line="360" w:lineRule="auto"/>
        <w:jc w:val="both"/>
        <w:rPr>
          <w:sz w:val="21"/>
          <w:szCs w:val="21"/>
        </w:rPr>
      </w:pPr>
      <w:r>
        <w:rPr>
          <w:rFonts w:ascii="Arial" w:hAnsi="Arial" w:cs="Arial"/>
          <w:sz w:val="22"/>
        </w:rPr>
        <w:t xml:space="preserve">In conclusion, adult nursing is central to the delivery of safe and </w:t>
      </w:r>
      <w:r w:rsidR="0005706A">
        <w:rPr>
          <w:rFonts w:ascii="Arial" w:hAnsi="Arial" w:cs="Arial"/>
          <w:sz w:val="22"/>
        </w:rPr>
        <w:t>high-quality</w:t>
      </w:r>
      <w:r>
        <w:rPr>
          <w:rFonts w:ascii="Arial" w:hAnsi="Arial" w:cs="Arial"/>
          <w:sz w:val="22"/>
        </w:rPr>
        <w:t xml:space="preserve"> health and social care which require professionals who can respond to patients’ needs with competence, compassion and sound judgement. The discussion has highlighted the breadth of the adult nurse’s role while demonstrating how communication, clinical decision making and teamwork underpin effective practice in a range of healthcare settings. It has also shown that these skills can be strengthened through everyday learning opportunities including active listening, constructive feedback and multidisciplinary collaboration. Sustaining high standards of nursing practice depends on a continued commitment to professional development which would enable nurses to provide safe, person-centred care </w:t>
      </w:r>
      <w:r w:rsidR="0005706A">
        <w:rPr>
          <w:rFonts w:ascii="Arial" w:hAnsi="Arial" w:cs="Arial"/>
          <w:sz w:val="22"/>
        </w:rPr>
        <w:t>throughout their careers.</w:t>
      </w:r>
      <w:r w:rsidR="00D676C3">
        <w:rPr>
          <w:sz w:val="21"/>
          <w:szCs w:val="21"/>
        </w:rPr>
        <w:br w:type="page"/>
      </w:r>
    </w:p>
    <w:p w14:paraId="6C4B494D" w14:textId="3FD9A722" w:rsidR="00226D31" w:rsidRPr="002976D4" w:rsidRDefault="00226D31" w:rsidP="00F447FA">
      <w:pPr>
        <w:pStyle w:val="Heading2"/>
        <w:spacing w:line="360" w:lineRule="auto"/>
        <w:rPr>
          <w:color w:val="4472C4" w:themeColor="accent1"/>
        </w:rPr>
      </w:pPr>
      <w:bookmarkStart w:id="7" w:name="_Toc237612556"/>
      <w:r w:rsidRPr="0CF501EC">
        <w:rPr>
          <w:color w:val="4471C4"/>
        </w:rPr>
        <w:lastRenderedPageBreak/>
        <w:t>5 Reference List</w:t>
      </w:r>
      <w:bookmarkEnd w:id="7"/>
    </w:p>
    <w:p w14:paraId="5CFECC71" w14:textId="374C0C60" w:rsidR="00554690" w:rsidRPr="00554690" w:rsidRDefault="00554690" w:rsidP="00F447FA">
      <w:pPr>
        <w:spacing w:line="360" w:lineRule="auto"/>
        <w:jc w:val="both"/>
        <w:rPr>
          <w:rFonts w:ascii="Arial" w:hAnsi="Arial" w:cs="Arial"/>
          <w:sz w:val="22"/>
        </w:rPr>
      </w:pPr>
      <w:r w:rsidRPr="00554690">
        <w:rPr>
          <w:rFonts w:ascii="Arial" w:hAnsi="Arial" w:cs="Arial"/>
          <w:sz w:val="22"/>
        </w:rPr>
        <w:t>Bickhoff, L., Sinclair, P.M., Levett-Jones, T. and Kent, B., 2022. Developing clinical reasoning through feedback in undergraduate nursing education: An integrative review. Nurse Education Today, 108, 105170.</w:t>
      </w:r>
    </w:p>
    <w:p w14:paraId="35CDCB54" w14:textId="072F2932" w:rsidR="00554690" w:rsidRPr="00554690" w:rsidRDefault="00554690" w:rsidP="00F447FA">
      <w:pPr>
        <w:spacing w:line="360" w:lineRule="auto"/>
        <w:jc w:val="both"/>
        <w:rPr>
          <w:rFonts w:ascii="Arial" w:hAnsi="Arial" w:cs="Arial"/>
          <w:sz w:val="22"/>
        </w:rPr>
      </w:pPr>
      <w:r w:rsidRPr="00554690">
        <w:rPr>
          <w:rFonts w:ascii="Arial" w:hAnsi="Arial" w:cs="Arial"/>
          <w:sz w:val="22"/>
        </w:rPr>
        <w:t>Foronda, C., MacWilliams, B. and McArthur, E., 2021. Interprofessional communication in healthcare: An integrative review. Nurse Education in Practice, 57, 103249.</w:t>
      </w:r>
    </w:p>
    <w:p w14:paraId="5AA55C2A" w14:textId="2EDA48FF" w:rsidR="00554690" w:rsidRPr="00554690" w:rsidRDefault="00554690" w:rsidP="00F447FA">
      <w:pPr>
        <w:spacing w:line="360" w:lineRule="auto"/>
        <w:jc w:val="both"/>
        <w:rPr>
          <w:rFonts w:ascii="Arial" w:hAnsi="Arial" w:cs="Arial"/>
          <w:sz w:val="22"/>
        </w:rPr>
      </w:pPr>
      <w:r w:rsidRPr="00554690">
        <w:rPr>
          <w:rFonts w:ascii="Arial" w:hAnsi="Arial" w:cs="Arial"/>
          <w:sz w:val="22"/>
        </w:rPr>
        <w:t>Kwame, A. and Petrucka, P.M., 2021. Communication in nurse patient interaction in healthcare settings: A scoping review. BMC Nursing, 20(1), 157.</w:t>
      </w:r>
    </w:p>
    <w:p w14:paraId="2D0AC058" w14:textId="6A288098" w:rsidR="00554690" w:rsidRPr="00554690" w:rsidRDefault="00554690" w:rsidP="00F447FA">
      <w:pPr>
        <w:spacing w:line="360" w:lineRule="auto"/>
        <w:jc w:val="both"/>
        <w:rPr>
          <w:rFonts w:ascii="Arial" w:hAnsi="Arial" w:cs="Arial"/>
          <w:sz w:val="22"/>
        </w:rPr>
      </w:pPr>
      <w:r w:rsidRPr="00554690">
        <w:rPr>
          <w:rFonts w:ascii="Arial" w:hAnsi="Arial" w:cs="Arial"/>
          <w:sz w:val="22"/>
        </w:rPr>
        <w:t>Nursing and Midwifery Council, 2023. The Code: Professional standards of practice and behaviour for nurses, midwives and nursing associates. London: NMC.</w:t>
      </w:r>
    </w:p>
    <w:p w14:paraId="59315508" w14:textId="663A6B05" w:rsidR="00554690" w:rsidRPr="00554690" w:rsidRDefault="00554690" w:rsidP="00F447FA">
      <w:pPr>
        <w:spacing w:line="360" w:lineRule="auto"/>
        <w:jc w:val="both"/>
        <w:rPr>
          <w:rFonts w:ascii="Arial" w:hAnsi="Arial" w:cs="Arial"/>
          <w:sz w:val="22"/>
        </w:rPr>
      </w:pPr>
      <w:r w:rsidRPr="00554690">
        <w:rPr>
          <w:rFonts w:ascii="Arial" w:hAnsi="Arial" w:cs="Arial"/>
          <w:sz w:val="22"/>
        </w:rPr>
        <w:t>Papathanasiou, I.V., Kleisiaris, C.F., Fradelos, E.C., Kakou, K. and Kourkouta, L., 2021. Critical thinking: The development of an essential skill for nursing students. Acta Informatica Medica, 29(4), pp.283–286.</w:t>
      </w:r>
    </w:p>
    <w:p w14:paraId="1D0F2D59" w14:textId="5497FFBA" w:rsidR="004552CE" w:rsidRDefault="00554690" w:rsidP="00F447FA">
      <w:pPr>
        <w:spacing w:line="360" w:lineRule="auto"/>
        <w:jc w:val="both"/>
        <w:rPr>
          <w:rFonts w:ascii="Arial" w:hAnsi="Arial" w:cs="Arial"/>
          <w:sz w:val="22"/>
        </w:rPr>
      </w:pPr>
      <w:r w:rsidRPr="00554690">
        <w:rPr>
          <w:rFonts w:ascii="Arial" w:hAnsi="Arial" w:cs="Arial"/>
          <w:sz w:val="22"/>
        </w:rPr>
        <w:t>Wei, H., Sewell, K.A., Woody, G. and Rose, M.A., 2022. The state of the science of teamwork in nursing: A systematic review. Journal of Nursing Management, 30(8), pp.3798–3816.</w:t>
      </w:r>
    </w:p>
    <w:p w14:paraId="601BB078" w14:textId="77777777" w:rsidR="0005706A" w:rsidRDefault="0005706A" w:rsidP="00F447FA">
      <w:pPr>
        <w:spacing w:line="360" w:lineRule="auto"/>
        <w:jc w:val="both"/>
        <w:rPr>
          <w:rFonts w:ascii="Arial" w:hAnsi="Arial" w:cs="Arial"/>
          <w:sz w:val="22"/>
        </w:rPr>
      </w:pPr>
    </w:p>
    <w:p w14:paraId="44B50A48" w14:textId="77777777" w:rsidR="0005706A" w:rsidRDefault="0005706A" w:rsidP="00F447FA">
      <w:pPr>
        <w:spacing w:line="360" w:lineRule="auto"/>
        <w:jc w:val="both"/>
        <w:rPr>
          <w:rFonts w:ascii="Arial" w:hAnsi="Arial" w:cs="Arial"/>
          <w:sz w:val="22"/>
        </w:rPr>
      </w:pPr>
    </w:p>
    <w:p w14:paraId="06C40AD4" w14:textId="77777777" w:rsidR="0005706A" w:rsidRPr="0005706A" w:rsidRDefault="0005706A" w:rsidP="00F447FA">
      <w:pPr>
        <w:spacing w:line="360" w:lineRule="auto"/>
        <w:jc w:val="both"/>
        <w:rPr>
          <w:rFonts w:ascii="Arial" w:hAnsi="Arial" w:cs="Arial"/>
          <w:color w:val="FF0000"/>
        </w:rPr>
      </w:pPr>
    </w:p>
    <w:sectPr w:rsidR="0005706A" w:rsidRPr="0005706A"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1E149" w14:textId="77777777" w:rsidR="00995099" w:rsidRDefault="00995099" w:rsidP="003C7C97">
      <w:pPr>
        <w:spacing w:after="0" w:line="240" w:lineRule="auto"/>
      </w:pPr>
      <w:r>
        <w:separator/>
      </w:r>
    </w:p>
  </w:endnote>
  <w:endnote w:type="continuationSeparator" w:id="0">
    <w:p w14:paraId="395C1804" w14:textId="77777777" w:rsidR="00995099" w:rsidRDefault="0099509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635AD" w14:textId="77777777" w:rsidR="00995099" w:rsidRDefault="00995099" w:rsidP="003C7C97">
      <w:pPr>
        <w:spacing w:after="0" w:line="240" w:lineRule="auto"/>
      </w:pPr>
      <w:r>
        <w:separator/>
      </w:r>
    </w:p>
  </w:footnote>
  <w:footnote w:type="continuationSeparator" w:id="0">
    <w:p w14:paraId="120F7E7B" w14:textId="77777777" w:rsidR="00995099" w:rsidRDefault="0099509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8E327BA8"/>
    <w:lvl w:ilvl="0" w:tplc="5592399C">
      <w:start w:val="1"/>
      <w:numFmt w:val="bullet"/>
      <w:lvlText w:val=""/>
      <w:lvlJc w:val="left"/>
      <w:pPr>
        <w:ind w:left="720" w:hanging="360"/>
      </w:pPr>
      <w:rPr>
        <w:rFonts w:ascii="Symbol" w:hAnsi="Symbol" w:hint="default"/>
      </w:rPr>
    </w:lvl>
    <w:lvl w:ilvl="1" w:tplc="7018DB42">
      <w:start w:val="1"/>
      <w:numFmt w:val="bullet"/>
      <w:lvlText w:val="o"/>
      <w:lvlJc w:val="left"/>
      <w:pPr>
        <w:ind w:left="1440" w:hanging="360"/>
      </w:pPr>
      <w:rPr>
        <w:rFonts w:ascii="Courier New" w:hAnsi="Courier New" w:hint="default"/>
      </w:rPr>
    </w:lvl>
    <w:lvl w:ilvl="2" w:tplc="0972B472">
      <w:start w:val="1"/>
      <w:numFmt w:val="bullet"/>
      <w:lvlText w:val=""/>
      <w:lvlJc w:val="left"/>
      <w:pPr>
        <w:ind w:left="2160" w:hanging="360"/>
      </w:pPr>
      <w:rPr>
        <w:rFonts w:ascii="Wingdings" w:hAnsi="Wingdings" w:hint="default"/>
      </w:rPr>
    </w:lvl>
    <w:lvl w:ilvl="3" w:tplc="118CAEE6">
      <w:start w:val="1"/>
      <w:numFmt w:val="bullet"/>
      <w:lvlText w:val=""/>
      <w:lvlJc w:val="left"/>
      <w:pPr>
        <w:ind w:left="2880" w:hanging="360"/>
      </w:pPr>
      <w:rPr>
        <w:rFonts w:ascii="Symbol" w:hAnsi="Symbol" w:hint="default"/>
      </w:rPr>
    </w:lvl>
    <w:lvl w:ilvl="4" w:tplc="3A2E5B38">
      <w:start w:val="1"/>
      <w:numFmt w:val="bullet"/>
      <w:lvlText w:val="o"/>
      <w:lvlJc w:val="left"/>
      <w:pPr>
        <w:ind w:left="3600" w:hanging="360"/>
      </w:pPr>
      <w:rPr>
        <w:rFonts w:ascii="Courier New" w:hAnsi="Courier New" w:hint="default"/>
      </w:rPr>
    </w:lvl>
    <w:lvl w:ilvl="5" w:tplc="F9AA8FF4">
      <w:start w:val="1"/>
      <w:numFmt w:val="bullet"/>
      <w:lvlText w:val=""/>
      <w:lvlJc w:val="left"/>
      <w:pPr>
        <w:ind w:left="4320" w:hanging="360"/>
      </w:pPr>
      <w:rPr>
        <w:rFonts w:ascii="Wingdings" w:hAnsi="Wingdings" w:hint="default"/>
      </w:rPr>
    </w:lvl>
    <w:lvl w:ilvl="6" w:tplc="1E26DA3A">
      <w:start w:val="1"/>
      <w:numFmt w:val="bullet"/>
      <w:lvlText w:val=""/>
      <w:lvlJc w:val="left"/>
      <w:pPr>
        <w:ind w:left="5040" w:hanging="360"/>
      </w:pPr>
      <w:rPr>
        <w:rFonts w:ascii="Symbol" w:hAnsi="Symbol" w:hint="default"/>
      </w:rPr>
    </w:lvl>
    <w:lvl w:ilvl="7" w:tplc="6D165138">
      <w:start w:val="1"/>
      <w:numFmt w:val="bullet"/>
      <w:lvlText w:val="o"/>
      <w:lvlJc w:val="left"/>
      <w:pPr>
        <w:ind w:left="5760" w:hanging="360"/>
      </w:pPr>
      <w:rPr>
        <w:rFonts w:ascii="Courier New" w:hAnsi="Courier New" w:hint="default"/>
      </w:rPr>
    </w:lvl>
    <w:lvl w:ilvl="8" w:tplc="2C42434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94E8EC4"/>
    <w:lvl w:ilvl="0" w:tplc="5E1A9430">
      <w:start w:val="1"/>
      <w:numFmt w:val="bullet"/>
      <w:lvlText w:val=""/>
      <w:lvlJc w:val="left"/>
      <w:pPr>
        <w:ind w:left="720" w:hanging="360"/>
      </w:pPr>
      <w:rPr>
        <w:rFonts w:ascii="Symbol" w:hAnsi="Symbol" w:hint="default"/>
      </w:rPr>
    </w:lvl>
    <w:lvl w:ilvl="1" w:tplc="61CA1D4A">
      <w:start w:val="1"/>
      <w:numFmt w:val="bullet"/>
      <w:lvlText w:val="o"/>
      <w:lvlJc w:val="left"/>
      <w:pPr>
        <w:ind w:left="1440" w:hanging="360"/>
      </w:pPr>
      <w:rPr>
        <w:rFonts w:ascii="Courier New" w:hAnsi="Courier New" w:hint="default"/>
      </w:rPr>
    </w:lvl>
    <w:lvl w:ilvl="2" w:tplc="E228A0D2">
      <w:start w:val="1"/>
      <w:numFmt w:val="bullet"/>
      <w:lvlText w:val=""/>
      <w:lvlJc w:val="left"/>
      <w:pPr>
        <w:ind w:left="2160" w:hanging="360"/>
      </w:pPr>
      <w:rPr>
        <w:rFonts w:ascii="Wingdings" w:hAnsi="Wingdings" w:hint="default"/>
      </w:rPr>
    </w:lvl>
    <w:lvl w:ilvl="3" w:tplc="44665892">
      <w:start w:val="1"/>
      <w:numFmt w:val="bullet"/>
      <w:lvlText w:val=""/>
      <w:lvlJc w:val="left"/>
      <w:pPr>
        <w:ind w:left="2880" w:hanging="360"/>
      </w:pPr>
      <w:rPr>
        <w:rFonts w:ascii="Symbol" w:hAnsi="Symbol" w:hint="default"/>
      </w:rPr>
    </w:lvl>
    <w:lvl w:ilvl="4" w:tplc="6470A19C">
      <w:start w:val="1"/>
      <w:numFmt w:val="bullet"/>
      <w:lvlText w:val="o"/>
      <w:lvlJc w:val="left"/>
      <w:pPr>
        <w:ind w:left="3600" w:hanging="360"/>
      </w:pPr>
      <w:rPr>
        <w:rFonts w:ascii="Courier New" w:hAnsi="Courier New" w:hint="default"/>
      </w:rPr>
    </w:lvl>
    <w:lvl w:ilvl="5" w:tplc="476437BA">
      <w:start w:val="1"/>
      <w:numFmt w:val="bullet"/>
      <w:lvlText w:val=""/>
      <w:lvlJc w:val="left"/>
      <w:pPr>
        <w:ind w:left="4320" w:hanging="360"/>
      </w:pPr>
      <w:rPr>
        <w:rFonts w:ascii="Wingdings" w:hAnsi="Wingdings" w:hint="default"/>
      </w:rPr>
    </w:lvl>
    <w:lvl w:ilvl="6" w:tplc="4290FD0E">
      <w:start w:val="1"/>
      <w:numFmt w:val="bullet"/>
      <w:lvlText w:val=""/>
      <w:lvlJc w:val="left"/>
      <w:pPr>
        <w:ind w:left="5040" w:hanging="360"/>
      </w:pPr>
      <w:rPr>
        <w:rFonts w:ascii="Symbol" w:hAnsi="Symbol" w:hint="default"/>
      </w:rPr>
    </w:lvl>
    <w:lvl w:ilvl="7" w:tplc="C89A53B6">
      <w:start w:val="1"/>
      <w:numFmt w:val="bullet"/>
      <w:lvlText w:val="o"/>
      <w:lvlJc w:val="left"/>
      <w:pPr>
        <w:ind w:left="5760" w:hanging="360"/>
      </w:pPr>
      <w:rPr>
        <w:rFonts w:ascii="Courier New" w:hAnsi="Courier New" w:hint="default"/>
      </w:rPr>
    </w:lvl>
    <w:lvl w:ilvl="8" w:tplc="E7B2398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36AC93E"/>
    <w:lvl w:ilvl="0" w:tplc="C55CD758">
      <w:start w:val="1"/>
      <w:numFmt w:val="bullet"/>
      <w:lvlText w:val=""/>
      <w:lvlJc w:val="left"/>
      <w:pPr>
        <w:ind w:left="720" w:hanging="360"/>
      </w:pPr>
      <w:rPr>
        <w:rFonts w:ascii="Symbol" w:hAnsi="Symbol" w:hint="default"/>
      </w:rPr>
    </w:lvl>
    <w:lvl w:ilvl="1" w:tplc="DF08D3B0">
      <w:start w:val="1"/>
      <w:numFmt w:val="bullet"/>
      <w:lvlText w:val="o"/>
      <w:lvlJc w:val="left"/>
      <w:pPr>
        <w:ind w:left="1440" w:hanging="360"/>
      </w:pPr>
      <w:rPr>
        <w:rFonts w:ascii="Courier New" w:hAnsi="Courier New" w:hint="default"/>
      </w:rPr>
    </w:lvl>
    <w:lvl w:ilvl="2" w:tplc="A566C322">
      <w:start w:val="1"/>
      <w:numFmt w:val="bullet"/>
      <w:lvlText w:val=""/>
      <w:lvlJc w:val="left"/>
      <w:pPr>
        <w:ind w:left="2160" w:hanging="360"/>
      </w:pPr>
      <w:rPr>
        <w:rFonts w:ascii="Wingdings" w:hAnsi="Wingdings" w:hint="default"/>
      </w:rPr>
    </w:lvl>
    <w:lvl w:ilvl="3" w:tplc="6A8E43BE">
      <w:start w:val="1"/>
      <w:numFmt w:val="bullet"/>
      <w:lvlText w:val=""/>
      <w:lvlJc w:val="left"/>
      <w:pPr>
        <w:ind w:left="2880" w:hanging="360"/>
      </w:pPr>
      <w:rPr>
        <w:rFonts w:ascii="Symbol" w:hAnsi="Symbol" w:hint="default"/>
      </w:rPr>
    </w:lvl>
    <w:lvl w:ilvl="4" w:tplc="251264E0">
      <w:start w:val="1"/>
      <w:numFmt w:val="bullet"/>
      <w:lvlText w:val="o"/>
      <w:lvlJc w:val="left"/>
      <w:pPr>
        <w:ind w:left="3600" w:hanging="360"/>
      </w:pPr>
      <w:rPr>
        <w:rFonts w:ascii="Courier New" w:hAnsi="Courier New" w:hint="default"/>
      </w:rPr>
    </w:lvl>
    <w:lvl w:ilvl="5" w:tplc="76F873C6">
      <w:start w:val="1"/>
      <w:numFmt w:val="bullet"/>
      <w:lvlText w:val=""/>
      <w:lvlJc w:val="left"/>
      <w:pPr>
        <w:ind w:left="4320" w:hanging="360"/>
      </w:pPr>
      <w:rPr>
        <w:rFonts w:ascii="Wingdings" w:hAnsi="Wingdings" w:hint="default"/>
      </w:rPr>
    </w:lvl>
    <w:lvl w:ilvl="6" w:tplc="D1683B94">
      <w:start w:val="1"/>
      <w:numFmt w:val="bullet"/>
      <w:lvlText w:val=""/>
      <w:lvlJc w:val="left"/>
      <w:pPr>
        <w:ind w:left="5040" w:hanging="360"/>
      </w:pPr>
      <w:rPr>
        <w:rFonts w:ascii="Symbol" w:hAnsi="Symbol" w:hint="default"/>
      </w:rPr>
    </w:lvl>
    <w:lvl w:ilvl="7" w:tplc="0ACA5B2C">
      <w:start w:val="1"/>
      <w:numFmt w:val="bullet"/>
      <w:lvlText w:val="o"/>
      <w:lvlJc w:val="left"/>
      <w:pPr>
        <w:ind w:left="5760" w:hanging="360"/>
      </w:pPr>
      <w:rPr>
        <w:rFonts w:ascii="Courier New" w:hAnsi="Courier New" w:hint="default"/>
      </w:rPr>
    </w:lvl>
    <w:lvl w:ilvl="8" w:tplc="40DED08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8E47200"/>
    <w:lvl w:ilvl="0" w:tplc="C96819B8">
      <w:start w:val="1"/>
      <w:numFmt w:val="bullet"/>
      <w:lvlText w:val=""/>
      <w:lvlJc w:val="left"/>
      <w:pPr>
        <w:ind w:left="720" w:hanging="360"/>
      </w:pPr>
      <w:rPr>
        <w:rFonts w:ascii="Symbol" w:hAnsi="Symbol" w:hint="default"/>
      </w:rPr>
    </w:lvl>
    <w:lvl w:ilvl="1" w:tplc="1868D7C2">
      <w:start w:val="1"/>
      <w:numFmt w:val="bullet"/>
      <w:lvlText w:val="o"/>
      <w:lvlJc w:val="left"/>
      <w:pPr>
        <w:ind w:left="1440" w:hanging="360"/>
      </w:pPr>
      <w:rPr>
        <w:rFonts w:ascii="Courier New" w:hAnsi="Courier New" w:hint="default"/>
      </w:rPr>
    </w:lvl>
    <w:lvl w:ilvl="2" w:tplc="AE9AFDCE">
      <w:start w:val="1"/>
      <w:numFmt w:val="bullet"/>
      <w:lvlText w:val=""/>
      <w:lvlJc w:val="left"/>
      <w:pPr>
        <w:ind w:left="2160" w:hanging="360"/>
      </w:pPr>
      <w:rPr>
        <w:rFonts w:ascii="Wingdings" w:hAnsi="Wingdings" w:hint="default"/>
      </w:rPr>
    </w:lvl>
    <w:lvl w:ilvl="3" w:tplc="7E8AED38">
      <w:start w:val="1"/>
      <w:numFmt w:val="bullet"/>
      <w:lvlText w:val=""/>
      <w:lvlJc w:val="left"/>
      <w:pPr>
        <w:ind w:left="2880" w:hanging="360"/>
      </w:pPr>
      <w:rPr>
        <w:rFonts w:ascii="Symbol" w:hAnsi="Symbol" w:hint="default"/>
      </w:rPr>
    </w:lvl>
    <w:lvl w:ilvl="4" w:tplc="2FECFD6E">
      <w:start w:val="1"/>
      <w:numFmt w:val="bullet"/>
      <w:lvlText w:val="o"/>
      <w:lvlJc w:val="left"/>
      <w:pPr>
        <w:ind w:left="3600" w:hanging="360"/>
      </w:pPr>
      <w:rPr>
        <w:rFonts w:ascii="Courier New" w:hAnsi="Courier New" w:hint="default"/>
      </w:rPr>
    </w:lvl>
    <w:lvl w:ilvl="5" w:tplc="E850E9DA">
      <w:start w:val="1"/>
      <w:numFmt w:val="bullet"/>
      <w:lvlText w:val=""/>
      <w:lvlJc w:val="left"/>
      <w:pPr>
        <w:ind w:left="4320" w:hanging="360"/>
      </w:pPr>
      <w:rPr>
        <w:rFonts w:ascii="Wingdings" w:hAnsi="Wingdings" w:hint="default"/>
      </w:rPr>
    </w:lvl>
    <w:lvl w:ilvl="6" w:tplc="018E22B4">
      <w:start w:val="1"/>
      <w:numFmt w:val="bullet"/>
      <w:lvlText w:val=""/>
      <w:lvlJc w:val="left"/>
      <w:pPr>
        <w:ind w:left="5040" w:hanging="360"/>
      </w:pPr>
      <w:rPr>
        <w:rFonts w:ascii="Symbol" w:hAnsi="Symbol" w:hint="default"/>
      </w:rPr>
    </w:lvl>
    <w:lvl w:ilvl="7" w:tplc="AD288746">
      <w:start w:val="1"/>
      <w:numFmt w:val="bullet"/>
      <w:lvlText w:val="o"/>
      <w:lvlJc w:val="left"/>
      <w:pPr>
        <w:ind w:left="5760" w:hanging="360"/>
      </w:pPr>
      <w:rPr>
        <w:rFonts w:ascii="Courier New" w:hAnsi="Courier New" w:hint="default"/>
      </w:rPr>
    </w:lvl>
    <w:lvl w:ilvl="8" w:tplc="283A996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96F26FC4"/>
    <w:lvl w:ilvl="0" w:tplc="354CF39C">
      <w:start w:val="1"/>
      <w:numFmt w:val="bullet"/>
      <w:lvlText w:val=""/>
      <w:lvlJc w:val="left"/>
      <w:pPr>
        <w:ind w:left="720" w:hanging="360"/>
      </w:pPr>
      <w:rPr>
        <w:rFonts w:ascii="Symbol" w:hAnsi="Symbol" w:hint="default"/>
      </w:rPr>
    </w:lvl>
    <w:lvl w:ilvl="1" w:tplc="5060D23A">
      <w:start w:val="1"/>
      <w:numFmt w:val="bullet"/>
      <w:lvlText w:val="o"/>
      <w:lvlJc w:val="left"/>
      <w:pPr>
        <w:ind w:left="1440" w:hanging="360"/>
      </w:pPr>
      <w:rPr>
        <w:rFonts w:ascii="Courier New" w:hAnsi="Courier New" w:hint="default"/>
      </w:rPr>
    </w:lvl>
    <w:lvl w:ilvl="2" w:tplc="78DE4BE2">
      <w:start w:val="1"/>
      <w:numFmt w:val="bullet"/>
      <w:lvlText w:val=""/>
      <w:lvlJc w:val="left"/>
      <w:pPr>
        <w:ind w:left="2160" w:hanging="360"/>
      </w:pPr>
      <w:rPr>
        <w:rFonts w:ascii="Wingdings" w:hAnsi="Wingdings" w:hint="default"/>
      </w:rPr>
    </w:lvl>
    <w:lvl w:ilvl="3" w:tplc="7910F534">
      <w:start w:val="1"/>
      <w:numFmt w:val="bullet"/>
      <w:lvlText w:val=""/>
      <w:lvlJc w:val="left"/>
      <w:pPr>
        <w:ind w:left="2880" w:hanging="360"/>
      </w:pPr>
      <w:rPr>
        <w:rFonts w:ascii="Symbol" w:hAnsi="Symbol" w:hint="default"/>
      </w:rPr>
    </w:lvl>
    <w:lvl w:ilvl="4" w:tplc="798C64FC">
      <w:start w:val="1"/>
      <w:numFmt w:val="bullet"/>
      <w:lvlText w:val="o"/>
      <w:lvlJc w:val="left"/>
      <w:pPr>
        <w:ind w:left="3600" w:hanging="360"/>
      </w:pPr>
      <w:rPr>
        <w:rFonts w:ascii="Courier New" w:hAnsi="Courier New" w:hint="default"/>
      </w:rPr>
    </w:lvl>
    <w:lvl w:ilvl="5" w:tplc="6D6EAE4C">
      <w:start w:val="1"/>
      <w:numFmt w:val="bullet"/>
      <w:lvlText w:val=""/>
      <w:lvlJc w:val="left"/>
      <w:pPr>
        <w:ind w:left="4320" w:hanging="360"/>
      </w:pPr>
      <w:rPr>
        <w:rFonts w:ascii="Wingdings" w:hAnsi="Wingdings" w:hint="default"/>
      </w:rPr>
    </w:lvl>
    <w:lvl w:ilvl="6" w:tplc="4ECA176C">
      <w:start w:val="1"/>
      <w:numFmt w:val="bullet"/>
      <w:lvlText w:val=""/>
      <w:lvlJc w:val="left"/>
      <w:pPr>
        <w:ind w:left="5040" w:hanging="360"/>
      </w:pPr>
      <w:rPr>
        <w:rFonts w:ascii="Symbol" w:hAnsi="Symbol" w:hint="default"/>
      </w:rPr>
    </w:lvl>
    <w:lvl w:ilvl="7" w:tplc="DD14E666">
      <w:start w:val="1"/>
      <w:numFmt w:val="bullet"/>
      <w:lvlText w:val="o"/>
      <w:lvlJc w:val="left"/>
      <w:pPr>
        <w:ind w:left="5760" w:hanging="360"/>
      </w:pPr>
      <w:rPr>
        <w:rFonts w:ascii="Courier New" w:hAnsi="Courier New" w:hint="default"/>
      </w:rPr>
    </w:lvl>
    <w:lvl w:ilvl="8" w:tplc="7D384F4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3BEE6D4C"/>
    <w:lvl w:ilvl="0" w:tplc="9C725530">
      <w:start w:val="1"/>
      <w:numFmt w:val="bullet"/>
      <w:lvlText w:val=""/>
      <w:lvlJc w:val="left"/>
      <w:pPr>
        <w:ind w:left="720" w:hanging="360"/>
      </w:pPr>
      <w:rPr>
        <w:rFonts w:ascii="Symbol" w:hAnsi="Symbol" w:hint="default"/>
      </w:rPr>
    </w:lvl>
    <w:lvl w:ilvl="1" w:tplc="9F9C9A9E">
      <w:start w:val="1"/>
      <w:numFmt w:val="bullet"/>
      <w:lvlText w:val="o"/>
      <w:lvlJc w:val="left"/>
      <w:pPr>
        <w:ind w:left="1440" w:hanging="360"/>
      </w:pPr>
      <w:rPr>
        <w:rFonts w:ascii="Courier New" w:hAnsi="Courier New" w:hint="default"/>
      </w:rPr>
    </w:lvl>
    <w:lvl w:ilvl="2" w:tplc="1D5497A8">
      <w:start w:val="1"/>
      <w:numFmt w:val="bullet"/>
      <w:lvlText w:val=""/>
      <w:lvlJc w:val="left"/>
      <w:pPr>
        <w:ind w:left="2160" w:hanging="360"/>
      </w:pPr>
      <w:rPr>
        <w:rFonts w:ascii="Wingdings" w:hAnsi="Wingdings" w:hint="default"/>
      </w:rPr>
    </w:lvl>
    <w:lvl w:ilvl="3" w:tplc="90B295E2">
      <w:start w:val="1"/>
      <w:numFmt w:val="bullet"/>
      <w:lvlText w:val=""/>
      <w:lvlJc w:val="left"/>
      <w:pPr>
        <w:ind w:left="2880" w:hanging="360"/>
      </w:pPr>
      <w:rPr>
        <w:rFonts w:ascii="Symbol" w:hAnsi="Symbol" w:hint="default"/>
      </w:rPr>
    </w:lvl>
    <w:lvl w:ilvl="4" w:tplc="AD3A269A">
      <w:start w:val="1"/>
      <w:numFmt w:val="bullet"/>
      <w:lvlText w:val="o"/>
      <w:lvlJc w:val="left"/>
      <w:pPr>
        <w:ind w:left="3600" w:hanging="360"/>
      </w:pPr>
      <w:rPr>
        <w:rFonts w:ascii="Courier New" w:hAnsi="Courier New" w:hint="default"/>
      </w:rPr>
    </w:lvl>
    <w:lvl w:ilvl="5" w:tplc="6BDC5FB4">
      <w:start w:val="1"/>
      <w:numFmt w:val="bullet"/>
      <w:lvlText w:val=""/>
      <w:lvlJc w:val="left"/>
      <w:pPr>
        <w:ind w:left="4320" w:hanging="360"/>
      </w:pPr>
      <w:rPr>
        <w:rFonts w:ascii="Wingdings" w:hAnsi="Wingdings" w:hint="default"/>
      </w:rPr>
    </w:lvl>
    <w:lvl w:ilvl="6" w:tplc="1450B6C0">
      <w:start w:val="1"/>
      <w:numFmt w:val="bullet"/>
      <w:lvlText w:val=""/>
      <w:lvlJc w:val="left"/>
      <w:pPr>
        <w:ind w:left="5040" w:hanging="360"/>
      </w:pPr>
      <w:rPr>
        <w:rFonts w:ascii="Symbol" w:hAnsi="Symbol" w:hint="default"/>
      </w:rPr>
    </w:lvl>
    <w:lvl w:ilvl="7" w:tplc="5302E934">
      <w:start w:val="1"/>
      <w:numFmt w:val="bullet"/>
      <w:lvlText w:val="o"/>
      <w:lvlJc w:val="left"/>
      <w:pPr>
        <w:ind w:left="5760" w:hanging="360"/>
      </w:pPr>
      <w:rPr>
        <w:rFonts w:ascii="Courier New" w:hAnsi="Courier New" w:hint="default"/>
      </w:rPr>
    </w:lvl>
    <w:lvl w:ilvl="8" w:tplc="0A244D5C">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6077341">
    <w:abstractNumId w:val="11"/>
  </w:num>
  <w:num w:numId="2" w16cid:durableId="1298956090">
    <w:abstractNumId w:val="12"/>
  </w:num>
  <w:num w:numId="3" w16cid:durableId="1491290462">
    <w:abstractNumId w:val="1"/>
  </w:num>
  <w:num w:numId="4" w16cid:durableId="1336765903">
    <w:abstractNumId w:val="3"/>
  </w:num>
  <w:num w:numId="5" w16cid:durableId="1794976863">
    <w:abstractNumId w:val="15"/>
  </w:num>
  <w:num w:numId="6" w16cid:durableId="144703854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1DFD"/>
    <w:rsid w:val="00022C42"/>
    <w:rsid w:val="00027B15"/>
    <w:rsid w:val="00030303"/>
    <w:rsid w:val="00030A05"/>
    <w:rsid w:val="0005706A"/>
    <w:rsid w:val="00066A1F"/>
    <w:rsid w:val="00070818"/>
    <w:rsid w:val="0008238F"/>
    <w:rsid w:val="00082EC6"/>
    <w:rsid w:val="00085388"/>
    <w:rsid w:val="000D41DC"/>
    <w:rsid w:val="00125D37"/>
    <w:rsid w:val="00127C1A"/>
    <w:rsid w:val="00150D81"/>
    <w:rsid w:val="00166CEB"/>
    <w:rsid w:val="00183CB9"/>
    <w:rsid w:val="00184A9A"/>
    <w:rsid w:val="001947DF"/>
    <w:rsid w:val="00197C57"/>
    <w:rsid w:val="001B22BB"/>
    <w:rsid w:val="001B619C"/>
    <w:rsid w:val="001D1D3C"/>
    <w:rsid w:val="001D6CCD"/>
    <w:rsid w:val="002205D4"/>
    <w:rsid w:val="00222C3A"/>
    <w:rsid w:val="00226D31"/>
    <w:rsid w:val="00236401"/>
    <w:rsid w:val="002370CE"/>
    <w:rsid w:val="00242974"/>
    <w:rsid w:val="00247829"/>
    <w:rsid w:val="002976D4"/>
    <w:rsid w:val="002A5577"/>
    <w:rsid w:val="002B4AA4"/>
    <w:rsid w:val="002D5E9C"/>
    <w:rsid w:val="002E2B3D"/>
    <w:rsid w:val="002E71BA"/>
    <w:rsid w:val="002F5066"/>
    <w:rsid w:val="003003FD"/>
    <w:rsid w:val="00310245"/>
    <w:rsid w:val="00316C95"/>
    <w:rsid w:val="003458DB"/>
    <w:rsid w:val="003523D3"/>
    <w:rsid w:val="00364C35"/>
    <w:rsid w:val="00396F60"/>
    <w:rsid w:val="003A51D6"/>
    <w:rsid w:val="003A5992"/>
    <w:rsid w:val="003B125E"/>
    <w:rsid w:val="003B2A5E"/>
    <w:rsid w:val="003C3602"/>
    <w:rsid w:val="003C7C97"/>
    <w:rsid w:val="00406B8D"/>
    <w:rsid w:val="00410068"/>
    <w:rsid w:val="0041618E"/>
    <w:rsid w:val="0042295C"/>
    <w:rsid w:val="00426EEC"/>
    <w:rsid w:val="004466C3"/>
    <w:rsid w:val="004552CE"/>
    <w:rsid w:val="00481FF7"/>
    <w:rsid w:val="00500295"/>
    <w:rsid w:val="00501AAF"/>
    <w:rsid w:val="005064A3"/>
    <w:rsid w:val="00510531"/>
    <w:rsid w:val="00511A9B"/>
    <w:rsid w:val="0051502E"/>
    <w:rsid w:val="00527AFA"/>
    <w:rsid w:val="005419DA"/>
    <w:rsid w:val="00554690"/>
    <w:rsid w:val="005623FF"/>
    <w:rsid w:val="005678AC"/>
    <w:rsid w:val="005679BD"/>
    <w:rsid w:val="005709B1"/>
    <w:rsid w:val="00572B3B"/>
    <w:rsid w:val="005836D2"/>
    <w:rsid w:val="00587C58"/>
    <w:rsid w:val="005A2E24"/>
    <w:rsid w:val="005A7FD4"/>
    <w:rsid w:val="005B1A84"/>
    <w:rsid w:val="005D1AF9"/>
    <w:rsid w:val="005D5457"/>
    <w:rsid w:val="005E2699"/>
    <w:rsid w:val="005E29BA"/>
    <w:rsid w:val="005E44B5"/>
    <w:rsid w:val="00612DEA"/>
    <w:rsid w:val="00614572"/>
    <w:rsid w:val="006232DF"/>
    <w:rsid w:val="00631F2E"/>
    <w:rsid w:val="006457C0"/>
    <w:rsid w:val="00652BB7"/>
    <w:rsid w:val="00661758"/>
    <w:rsid w:val="0067612C"/>
    <w:rsid w:val="00676FEB"/>
    <w:rsid w:val="00686261"/>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76FDB"/>
    <w:rsid w:val="008826B6"/>
    <w:rsid w:val="008B0B22"/>
    <w:rsid w:val="008C58B0"/>
    <w:rsid w:val="008C591B"/>
    <w:rsid w:val="008C6182"/>
    <w:rsid w:val="008D6ADC"/>
    <w:rsid w:val="0090779E"/>
    <w:rsid w:val="00926458"/>
    <w:rsid w:val="00933720"/>
    <w:rsid w:val="00995099"/>
    <w:rsid w:val="009C7E52"/>
    <w:rsid w:val="009E4934"/>
    <w:rsid w:val="009F40A7"/>
    <w:rsid w:val="009F5CE6"/>
    <w:rsid w:val="00A035CD"/>
    <w:rsid w:val="00A27BD4"/>
    <w:rsid w:val="00A50E80"/>
    <w:rsid w:val="00A513B0"/>
    <w:rsid w:val="00A63F7F"/>
    <w:rsid w:val="00A667CE"/>
    <w:rsid w:val="00A75042"/>
    <w:rsid w:val="00A774BC"/>
    <w:rsid w:val="00A82678"/>
    <w:rsid w:val="00A946CB"/>
    <w:rsid w:val="00AA77C8"/>
    <w:rsid w:val="00AC7BE2"/>
    <w:rsid w:val="00AE35BF"/>
    <w:rsid w:val="00B1067E"/>
    <w:rsid w:val="00B127B6"/>
    <w:rsid w:val="00B32DF6"/>
    <w:rsid w:val="00B6377D"/>
    <w:rsid w:val="00B81790"/>
    <w:rsid w:val="00B81BBC"/>
    <w:rsid w:val="00B94BC2"/>
    <w:rsid w:val="00BD03D5"/>
    <w:rsid w:val="00C036E2"/>
    <w:rsid w:val="00C10341"/>
    <w:rsid w:val="00C30A7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DF0DB0"/>
    <w:rsid w:val="00E067A8"/>
    <w:rsid w:val="00E13924"/>
    <w:rsid w:val="00E15FD5"/>
    <w:rsid w:val="00E1725A"/>
    <w:rsid w:val="00E33758"/>
    <w:rsid w:val="00E53E5E"/>
    <w:rsid w:val="00E64325"/>
    <w:rsid w:val="00E64D44"/>
    <w:rsid w:val="00E673C5"/>
    <w:rsid w:val="00E67967"/>
    <w:rsid w:val="00E818D5"/>
    <w:rsid w:val="00E82723"/>
    <w:rsid w:val="00EA29A5"/>
    <w:rsid w:val="00EC107C"/>
    <w:rsid w:val="00EC6D23"/>
    <w:rsid w:val="00EC7EBE"/>
    <w:rsid w:val="00EC7FD2"/>
    <w:rsid w:val="00ED5964"/>
    <w:rsid w:val="00EF4D22"/>
    <w:rsid w:val="00F1720B"/>
    <w:rsid w:val="00F36ADC"/>
    <w:rsid w:val="00F447FA"/>
    <w:rsid w:val="00F475DF"/>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7</Pages>
  <Words>1830</Words>
  <Characters>10431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John Ebenogwu</cp:lastModifiedBy>
  <cp:revision>24</cp:revision>
  <dcterms:created xsi:type="dcterms:W3CDTF">2026-08-14T13:15:00Z</dcterms:created>
  <dcterms:modified xsi:type="dcterms:W3CDTF">2026-08-20T19:38:00Z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