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64D5D" w:rsidR="00833470" w:rsidP="00240340" w:rsidRDefault="00833470" w14:paraId="60E79D67" w14:textId="77777777">
      <w:pPr>
        <w:spacing w:line="360" w:lineRule="auto"/>
        <w:jc w:val="both"/>
        <w:rPr>
          <w:rFonts w:ascii="Arial" w:hAnsi="Arial" w:cs="Arial"/>
          <w:szCs w:val="24"/>
        </w:rPr>
      </w:pPr>
      <w:r w:rsidRPr="00A64D5D">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Pr="00A64D5D" w:rsidR="00833470" w:rsidP="00240340" w:rsidRDefault="00833470" w14:paraId="308E6896" w14:textId="77777777">
      <w:pPr>
        <w:spacing w:line="360" w:lineRule="auto"/>
        <w:jc w:val="both"/>
        <w:rPr>
          <w:rFonts w:ascii="Arial" w:hAnsi="Arial" w:cs="Arial"/>
          <w:szCs w:val="24"/>
        </w:rPr>
      </w:pPr>
    </w:p>
    <w:p w:rsidRPr="00A64D5D" w:rsidR="00833470" w:rsidP="00240340" w:rsidRDefault="00833470" w14:paraId="624F191C" w14:textId="77777777">
      <w:pPr>
        <w:spacing w:line="360" w:lineRule="auto"/>
        <w:jc w:val="both"/>
        <w:rPr>
          <w:rFonts w:ascii="Arial" w:hAnsi="Arial" w:cs="Arial"/>
          <w:szCs w:val="24"/>
        </w:rPr>
      </w:pPr>
    </w:p>
    <w:p w:rsidRPr="00A64D5D" w:rsidR="00833470" w:rsidP="00240340" w:rsidRDefault="00833470" w14:paraId="0F83201D" w14:textId="77777777">
      <w:pPr>
        <w:spacing w:line="360" w:lineRule="auto"/>
        <w:jc w:val="both"/>
        <w:rPr>
          <w:rFonts w:ascii="Arial" w:hAnsi="Arial" w:cs="Arial"/>
          <w:szCs w:val="24"/>
        </w:rPr>
      </w:pPr>
    </w:p>
    <w:p w:rsidRPr="00A64D5D" w:rsidR="00833470" w:rsidP="1DB91298" w:rsidRDefault="00833470" w14:paraId="3473C351" w14:textId="77777777">
      <w:pPr>
        <w:tabs>
          <w:tab w:val="left" w:pos="6540"/>
        </w:tabs>
        <w:spacing w:line="360" w:lineRule="auto"/>
        <w:jc w:val="left"/>
        <w:rPr>
          <w:rFonts w:ascii="Arial" w:hAnsi="Arial" w:eastAsia="Arial" w:cs="Arial"/>
          <w:b w:val="1"/>
          <w:bCs w:val="1"/>
          <w:sz w:val="28"/>
          <w:szCs w:val="28"/>
        </w:rPr>
      </w:pPr>
    </w:p>
    <w:p w:rsidRPr="00A64D5D" w:rsidR="00833470" w:rsidP="1DB91298" w:rsidRDefault="00833470" w14:paraId="5818B88A" w14:textId="07E5545A">
      <w:pPr>
        <w:tabs>
          <w:tab w:val="left" w:pos="6540"/>
        </w:tabs>
        <w:spacing w:line="360" w:lineRule="auto"/>
        <w:jc w:val="left"/>
        <w:rPr>
          <w:rFonts w:ascii="Arial" w:hAnsi="Arial" w:eastAsia="Arial" w:cs="Arial"/>
          <w:b w:val="1"/>
          <w:bCs w:val="1"/>
          <w:sz w:val="28"/>
          <w:szCs w:val="28"/>
        </w:rPr>
      </w:pPr>
      <w:bookmarkStart w:name="_Hlk119323191" w:id="0"/>
      <w:r w:rsidRPr="1DB91298" w:rsidR="00833470">
        <w:rPr>
          <w:rFonts w:ascii="Arial" w:hAnsi="Arial" w:eastAsia="Arial" w:cs="Arial"/>
          <w:b w:val="1"/>
          <w:bCs w:val="1"/>
          <w:sz w:val="28"/>
          <w:szCs w:val="28"/>
        </w:rPr>
        <w:t>Student name</w:t>
      </w:r>
      <w:r w:rsidRPr="1DB91298" w:rsidR="00833470">
        <w:rPr>
          <w:rFonts w:ascii="Arial" w:hAnsi="Arial" w:eastAsia="Arial" w:cs="Arial"/>
          <w:b w:val="1"/>
          <w:bCs w:val="1"/>
          <w:sz w:val="28"/>
          <w:szCs w:val="28"/>
        </w:rPr>
        <w:t>:</w:t>
      </w:r>
      <w:r w:rsidRPr="1DB91298" w:rsidR="2C4C4C32">
        <w:rPr>
          <w:rFonts w:ascii="Arial" w:hAnsi="Arial" w:eastAsia="Arial" w:cs="Arial"/>
          <w:b w:val="1"/>
          <w:bCs w:val="1"/>
          <w:sz w:val="28"/>
          <w:szCs w:val="28"/>
        </w:rPr>
        <w:t xml:space="preserve"> ME-SHACH Asher Tomlin Francis</w:t>
      </w:r>
    </w:p>
    <w:p w:rsidRPr="00A64D5D" w:rsidR="00833470" w:rsidP="1DB91298" w:rsidRDefault="00833470" w14:paraId="476C763A" w14:textId="573DAAF3">
      <w:pPr>
        <w:tabs>
          <w:tab w:val="left" w:pos="6540"/>
        </w:tabs>
        <w:spacing w:line="360" w:lineRule="auto"/>
        <w:jc w:val="left"/>
        <w:rPr>
          <w:rFonts w:ascii="Arial" w:hAnsi="Arial" w:eastAsia="Arial" w:cs="Arial"/>
          <w:b w:val="1"/>
          <w:bCs w:val="1"/>
          <w:sz w:val="28"/>
          <w:szCs w:val="28"/>
          <w:lang w:val="nl-NL"/>
        </w:rPr>
      </w:pPr>
      <w:r w:rsidRPr="1DB91298" w:rsidR="00833470">
        <w:rPr>
          <w:rFonts w:ascii="Arial" w:hAnsi="Arial" w:eastAsia="Arial" w:cs="Arial"/>
          <w:b w:val="1"/>
          <w:bCs w:val="1"/>
          <w:sz w:val="28"/>
          <w:szCs w:val="28"/>
          <w:lang w:val="nl-NL"/>
        </w:rPr>
        <w:t>Student ID</w:t>
      </w:r>
      <w:r w:rsidRPr="1DB91298" w:rsidR="00833470">
        <w:rPr>
          <w:rFonts w:ascii="Arial" w:hAnsi="Arial" w:eastAsia="Arial" w:cs="Arial"/>
          <w:b w:val="1"/>
          <w:bCs w:val="1"/>
          <w:sz w:val="28"/>
          <w:szCs w:val="28"/>
          <w:lang w:val="nl-NL"/>
        </w:rPr>
        <w:t>:</w:t>
      </w:r>
      <w:r w:rsidRPr="1DB91298" w:rsidR="67EBF66C">
        <w:rPr>
          <w:rFonts w:ascii="Arial" w:hAnsi="Arial" w:eastAsia="Arial" w:cs="Arial"/>
          <w:b w:val="1"/>
          <w:bCs w:val="1"/>
          <w:sz w:val="28"/>
          <w:szCs w:val="28"/>
          <w:lang w:val="nl-NL"/>
        </w:rPr>
        <w:t xml:space="preserve"> 2439402</w:t>
      </w:r>
    </w:p>
    <w:p w:rsidRPr="00A64D5D" w:rsidR="00833470" w:rsidP="1DB91298" w:rsidRDefault="00833470" w14:paraId="27005EB9" w14:textId="77777777">
      <w:pPr>
        <w:tabs>
          <w:tab w:val="left" w:pos="6540"/>
        </w:tabs>
        <w:spacing w:line="360" w:lineRule="auto"/>
        <w:jc w:val="left"/>
        <w:rPr>
          <w:rFonts w:ascii="Arial" w:hAnsi="Arial" w:eastAsia="Arial" w:cs="Arial"/>
          <w:b w:val="1"/>
          <w:bCs w:val="1"/>
          <w:sz w:val="28"/>
          <w:szCs w:val="28"/>
          <w:lang w:val="nl-NL"/>
        </w:rPr>
      </w:pPr>
    </w:p>
    <w:p w:rsidRPr="00A64D5D" w:rsidR="00833470" w:rsidP="1DB91298" w:rsidRDefault="00833470" w14:paraId="543E95E7" w14:textId="790F6CD4">
      <w:pPr>
        <w:tabs>
          <w:tab w:val="left" w:pos="6540"/>
        </w:tabs>
        <w:spacing w:line="360" w:lineRule="auto"/>
        <w:jc w:val="left"/>
        <w:rPr>
          <w:rFonts w:ascii="Arial" w:hAnsi="Arial" w:eastAsia="Arial" w:cs="Arial"/>
          <w:b w:val="1"/>
          <w:bCs w:val="1"/>
          <w:sz w:val="28"/>
          <w:szCs w:val="28"/>
          <w:lang w:val="nl-NL"/>
        </w:rPr>
      </w:pPr>
      <w:r w:rsidRPr="1DB91298" w:rsidR="00833470">
        <w:rPr>
          <w:rFonts w:ascii="Arial" w:hAnsi="Arial" w:eastAsia="Arial" w:cs="Arial"/>
          <w:b w:val="1"/>
          <w:bCs w:val="1"/>
          <w:sz w:val="28"/>
          <w:szCs w:val="28"/>
          <w:lang w:val="nl-NL"/>
        </w:rPr>
        <w:t>Module name</w:t>
      </w:r>
      <w:r w:rsidRPr="1DB91298" w:rsidR="00833470">
        <w:rPr>
          <w:rFonts w:ascii="Arial" w:hAnsi="Arial" w:eastAsia="Arial" w:cs="Arial"/>
          <w:b w:val="1"/>
          <w:bCs w:val="1"/>
          <w:sz w:val="28"/>
          <w:szCs w:val="28"/>
          <w:lang w:val="nl-NL"/>
        </w:rPr>
        <w:t>:</w:t>
      </w:r>
      <w:r w:rsidRPr="1DB91298" w:rsidR="16776FC1">
        <w:rPr>
          <w:rFonts w:ascii="Arial" w:hAnsi="Arial" w:eastAsia="Arial" w:cs="Arial"/>
          <w:b w:val="1"/>
          <w:bCs w:val="1"/>
          <w:sz w:val="28"/>
          <w:szCs w:val="28"/>
          <w:lang w:val="nl-NL"/>
        </w:rPr>
        <w:t xml:space="preserve"> </w:t>
      </w:r>
      <w:r w:rsidRPr="1DB91298" w:rsidR="16776FC1">
        <w:rPr>
          <w:rFonts w:ascii="Arial" w:hAnsi="Arial" w:eastAsia="Arial" w:cs="Arial"/>
          <w:b w:val="1"/>
          <w:bCs w:val="1"/>
          <w:sz w:val="28"/>
          <w:szCs w:val="28"/>
          <w:lang w:val="nl-NL"/>
        </w:rPr>
        <w:t>Introduction</w:t>
      </w:r>
      <w:r w:rsidRPr="1DB91298" w:rsidR="16776FC1">
        <w:rPr>
          <w:rFonts w:ascii="Arial" w:hAnsi="Arial" w:eastAsia="Arial" w:cs="Arial"/>
          <w:b w:val="1"/>
          <w:bCs w:val="1"/>
          <w:sz w:val="28"/>
          <w:szCs w:val="28"/>
          <w:lang w:val="nl-NL"/>
        </w:rPr>
        <w:t xml:space="preserve"> in Health </w:t>
      </w:r>
      <w:r w:rsidRPr="1DB91298" w:rsidR="16776FC1">
        <w:rPr>
          <w:rFonts w:ascii="Arial" w:hAnsi="Arial" w:eastAsia="Arial" w:cs="Arial"/>
          <w:b w:val="1"/>
          <w:bCs w:val="1"/>
          <w:sz w:val="28"/>
          <w:szCs w:val="28"/>
          <w:lang w:val="nl-NL"/>
        </w:rPr>
        <w:t>and</w:t>
      </w:r>
      <w:r w:rsidRPr="1DB91298" w:rsidR="16776FC1">
        <w:rPr>
          <w:rFonts w:ascii="Arial" w:hAnsi="Arial" w:eastAsia="Arial" w:cs="Arial"/>
          <w:b w:val="1"/>
          <w:bCs w:val="1"/>
          <w:sz w:val="28"/>
          <w:szCs w:val="28"/>
          <w:lang w:val="nl-NL"/>
        </w:rPr>
        <w:t xml:space="preserve"> </w:t>
      </w:r>
      <w:r w:rsidRPr="1DB91298" w:rsidR="16776FC1">
        <w:rPr>
          <w:rFonts w:ascii="Arial" w:hAnsi="Arial" w:eastAsia="Arial" w:cs="Arial"/>
          <w:b w:val="1"/>
          <w:bCs w:val="1"/>
          <w:sz w:val="28"/>
          <w:szCs w:val="28"/>
          <w:lang w:val="nl-NL"/>
        </w:rPr>
        <w:t>Social</w:t>
      </w:r>
      <w:r w:rsidRPr="1DB91298" w:rsidR="16776FC1">
        <w:rPr>
          <w:rFonts w:ascii="Arial" w:hAnsi="Arial" w:eastAsia="Arial" w:cs="Arial"/>
          <w:b w:val="1"/>
          <w:bCs w:val="1"/>
          <w:sz w:val="28"/>
          <w:szCs w:val="28"/>
          <w:lang w:val="nl-NL"/>
        </w:rPr>
        <w:t xml:space="preserve"> care </w:t>
      </w:r>
    </w:p>
    <w:p w:rsidRPr="00A64D5D" w:rsidR="00833470" w:rsidP="1DB91298" w:rsidRDefault="00833470" w14:paraId="0009AFB0" w14:textId="0941F63D">
      <w:pPr>
        <w:tabs>
          <w:tab w:val="left" w:pos="6540"/>
        </w:tabs>
        <w:spacing w:line="360" w:lineRule="auto"/>
        <w:jc w:val="left"/>
        <w:rPr>
          <w:rFonts w:ascii="Arial" w:hAnsi="Arial" w:eastAsia="Arial" w:cs="Arial"/>
          <w:b w:val="1"/>
          <w:bCs w:val="1"/>
          <w:sz w:val="28"/>
          <w:szCs w:val="28"/>
        </w:rPr>
      </w:pPr>
      <w:r w:rsidRPr="1DB91298" w:rsidR="00833470">
        <w:rPr>
          <w:rFonts w:ascii="Arial" w:hAnsi="Arial" w:eastAsia="Arial" w:cs="Arial"/>
          <w:b w:val="1"/>
          <w:bCs w:val="1"/>
          <w:sz w:val="28"/>
          <w:szCs w:val="28"/>
        </w:rPr>
        <w:t>Module code</w:t>
      </w:r>
      <w:r w:rsidRPr="1DB91298" w:rsidR="00833470">
        <w:rPr>
          <w:rFonts w:ascii="Arial" w:hAnsi="Arial" w:eastAsia="Arial" w:cs="Arial"/>
          <w:b w:val="1"/>
          <w:bCs w:val="1"/>
          <w:sz w:val="28"/>
          <w:szCs w:val="28"/>
        </w:rPr>
        <w:t>:</w:t>
      </w:r>
      <w:r w:rsidRPr="1DB91298" w:rsidR="5B2D4C23">
        <w:rPr>
          <w:rFonts w:ascii="Arial" w:hAnsi="Arial" w:eastAsia="Arial" w:cs="Arial"/>
          <w:b w:val="1"/>
          <w:bCs w:val="1"/>
          <w:sz w:val="28"/>
          <w:szCs w:val="28"/>
        </w:rPr>
        <w:t xml:space="preserve"> LCHS4003</w:t>
      </w:r>
    </w:p>
    <w:p w:rsidRPr="00A64D5D" w:rsidR="00833470" w:rsidP="1DB91298" w:rsidRDefault="00833470" w14:paraId="0EA5B494" w14:textId="76436E4D">
      <w:pPr>
        <w:spacing w:line="360" w:lineRule="auto"/>
        <w:jc w:val="left"/>
        <w:rPr>
          <w:rFonts w:ascii="Arial" w:hAnsi="Arial" w:eastAsia="Arial" w:cs="Arial"/>
          <w:b w:val="1"/>
          <w:bCs w:val="1"/>
        </w:rPr>
      </w:pPr>
      <w:r w:rsidRPr="1DB91298" w:rsidR="00833470">
        <w:rPr>
          <w:rFonts w:ascii="Arial" w:hAnsi="Arial" w:eastAsia="Arial" w:cs="Arial"/>
          <w:b w:val="1"/>
          <w:bCs w:val="1"/>
          <w:sz w:val="28"/>
          <w:szCs w:val="28"/>
        </w:rPr>
        <w:t>Lecturer name</w:t>
      </w:r>
      <w:r w:rsidRPr="1DB91298" w:rsidR="27F2D39A">
        <w:rPr>
          <w:rFonts w:ascii="Arial" w:hAnsi="Arial" w:eastAsia="Arial" w:cs="Arial"/>
          <w:b w:val="1"/>
          <w:bCs w:val="1"/>
          <w:sz w:val="28"/>
          <w:szCs w:val="28"/>
        </w:rPr>
        <w:t xml:space="preserve">: Dr </w:t>
      </w:r>
      <w:r w:rsidRPr="1DB91298" w:rsidR="27F2D39A">
        <w:rPr>
          <w:rFonts w:ascii="Arial" w:hAnsi="Arial" w:eastAsia="Arial" w:cs="Arial"/>
          <w:b w:val="1"/>
          <w:bCs w:val="1"/>
          <w:sz w:val="28"/>
          <w:szCs w:val="28"/>
        </w:rPr>
        <w:t>Inye</w:t>
      </w:r>
      <w:r w:rsidRPr="1DB91298" w:rsidR="27F2D39A">
        <w:rPr>
          <w:rFonts w:ascii="Arial" w:hAnsi="Arial" w:eastAsia="Arial" w:cs="Arial"/>
          <w:b w:val="1"/>
          <w:bCs w:val="1"/>
          <w:sz w:val="28"/>
          <w:szCs w:val="28"/>
        </w:rPr>
        <w:t xml:space="preserve"> Abel Tariah</w:t>
      </w:r>
    </w:p>
    <w:bookmarkEnd w:id="0"/>
    <w:p w:rsidRPr="00A64D5D" w:rsidR="00925D5E" w:rsidP="00240340" w:rsidRDefault="00925D5E" w14:paraId="410C101D" w14:textId="005EA9BD">
      <w:pPr>
        <w:spacing w:line="360" w:lineRule="auto"/>
        <w:jc w:val="both"/>
        <w:rPr>
          <w:rFonts w:ascii="Arial" w:hAnsi="Arial" w:cs="Arial"/>
        </w:rPr>
        <w:sectPr w:rsidRPr="00A64D5D" w:rsidR="00925D5E">
          <w:headerReference w:type="default" r:id="rId10"/>
          <w:footerReference w:type="default" r:id="rId11"/>
          <w:pgSz w:w="11906" w:h="16838" w:orient="portrait"/>
          <w:pgMar w:top="1440" w:right="1440" w:bottom="1440" w:left="1440" w:header="708" w:footer="708" w:gutter="0"/>
          <w:cols w:space="708"/>
          <w:docGrid w:linePitch="360"/>
        </w:sectPr>
      </w:pPr>
    </w:p>
    <w:p w:rsidRPr="00A64D5D" w:rsidR="00A64D5D" w:rsidP="00240340" w:rsidRDefault="00A64D5D" w14:paraId="5C8F0CD3" w14:textId="3EC19A81">
      <w:pPr>
        <w:spacing w:line="360" w:lineRule="auto"/>
        <w:jc w:val="both"/>
        <w:rPr>
          <w:rFonts w:ascii="Arial" w:hAnsi="Arial" w:cs="Arial"/>
        </w:rPr>
      </w:pPr>
    </w:p>
    <w:p w:rsidRPr="00A64D5D" w:rsidR="00A64D5D" w:rsidP="1DB91298" w:rsidRDefault="00A64D5D" w14:paraId="1252C29A" w14:textId="78C9BA55">
      <w:pPr>
        <w:pStyle w:val="Normal"/>
        <w:suppressLineNumbers w:val="0"/>
        <w:bidi w:val="0"/>
        <w:spacing w:before="0" w:beforeAutospacing="off" w:after="160" w:afterAutospacing="off" w:line="360" w:lineRule="auto"/>
        <w:ind w:left="0" w:right="0"/>
        <w:jc w:val="center"/>
        <w:rPr>
          <w:rFonts w:ascii="Arial" w:hAnsi="Arial" w:cs="Arial"/>
          <w:b w:val="1"/>
          <w:bCs w:val="1"/>
          <w:color w:val="4472C4" w:themeColor="accent1" w:themeTint="FF" w:themeShade="FF"/>
          <w:sz w:val="72"/>
          <w:szCs w:val="72"/>
        </w:rPr>
      </w:pPr>
      <w:r w:rsidRPr="1DB91298" w:rsidR="749E7415">
        <w:rPr>
          <w:rFonts w:ascii="Arial" w:hAnsi="Arial" w:cs="Arial"/>
          <w:b w:val="1"/>
          <w:bCs w:val="1"/>
          <w:color w:val="4472C4" w:themeColor="accent1" w:themeTint="FF" w:themeShade="FF"/>
          <w:sz w:val="72"/>
          <w:szCs w:val="72"/>
        </w:rPr>
        <w:t xml:space="preserve">Poster </w:t>
      </w:r>
    </w:p>
    <w:p w:rsidRPr="00A64D5D" w:rsidR="00A64D5D" w:rsidP="1DB91298" w:rsidRDefault="00A64D5D" w14:paraId="11AC98C8" w14:textId="4677057B">
      <w:pPr>
        <w:pStyle w:val="Normal"/>
        <w:suppressLineNumbers w:val="0"/>
        <w:bidi w:val="0"/>
        <w:spacing w:before="0" w:beforeAutospacing="off" w:after="160" w:afterAutospacing="off" w:line="360" w:lineRule="auto"/>
        <w:ind w:left="0" w:right="0"/>
        <w:jc w:val="center"/>
        <w:rPr>
          <w:rFonts w:ascii="Arial" w:hAnsi="Arial" w:cs="Arial"/>
          <w:b w:val="1"/>
          <w:bCs w:val="1"/>
          <w:color w:val="4472C4" w:themeColor="accent1" w:themeTint="FF" w:themeShade="FF"/>
          <w:sz w:val="72"/>
          <w:szCs w:val="72"/>
        </w:rPr>
      </w:pPr>
      <w:r w:rsidR="749E7415">
        <w:drawing>
          <wp:inline wp14:editId="7B4A7287" wp14:anchorId="6443A00C">
            <wp:extent cx="4257675" cy="4257675"/>
            <wp:effectExtent l="0" t="0" r="0" b="0"/>
            <wp:docPr id="144106191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41061911" name="Picture 1441061911"/>
                    <pic:cNvPicPr/>
                  </pic:nvPicPr>
                  <pic:blipFill>
                    <a:blip xmlns:r="http://schemas.openxmlformats.org/officeDocument/2006/relationships" r:embed="rId1577001639">
                      <a:extLst>
                        <a:ext uri="{28A0092B-C50C-407E-A947-70E740481C1C}">
                          <a14:useLocalDpi xmlns:a14="http://schemas.microsoft.com/office/drawing/2010/main"/>
                        </a:ext>
                      </a:extLst>
                    </a:blip>
                    <a:stretch>
                      <a:fillRect/>
                    </a:stretch>
                  </pic:blipFill>
                  <pic:spPr>
                    <a:xfrm>
                      <a:off x="0" y="0"/>
                      <a:ext cx="4257675" cy="4257675"/>
                    </a:xfrm>
                    <a:prstGeom prst="rect">
                      <a:avLst/>
                    </a:prstGeom>
                  </pic:spPr>
                </pic:pic>
              </a:graphicData>
            </a:graphic>
          </wp:inline>
        </w:drawing>
      </w:r>
    </w:p>
    <w:p w:rsidRPr="00A64D5D" w:rsidR="00A64D5D" w:rsidP="00240340" w:rsidRDefault="00A64D5D" w14:paraId="2F2D77A8" w14:textId="5EB952E1">
      <w:pPr>
        <w:spacing w:line="360" w:lineRule="auto"/>
        <w:jc w:val="both"/>
        <w:rPr>
          <w:rFonts w:ascii="Arial" w:hAnsi="Arial" w:cs="Arial"/>
        </w:rPr>
        <w:sectPr w:rsidRPr="00A64D5D" w:rsidR="00A64D5D" w:rsidSect="00925D5E">
          <w:pgSz w:w="11906" w:h="16838" w:orient="portrait"/>
          <w:pgMar w:top="1440" w:right="1440" w:bottom="1440" w:left="1440" w:header="708" w:footer="708" w:gutter="0"/>
          <w:cols w:space="708"/>
          <w:docGrid w:linePitch="360"/>
        </w:sectPr>
      </w:pPr>
    </w:p>
    <w:p w:rsidRPr="00A64D5D" w:rsidR="003A000F" w:rsidP="00240340" w:rsidRDefault="0010015D" w14:paraId="5AFFC33B" w14:textId="52C827CA">
      <w:pPr>
        <w:spacing w:line="360" w:lineRule="auto"/>
        <w:jc w:val="both"/>
        <w:rPr>
          <w:rFonts w:ascii="Arial" w:hAnsi="Arial" w:cs="Arial"/>
        </w:rPr>
        <w:sectPr w:rsidRPr="00A64D5D" w:rsidR="003A000F" w:rsidSect="003A000F">
          <w:pgSz w:w="16838" w:h="11906" w:orient="landscape"/>
          <w:pgMar w:top="1440" w:right="1440" w:bottom="1440" w:left="1440" w:header="708" w:footer="708" w:gutter="0"/>
          <w:cols w:space="708"/>
          <w:docGrid w:linePitch="360"/>
        </w:sectPr>
      </w:pPr>
      <w:r w:rsidRPr="00A64D5D">
        <w:rPr>
          <w:rFonts w:ascii="Arial" w:hAnsi="Arial" w:cs="Arial"/>
          <w:noProof/>
        </w:rPr>
        <w:lastRenderedPageBreak/>
        <mc:AlternateContent>
          <mc:Choice Requires="wps">
            <w:drawing>
              <wp:anchor distT="45720" distB="45720" distL="114300" distR="114300" simplePos="0" relativeHeight="251675648" behindDoc="0" locked="0" layoutInCell="1" allowOverlap="1" wp14:anchorId="1182A892" wp14:editId="4E6BC371">
                <wp:simplePos x="0" y="0"/>
                <wp:positionH relativeFrom="page">
                  <wp:posOffset>4953000</wp:posOffset>
                </wp:positionH>
                <wp:positionV relativeFrom="paragraph">
                  <wp:posOffset>3722370</wp:posOffset>
                </wp:positionV>
                <wp:extent cx="2865120" cy="1965960"/>
                <wp:effectExtent l="19050" t="19050" r="3048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65120" cy="1965960"/>
                        </a:xfrm>
                        <a:prstGeom prst="rect">
                          <a:avLst/>
                        </a:prstGeom>
                        <a:solidFill>
                          <a:srgbClr val="FFFFFF"/>
                        </a:solidFill>
                        <a:ln w="47625">
                          <a:solidFill>
                            <a:srgbClr val="000000"/>
                          </a:solidFill>
                          <a:miter lim="800000"/>
                          <a:headEnd/>
                          <a:tailEnd/>
                        </a:ln>
                        <a:effectLst>
                          <a:softEdge rad="25400"/>
                        </a:effectLst>
                      </wps:spPr>
                      <wps:txbx>
                        <w:txbxContent>
                          <w:p w:rsidRPr="00C14718" w:rsidR="00BE6BE0" w:rsidP="00BE6BE0" w:rsidRDefault="00C14718" w14:paraId="2390BEA4" w14:textId="1272C883">
                            <w:pPr>
                              <w:rPr>
                                <w:b/>
                                <w:bCs/>
                                <w:color w:val="385623" w:themeColor="accent6" w:themeShade="80"/>
                                <w:sz w:val="14"/>
                                <w:szCs w:val="14"/>
                              </w:rPr>
                            </w:pPr>
                            <w:r w:rsidRPr="00C14718">
                              <w:rPr>
                                <w:b/>
                                <w:bCs/>
                                <w:color w:val="385623" w:themeColor="accent6" w:themeShade="80"/>
                                <w:sz w:val="14"/>
                                <w:szCs w:val="14"/>
                              </w:rPr>
                              <w:t>Pharmaceutical Services</w:t>
                            </w:r>
                          </w:p>
                          <w:p w:rsidR="00BE6BE0" w:rsidP="00BE6BE0" w:rsidRDefault="00D002B2" w14:paraId="0F5BD23B" w14:textId="323E4E89">
                            <w:r>
                              <w:rPr>
                                <w:noProof/>
                              </w:rPr>
                              <w:drawing>
                                <wp:inline distT="0" distB="0" distL="0" distR="0" wp14:anchorId="5D2FB3C4" wp14:editId="5CF6E377">
                                  <wp:extent cx="2727960" cy="1584960"/>
                                  <wp:effectExtent l="0" t="0" r="0" b="0"/>
                                  <wp:docPr id="48140334" name="Picture 9" descr="Pharmacy services - PGE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rmacy services - PGE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7960" cy="1584960"/>
                                          </a:xfrm>
                                          <a:prstGeom prst="rect">
                                            <a:avLst/>
                                          </a:prstGeom>
                                          <a:noFill/>
                                          <a:ln>
                                            <a:noFill/>
                                          </a:ln>
                                        </pic:spPr>
                                      </pic:pic>
                                    </a:graphicData>
                                  </a:graphic>
                                </wp:inline>
                              </w:drawing>
                            </w:r>
                          </w:p>
                          <w:p w:rsidR="00BE6BE0" w:rsidP="00BE6BE0" w:rsidRDefault="00BE6BE0" w14:paraId="509CCEFE" w14:textId="7777777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1182A892">
                <v:stroke joinstyle="miter"/>
                <v:path gradientshapeok="t" o:connecttype="rect"/>
              </v:shapetype>
              <v:shape id="Text Box 8" style="position:absolute;left:0;text-align:left;margin-left:390pt;margin-top:293.1pt;width:225.6pt;height:154.8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spid="_x0000_s1026" strokeweight="3.7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">
                <v:textbox>
                  <w:txbxContent>
                    <w:p w:rsidRPr="00C14718" w:rsidR="00BE6BE0" w:rsidP="00BE6BE0" w:rsidRDefault="00C14718" w14:paraId="2390BEA4" w14:textId="1272C883">
                      <w:pPr>
                        <w:rPr>
                          <w:b/>
                          <w:bCs/>
                          <w:color w:val="385623" w:themeColor="accent6" w:themeShade="80"/>
                          <w:sz w:val="14"/>
                          <w:szCs w:val="14"/>
                        </w:rPr>
                      </w:pPr>
                      <w:r w:rsidRPr="00C14718">
                        <w:rPr>
                          <w:b/>
                          <w:bCs/>
                          <w:color w:val="385623" w:themeColor="accent6" w:themeShade="80"/>
                          <w:sz w:val="14"/>
                          <w:szCs w:val="14"/>
                        </w:rPr>
                        <w:t>Pharmaceutical Services</w:t>
                      </w:r>
                    </w:p>
                    <w:p w:rsidR="00BE6BE0" w:rsidP="00BE6BE0" w:rsidRDefault="00D002B2" w14:paraId="0F5BD23B" w14:textId="323E4E89">
                      <w:r>
                        <w:rPr>
                          <w:noProof/>
                        </w:rPr>
                        <w:drawing>
                          <wp:inline distT="0" distB="0" distL="0" distR="0" wp14:anchorId="5D2FB3C4" wp14:editId="5CF6E377">
                            <wp:extent cx="2727960" cy="1584960"/>
                            <wp:effectExtent l="0" t="0" r="0" b="0"/>
                            <wp:docPr id="48140334" name="Picture 9" descr="Pharmacy services - PGE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armacy services - PGEU"/>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27960" cy="1584960"/>
                                    </a:xfrm>
                                    <a:prstGeom prst="rect">
                                      <a:avLst/>
                                    </a:prstGeom>
                                    <a:noFill/>
                                    <a:ln>
                                      <a:noFill/>
                                    </a:ln>
                                  </pic:spPr>
                                </pic:pic>
                              </a:graphicData>
                            </a:graphic>
                          </wp:inline>
                        </w:drawing>
                      </w:r>
                    </w:p>
                    <w:p w:rsidR="00BE6BE0" w:rsidP="00BE6BE0" w:rsidRDefault="00BE6BE0" w14:paraId="509CCEFE" w14:textId="77777777"/>
                  </w:txbxContent>
                </v:textbox>
                <w10:wrap type="square" anchorx="page"/>
              </v:shape>
            </w:pict>
          </mc:Fallback>
        </mc:AlternateContent>
      </w:r>
      <w:r w:rsidRPr="00A64D5D">
        <w:rPr>
          <w:rFonts w:ascii="Arial" w:hAnsi="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71552" behindDoc="0" locked="0" layoutInCell="1" allowOverlap="1" wp14:anchorId="5D749413" wp14:editId="1349FE4B">
                <wp:simplePos xmlns:wp="http://schemas.openxmlformats.org/drawingml/2006/wordprocessingDrawing" x="0" y="0"/>
                <wp:positionH xmlns:wp="http://schemas.openxmlformats.org/drawingml/2006/wordprocessingDrawing" relativeFrom="page">
                  <wp:align>left</wp:align>
                </wp:positionH>
                <wp:positionV xmlns:wp="http://schemas.openxmlformats.org/drawingml/2006/wordprocessingDrawing" relativeFrom="paragraph">
                  <wp:posOffset>3709035</wp:posOffset>
                </wp:positionV>
                <wp:extent cx="4937760" cy="2240280"/>
                <wp:effectExtent l="19050" t="19050" r="34290" b="45720"/>
                <wp:wrapSquare xmlns:wp="http://schemas.openxmlformats.org/drawingml/2006/wordprocessingDrawing" wrapText="bothSides"/>
                <wp:docPr xmlns:wp="http://schemas.openxmlformats.org/drawingml/2006/wordprocessingDrawing" id="7" name="Text Box 7"/>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4937760" cy="2240280"/>
                        </a:xfrm>
                        <a:prstGeom prst="rect">
                          <a:avLst/>
                        </a:prstGeom>
                        <a:solidFill>
                          <a:srgbClr val="FFFFFF"/>
                        </a:solidFill>
                        <a:ln w="47625">
                          <a:solidFill>
                            <a:srgbClr val="000000"/>
                          </a:solidFill>
                          <a:miter lim="800000"/>
                          <a:headEnd/>
                          <a:tailEnd/>
                        </a:ln>
                        <a:effectLst>
                          <a:softEdge rad="25400"/>
                        </a:effectLst>
                      </wps:spPr>
                      <wps:txbx>
                        <w:txbxContent>
                          <w:p w:rsidRPr="0010015D" w:rsidR="009D7131" w:rsidP="0010015D" w:rsidRDefault="009D7131">
                            <w:pPr>
                              <w:rPr>
                                <w:b/>
                                <w:bCs/>
                                <w:color w:val="385623" w:themeColor="accent6" w:themeShade="80"/>
                                <w:sz w:val="14"/>
                                <w:szCs w:val="14"/>
                                <w:lang w:val="en-IN"/>
                              </w:rPr>
                            </w:pPr>
                            <w:r w:rsidRPr="0010015D">
                              <w:rPr>
                                <w:b/>
                                <w:bCs/>
                                <w:color w:val="385623" w:themeColor="accent6" w:themeShade="80"/>
                                <w:sz w:val="14"/>
                                <w:szCs w:val="14"/>
                                <w:lang w:val="en-IN"/>
                              </w:rPr>
                              <w:t>Two challenges faced by the service:</w:t>
                            </w:r>
                          </w:p>
                          <w:p w:rsidRPr="0010015D" w:rsidR="009D7131" w:rsidP="0010015D" w:rsidRDefault="009D7131">
                            <w:pPr>
                              <w:rPr>
                                <w:sz w:val="14"/>
                                <w:szCs w:val="14"/>
                                <w:lang w:val="en-IN"/>
                              </w:rPr>
                            </w:pPr>
                            <w:r w:rsidRPr="0010015D">
                              <w:rPr>
                                <w:b/>
                                <w:bCs/>
                                <w:sz w:val="14"/>
                                <w:szCs w:val="14"/>
                                <w:lang w:val="en-IN"/>
                              </w:rPr>
                              <w:t xml:space="preserve">Workforce shortages and increased workloads: </w:t>
                            </w:r>
                            <w:r w:rsidRPr="0010015D">
                              <w:rPr>
                                <w:sz w:val="14"/>
                                <w:szCs w:val="14"/>
                                <w:lang w:val="en-IN"/>
                              </w:rPr>
                              <w:t>The working professionals in the pharmaceutical field, tend to face heightened challenges and difficulties due to rising demands for healthcare, especially within the ageing populations. This has placed a lot of pressure on the pharmaceutical industry, pushing many pharmaceutical settings to face significant staffing shortages, prolonged working hours and excessive heavy workload. These factors can further lead to churn and burnout and ultimately reduce the quality of patient care practices</w:t>
                            </w:r>
                            <w:r>
                              <w:rPr>
                                <w:sz w:val="14"/>
                                <w:szCs w:val="14"/>
                                <w:lang w:val="en-IN"/>
                              </w:rPr>
                              <w:t xml:space="preserve"> </w:t>
                            </w:r>
                            <w:r w:rsidRPr="00DE7BAF">
                              <w:rPr>
                                <w:sz w:val="14"/>
                                <w:szCs w:val="14"/>
                                <w:lang w:val="en-IN"/>
                              </w:rPr>
                              <w:t>(Khatri and Asse</w:t>
                            </w:r>
                            <w:r w:rsidRPr="00DE7BAF">
                              <w:rPr>
                                <w:sz w:val="14"/>
                                <w:szCs w:val="14"/>
                                <w:lang w:val="en-IN"/>
                              </w:rPr>
                              <w:t>fa, 2022)</w:t>
                            </w:r>
                            <w:r w:rsidRPr="0010015D">
                              <w:rPr>
                                <w:sz w:val="14"/>
                                <w:szCs w:val="14"/>
                                <w:lang w:val="en-IN"/>
                              </w:rPr>
                              <w:t>. Another potential difficulty associated with this factor is striking a balance between dispensing duties and clinical and advisory roles. </w:t>
                            </w:r>
                          </w:p>
                          <w:p w:rsidRPr="0010015D" w:rsidR="009D7131" w:rsidP="0010015D" w:rsidRDefault="009D7131">
                            <w:pPr>
                              <w:rPr>
                                <w:sz w:val="14"/>
                                <w:szCs w:val="14"/>
                                <w:lang w:val="en-IN"/>
                              </w:rPr>
                            </w:pPr>
                            <w:r w:rsidRPr="0010015D">
                              <w:rPr>
                                <w:b/>
                                <w:bCs/>
                                <w:sz w:val="14"/>
                                <w:szCs w:val="14"/>
                                <w:lang w:val="en-IN"/>
                              </w:rPr>
                              <w:t xml:space="preserve">Adapting to Technological and Policy Changes: </w:t>
                            </w:r>
                            <w:r w:rsidRPr="0010015D">
                              <w:rPr>
                                <w:sz w:val="14"/>
                                <w:szCs w:val="14"/>
                                <w:lang w:val="en-IN"/>
                              </w:rPr>
                              <w:t>It goes without saying that the present-day digital age has seen a lot of technological shifts and digital disruptions. The pharmaceutical industry is now flooded with new and innovative technologies such as e-prescription systems, telepharmacies, and so on. This change of technological landscapes mandates that present-day pharmacists learn digital and technological skills and adapt themselves to new data systems. In addition, the regulatory reforms and the legislative frameworks of the health and pharmaceu</w:t>
                            </w:r>
                            <w:r w:rsidRPr="0010015D">
                              <w:rPr>
                                <w:sz w:val="14"/>
                                <w:szCs w:val="14"/>
                                <w:lang w:val="en-IN"/>
                              </w:rPr>
                              <w:t>tical fields have also been changing, which requires the professionals to continuously comply with the changing framework and policies and hence the industry is facing challenges in providing expanding clinical services and similarly receiving adequate compensation for the professional expertise. </w:t>
                            </w:r>
                          </w:p>
                          <w:p w:rsidRPr="0010015D" w:rsidR="009D7131" w:rsidP="00BE6BE0" w:rsidRDefault="009D7131">
                            <w:pPr>
                              <w:rPr>
                                <w:sz w:val="14"/>
                                <w:szCs w:val="14"/>
                              </w:rPr>
                            </w:pPr>
                            <w:r w:rsidRPr="0010015D">
                              <w:rPr>
                                <w:sz w:val="14"/>
                                <w:szCs w:val="14"/>
                              </w:rPr>
                              <w:t>Text</w:t>
                            </w:r>
                          </w:p>
                          <w:p w:rsidRPr="0010015D" w:rsidR="009D7131" w:rsidP="00BE6BE0" w:rsidRDefault="009D7131">
                            <w:pPr>
                              <w:rPr>
                                <w:sz w:val="14"/>
                                <w:szCs w:val="14"/>
                              </w:rPr>
                            </w:pPr>
                          </w:p>
                          <w:p w:rsidRPr="0010015D" w:rsidR="009D7131" w:rsidP="00BE6BE0" w:rsidRDefault="009D7131">
                            <w:pPr>
                              <w:rPr>
                                <w:sz w:val="14"/>
                                <w:szCs w:val="14"/>
                              </w:rPr>
                            </w:pPr>
                          </w:p>
                        </w:txbxContent>
                      </wps:txbx>
                      <wps:bodyPr rot="0" vert="horz" wrap="square" lIns="91440" tIns="45720" rIns="91440" bIns="45720" anchor="t" anchorCtr="0">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r w:rsidRPr="00A64D5D" w:rsidR="00771D38">
        <w:rPr>
          <w:rFonts w:ascii="Arial" w:hAnsi="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7456" behindDoc="0" locked="0" layoutInCell="1" allowOverlap="1" wp14:anchorId="2F5030E1" wp14:editId="085CEA14">
                <wp:simplePos xmlns:wp="http://schemas.openxmlformats.org/drawingml/2006/wordprocessingDrawing" x="0" y="0"/>
                <wp:positionH xmlns:wp="http://schemas.openxmlformats.org/drawingml/2006/wordprocessingDrawing" relativeFrom="margin">
                  <wp:posOffset>7011670</wp:posOffset>
                </wp:positionH>
                <wp:positionV xmlns:wp="http://schemas.openxmlformats.org/drawingml/2006/wordprocessingDrawing" relativeFrom="paragraph">
                  <wp:posOffset>3841750</wp:posOffset>
                </wp:positionV>
                <wp:extent cx="2729230" cy="2093595"/>
                <wp:effectExtent l="19050" t="19050" r="13970" b="20955"/>
                <wp:wrapSquare xmlns:wp="http://schemas.openxmlformats.org/drawingml/2006/wordprocessingDrawing" wrapText="bothSides"/>
                <wp:docPr xmlns:wp="http://schemas.openxmlformats.org/drawingml/2006/wordprocessingDrawing" id="2" name="Text Box 2"/>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2729230" cy="2093595"/>
                        </a:xfrm>
                        <a:prstGeom prst="rect">
                          <a:avLst/>
                        </a:prstGeom>
                        <a:solidFill>
                          <a:srgbClr val="FFFFFF"/>
                        </a:solidFill>
                        <a:ln w="44450">
                          <a:solidFill>
                            <a:srgbClr val="000000"/>
                          </a:solidFill>
                          <a:miter lim="800000"/>
                          <a:headEnd/>
                          <a:tailEnd/>
                        </a:ln>
                        <a:effectLst>
                          <a:softEdge rad="25400"/>
                        </a:effectLst>
                      </wps:spPr>
                      <wps:txbx>
                        <w:txbxContent>
                          <w:p w:rsidRPr="00627BF5" w:rsidR="00AA2564" w:rsidP="00BE6BE0" w:rsidRDefault="00AA2564">
                            <w:pPr>
                              <w:rPr>
                                <w:b/>
                                <w:bCs/>
                                <w:color w:val="385623" w:themeColor="accent6" w:themeShade="80"/>
                                <w:sz w:val="12"/>
                                <w:szCs w:val="12"/>
                              </w:rPr>
                            </w:pPr>
                            <w:r w:rsidRPr="00627BF5">
                              <w:rPr>
                                <w:b/>
                                <w:bCs/>
                                <w:color w:val="385623" w:themeColor="accent6" w:themeShade="80"/>
                                <w:sz w:val="12"/>
                                <w:szCs w:val="12"/>
                              </w:rPr>
                              <w:t>References:</w:t>
                            </w:r>
                          </w:p>
                          <w:p w:rsidRPr="00627BF5" w:rsidR="00AA2564" w:rsidP="00627BF5" w:rsidRDefault="00AA2564">
                            <w:pPr>
                              <w:rPr>
                                <w:sz w:val="12"/>
                                <w:szCs w:val="12"/>
                                <w:lang w:val="en-IN"/>
                              </w:rPr>
                            </w:pPr>
                            <w:r w:rsidRPr="00627BF5">
                              <w:rPr>
                                <w:sz w:val="12"/>
                                <w:szCs w:val="12"/>
                                <w:lang w:val="en-IN"/>
                              </w:rPr>
                              <w:t xml:space="preserve">Klimenkova, A.A., Geller, L.N., Skripko, A.A., Gravchenko, L.A. and Korzhavykh, E.A., 2021. Pharmaceutical services: status and development trends. </w:t>
                            </w:r>
                            <w:r w:rsidRPr="00627BF5">
                              <w:rPr>
                                <w:i/>
                                <w:iCs/>
                                <w:sz w:val="12"/>
                                <w:szCs w:val="12"/>
                                <w:lang w:val="en-IN"/>
                              </w:rPr>
                              <w:t>Pharmacy &amp; Pharmacology</w:t>
                            </w:r>
                            <w:r w:rsidRPr="00627BF5">
                              <w:rPr>
                                <w:sz w:val="12"/>
                                <w:szCs w:val="12"/>
                                <w:lang w:val="en-IN"/>
                              </w:rPr>
                              <w:t xml:space="preserve">, </w:t>
                            </w:r>
                            <w:r w:rsidRPr="00627BF5">
                              <w:rPr>
                                <w:i/>
                                <w:iCs/>
                                <w:sz w:val="12"/>
                                <w:szCs w:val="12"/>
                                <w:lang w:val="en-IN"/>
                              </w:rPr>
                              <w:t>9</w:t>
                            </w:r>
                            <w:r w:rsidRPr="00627BF5">
                              <w:rPr>
                                <w:sz w:val="12"/>
                                <w:szCs w:val="12"/>
                                <w:lang w:val="en-IN"/>
                              </w:rPr>
                              <w:t>(1), pp.32-53.</w:t>
                            </w:r>
                          </w:p>
                          <w:p w:rsidRPr="00627BF5" w:rsidR="00AA2564" w:rsidP="00627BF5" w:rsidRDefault="00AA2564">
                            <w:pPr>
                              <w:rPr>
                                <w:sz w:val="12"/>
                                <w:szCs w:val="12"/>
                                <w:lang w:val="en-IN"/>
                              </w:rPr>
                            </w:pPr>
                            <w:r w:rsidRPr="00627BF5">
                              <w:rPr>
                                <w:sz w:val="12"/>
                                <w:szCs w:val="12"/>
                                <w:lang w:val="en-IN"/>
                              </w:rPr>
                              <w:t xml:space="preserve">Tekiner, H., 2024. International Society for the History of Pharmacy: Insights into Challenges and Opportunities. </w:t>
                            </w:r>
                            <w:r w:rsidRPr="00627BF5">
                              <w:rPr>
                                <w:i/>
                                <w:iCs/>
                                <w:sz w:val="12"/>
                                <w:szCs w:val="12"/>
                                <w:lang w:val="en-IN"/>
                              </w:rPr>
                              <w:t>History of Pharmacy and Pharmaceuticals</w:t>
                            </w:r>
                            <w:r w:rsidRPr="00627BF5">
                              <w:rPr>
                                <w:sz w:val="12"/>
                                <w:szCs w:val="12"/>
                                <w:lang w:val="en-IN"/>
                              </w:rPr>
                              <w:t xml:space="preserve">, </w:t>
                            </w:r>
                            <w:r w:rsidRPr="00627BF5">
                              <w:rPr>
                                <w:i/>
                                <w:iCs/>
                                <w:sz w:val="12"/>
                                <w:szCs w:val="12"/>
                                <w:lang w:val="en-IN"/>
                              </w:rPr>
                              <w:t>66</w:t>
                            </w:r>
                            <w:r w:rsidRPr="00627BF5">
                              <w:rPr>
                                <w:sz w:val="12"/>
                                <w:szCs w:val="12"/>
                                <w:lang w:val="en-IN"/>
                              </w:rPr>
                              <w:t>(1), pp.57-64.</w:t>
                            </w:r>
                          </w:p>
                          <w:p w:rsidRPr="00627BF5" w:rsidR="00AA2564" w:rsidP="00627BF5" w:rsidRDefault="00AA2564">
                            <w:pPr>
                              <w:rPr>
                                <w:sz w:val="12"/>
                                <w:szCs w:val="12"/>
                                <w:lang w:val="en-IN"/>
                              </w:rPr>
                            </w:pPr>
                            <w:r w:rsidRPr="00627BF5">
                              <w:rPr>
                                <w:sz w:val="12"/>
                                <w:szCs w:val="12"/>
                                <w:lang w:val="en-IN"/>
                              </w:rPr>
                              <w:t xml:space="preserve">Pantasri, T., 2022. Expanded roles of community pharmacists in COVID-19: A scoping literature review. </w:t>
                            </w:r>
                            <w:r w:rsidRPr="00627BF5">
                              <w:rPr>
                                <w:i/>
                                <w:iCs/>
                                <w:sz w:val="12"/>
                                <w:szCs w:val="12"/>
                                <w:lang w:val="en-IN"/>
                              </w:rPr>
                              <w:t>Journal of the American Pharmacists Association</w:t>
                            </w:r>
                            <w:r w:rsidRPr="00627BF5">
                              <w:rPr>
                                <w:sz w:val="12"/>
                                <w:szCs w:val="12"/>
                                <w:lang w:val="en-IN"/>
                              </w:rPr>
                              <w:t xml:space="preserve">, </w:t>
                            </w:r>
                            <w:r w:rsidRPr="00627BF5">
                              <w:rPr>
                                <w:i/>
                                <w:iCs/>
                                <w:sz w:val="12"/>
                                <w:szCs w:val="12"/>
                                <w:lang w:val="en-IN"/>
                              </w:rPr>
                              <w:t>62</w:t>
                            </w:r>
                            <w:r w:rsidRPr="00627BF5">
                              <w:rPr>
                                <w:sz w:val="12"/>
                                <w:szCs w:val="12"/>
                                <w:lang w:val="en-IN"/>
                              </w:rPr>
                              <w:t>(3), pp.649-657.</w:t>
                            </w:r>
                          </w:p>
                          <w:p w:rsidRPr="00627BF5" w:rsidR="00AA2564" w:rsidP="00627BF5" w:rsidRDefault="00AA2564">
                            <w:pPr>
                              <w:rPr>
                                <w:sz w:val="12"/>
                                <w:szCs w:val="12"/>
                                <w:lang w:val="en-IN"/>
                              </w:rPr>
                            </w:pPr>
                            <w:r w:rsidRPr="00627BF5">
                              <w:rPr>
                                <w:sz w:val="12"/>
                                <w:szCs w:val="12"/>
                                <w:lang w:val="en-IN"/>
                              </w:rPr>
                              <w:t xml:space="preserve">Khatri, R.B. and Assefa, Y., 2022. Access to health services among culturally and linguistically diverse populations in the Australian universal health care system: issues and challenges. </w:t>
                            </w:r>
                            <w:r w:rsidRPr="00627BF5">
                              <w:rPr>
                                <w:i/>
                                <w:iCs/>
                                <w:sz w:val="12"/>
                                <w:szCs w:val="12"/>
                                <w:lang w:val="en-IN"/>
                              </w:rPr>
                              <w:t>BMC public health</w:t>
                            </w:r>
                            <w:r w:rsidRPr="00627BF5">
                              <w:rPr>
                                <w:sz w:val="12"/>
                                <w:szCs w:val="12"/>
                                <w:lang w:val="en-IN"/>
                              </w:rPr>
                              <w:t xml:space="preserve">, </w:t>
                            </w:r>
                            <w:r w:rsidRPr="00627BF5">
                              <w:rPr>
                                <w:i/>
                                <w:iCs/>
                                <w:sz w:val="12"/>
                                <w:szCs w:val="12"/>
                                <w:lang w:val="en-IN"/>
                              </w:rPr>
                              <w:t>22</w:t>
                            </w:r>
                            <w:r w:rsidRPr="00627BF5">
                              <w:rPr>
                                <w:sz w:val="12"/>
                                <w:szCs w:val="12"/>
                                <w:lang w:val="en-IN"/>
                              </w:rPr>
                              <w:t>(1), p.880. </w:t>
                            </w:r>
                          </w:p>
                          <w:p w:rsidRPr="00627BF5" w:rsidR="00AA2564" w:rsidP="00627BF5" w:rsidRDefault="00AA2564">
                            <w:pPr>
                              <w:rPr>
                                <w:sz w:val="12"/>
                                <w:szCs w:val="12"/>
                              </w:rPr>
                            </w:pPr>
                          </w:p>
                        </w:txbxContent>
                      </wps:txbx>
                      <wps:bodyPr rot="0" vert="horz" wrap="square" lIns="91440" tIns="45720" rIns="91440" bIns="45720" anchor="t" anchorCtr="0">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r w:rsidRPr="00A64D5D" w:rsidR="00950714">
        <w:rPr>
          <w:rFonts w:ascii="Arial" w:hAnsi="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9504" behindDoc="0" locked="0" layoutInCell="1" allowOverlap="1" wp14:anchorId="298766ED" wp14:editId="7B79EC36">
                <wp:simplePos xmlns:wp="http://schemas.openxmlformats.org/drawingml/2006/wordprocessingDrawing" x="0" y="0"/>
                <wp:positionH xmlns:wp="http://schemas.openxmlformats.org/drawingml/2006/wordprocessingDrawing" relativeFrom="margin">
                  <wp:posOffset>6465570</wp:posOffset>
                </wp:positionH>
                <wp:positionV xmlns:wp="http://schemas.openxmlformats.org/drawingml/2006/wordprocessingDrawing" relativeFrom="paragraph">
                  <wp:posOffset>297180</wp:posOffset>
                </wp:positionV>
                <wp:extent cx="3319145" cy="3373755"/>
                <wp:effectExtent l="19050" t="19050" r="14605" b="17145"/>
                <wp:wrapSquare xmlns:wp="http://schemas.openxmlformats.org/drawingml/2006/wordprocessingDrawing" wrapText="bothSides"/>
                <wp:docPr xmlns:wp="http://schemas.openxmlformats.org/drawingml/2006/wordprocessingDrawing" id="6" name="Text Box 6"/>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3319145" cy="3373755"/>
                        </a:xfrm>
                        <a:prstGeom prst="rect">
                          <a:avLst/>
                        </a:prstGeom>
                        <a:solidFill>
                          <a:srgbClr val="FFFFFF"/>
                        </a:solidFill>
                        <a:ln w="44450">
                          <a:solidFill>
                            <a:srgbClr val="000000"/>
                          </a:solidFill>
                          <a:miter lim="800000"/>
                          <a:headEnd/>
                          <a:tailEnd/>
                        </a:ln>
                        <a:effectLst>
                          <a:softEdge rad="25400"/>
                        </a:effectLst>
                      </wps:spPr>
                      <wps:txbx>
                        <w:txbxContent>
                          <w:p w:rsidRPr="00771D38" w:rsidR="00E4376D" w:rsidP="00771D38" w:rsidRDefault="00E4376D">
                            <w:pPr>
                              <w:rPr>
                                <w:b/>
                                <w:bCs/>
                                <w:color w:val="385623" w:themeColor="accent6" w:themeShade="80"/>
                                <w:sz w:val="14"/>
                                <w:szCs w:val="14"/>
                                <w:lang w:val="en-IN"/>
                              </w:rPr>
                            </w:pPr>
                            <w:r w:rsidRPr="00771D38">
                              <w:rPr>
                                <w:b/>
                                <w:bCs/>
                                <w:color w:val="385623" w:themeColor="accent6" w:themeShade="80"/>
                                <w:sz w:val="14"/>
                                <w:szCs w:val="14"/>
                                <w:lang w:val="en-IN"/>
                              </w:rPr>
                              <w:t>Current functioning of the service:</w:t>
                            </w:r>
                          </w:p>
                          <w:p w:rsidRPr="00D52C86" w:rsidR="00E4376D" w:rsidP="00D52C86" w:rsidRDefault="00E4376D">
                            <w:pPr>
                              <w:rPr>
                                <w:sz w:val="14"/>
                                <w:szCs w:val="14"/>
                                <w:lang w:val="en-IN"/>
                              </w:rPr>
                            </w:pPr>
                            <w:r w:rsidRPr="00D52C86">
                              <w:rPr>
                                <w:sz w:val="14"/>
                                <w:szCs w:val="14"/>
                                <w:lang w:val="en-IN"/>
                              </w:rPr>
                              <w:t>Currently, the pharmacy services are considered to be the most important component of the health care system. This focuses on safe use of medicines, educating patients regarding medication and use of various medicines and hence has a great contribution towards disease prevention. The pharmaceutical services are practised within diverse fields, including hospitals, community pharmacies, clinics and public health programs. Within the community-based pharmacies, the pharmaceutical services involve dispensing p</w:t>
                            </w:r>
                            <w:r w:rsidRPr="00D52C86">
                              <w:rPr>
                                <w:sz w:val="14"/>
                                <w:szCs w:val="14"/>
                                <w:lang w:val="en-IN"/>
                              </w:rPr>
                              <w:t>rescribed medicines, providing healthcare and preventive advice regarding “over the counter drugs” and supporting patients in terms of managing their long-term conditions like hypertension, asthma, diabetes and so on. It should be noted that the pharmaceutical services also foster smoking cessation support, health screening, vaccination services, and so on</w:t>
                            </w:r>
                            <w:r>
                              <w:rPr>
                                <w:sz w:val="14"/>
                                <w:szCs w:val="14"/>
                                <w:lang w:val="en-IN"/>
                              </w:rPr>
                              <w:t xml:space="preserve"> </w:t>
                            </w:r>
                            <w:r w:rsidRPr="00DE7BAF">
                              <w:rPr>
                                <w:sz w:val="14"/>
                                <w:szCs w:val="14"/>
                                <w:lang w:val="en-IN"/>
                              </w:rPr>
                              <w:t>(Pantasri, 2022)</w:t>
                            </w:r>
                            <w:r w:rsidRPr="00D52C86">
                              <w:rPr>
                                <w:sz w:val="14"/>
                                <w:szCs w:val="14"/>
                                <w:lang w:val="en-IN"/>
                              </w:rPr>
                              <w:t>. </w:t>
                            </w:r>
                          </w:p>
                          <w:p w:rsidRPr="00D52C86" w:rsidR="00E4376D" w:rsidP="00D52C86" w:rsidRDefault="00E4376D">
                            <w:pPr>
                              <w:rPr>
                                <w:sz w:val="14"/>
                                <w:szCs w:val="14"/>
                                <w:lang w:val="en-IN"/>
                              </w:rPr>
                            </w:pPr>
                            <w:r w:rsidRPr="00D52C86">
                              <w:rPr>
                                <w:sz w:val="14"/>
                                <w:szCs w:val="14"/>
                                <w:lang w:val="en-IN"/>
                              </w:rPr>
                              <w:t xml:space="preserve">Moreover, within hospital settings, the pharmacists also work closely with healthcare professionals such as doctors, nurses and so on, and they mainly ensure accurate prescribing, prevent drug abuse, and look after the treatment outcomes. Also, they take part in multi-disciplinary healthcare teams, and they significantly contribute to evidence-based “medication management”. It is also worth noting that the modern pharmaceutical services also entail the use of various advanced and smart digital technologies </w:t>
                            </w:r>
                            <w:r w:rsidRPr="00D52C86">
                              <w:rPr>
                                <w:sz w:val="14"/>
                                <w:szCs w:val="14"/>
                                <w:lang w:val="en-IN"/>
                              </w:rPr>
                              <w:t>like “electronic prescriptions”, “</w:t>
                            </w:r>
                            <w:r w:rsidRPr="00D52C86">
                              <w:rPr>
                                <w:sz w:val="14"/>
                                <w:szCs w:val="14"/>
                                <w:lang w:val="en-IN"/>
                              </w:rPr>
                              <w:t>tele</w:t>
                            </w:r>
                            <w:r>
                              <w:rPr>
                                <w:sz w:val="14"/>
                                <w:szCs w:val="14"/>
                                <w:lang w:val="en-IN"/>
                              </w:rPr>
                              <w:t>-</w:t>
                            </w:r>
                            <w:r w:rsidRPr="00D52C86">
                              <w:rPr>
                                <w:sz w:val="14"/>
                                <w:szCs w:val="14"/>
                                <w:lang w:val="en-IN"/>
                              </w:rPr>
                              <w:t>pharmacies</w:t>
                            </w:r>
                            <w:r w:rsidRPr="00D52C86">
                              <w:rPr>
                                <w:sz w:val="14"/>
                                <w:szCs w:val="14"/>
                                <w:lang w:val="en-IN"/>
                              </w:rPr>
                              <w:t>”, “online consultation services” and so on</w:t>
                            </w:r>
                            <w:r>
                              <w:rPr>
                                <w:sz w:val="14"/>
                                <w:szCs w:val="14"/>
                                <w:lang w:val="en-IN"/>
                              </w:rPr>
                              <w:t xml:space="preserve"> </w:t>
                            </w:r>
                            <w:r w:rsidRPr="00DE7BAF">
                              <w:rPr>
                                <w:sz w:val="14"/>
                                <w:szCs w:val="14"/>
                                <w:lang w:val="en-IN"/>
                              </w:rPr>
                              <w:t>(Khatri and Assefa, 2022)</w:t>
                            </w:r>
                            <w:r w:rsidRPr="00D52C86">
                              <w:rPr>
                                <w:sz w:val="14"/>
                                <w:szCs w:val="14"/>
                                <w:lang w:val="en-IN"/>
                              </w:rPr>
                              <w:t xml:space="preserve">. All these technological integrations tend to improve accessibility and continuity of care. Overall, the current functions of the “pharmacy services” focus on “patient-centred care”, “safety” and “collaboration”, assuring that medicines potentially improve holistic public outcomes and minimise costs. </w:t>
                            </w:r>
                          </w:p>
                          <w:p w:rsidRPr="00D52C86" w:rsidR="00E4376D" w:rsidP="00D52C86" w:rsidRDefault="00E4376D">
                            <w:pPr>
                              <w:rPr>
                                <w:sz w:val="14"/>
                                <w:szCs w:val="14"/>
                              </w:rPr>
                            </w:pPr>
                          </w:p>
                        </w:txbxContent>
                      </wps:txbx>
                      <wps:bodyPr rot="0" vert="horz" wrap="square" lIns="91440" tIns="45720" rIns="91440" bIns="45720" anchor="t" anchorCtr="0">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r w:rsidRPr="00A64D5D" w:rsidR="00D52C86">
        <w:rPr>
          <w:rFonts w:ascii="Arial" w:hAnsi="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5408" behindDoc="0" locked="0" layoutInCell="1" allowOverlap="1" wp14:anchorId="21A64788" wp14:editId="72A8941C">
                <wp:simplePos xmlns:wp="http://schemas.openxmlformats.org/drawingml/2006/wordprocessingDrawing" x="0" y="0"/>
                <wp:positionH xmlns:wp="http://schemas.openxmlformats.org/drawingml/2006/wordprocessingDrawing" relativeFrom="margin">
                  <wp:posOffset>2891790</wp:posOffset>
                </wp:positionH>
                <wp:positionV xmlns:wp="http://schemas.openxmlformats.org/drawingml/2006/wordprocessingDrawing" relativeFrom="paragraph">
                  <wp:posOffset>1207770</wp:posOffset>
                </wp:positionV>
                <wp:extent cx="3550920" cy="2503805"/>
                <wp:effectExtent l="19050" t="19050" r="11430" b="10795"/>
                <wp:wrapSquare xmlns:wp="http://schemas.openxmlformats.org/drawingml/2006/wordprocessingDrawing" wrapText="bothSides"/>
                <wp:docPr xmlns:wp="http://schemas.openxmlformats.org/drawingml/2006/wordprocessingDrawing" id="5" name="Text Box 5"/>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3550920" cy="2503805"/>
                        </a:xfrm>
                        <a:prstGeom prst="rect">
                          <a:avLst/>
                        </a:prstGeom>
                        <a:solidFill>
                          <a:srgbClr val="FFFFFF"/>
                        </a:solidFill>
                        <a:ln w="44450">
                          <a:solidFill>
                            <a:srgbClr val="000000"/>
                          </a:solidFill>
                          <a:miter lim="800000"/>
                          <a:headEnd/>
                          <a:tailEnd/>
                        </a:ln>
                        <a:effectLst>
                          <a:softEdge rad="25400"/>
                        </a:effectLst>
                      </wps:spPr>
                      <wps:txbx>
                        <w:txbxContent>
                          <w:p w:rsidRPr="00CB16B5" w:rsidR="00491CBE" w:rsidP="00CB16B5" w:rsidRDefault="00491CBE">
                            <w:pPr>
                              <w:rPr>
                                <w:b/>
                                <w:bCs/>
                                <w:color w:val="385623" w:themeColor="accent6" w:themeShade="80"/>
                                <w:sz w:val="14"/>
                                <w:szCs w:val="14"/>
                                <w:lang w:val="en-IN"/>
                              </w:rPr>
                            </w:pPr>
                            <w:r w:rsidRPr="00CB16B5">
                              <w:rPr>
                                <w:b/>
                                <w:bCs/>
                                <w:color w:val="385623" w:themeColor="accent6" w:themeShade="80"/>
                                <w:sz w:val="14"/>
                                <w:szCs w:val="14"/>
                                <w:lang w:val="en-IN"/>
                              </w:rPr>
                              <w:t>A brief history of the service:</w:t>
                            </w:r>
                          </w:p>
                          <w:p w:rsidRPr="00B33656" w:rsidR="00491CBE" w:rsidP="00B33656" w:rsidRDefault="00491CBE">
                            <w:pPr>
                              <w:rPr>
                                <w:sz w:val="14"/>
                                <w:szCs w:val="14"/>
                                <w:lang w:val="en-IN"/>
                              </w:rPr>
                            </w:pPr>
                            <w:r w:rsidRPr="00B33656">
                              <w:rPr>
                                <w:sz w:val="14"/>
                                <w:szCs w:val="14"/>
                                <w:lang w:val="en-IN"/>
                              </w:rPr>
                              <w:t>The history of the pharmaceutical services can be traced back to ancient civilisation, where medicines and healing had close associations with herbal treatments and spirituality. Around 2600 BC, early pharmacists were known as “apothecaries” who used to practice medicine through plant-based medicines</w:t>
                            </w:r>
                            <w:r>
                              <w:rPr>
                                <w:sz w:val="14"/>
                                <w:szCs w:val="14"/>
                                <w:lang w:val="en-IN"/>
                              </w:rPr>
                              <w:t xml:space="preserve"> </w:t>
                            </w:r>
                            <w:r w:rsidRPr="00DE7BAF">
                              <w:rPr>
                                <w:sz w:val="14"/>
                                <w:szCs w:val="14"/>
                                <w:lang w:val="en-IN"/>
                              </w:rPr>
                              <w:t>(Tekiner, 2024)</w:t>
                            </w:r>
                            <w:r w:rsidRPr="00B33656">
                              <w:rPr>
                                <w:sz w:val="14"/>
                                <w:szCs w:val="14"/>
                                <w:lang w:val="en-IN"/>
                              </w:rPr>
                              <w:t>. </w:t>
                            </w:r>
                          </w:p>
                          <w:p w:rsidRPr="00B33656" w:rsidR="00491CBE" w:rsidP="00B33656" w:rsidRDefault="00491CBE">
                            <w:pPr>
                              <w:rPr>
                                <w:sz w:val="14"/>
                                <w:szCs w:val="14"/>
                                <w:lang w:val="en-IN"/>
                              </w:rPr>
                            </w:pPr>
                            <w:r w:rsidRPr="00B33656">
                              <w:rPr>
                                <w:sz w:val="14"/>
                                <w:szCs w:val="14"/>
                                <w:lang w:val="en-IN"/>
                              </w:rPr>
                              <w:t>During the middle age</w:t>
                            </w:r>
                            <w:r>
                              <w:rPr>
                                <w:sz w:val="14"/>
                                <w:szCs w:val="14"/>
                                <w:lang w:val="en-IN"/>
                              </w:rPr>
                              <w:t>-</w:t>
                            </w:r>
                            <w:r w:rsidRPr="00B33656">
                              <w:rPr>
                                <w:sz w:val="14"/>
                                <w:szCs w:val="14"/>
                                <w:lang w:val="en-IN"/>
                              </w:rPr>
                              <w:t>period, pharmaceutical practices became more prominent and organization with the establishment of some early processes of preparing drugs and medicine dosages. In addition, some apothecary shops were also set up in some parts of Europe. In those shops, medicines were sold and compounded by some trained practitioners.</w:t>
                            </w:r>
                            <w:r>
                              <w:rPr>
                                <w:sz w:val="14"/>
                                <w:szCs w:val="14"/>
                                <w:lang w:val="en-IN"/>
                              </w:rPr>
                              <w:t xml:space="preserve"> </w:t>
                            </w:r>
                            <w:r w:rsidRPr="00B33656">
                              <w:rPr>
                                <w:sz w:val="14"/>
                                <w:szCs w:val="14"/>
                                <w:lang w:val="en-IN"/>
                              </w:rPr>
                              <w:t xml:space="preserve">In the 19th century, the pharmaceutical services turned into a scientific profession with the integration of pharmacology and chemistry. By the 20th century, this profession </w:t>
                            </w:r>
                            <w:r>
                              <w:rPr>
                                <w:sz w:val="14"/>
                                <w:szCs w:val="14"/>
                                <w:lang w:val="en-IN"/>
                              </w:rPr>
                              <w:t xml:space="preserve">had </w:t>
                            </w:r>
                            <w:r w:rsidRPr="00B33656">
                              <w:rPr>
                                <w:sz w:val="14"/>
                                <w:szCs w:val="14"/>
                                <w:lang w:val="en-IN"/>
                              </w:rPr>
                              <w:t xml:space="preserve">further </w:t>
                            </w:r>
                            <w:r>
                              <w:rPr>
                                <w:sz w:val="14"/>
                                <w:szCs w:val="14"/>
                                <w:lang w:val="en-IN"/>
                              </w:rPr>
                              <w:t>grown</w:t>
                            </w:r>
                            <w:r w:rsidRPr="00B33656">
                              <w:rPr>
                                <w:sz w:val="14"/>
                                <w:szCs w:val="14"/>
                                <w:lang w:val="en-IN"/>
                              </w:rPr>
                              <w:t xml:space="preserve"> </w:t>
                            </w:r>
                            <w:r w:rsidRPr="00B33656">
                              <w:rPr>
                                <w:sz w:val="14"/>
                                <w:szCs w:val="14"/>
                                <w:lang w:val="en-IN"/>
                              </w:rPr>
                              <w:t xml:space="preserve">beyond drug </w:t>
                            </w:r>
                            <w:r>
                              <w:rPr>
                                <w:sz w:val="14"/>
                                <w:szCs w:val="14"/>
                                <w:lang w:val="en-IN"/>
                              </w:rPr>
                              <w:t>preparation</w:t>
                            </w:r>
                            <w:r>
                              <w:rPr>
                                <w:sz w:val="14"/>
                                <w:szCs w:val="14"/>
                                <w:lang w:val="en-IN"/>
                              </w:rPr>
                              <w:t xml:space="preserve"> </w:t>
                            </w:r>
                            <w:r w:rsidRPr="00DE7BAF">
                              <w:rPr>
                                <w:sz w:val="14"/>
                                <w:szCs w:val="14"/>
                                <w:lang w:val="en-IN"/>
                              </w:rPr>
                              <w:t>(Tekiner, 2024)</w:t>
                            </w:r>
                          </w:p>
                          <w:p w:rsidRPr="00926C03" w:rsidR="00491CBE" w:rsidP="00B33656" w:rsidRDefault="00491CBE">
                            <w:pPr>
                              <w:rPr>
                                <w:sz w:val="14"/>
                                <w:szCs w:val="14"/>
                                <w:lang w:val="en-IN"/>
                              </w:rPr>
                            </w:pPr>
                            <w:r w:rsidRPr="00B33656">
                              <w:rPr>
                                <w:sz w:val="14"/>
                                <w:szCs w:val="14"/>
                                <w:lang w:val="en-IN"/>
                              </w:rPr>
                              <w:t> </w:t>
                            </w:r>
                            <w:r w:rsidRPr="00B33656">
                              <w:rPr>
                                <w:sz w:val="14"/>
                                <w:szCs w:val="14"/>
                                <w:lang w:val="en-IN"/>
                              </w:rPr>
                              <w:t>T</w:t>
                            </w:r>
                            <w:r w:rsidRPr="00B33656">
                              <w:rPr>
                                <w:sz w:val="14"/>
                                <w:szCs w:val="14"/>
                                <w:lang w:val="en-IN"/>
                              </w:rPr>
                              <w:t>o</w:t>
                            </w:r>
                            <w:r>
                              <w:rPr>
                                <w:sz w:val="14"/>
                                <w:szCs w:val="14"/>
                                <w:lang w:val="en-IN"/>
                              </w:rPr>
                              <w:t>day, they</w:t>
                            </w:r>
                            <w:r w:rsidRPr="00B33656">
                              <w:rPr>
                                <w:sz w:val="14"/>
                                <w:szCs w:val="14"/>
                                <w:lang w:val="en-IN"/>
                              </w:rPr>
                              <w:t xml:space="preserve"> include “clinical” and “patient care roles”</w:t>
                            </w:r>
                            <w:r>
                              <w:rPr>
                                <w:sz w:val="14"/>
                                <w:szCs w:val="14"/>
                                <w:lang w:val="en-IN"/>
                              </w:rPr>
                              <w:t>,</w:t>
                            </w:r>
                            <w:r w:rsidRPr="00B33656">
                              <w:rPr>
                                <w:sz w:val="14"/>
                                <w:szCs w:val="14"/>
                                <w:lang w:val="en-IN"/>
                              </w:rPr>
                              <w:t xml:space="preserve"> emphasising medical safety and disease management practices. In the present day, this is one of the key fields in the healthcare industry and the pharmacists are responsible for offering preventive care, vaccines</w:t>
                            </w:r>
                            <w:r>
                              <w:rPr>
                                <w:sz w:val="14"/>
                                <w:szCs w:val="14"/>
                                <w:lang w:val="en-IN"/>
                              </w:rPr>
                              <w:t>,</w:t>
                            </w:r>
                            <w:r w:rsidRPr="00B33656">
                              <w:rPr>
                                <w:sz w:val="14"/>
                                <w:szCs w:val="14"/>
                                <w:lang w:val="en-IN"/>
                              </w:rPr>
                              <w:t xml:space="preserve"> and hence contribute potentially to the public healthcare and community well-being.</w:t>
                            </w:r>
                          </w:p>
                        </w:txbxContent>
                      </wps:txbx>
                      <wps:bodyPr rot="0" vert="horz" wrap="square" lIns="91440" tIns="45720" rIns="91440" bIns="45720" anchor="t" anchorCtr="0">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r w:rsidRPr="00A64D5D" w:rsidR="00D52C86">
        <w:rPr>
          <w:rFonts w:ascii="Arial" w:hAnsi="Arial" w:cs="Arial"/>
          <w:noProof/>
        </w:rPr>
        <mc:AlternateContent xmlns:mc="http://schemas.openxmlformats.org/markup-compatibility/2006">
          <mc:Choice xmlns:mc="http://schemas.openxmlformats.org/markup-compatibility/2006" Requires="wps">
            <w:drawing xmlns:w="http://schemas.openxmlformats.org/wordprocessingml/2006/main">
              <wp:anchor xmlns:wp14="http://schemas.microsoft.com/office/word/2010/wordprocessingDrawing" xmlns:wp="http://schemas.openxmlformats.org/drawingml/2006/wordprocessingDrawing" distT="45720" distB="45720" distL="114300" distR="114300" simplePos="0" relativeHeight="251663360" behindDoc="0" locked="0" layoutInCell="1" allowOverlap="1" wp14:anchorId="04CAE92E" wp14:editId="49E1EC33">
                <wp:simplePos xmlns:wp="http://schemas.openxmlformats.org/drawingml/2006/wordprocessingDrawing" x="0" y="0"/>
                <wp:positionH xmlns:wp="http://schemas.openxmlformats.org/drawingml/2006/wordprocessingDrawing" relativeFrom="page">
                  <wp:align>left</wp:align>
                </wp:positionH>
                <wp:positionV xmlns:wp="http://schemas.openxmlformats.org/drawingml/2006/wordprocessingDrawing" relativeFrom="paragraph">
                  <wp:posOffset>1207770</wp:posOffset>
                </wp:positionV>
                <wp:extent cx="3775710" cy="2497455"/>
                <wp:effectExtent l="19050" t="19050" r="34290" b="36195"/>
                <wp:wrapSquare xmlns:wp="http://schemas.openxmlformats.org/drawingml/2006/wordprocessingDrawing" wrapText="bothSides"/>
                <wp:docPr xmlns:wp="http://schemas.openxmlformats.org/drawingml/2006/wordprocessingDrawing" id="4" name="Text Box 4"/>
                <wp:cNvGraphicFramePr xmlns:wp="http://schemas.openxmlformats.org/drawingml/2006/wordprocessingDrawing">
                  <a:graphicFrameLocks xmlns:a="http://schemas.openxmlformats.org/drawingml/2006/main"/>
                </wp:cNvGraphicFramePr>
                <a:graphic xmlns:a="http://schemas.openxmlformats.org/drawingml/2006/main">
                  <a:graphicData uri="http://schemas.microsoft.com/office/word/2010/wordprocessingShape">
                    <wps:wsp xmlns:wps="http://schemas.microsoft.com/office/word/2010/wordprocessingShape">
                      <wps:cNvSpPr txBox="1">
                        <a:spLocks noChangeArrowheads="1"/>
                      </wps:cNvSpPr>
                      <wps:spPr bwMode="auto">
                        <a:xfrm>
                          <a:off x="0" y="0"/>
                          <a:ext cx="3775710" cy="2497455"/>
                        </a:xfrm>
                        <a:prstGeom prst="rect">
                          <a:avLst/>
                        </a:prstGeom>
                        <a:solidFill>
                          <a:srgbClr val="FFFFFF"/>
                        </a:solidFill>
                        <a:ln w="47625">
                          <a:solidFill>
                            <a:schemeClr val="accent2"/>
                          </a:solidFill>
                          <a:miter lim="800000"/>
                          <a:headEnd/>
                          <a:tailEnd/>
                        </a:ln>
                        <a:effectLst>
                          <a:softEdge rad="25400"/>
                        </a:effectLst>
                      </wps:spPr>
                      <wps:txbx>
                        <w:txbxContent>
                          <w:p w:rsidRPr="00CB16B5" w:rsidR="003C0ABD" w:rsidP="00CB16B5" w:rsidRDefault="003C0ABD">
                            <w:pPr>
                              <w:spacing w:line="240" w:lineRule="auto"/>
                              <w:rPr>
                                <w:b/>
                                <w:bCs/>
                                <w:color w:val="385623" w:themeColor="accent6" w:themeShade="80"/>
                                <w:sz w:val="14"/>
                                <w:szCs w:val="14"/>
                                <w:lang w:val="en-IN"/>
                              </w:rPr>
                            </w:pPr>
                            <w:r w:rsidRPr="00CB16B5">
                              <w:rPr>
                                <w:b/>
                                <w:bCs/>
                                <w:color w:val="385623" w:themeColor="accent6" w:themeShade="80"/>
                                <w:sz w:val="14"/>
                                <w:szCs w:val="14"/>
                                <w:lang w:val="en-IN"/>
                              </w:rPr>
                              <w:t>Explanation of the chosen healthcare service:</w:t>
                            </w:r>
                          </w:p>
                          <w:p w:rsidRPr="00FD25E0" w:rsidR="003C0ABD" w:rsidP="009B259A" w:rsidRDefault="003C0ABD">
                            <w:pPr>
                              <w:spacing w:line="240" w:lineRule="auto"/>
                              <w:rPr>
                                <w:sz w:val="14"/>
                                <w:szCs w:val="14"/>
                                <w:lang w:val="en-IN"/>
                              </w:rPr>
                            </w:pPr>
                            <w:r w:rsidRPr="00FD25E0">
                              <w:rPr>
                                <w:sz w:val="14"/>
                                <w:szCs w:val="14"/>
                                <w:lang w:val="en-IN"/>
                              </w:rPr>
                              <w:t>Here, the chosen healthcare service is the pharmaceutical services. It should be noted that the pharmacy services tend to play a significant role within the healthcare system as they ensure and safety, effectiveness and rational use of medicines</w:t>
                            </w:r>
                            <w:r>
                              <w:rPr>
                                <w:sz w:val="14"/>
                                <w:szCs w:val="14"/>
                                <w:lang w:val="en-IN"/>
                              </w:rPr>
                              <w:t xml:space="preserve"> </w:t>
                            </w:r>
                            <w:r w:rsidRPr="00AF6B7C">
                              <w:rPr>
                                <w:sz w:val="14"/>
                                <w:szCs w:val="14"/>
                                <w:lang w:val="en-IN"/>
                              </w:rPr>
                              <w:t>(Klimenkova et al., 2021)</w:t>
                            </w:r>
                            <w:r w:rsidRPr="00FD25E0">
                              <w:rPr>
                                <w:sz w:val="14"/>
                                <w:szCs w:val="14"/>
                                <w:lang w:val="en-IN"/>
                              </w:rPr>
                              <w:t>. The modern pharmaceutical services encompass a wide range of community-based and clinical functions that aim at improving patient-related health outcomes, apart from dispensing medicines. </w:t>
                            </w:r>
                          </w:p>
                          <w:p w:rsidRPr="00FD25E0" w:rsidR="003C0ABD" w:rsidP="009B259A" w:rsidRDefault="003C0ABD">
                            <w:pPr>
                              <w:spacing w:line="240" w:lineRule="auto"/>
                              <w:rPr>
                                <w:sz w:val="14"/>
                                <w:szCs w:val="14"/>
                                <w:lang w:val="en-IN"/>
                              </w:rPr>
                            </w:pPr>
                            <w:r w:rsidRPr="00FD25E0">
                              <w:rPr>
                                <w:sz w:val="14"/>
                                <w:szCs w:val="14"/>
                                <w:lang w:val="en-IN"/>
                              </w:rPr>
                              <w:t>Key activities of the services include:</w:t>
                            </w:r>
                          </w:p>
                          <w:p w:rsidRPr="009B259A" w:rsidR="003C0ABD" w:rsidP="009B259A" w:rsidRDefault="003C0ABD">
                            <w:pPr>
                              <w:numPr>
                                <w:ilvl w:val="0"/>
                                <w:numId w:val="1"/>
                              </w:numPr>
                              <w:spacing w:line="240" w:lineRule="auto"/>
                              <w:rPr>
                                <w:sz w:val="14"/>
                                <w:szCs w:val="14"/>
                                <w:lang w:val="en-IN"/>
                              </w:rPr>
                            </w:pPr>
                            <w:r w:rsidRPr="009B259A">
                              <w:rPr>
                                <w:sz w:val="14"/>
                                <w:szCs w:val="14"/>
                                <w:lang w:val="en-IN"/>
                              </w:rPr>
                              <w:t>Reviewing prescriptions</w:t>
                            </w:r>
                          </w:p>
                          <w:p w:rsidRPr="009B259A" w:rsidR="003C0ABD" w:rsidP="009B259A" w:rsidRDefault="003C0ABD">
                            <w:pPr>
                              <w:numPr>
                                <w:ilvl w:val="0"/>
                                <w:numId w:val="1"/>
                              </w:numPr>
                              <w:spacing w:line="240" w:lineRule="auto"/>
                              <w:rPr>
                                <w:sz w:val="14"/>
                                <w:szCs w:val="14"/>
                                <w:lang w:val="en-IN"/>
                              </w:rPr>
                            </w:pPr>
                            <w:r w:rsidRPr="009B259A">
                              <w:rPr>
                                <w:sz w:val="14"/>
                                <w:szCs w:val="14"/>
                                <w:lang w:val="en-IN"/>
                              </w:rPr>
                              <w:t>Counselling patients</w:t>
                            </w:r>
                          </w:p>
                          <w:p w:rsidRPr="009B259A" w:rsidR="003C0ABD" w:rsidP="009B259A" w:rsidRDefault="003C0ABD">
                            <w:pPr>
                              <w:numPr>
                                <w:ilvl w:val="0"/>
                                <w:numId w:val="1"/>
                              </w:numPr>
                              <w:spacing w:line="240" w:lineRule="auto"/>
                              <w:rPr>
                                <w:sz w:val="14"/>
                                <w:szCs w:val="14"/>
                                <w:lang w:val="en-IN"/>
                              </w:rPr>
                            </w:pPr>
                            <w:r w:rsidRPr="009B259A">
                              <w:rPr>
                                <w:sz w:val="14"/>
                                <w:szCs w:val="14"/>
                                <w:lang w:val="en-IN"/>
                              </w:rPr>
                              <w:t>Management of medication</w:t>
                            </w:r>
                          </w:p>
                          <w:p w:rsidRPr="009B259A" w:rsidR="003C0ABD" w:rsidP="009B259A" w:rsidRDefault="003C0ABD">
                            <w:pPr>
                              <w:numPr>
                                <w:ilvl w:val="0"/>
                                <w:numId w:val="1"/>
                              </w:numPr>
                              <w:spacing w:line="240" w:lineRule="auto"/>
                              <w:rPr>
                                <w:sz w:val="14"/>
                                <w:szCs w:val="14"/>
                                <w:lang w:val="en-IN"/>
                              </w:rPr>
                            </w:pPr>
                            <w:r w:rsidRPr="009B259A">
                              <w:rPr>
                                <w:sz w:val="14"/>
                                <w:szCs w:val="14"/>
                                <w:lang w:val="en-IN"/>
                              </w:rPr>
                              <w:t>Vaccination services</w:t>
                            </w:r>
                          </w:p>
                          <w:p w:rsidRPr="009B259A" w:rsidR="003C0ABD" w:rsidP="009B259A" w:rsidRDefault="003C0ABD">
                            <w:pPr>
                              <w:numPr>
                                <w:ilvl w:val="0"/>
                                <w:numId w:val="1"/>
                              </w:numPr>
                              <w:spacing w:line="240" w:lineRule="auto"/>
                              <w:rPr>
                                <w:sz w:val="14"/>
                                <w:szCs w:val="14"/>
                                <w:lang w:val="en-IN"/>
                              </w:rPr>
                            </w:pPr>
                            <w:r w:rsidRPr="009B259A">
                              <w:rPr>
                                <w:sz w:val="14"/>
                                <w:szCs w:val="14"/>
                                <w:lang w:val="en-IN"/>
                              </w:rPr>
                              <w:t>Health promotion </w:t>
                            </w:r>
                          </w:p>
                          <w:p w:rsidRPr="00FD25E0" w:rsidR="003C0ABD" w:rsidP="00FD25E0" w:rsidRDefault="003C0ABD">
                            <w:pPr>
                              <w:rPr>
                                <w:sz w:val="14"/>
                                <w:szCs w:val="14"/>
                                <w:lang w:val="en-IN"/>
                              </w:rPr>
                            </w:pPr>
                            <w:r w:rsidRPr="00FD25E0">
                              <w:rPr>
                                <w:sz w:val="14"/>
                                <w:szCs w:val="14"/>
                                <w:lang w:val="en-IN"/>
                              </w:rPr>
                              <w:t>Within the community settings, it can be said that the pharmaceutical services significantly contribute to various public health initiatives, such as the cessation of smoking, monitoring blood pressure, managing chronic diseases like diabetes, flu, and conducting vaccination programs, and so on. Within the hospital settings, they collaborate with the doctors and the nurses for treatment optimisation and to ensure medication safety</w:t>
                            </w:r>
                            <w:r>
                              <w:rPr>
                                <w:sz w:val="14"/>
                                <w:szCs w:val="14"/>
                                <w:lang w:val="en-IN"/>
                              </w:rPr>
                              <w:t xml:space="preserve"> </w:t>
                            </w:r>
                            <w:r w:rsidRPr="00DE7BAF">
                              <w:rPr>
                                <w:sz w:val="14"/>
                                <w:szCs w:val="14"/>
                                <w:lang w:val="en-IN"/>
                              </w:rPr>
                              <w:t>(Tekiner, 2024)</w:t>
                            </w:r>
                            <w:r w:rsidRPr="00FD25E0">
                              <w:rPr>
                                <w:sz w:val="14"/>
                                <w:szCs w:val="14"/>
                                <w:lang w:val="en-IN"/>
                              </w:rPr>
                              <w:t>. </w:t>
                            </w:r>
                          </w:p>
                          <w:p w:rsidRPr="009B259A" w:rsidR="003C0ABD" w:rsidP="00FD25E0" w:rsidRDefault="003C0ABD">
                            <w:pPr>
                              <w:rPr>
                                <w:sz w:val="14"/>
                                <w:szCs w:val="14"/>
                              </w:rPr>
                            </w:pPr>
                          </w:p>
                        </w:txbxContent>
                      </wps:txbx>
                      <wps:bodyPr rot="0" vert="horz" wrap="square" lIns="91440" tIns="45720" rIns="91440" bIns="45720" anchor="t" anchorCtr="0">
                        <a:noAutofit/>
                      </wps:bodyPr>
                    </wps:wsp>
                  </a:graphicData>
                </a:graphic>
                <wp14:sizeRelH xmlns:wp14="http://schemas.microsoft.com/office/word/2010/wordprocessingDrawing" relativeFrom="margin">
                  <wp14:pctWidth>0</wp14:pctWidth>
                </wp14:sizeRelH>
                <wp14:sizeRelV xmlns:wp14="http://schemas.microsoft.com/office/word/2010/wordprocessingDrawing" relativeFrom="margin">
                  <wp14:pctHeight>0</wp14:pctHeight>
                </wp14:sizeRelV>
              </wp:anchor>
            </w:drawing>
          </mc:Choice>
          <mc:Fallback xmlns:a="http://schemas.openxmlformats.org/drawingml/2006/main"/>
        </mc:AlternateContent>
      </w:r>
      <w:r w:rsidRPr="00A64D5D" w:rsidR="009E257B">
        <w:rPr>
          <w:rFonts w:ascii="Arial" w:hAnsi="Arial" w:cs="Arial"/>
          <w:noProof/>
        </w:rPr>
        <mc:AlternateContent>
          <mc:Choice Requires="wps">
            <w:drawing>
              <wp:anchor distT="0" distB="0" distL="114300" distR="114300" simplePos="0" relativeHeight="251659264" behindDoc="1" locked="0" layoutInCell="1" allowOverlap="1" wp14:anchorId="777A8668" wp14:editId="6454FC83">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id="Rectangle 1"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spid="_x0000_s1026" fillcolor="gray [1629]" strokecolor="#92d050" strokeweight="1pt" w14:anchorId="252819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v:fill opacity="30069f"/>
                <w10:wrap anchorx="page"/>
              </v:rect>
            </w:pict>
          </mc:Fallback>
        </mc:AlternateContent>
      </w:r>
    </w:p>
    <w:p w:rsidRPr="00A64D5D" w:rsidR="003A000F" w:rsidP="00240340" w:rsidRDefault="00833470" w14:paraId="10B1FAB0" w14:textId="68C881B7">
      <w:pPr>
        <w:pStyle w:val="Heading2"/>
        <w:spacing w:line="360" w:lineRule="auto"/>
        <w:jc w:val="both"/>
        <w:rPr>
          <w:rFonts w:cs="Arial"/>
          <w:b w:val="0"/>
          <w:bCs w:val="0"/>
        </w:rPr>
      </w:pPr>
      <w:bookmarkStart w:name="_Toc212744332" w:id="1"/>
      <w:r w:rsidRPr="1DB91298" w:rsidR="00833470">
        <w:rPr>
          <w:rFonts w:cs="Arial"/>
        </w:rPr>
        <w:t>Element 2</w:t>
      </w:r>
      <w:r w:rsidRPr="1DB91298" w:rsidR="501C3AC6">
        <w:rPr>
          <w:rFonts w:cs="Arial"/>
        </w:rPr>
        <w:t xml:space="preserve"> </w:t>
      </w:r>
      <w:bookmarkEnd w:id="1"/>
    </w:p>
    <w:p w:rsidR="1DB91298" w:rsidP="1DB91298" w:rsidRDefault="1DB91298" w14:paraId="43BE4124" w14:textId="265A59E8">
      <w:pPr>
        <w:pStyle w:val="Normal"/>
      </w:pPr>
    </w:p>
    <w:p w:rsidR="501C3AC6" w:rsidP="1DB91298" w:rsidRDefault="501C3AC6" w14:paraId="63B2CE5D" w14:textId="1F72D893">
      <w:pPr>
        <w:pStyle w:val="Normal"/>
        <w:jc w:val="center"/>
        <w:rPr>
          <w:rFonts w:ascii="Arial" w:hAnsi="Arial" w:eastAsia="Arial" w:cs="Arial"/>
          <w:b w:val="1"/>
          <w:bCs w:val="1"/>
          <w:color w:val="4472C4" w:themeColor="accent1" w:themeTint="FF" w:themeShade="FF"/>
          <w:sz w:val="28"/>
          <w:szCs w:val="28"/>
        </w:rPr>
      </w:pPr>
      <w:r w:rsidRPr="1DB91298" w:rsidR="501C3AC6">
        <w:rPr>
          <w:rFonts w:ascii="Arial" w:hAnsi="Arial" w:eastAsia="Arial" w:cs="Arial"/>
          <w:b w:val="1"/>
          <w:bCs w:val="1"/>
          <w:color w:val="4472C4" w:themeColor="accent1" w:themeTint="FF" w:themeShade="FF"/>
          <w:sz w:val="28"/>
          <w:szCs w:val="28"/>
        </w:rPr>
        <w:t xml:space="preserve">The Origine of </w:t>
      </w:r>
      <w:r w:rsidRPr="1DB91298" w:rsidR="272721F8">
        <w:rPr>
          <w:rFonts w:ascii="Arial" w:hAnsi="Arial" w:eastAsia="Arial" w:cs="Arial"/>
          <w:b w:val="1"/>
          <w:bCs w:val="1"/>
          <w:color w:val="4472C4" w:themeColor="accent1" w:themeTint="FF" w:themeShade="FF"/>
          <w:sz w:val="28"/>
          <w:szCs w:val="28"/>
        </w:rPr>
        <w:t>National Health Service</w:t>
      </w:r>
    </w:p>
    <w:p w:rsidRPr="00A64D5D" w:rsidR="001C20E1" w:rsidP="1DB91298" w:rsidRDefault="001C20E1" w14:paraId="4F2A65C1" w14:textId="77777777">
      <w:pPr>
        <w:spacing w:line="360" w:lineRule="auto"/>
        <w:jc w:val="left"/>
        <w:rPr>
          <w:rFonts w:ascii="Arial" w:hAnsi="Arial" w:eastAsia="Arial" w:cs="Arial"/>
          <w:b w:val="1"/>
          <w:bCs w:val="1"/>
          <w:sz w:val="22"/>
          <w:szCs w:val="22"/>
        </w:rPr>
      </w:pPr>
    </w:p>
    <w:p w:rsidRPr="00E93AC2" w:rsidR="001C20E1" w:rsidP="1DB91298" w:rsidRDefault="001C20E1" w14:paraId="0CFEA3E3" w14:textId="77777777">
      <w:pPr>
        <w:pStyle w:val="Heading3"/>
        <w:spacing w:line="360" w:lineRule="auto"/>
        <w:jc w:val="left"/>
        <w:rPr>
          <w:rFonts w:ascii="Arial" w:hAnsi="Arial" w:eastAsia="Arial" w:cs="Arial"/>
          <w:sz w:val="22"/>
          <w:szCs w:val="22"/>
          <w:lang w:val="en-IN"/>
        </w:rPr>
      </w:pPr>
      <w:bookmarkStart w:name="_Toc212744333" w:id="2"/>
      <w:r w:rsidRPr="1DB91298" w:rsidR="001C20E1">
        <w:rPr>
          <w:rFonts w:ascii="Arial" w:hAnsi="Arial" w:eastAsia="Arial" w:cs="Arial"/>
          <w:sz w:val="22"/>
          <w:szCs w:val="22"/>
          <w:lang w:val="en-IN"/>
        </w:rPr>
        <w:t>Introduction</w:t>
      </w:r>
      <w:bookmarkEnd w:id="2"/>
    </w:p>
    <w:p w:rsidRPr="001C20E1" w:rsidR="001C20E1" w:rsidP="1DB91298" w:rsidRDefault="001C20E1" w14:paraId="1FE2044C" w14:textId="77777777">
      <w:pPr>
        <w:spacing w:line="360" w:lineRule="auto"/>
        <w:jc w:val="left"/>
        <w:rPr>
          <w:rFonts w:ascii="Arial" w:hAnsi="Arial" w:eastAsia="Arial" w:cs="Arial"/>
          <w:sz w:val="22"/>
          <w:szCs w:val="22"/>
          <w:lang w:val="en-IN"/>
        </w:rPr>
      </w:pPr>
      <w:r w:rsidRPr="1DB91298" w:rsidR="001C20E1">
        <w:rPr>
          <w:rFonts w:ascii="Arial" w:hAnsi="Arial" w:eastAsia="Arial" w:cs="Arial"/>
          <w:sz w:val="22"/>
          <w:szCs w:val="22"/>
          <w:lang w:val="en-IN"/>
        </w:rPr>
        <w:t>The National Health Service (NHS) was established in the year 1948, and it has a very significant role to play in British Social Policy. It reflects the national commitment to universal healthcare and equality (Ham, 2024). Here, the historical context and the key principles that led to its establishment are discussed. Also, the current structure of the NHS and its functioning are discussed in the essay. </w:t>
      </w:r>
    </w:p>
    <w:p w:rsidRPr="00E93AC2" w:rsidR="001C20E1" w:rsidP="1DB91298" w:rsidRDefault="001C20E1" w14:paraId="3CCBA05E" w14:textId="77777777">
      <w:pPr>
        <w:pStyle w:val="Heading3"/>
        <w:spacing w:line="360" w:lineRule="auto"/>
        <w:jc w:val="left"/>
        <w:rPr>
          <w:rFonts w:ascii="Arial" w:hAnsi="Arial" w:eastAsia="Arial" w:cs="Arial"/>
          <w:sz w:val="22"/>
          <w:szCs w:val="22"/>
          <w:lang w:val="en-IN"/>
        </w:rPr>
      </w:pPr>
      <w:bookmarkStart w:name="_Toc212744334" w:id="3"/>
      <w:r w:rsidRPr="1DB91298" w:rsidR="001C20E1">
        <w:rPr>
          <w:rFonts w:ascii="Arial" w:hAnsi="Arial" w:eastAsia="Arial" w:cs="Arial"/>
          <w:sz w:val="22"/>
          <w:szCs w:val="22"/>
          <w:lang w:val="en-IN"/>
        </w:rPr>
        <w:t>Historical Context: Health Inequality and Social Reform</w:t>
      </w:r>
      <w:bookmarkEnd w:id="3"/>
    </w:p>
    <w:p w:rsidRPr="001C20E1" w:rsidR="001C20E1" w:rsidP="1DB91298" w:rsidRDefault="001C20E1" w14:paraId="6AD3F7EF" w14:textId="07C6C587">
      <w:pPr>
        <w:spacing w:line="360" w:lineRule="auto"/>
        <w:jc w:val="left"/>
        <w:rPr>
          <w:rFonts w:ascii="Arial" w:hAnsi="Arial" w:eastAsia="Arial" w:cs="Arial"/>
          <w:sz w:val="22"/>
          <w:szCs w:val="22"/>
          <w:lang w:val="en-IN"/>
        </w:rPr>
      </w:pPr>
      <w:r w:rsidRPr="1DB91298" w:rsidR="001C20E1">
        <w:rPr>
          <w:rFonts w:ascii="Arial" w:hAnsi="Arial" w:eastAsia="Arial" w:cs="Arial"/>
          <w:sz w:val="22"/>
          <w:szCs w:val="22"/>
          <w:lang w:val="en-IN"/>
        </w:rPr>
        <w:t xml:space="preserve">Before the establishment of the NHS, the accessibility to healthcare facilities within Britain was limited and was heavily dependent on the charitable provisions and income. Also, </w:t>
      </w:r>
      <w:r w:rsidRPr="1DB91298" w:rsidR="001C20E1">
        <w:rPr>
          <w:rFonts w:ascii="Arial" w:hAnsi="Arial" w:eastAsia="Arial" w:cs="Arial"/>
          <w:sz w:val="22"/>
          <w:szCs w:val="22"/>
          <w:lang w:val="en-IN"/>
        </w:rPr>
        <w:t>a large portion</w:t>
      </w:r>
      <w:r w:rsidRPr="1DB91298" w:rsidR="001C20E1">
        <w:rPr>
          <w:rFonts w:ascii="Arial" w:hAnsi="Arial" w:eastAsia="Arial" w:cs="Arial"/>
          <w:sz w:val="22"/>
          <w:szCs w:val="22"/>
          <w:lang w:val="en-IN"/>
        </w:rPr>
        <w:t xml:space="preserve"> of the population was under poverty, and they could not afford medical treatments, </w:t>
      </w:r>
      <w:r w:rsidRPr="1DB91298" w:rsidR="0818A7CE">
        <w:rPr>
          <w:rFonts w:ascii="Arial" w:hAnsi="Arial" w:eastAsia="Arial" w:cs="Arial"/>
          <w:sz w:val="22"/>
          <w:szCs w:val="22"/>
          <w:lang w:val="en-IN"/>
        </w:rPr>
        <w:t>and</w:t>
      </w:r>
      <w:r w:rsidRPr="1DB91298" w:rsidR="001C20E1">
        <w:rPr>
          <w:rFonts w:ascii="Arial" w:hAnsi="Arial" w:eastAsia="Arial" w:cs="Arial"/>
          <w:sz w:val="22"/>
          <w:szCs w:val="22"/>
          <w:lang w:val="en-IN"/>
        </w:rPr>
        <w:t>, the system had been segregated across various voluntary healthcare centres, private clinical professionals, including doctors, as well as the local authority services (Powell and Williams, 2024). </w:t>
      </w:r>
    </w:p>
    <w:p w:rsidRPr="001C20E1" w:rsidR="001C20E1" w:rsidP="1DB91298" w:rsidRDefault="001C20E1" w14:paraId="60DB7818" w14:textId="77777777">
      <w:pPr>
        <w:spacing w:line="360" w:lineRule="auto"/>
        <w:jc w:val="left"/>
        <w:rPr>
          <w:rFonts w:ascii="Arial" w:hAnsi="Arial" w:eastAsia="Arial" w:cs="Arial"/>
          <w:sz w:val="22"/>
          <w:szCs w:val="22"/>
          <w:lang w:val="en-IN"/>
        </w:rPr>
      </w:pPr>
      <w:r w:rsidRPr="1DB91298" w:rsidR="001C20E1">
        <w:rPr>
          <w:rFonts w:ascii="Arial" w:hAnsi="Arial" w:eastAsia="Arial" w:cs="Arial"/>
          <w:sz w:val="22"/>
          <w:szCs w:val="22"/>
          <w:lang w:val="en-IN"/>
        </w:rPr>
        <w:t>A revolutionary change in the field of healthcare recognition was seen during the Second World War when mass people were getting injured in the warfare. This stimulated the understanding that healthcare is a national priority and hence should be effective, accessible and well-coordinated and managed (Klein and Powell, 2025).</w:t>
      </w:r>
    </w:p>
    <w:p w:rsidRPr="001C20E1" w:rsidR="001C20E1" w:rsidP="1DB91298" w:rsidRDefault="001C20E1" w14:paraId="5E9B1CB0" w14:textId="77777777">
      <w:pPr>
        <w:spacing w:line="360" w:lineRule="auto"/>
        <w:jc w:val="left"/>
        <w:rPr>
          <w:rFonts w:ascii="Arial" w:hAnsi="Arial" w:eastAsia="Arial" w:cs="Arial"/>
          <w:sz w:val="22"/>
          <w:szCs w:val="22"/>
          <w:lang w:val="en-IN"/>
        </w:rPr>
      </w:pPr>
      <w:r w:rsidRPr="1DB91298" w:rsidR="001C20E1">
        <w:rPr>
          <w:rFonts w:ascii="Arial" w:hAnsi="Arial" w:eastAsia="Arial" w:cs="Arial"/>
          <w:sz w:val="22"/>
          <w:szCs w:val="22"/>
          <w:lang w:val="en-IN"/>
        </w:rPr>
        <w:t>The “Beveridge Report of 1942” further proposed a welfare system to fight against “5 giant evils” that are want, diseases, ignorance, idleness and squalor. This report thus laid a foundation for the establishment of the NHS, focusing on fostering equitable and universal accessibility to healthcare services. </w:t>
      </w:r>
    </w:p>
    <w:p w:rsidRPr="00E93AC2" w:rsidR="001C20E1" w:rsidP="1DB91298" w:rsidRDefault="001C20E1" w14:paraId="7FA88252" w14:textId="77777777">
      <w:pPr>
        <w:pStyle w:val="Heading3"/>
        <w:spacing w:line="360" w:lineRule="auto"/>
        <w:jc w:val="left"/>
        <w:rPr>
          <w:rFonts w:ascii="Arial" w:hAnsi="Arial" w:eastAsia="Arial" w:cs="Arial"/>
          <w:sz w:val="22"/>
          <w:szCs w:val="22"/>
          <w:lang w:val="en-IN"/>
        </w:rPr>
      </w:pPr>
      <w:bookmarkStart w:name="_Toc212744335" w:id="4"/>
      <w:r w:rsidRPr="1DB91298" w:rsidR="001C20E1">
        <w:rPr>
          <w:rFonts w:ascii="Arial" w:hAnsi="Arial" w:eastAsia="Arial" w:cs="Arial"/>
          <w:sz w:val="22"/>
          <w:szCs w:val="22"/>
          <w:lang w:val="en-IN"/>
        </w:rPr>
        <w:t>Formation of the NHS and the Founding Principles:</w:t>
      </w:r>
      <w:bookmarkEnd w:id="4"/>
    </w:p>
    <w:p w:rsidRPr="001C20E1" w:rsidR="001C20E1" w:rsidP="1DB91298" w:rsidRDefault="001C20E1" w14:paraId="7E9C83B0" w14:textId="1CDE0990">
      <w:pPr>
        <w:spacing w:line="360" w:lineRule="auto"/>
        <w:jc w:val="left"/>
        <w:rPr>
          <w:rFonts w:ascii="Arial" w:hAnsi="Arial" w:eastAsia="Arial" w:cs="Arial"/>
          <w:sz w:val="22"/>
          <w:szCs w:val="22"/>
          <w:lang w:val="en-IN"/>
        </w:rPr>
      </w:pPr>
      <w:r w:rsidRPr="1DB91298" w:rsidR="001C20E1">
        <w:rPr>
          <w:rFonts w:ascii="Arial" w:hAnsi="Arial" w:eastAsia="Arial" w:cs="Arial"/>
          <w:sz w:val="22"/>
          <w:szCs w:val="22"/>
          <w:lang w:val="en-IN"/>
        </w:rPr>
        <w:t>Followed by the “Laboured election victory” in the year 1945, the Ministry of Health introduced the “National Health Service Act (1946)</w:t>
      </w:r>
      <w:r w:rsidRPr="1DB91298" w:rsidR="0D34D55F">
        <w:rPr>
          <w:rFonts w:ascii="Arial" w:hAnsi="Arial" w:eastAsia="Arial" w:cs="Arial"/>
          <w:sz w:val="22"/>
          <w:szCs w:val="22"/>
          <w:lang w:val="en-IN"/>
        </w:rPr>
        <w:t>”,</w:t>
      </w:r>
      <w:r w:rsidRPr="1DB91298" w:rsidR="001C20E1">
        <w:rPr>
          <w:rFonts w:ascii="Arial" w:hAnsi="Arial" w:eastAsia="Arial" w:cs="Arial"/>
          <w:sz w:val="22"/>
          <w:szCs w:val="22"/>
          <w:lang w:val="en-IN"/>
        </w:rPr>
        <w:t xml:space="preserve"> and it finally led to the official establishment of the NHS, on 5th July, in the year 1948. The main purpose behind its establishment was that healthcare services should be available to all citizens, should be funded by taxations </w:t>
      </w:r>
      <w:r w:rsidRPr="1DB91298" w:rsidR="001C20E1">
        <w:rPr>
          <w:rFonts w:ascii="Arial" w:hAnsi="Arial" w:eastAsia="Arial" w:cs="Arial"/>
          <w:sz w:val="22"/>
          <w:szCs w:val="22"/>
          <w:lang w:val="en-IN"/>
        </w:rPr>
        <w:t>and also</w:t>
      </w:r>
      <w:r w:rsidRPr="1DB91298" w:rsidR="001C20E1">
        <w:rPr>
          <w:rFonts w:ascii="Arial" w:hAnsi="Arial" w:eastAsia="Arial" w:cs="Arial"/>
          <w:sz w:val="22"/>
          <w:szCs w:val="22"/>
          <w:lang w:val="en-IN"/>
        </w:rPr>
        <w:t xml:space="preserve"> should be free of cost at the point of delivery (Ham, 2024). The NHS stands on three key principles that is “universality</w:t>
      </w:r>
      <w:r w:rsidRPr="1DB91298" w:rsidR="001C20E1">
        <w:rPr>
          <w:rFonts w:ascii="Arial" w:hAnsi="Arial" w:eastAsia="Arial" w:cs="Arial"/>
          <w:sz w:val="22"/>
          <w:szCs w:val="22"/>
          <w:lang w:val="en-IN"/>
        </w:rPr>
        <w:t>”,</w:t>
      </w:r>
      <w:r w:rsidRPr="1DB91298" w:rsidR="001C20E1">
        <w:rPr>
          <w:rFonts w:ascii="Arial" w:hAnsi="Arial" w:eastAsia="Arial" w:cs="Arial"/>
          <w:sz w:val="22"/>
          <w:szCs w:val="22"/>
          <w:lang w:val="en-IN"/>
        </w:rPr>
        <w:t xml:space="preserve"> “comprehensiveness</w:t>
      </w:r>
      <w:r w:rsidRPr="1DB91298" w:rsidR="001C20E1">
        <w:rPr>
          <w:rFonts w:ascii="Arial" w:hAnsi="Arial" w:eastAsia="Arial" w:cs="Arial"/>
          <w:sz w:val="22"/>
          <w:szCs w:val="22"/>
          <w:lang w:val="en-IN"/>
        </w:rPr>
        <w:t>”,</w:t>
      </w:r>
      <w:r w:rsidRPr="1DB91298" w:rsidR="001C20E1">
        <w:rPr>
          <w:rFonts w:ascii="Arial" w:hAnsi="Arial" w:eastAsia="Arial" w:cs="Arial"/>
          <w:sz w:val="22"/>
          <w:szCs w:val="22"/>
          <w:lang w:val="en-IN"/>
        </w:rPr>
        <w:t xml:space="preserve"> and “free access” (Klein and Powell, 2025).  It thus strives to make healthcare services available to every citizen, cover necessary medical services and provide care </w:t>
      </w:r>
      <w:r w:rsidRPr="1DB91298" w:rsidR="34E74B6C">
        <w:rPr>
          <w:rFonts w:ascii="Arial" w:hAnsi="Arial" w:eastAsia="Arial" w:cs="Arial"/>
          <w:sz w:val="22"/>
          <w:szCs w:val="22"/>
          <w:lang w:val="en-IN"/>
        </w:rPr>
        <w:t>because of</w:t>
      </w:r>
      <w:r w:rsidRPr="1DB91298" w:rsidR="001C20E1">
        <w:rPr>
          <w:rFonts w:ascii="Arial" w:hAnsi="Arial" w:eastAsia="Arial" w:cs="Arial"/>
          <w:sz w:val="22"/>
          <w:szCs w:val="22"/>
          <w:lang w:val="en-IN"/>
        </w:rPr>
        <w:t xml:space="preserve"> needs, rather than the ability of the people to pay (Ham, 2024). Thus, hospital had been </w:t>
      </w:r>
      <w:r w:rsidRPr="1DB91298" w:rsidR="22F63A60">
        <w:rPr>
          <w:rFonts w:ascii="Arial" w:hAnsi="Arial" w:eastAsia="Arial" w:cs="Arial"/>
          <w:sz w:val="22"/>
          <w:szCs w:val="22"/>
          <w:lang w:val="en-IN"/>
        </w:rPr>
        <w:t>nationalised,</w:t>
      </w:r>
      <w:r w:rsidRPr="1DB91298" w:rsidR="001C20E1">
        <w:rPr>
          <w:rFonts w:ascii="Arial" w:hAnsi="Arial" w:eastAsia="Arial" w:cs="Arial"/>
          <w:sz w:val="22"/>
          <w:szCs w:val="22"/>
          <w:lang w:val="en-IN"/>
        </w:rPr>
        <w:t xml:space="preserve"> and general practitioners had become independent </w:t>
      </w:r>
      <w:r w:rsidRPr="1DB91298" w:rsidR="4CBC8643">
        <w:rPr>
          <w:rFonts w:ascii="Arial" w:hAnsi="Arial" w:eastAsia="Arial" w:cs="Arial"/>
          <w:sz w:val="22"/>
          <w:szCs w:val="22"/>
          <w:lang w:val="en-IN"/>
        </w:rPr>
        <w:t>contractors,</w:t>
      </w:r>
      <w:r w:rsidRPr="1DB91298" w:rsidR="001C20E1">
        <w:rPr>
          <w:rFonts w:ascii="Arial" w:hAnsi="Arial" w:eastAsia="Arial" w:cs="Arial"/>
          <w:sz w:val="22"/>
          <w:szCs w:val="22"/>
          <w:lang w:val="en-IN"/>
        </w:rPr>
        <w:t xml:space="preserve"> and local authorities took accountability for community health. </w:t>
      </w:r>
    </w:p>
    <w:p w:rsidRPr="00E93AC2" w:rsidR="001C20E1" w:rsidP="1DB91298" w:rsidRDefault="001C20E1" w14:paraId="5574F989" w14:textId="77777777">
      <w:pPr>
        <w:pStyle w:val="Heading3"/>
        <w:spacing w:line="360" w:lineRule="auto"/>
        <w:jc w:val="left"/>
        <w:rPr>
          <w:rFonts w:ascii="Arial" w:hAnsi="Arial" w:eastAsia="Arial" w:cs="Arial"/>
          <w:sz w:val="22"/>
          <w:szCs w:val="22"/>
          <w:lang w:val="en-IN"/>
        </w:rPr>
      </w:pPr>
      <w:bookmarkStart w:name="_Toc212744336" w:id="5"/>
      <w:r w:rsidRPr="1DB91298" w:rsidR="001C20E1">
        <w:rPr>
          <w:rFonts w:ascii="Arial" w:hAnsi="Arial" w:eastAsia="Arial" w:cs="Arial"/>
          <w:sz w:val="22"/>
          <w:szCs w:val="22"/>
          <w:lang w:val="en-IN"/>
        </w:rPr>
        <w:t>Evolution and Current Structure of the NHS</w:t>
      </w:r>
      <w:bookmarkEnd w:id="5"/>
    </w:p>
    <w:p w:rsidRPr="001C20E1" w:rsidR="001C20E1" w:rsidP="1DB91298" w:rsidRDefault="001C20E1" w14:paraId="0395EDB1" w14:textId="77777777">
      <w:pPr>
        <w:spacing w:line="360" w:lineRule="auto"/>
        <w:jc w:val="left"/>
        <w:rPr>
          <w:rFonts w:ascii="Arial" w:hAnsi="Arial" w:eastAsia="Arial" w:cs="Arial"/>
          <w:sz w:val="22"/>
          <w:szCs w:val="22"/>
          <w:lang w:val="en-IN"/>
        </w:rPr>
      </w:pPr>
      <w:r w:rsidRPr="1DB91298" w:rsidR="001C20E1">
        <w:rPr>
          <w:rFonts w:ascii="Arial" w:hAnsi="Arial" w:eastAsia="Arial" w:cs="Arial"/>
          <w:sz w:val="22"/>
          <w:szCs w:val="22"/>
          <w:lang w:val="en-IN"/>
        </w:rPr>
        <w:t>In the course of time, the current structure of the NHS has evolved so as to adapt to changes in the fields of demography, technology, and economy. At present, the NHS operates as 4 independent systems, that is, NHS England, NHS Scotland, NHS Wales, and Health and Social Care Northern Ireland (Powell and Williams, 2024). </w:t>
      </w:r>
    </w:p>
    <w:p w:rsidRPr="001C20E1" w:rsidR="001C20E1" w:rsidP="1DB91298" w:rsidRDefault="001C20E1" w14:paraId="29CC4883" w14:textId="77777777">
      <w:pPr>
        <w:spacing w:line="360" w:lineRule="auto"/>
        <w:jc w:val="left"/>
        <w:rPr>
          <w:rFonts w:ascii="Arial" w:hAnsi="Arial" w:eastAsia="Arial" w:cs="Arial"/>
          <w:sz w:val="22"/>
          <w:szCs w:val="22"/>
          <w:lang w:val="en-IN"/>
        </w:rPr>
      </w:pPr>
      <w:r w:rsidRPr="1DB91298" w:rsidR="001C20E1">
        <w:rPr>
          <w:rFonts w:ascii="Arial" w:hAnsi="Arial" w:eastAsia="Arial" w:cs="Arial"/>
          <w:sz w:val="22"/>
          <w:szCs w:val="22"/>
          <w:lang w:val="en-IN"/>
        </w:rPr>
        <w:t xml:space="preserve">The systems were further reorganised by the “Health and Care Act of 2022” that </w:t>
      </w:r>
      <w:r w:rsidRPr="1DB91298" w:rsidR="001C20E1">
        <w:rPr>
          <w:rFonts w:ascii="Arial" w:hAnsi="Arial" w:eastAsia="Arial" w:cs="Arial"/>
          <w:sz w:val="22"/>
          <w:szCs w:val="22"/>
          <w:lang w:val="en-IN"/>
        </w:rPr>
        <w:t>reorganied</w:t>
      </w:r>
      <w:r w:rsidRPr="1DB91298" w:rsidR="001C20E1">
        <w:rPr>
          <w:rFonts w:ascii="Arial" w:hAnsi="Arial" w:eastAsia="Arial" w:cs="Arial"/>
          <w:sz w:val="22"/>
          <w:szCs w:val="22"/>
          <w:lang w:val="en-IN"/>
        </w:rPr>
        <w:t xml:space="preserve"> the system to promote effective collaboration and to strengthen integrity and cooperation amongst the hospital staff, general practice staff, community services and the local authorities so as to improve population health and reduced inequalities (Klein and Powell, 2025). </w:t>
      </w:r>
    </w:p>
    <w:p w:rsidRPr="00471559" w:rsidR="001C20E1" w:rsidP="1DB91298" w:rsidRDefault="001C20E1" w14:paraId="1D069FAF" w14:textId="2E22BAB4">
      <w:pPr>
        <w:spacing w:line="360" w:lineRule="auto"/>
        <w:jc w:val="left"/>
        <w:rPr>
          <w:rFonts w:ascii="Arial" w:hAnsi="Arial" w:eastAsia="Arial" w:cs="Arial"/>
          <w:b w:val="1"/>
          <w:bCs w:val="1"/>
          <w:sz w:val="22"/>
          <w:szCs w:val="22"/>
          <w:lang w:val="en-IN"/>
        </w:rPr>
      </w:pPr>
      <w:r w:rsidRPr="1DB91298" w:rsidR="001C20E1">
        <w:rPr>
          <w:rFonts w:ascii="Arial" w:hAnsi="Arial" w:eastAsia="Arial" w:cs="Arial"/>
          <w:sz w:val="22"/>
          <w:szCs w:val="22"/>
          <w:lang w:val="en-IN"/>
        </w:rPr>
        <w:t xml:space="preserve">The main function of NHS is to oversee budgeting, </w:t>
      </w:r>
      <w:r w:rsidRPr="1DB91298" w:rsidR="001C20E1">
        <w:rPr>
          <w:rFonts w:ascii="Arial" w:hAnsi="Arial" w:eastAsia="Arial" w:cs="Arial"/>
          <w:sz w:val="22"/>
          <w:szCs w:val="22"/>
          <w:lang w:val="en-IN"/>
        </w:rPr>
        <w:t>plpaning</w:t>
      </w:r>
      <w:r w:rsidRPr="1DB91298" w:rsidR="001C20E1">
        <w:rPr>
          <w:rFonts w:ascii="Arial" w:hAnsi="Arial" w:eastAsia="Arial" w:cs="Arial"/>
          <w:sz w:val="22"/>
          <w:szCs w:val="22"/>
          <w:lang w:val="en-IN"/>
        </w:rPr>
        <w:t xml:space="preserve"> and performances of the healthcare institutes and enshrine service values and </w:t>
      </w:r>
      <w:r w:rsidRPr="1DB91298" w:rsidR="001C20E1">
        <w:rPr>
          <w:rFonts w:ascii="Arial" w:hAnsi="Arial" w:eastAsia="Arial" w:cs="Arial"/>
          <w:sz w:val="22"/>
          <w:szCs w:val="22"/>
          <w:lang w:val="en-IN"/>
        </w:rPr>
        <w:t xml:space="preserve">patients’ </w:t>
      </w:r>
      <w:r w:rsidRPr="1DB91298" w:rsidR="00471559">
        <w:rPr>
          <w:rFonts w:ascii="Arial" w:hAnsi="Arial" w:eastAsia="Arial" w:cs="Arial"/>
          <w:sz w:val="22"/>
          <w:szCs w:val="22"/>
          <w:lang w:val="en-IN"/>
        </w:rPr>
        <w:t>rights</w:t>
      </w:r>
      <w:r w:rsidRPr="1DB91298" w:rsidR="001C20E1">
        <w:rPr>
          <w:rFonts w:ascii="Arial" w:hAnsi="Arial" w:eastAsia="Arial" w:cs="Arial"/>
          <w:sz w:val="22"/>
          <w:szCs w:val="22"/>
          <w:lang w:val="en-IN"/>
        </w:rPr>
        <w:t>.</w:t>
      </w:r>
      <w:r w:rsidRPr="1DB91298" w:rsidR="00471559">
        <w:rPr>
          <w:rFonts w:ascii="Arial" w:hAnsi="Arial" w:eastAsia="Arial" w:cs="Arial"/>
          <w:sz w:val="22"/>
          <w:szCs w:val="22"/>
          <w:lang w:val="en-IN"/>
        </w:rPr>
        <w:t xml:space="preserve"> However, it sometimes faces </w:t>
      </w:r>
      <w:r w:rsidRPr="1DB91298" w:rsidR="00471559">
        <w:rPr>
          <w:rFonts w:ascii="Arial" w:hAnsi="Arial" w:eastAsia="Arial" w:cs="Arial"/>
          <w:sz w:val="22"/>
          <w:szCs w:val="22"/>
          <w:lang w:val="en-IN"/>
        </w:rPr>
        <w:t xml:space="preserve">mounting challenges in terms of funding and resource pressures, shortage of staff, and so on. </w:t>
      </w:r>
    </w:p>
    <w:p w:rsidR="001C20E1" w:rsidP="1DB91298" w:rsidRDefault="00471559" w14:paraId="4DBEB29C" w14:textId="4D249339">
      <w:pPr>
        <w:pStyle w:val="Heading2"/>
        <w:spacing w:line="360" w:lineRule="auto"/>
        <w:jc w:val="left"/>
        <w:rPr>
          <w:rFonts w:ascii="Arial" w:hAnsi="Arial" w:eastAsia="Arial" w:cs="Arial"/>
          <w:sz w:val="22"/>
          <w:szCs w:val="22"/>
          <w:lang w:val="en-IN"/>
        </w:rPr>
      </w:pPr>
      <w:r w:rsidRPr="1DB91298" w:rsidR="00471559">
        <w:rPr>
          <w:rFonts w:ascii="Arial" w:hAnsi="Arial" w:eastAsia="Arial" w:cs="Arial"/>
          <w:sz w:val="22"/>
          <w:szCs w:val="22"/>
          <w:lang w:val="en-IN"/>
        </w:rPr>
        <w:t>Comparison of the structure:</w:t>
      </w:r>
    </w:p>
    <w:p w:rsidR="00471559" w:rsidP="1DB91298" w:rsidRDefault="00471559" w14:paraId="1D119721" w14:textId="2F4D65FF">
      <w:pPr>
        <w:spacing w:line="360" w:lineRule="auto"/>
        <w:jc w:val="left"/>
        <w:rPr>
          <w:rFonts w:ascii="Arial" w:hAnsi="Arial" w:eastAsia="Arial" w:cs="Arial"/>
          <w:sz w:val="22"/>
          <w:szCs w:val="22"/>
          <w:lang w:val="en-IN"/>
        </w:rPr>
      </w:pPr>
      <w:r w:rsidRPr="1DB91298" w:rsidR="00471559">
        <w:rPr>
          <w:rFonts w:ascii="Arial" w:hAnsi="Arial" w:eastAsia="Arial" w:cs="Arial"/>
          <w:b w:val="1"/>
          <w:bCs w:val="1"/>
          <w:sz w:val="22"/>
          <w:szCs w:val="22"/>
          <w:lang w:val="en-IN"/>
        </w:rPr>
        <w:t>1948 – Foundation:</w:t>
      </w:r>
      <w:r w:rsidRPr="1DB91298" w:rsidR="00471559">
        <w:rPr>
          <w:rFonts w:ascii="Arial" w:hAnsi="Arial" w:eastAsia="Arial" w:cs="Arial"/>
          <w:b w:val="1"/>
          <w:bCs w:val="1"/>
          <w:sz w:val="22"/>
          <w:szCs w:val="22"/>
          <w:lang w:val="en-IN"/>
        </w:rPr>
        <w:t xml:space="preserve"> </w:t>
      </w:r>
      <w:r w:rsidRPr="1DB91298" w:rsidR="00471559">
        <w:rPr>
          <w:rFonts w:ascii="Arial" w:hAnsi="Arial" w:eastAsia="Arial" w:cs="Arial"/>
          <w:sz w:val="22"/>
          <w:szCs w:val="22"/>
          <w:lang w:val="en-IN"/>
        </w:rPr>
        <w:t xml:space="preserve">It was universally funded via </w:t>
      </w:r>
      <w:r w:rsidRPr="1DB91298" w:rsidR="584223A4">
        <w:rPr>
          <w:rFonts w:ascii="Arial" w:hAnsi="Arial" w:eastAsia="Arial" w:cs="Arial"/>
          <w:sz w:val="22"/>
          <w:szCs w:val="22"/>
          <w:lang w:val="en-IN"/>
        </w:rPr>
        <w:t>taxation,</w:t>
      </w:r>
      <w:r w:rsidRPr="1DB91298" w:rsidR="00471559">
        <w:rPr>
          <w:rFonts w:ascii="Arial" w:hAnsi="Arial" w:eastAsia="Arial" w:cs="Arial"/>
          <w:sz w:val="22"/>
          <w:szCs w:val="22"/>
          <w:lang w:val="en-IN"/>
        </w:rPr>
        <w:t xml:space="preserve"> and the services were simple, yet revolutionary.</w:t>
      </w:r>
    </w:p>
    <w:p w:rsidR="00471559" w:rsidP="1DB91298" w:rsidRDefault="00471559" w14:paraId="3645BC2B" w14:textId="77777777">
      <w:pPr>
        <w:spacing w:line="360" w:lineRule="auto"/>
        <w:jc w:val="left"/>
        <w:rPr>
          <w:rFonts w:ascii="Arial" w:hAnsi="Arial" w:eastAsia="Arial" w:cs="Arial"/>
          <w:sz w:val="22"/>
          <w:szCs w:val="22"/>
          <w:lang w:val="en-IN"/>
        </w:rPr>
      </w:pPr>
      <w:r w:rsidRPr="1DB91298" w:rsidR="00471559">
        <w:rPr>
          <w:rFonts w:ascii="Arial" w:hAnsi="Arial" w:eastAsia="Arial" w:cs="Arial"/>
          <w:b w:val="1"/>
          <w:bCs w:val="1"/>
          <w:sz w:val="22"/>
          <w:szCs w:val="22"/>
          <w:lang w:val="en-IN"/>
        </w:rPr>
        <w:t>1960s–1980s – Expansion:</w:t>
      </w:r>
      <w:r w:rsidRPr="1DB91298" w:rsidR="00471559">
        <w:rPr>
          <w:rFonts w:ascii="Arial" w:hAnsi="Arial" w:eastAsia="Arial" w:cs="Arial"/>
          <w:b w:val="1"/>
          <w:bCs w:val="1"/>
          <w:sz w:val="22"/>
          <w:szCs w:val="22"/>
          <w:lang w:val="en-IN"/>
        </w:rPr>
        <w:t xml:space="preserve"> </w:t>
      </w:r>
      <w:r w:rsidRPr="1DB91298" w:rsidR="00471559">
        <w:rPr>
          <w:rFonts w:ascii="Arial" w:hAnsi="Arial" w:eastAsia="Arial" w:cs="Arial"/>
          <w:sz w:val="22"/>
          <w:szCs w:val="22"/>
          <w:lang w:val="en-IN"/>
        </w:rPr>
        <w:t>NHS expanded with advanced medicines, surgical instruments and regional hospitals got recognised. They focused on preventive care and considered sustainable practices.</w:t>
      </w:r>
    </w:p>
    <w:p w:rsidR="00E93AC2" w:rsidP="1DB91298" w:rsidRDefault="00471559" w14:paraId="6B711C14" w14:textId="77777777">
      <w:pPr>
        <w:spacing w:line="360" w:lineRule="auto"/>
        <w:jc w:val="left"/>
        <w:rPr>
          <w:rFonts w:ascii="Arial" w:hAnsi="Arial" w:eastAsia="Arial" w:cs="Arial"/>
          <w:sz w:val="22"/>
          <w:szCs w:val="22"/>
          <w:lang w:val="en-IN"/>
        </w:rPr>
      </w:pPr>
      <w:r w:rsidRPr="1DB91298" w:rsidR="00471559">
        <w:rPr>
          <w:rFonts w:ascii="Arial" w:hAnsi="Arial" w:eastAsia="Arial" w:cs="Arial"/>
          <w:b w:val="1"/>
          <w:bCs w:val="1"/>
          <w:sz w:val="22"/>
          <w:szCs w:val="22"/>
          <w:lang w:val="en-IN"/>
        </w:rPr>
        <w:t xml:space="preserve">1990s–2000s – </w:t>
      </w:r>
      <w:r w:rsidRPr="1DB91298" w:rsidR="00471559">
        <w:rPr>
          <w:rFonts w:ascii="Arial" w:hAnsi="Arial" w:eastAsia="Arial" w:cs="Arial"/>
          <w:b w:val="1"/>
          <w:bCs w:val="1"/>
          <w:sz w:val="22"/>
          <w:szCs w:val="22"/>
          <w:lang w:val="en-IN"/>
        </w:rPr>
        <w:t xml:space="preserve">Modernisation: </w:t>
      </w:r>
      <w:r w:rsidRPr="1DB91298" w:rsidR="00471559">
        <w:rPr>
          <w:rFonts w:ascii="Arial" w:hAnsi="Arial" w:eastAsia="Arial" w:cs="Arial"/>
          <w:sz w:val="22"/>
          <w:szCs w:val="22"/>
          <w:lang w:val="en-IN"/>
        </w:rPr>
        <w:t xml:space="preserve">The NHS formalised its internal market and </w:t>
      </w:r>
      <w:r w:rsidRPr="1DB91298" w:rsidR="00E93AC2">
        <w:rPr>
          <w:rFonts w:ascii="Arial" w:hAnsi="Arial" w:eastAsia="Arial" w:cs="Arial"/>
          <w:sz w:val="22"/>
          <w:szCs w:val="22"/>
          <w:lang w:val="en-IN"/>
        </w:rPr>
        <w:t>purchasers and providers were segregated. Investments made on innovation to reduce waiting time, enhance accessibility and care quality.</w:t>
      </w:r>
    </w:p>
    <w:p w:rsidR="00E93AC2" w:rsidP="1DB91298" w:rsidRDefault="00471559" w14:paraId="095DAC3D" w14:textId="77777777">
      <w:pPr>
        <w:spacing w:line="360" w:lineRule="auto"/>
        <w:jc w:val="left"/>
        <w:rPr>
          <w:rFonts w:ascii="Arial" w:hAnsi="Arial" w:eastAsia="Arial" w:cs="Arial"/>
          <w:sz w:val="22"/>
          <w:szCs w:val="22"/>
          <w:lang w:val="en-IN"/>
        </w:rPr>
      </w:pPr>
      <w:r w:rsidRPr="1DB91298" w:rsidR="00471559">
        <w:rPr>
          <w:rFonts w:ascii="Arial" w:hAnsi="Arial" w:eastAsia="Arial" w:cs="Arial"/>
          <w:b w:val="1"/>
          <w:bCs w:val="1"/>
          <w:sz w:val="22"/>
          <w:szCs w:val="22"/>
          <w:lang w:val="en-IN"/>
        </w:rPr>
        <w:t>2010–2020 – Austerity:</w:t>
      </w:r>
      <w:r w:rsidRPr="1DB91298" w:rsidR="00E93AC2">
        <w:rPr>
          <w:rFonts w:ascii="Arial" w:hAnsi="Arial" w:eastAsia="Arial" w:cs="Arial"/>
          <w:b w:val="1"/>
          <w:bCs w:val="1"/>
          <w:sz w:val="22"/>
          <w:szCs w:val="22"/>
          <w:lang w:val="en-IN"/>
        </w:rPr>
        <w:t xml:space="preserve"> </w:t>
      </w:r>
      <w:r w:rsidRPr="1DB91298" w:rsidR="00E93AC2">
        <w:rPr>
          <w:rFonts w:ascii="Arial" w:hAnsi="Arial" w:eastAsia="Arial" w:cs="Arial"/>
          <w:sz w:val="22"/>
          <w:szCs w:val="22"/>
          <w:lang w:val="en-IN"/>
        </w:rPr>
        <w:t>Growth slowed following the 2008 crises and “Clinical Commissioning Groups (CCG)” were introduced. The system faced challenges in terms of budget constraints, workforce shortage and ageing population.</w:t>
      </w:r>
    </w:p>
    <w:p w:rsidRPr="001C20E1" w:rsidR="00471559" w:rsidP="1DB91298" w:rsidRDefault="00471559" w14:paraId="60FFE8DF" w14:textId="10D8865D">
      <w:pPr>
        <w:spacing w:line="360" w:lineRule="auto"/>
        <w:jc w:val="left"/>
        <w:rPr>
          <w:rFonts w:ascii="Arial" w:hAnsi="Arial" w:eastAsia="Arial" w:cs="Arial"/>
          <w:sz w:val="22"/>
          <w:szCs w:val="22"/>
          <w:lang w:val="en-IN"/>
        </w:rPr>
      </w:pPr>
      <w:r w:rsidRPr="1DB91298" w:rsidR="00471559">
        <w:rPr>
          <w:rFonts w:ascii="Arial" w:hAnsi="Arial" w:eastAsia="Arial" w:cs="Arial"/>
          <w:b w:val="1"/>
          <w:bCs w:val="1"/>
          <w:sz w:val="22"/>
          <w:szCs w:val="22"/>
          <w:lang w:val="en-IN"/>
        </w:rPr>
        <w:t>2021–2025 – Digital Transformation:</w:t>
      </w:r>
      <w:r w:rsidRPr="1DB91298" w:rsidR="00E93AC2">
        <w:rPr>
          <w:rFonts w:ascii="Arial" w:hAnsi="Arial" w:eastAsia="Arial" w:cs="Arial"/>
          <w:b w:val="1"/>
          <w:bCs w:val="1"/>
          <w:sz w:val="22"/>
          <w:szCs w:val="22"/>
          <w:lang w:val="en-IN"/>
        </w:rPr>
        <w:t xml:space="preserve"> </w:t>
      </w:r>
      <w:r w:rsidRPr="1DB91298" w:rsidR="00E93AC2">
        <w:rPr>
          <w:rFonts w:ascii="Arial" w:hAnsi="Arial" w:eastAsia="Arial" w:cs="Arial"/>
          <w:sz w:val="22"/>
          <w:szCs w:val="22"/>
          <w:lang w:val="en-IN"/>
        </w:rPr>
        <w:t>Focused on Integrated Care Systems and innovated technologies like telemedicine, AI diagnosis, digital health, and so on.</w:t>
      </w:r>
    </w:p>
    <w:p w:rsidRPr="00E93AC2" w:rsidR="001C20E1" w:rsidP="1DB91298" w:rsidRDefault="001C20E1" w14:paraId="27D6ED0E" w14:textId="77777777">
      <w:pPr>
        <w:pStyle w:val="Heading3"/>
        <w:spacing w:line="360" w:lineRule="auto"/>
        <w:jc w:val="left"/>
        <w:rPr>
          <w:rFonts w:ascii="Arial" w:hAnsi="Arial" w:eastAsia="Arial" w:cs="Arial"/>
          <w:sz w:val="22"/>
          <w:szCs w:val="22"/>
          <w:lang w:val="en-IN"/>
        </w:rPr>
      </w:pPr>
      <w:bookmarkStart w:name="_Toc212744338" w:id="6"/>
      <w:r w:rsidRPr="1DB91298" w:rsidR="001C20E1">
        <w:rPr>
          <w:rFonts w:ascii="Arial" w:hAnsi="Arial" w:eastAsia="Arial" w:cs="Arial"/>
          <w:sz w:val="22"/>
          <w:szCs w:val="22"/>
          <w:lang w:val="en-IN"/>
        </w:rPr>
        <w:t>Conclusion</w:t>
      </w:r>
      <w:bookmarkEnd w:id="6"/>
    </w:p>
    <w:p w:rsidRPr="00A64D5D" w:rsidR="006C08E1" w:rsidP="1DB91298" w:rsidRDefault="001C20E1" w14:paraId="3D283989" w14:textId="57C64259">
      <w:pPr>
        <w:spacing w:line="360" w:lineRule="auto"/>
        <w:jc w:val="left"/>
        <w:rPr>
          <w:rFonts w:ascii="Arial" w:hAnsi="Arial" w:eastAsia="Arial" w:cs="Arial"/>
          <w:sz w:val="22"/>
          <w:szCs w:val="22"/>
          <w:lang w:val="en-IN"/>
        </w:rPr>
      </w:pPr>
      <w:r w:rsidRPr="1DB91298" w:rsidR="001C20E1">
        <w:rPr>
          <w:rFonts w:ascii="Arial" w:hAnsi="Arial" w:eastAsia="Arial" w:cs="Arial"/>
          <w:sz w:val="22"/>
          <w:szCs w:val="22"/>
          <w:lang w:val="en-IN"/>
        </w:rPr>
        <w:t>The NHS was established, followed by a post-war vision of “equality” and “collective responsibilities”. Its key principles are “universality”, “comprehensiveness”, and “free access”. However, the current twenty-first century demands constant evolution and reform, and hence ensuring strategic workforce development and effective funding is the main cornerstone of the NHS. </w:t>
      </w:r>
    </w:p>
    <w:p w:rsidR="00E93AC2" w:rsidP="00240340" w:rsidRDefault="00E93AC2" w14:paraId="16D22E09" w14:textId="77777777">
      <w:pPr>
        <w:spacing w:line="360" w:lineRule="auto"/>
        <w:jc w:val="both"/>
        <w:rPr>
          <w:rFonts w:ascii="Arial" w:hAnsi="Arial" w:cs="Arial" w:eastAsiaTheme="majorEastAsia"/>
          <w:b/>
          <w:sz w:val="26"/>
          <w:szCs w:val="26"/>
          <w:lang w:val="en-IN"/>
        </w:rPr>
      </w:pPr>
      <w:bookmarkStart w:name="_Toc212744339" w:id="7"/>
      <w:r>
        <w:rPr>
          <w:rFonts w:cs="Arial"/>
          <w:lang w:val="en-IN"/>
        </w:rPr>
        <w:br w:type="page"/>
      </w:r>
    </w:p>
    <w:p w:rsidRPr="00A64D5D" w:rsidR="001C20E1" w:rsidP="1DB91298" w:rsidRDefault="001C20E1" w14:paraId="6C5AD643" w14:textId="0D6C825F">
      <w:pPr>
        <w:pStyle w:val="Heading2"/>
        <w:spacing w:line="360" w:lineRule="auto"/>
        <w:jc w:val="both"/>
        <w:rPr>
          <w:rFonts w:ascii="Arial" w:hAnsi="Arial" w:eastAsia="Arial" w:cs="Arial"/>
          <w:color w:val="4472C4" w:themeColor="accent1" w:themeTint="FF" w:themeShade="FF"/>
          <w:sz w:val="28"/>
          <w:szCs w:val="28"/>
          <w:u w:val="single"/>
          <w:lang w:val="en-IN"/>
        </w:rPr>
      </w:pPr>
      <w:r w:rsidRPr="1DB91298" w:rsidR="001C20E1">
        <w:rPr>
          <w:rFonts w:ascii="Arial" w:hAnsi="Arial" w:eastAsia="Arial" w:cs="Arial"/>
          <w:color w:val="4472C4" w:themeColor="accent1" w:themeTint="FF" w:themeShade="FF"/>
          <w:sz w:val="28"/>
          <w:szCs w:val="28"/>
          <w:u w:val="single"/>
          <w:lang w:val="en-IN"/>
        </w:rPr>
        <w:t>References:</w:t>
      </w:r>
      <w:bookmarkEnd w:id="7"/>
    </w:p>
    <w:p w:rsidRPr="001C20E1" w:rsidR="001C20E1" w:rsidP="1DB91298" w:rsidRDefault="001C20E1" w14:paraId="73DAC159" w14:textId="77777777">
      <w:pPr>
        <w:spacing w:line="360" w:lineRule="auto"/>
        <w:jc w:val="both"/>
        <w:rPr>
          <w:rFonts w:ascii="Arial" w:hAnsi="Arial" w:eastAsia="Arial" w:cs="Arial"/>
          <w:sz w:val="22"/>
          <w:szCs w:val="22"/>
          <w:lang w:val="en-IN"/>
        </w:rPr>
      </w:pPr>
      <w:r w:rsidRPr="1DB91298" w:rsidR="001C20E1">
        <w:rPr>
          <w:rFonts w:ascii="Arial" w:hAnsi="Arial" w:eastAsia="Arial" w:cs="Arial"/>
          <w:sz w:val="22"/>
          <w:szCs w:val="22"/>
          <w:lang w:val="en-IN"/>
        </w:rPr>
        <w:t xml:space="preserve">Ham, C., 2024. </w:t>
      </w:r>
      <w:r w:rsidRPr="1DB91298" w:rsidR="001C20E1">
        <w:rPr>
          <w:rFonts w:ascii="Arial" w:hAnsi="Arial" w:eastAsia="Arial" w:cs="Arial"/>
          <w:i w:val="1"/>
          <w:iCs w:val="1"/>
          <w:sz w:val="22"/>
          <w:szCs w:val="22"/>
          <w:lang w:val="en-IN"/>
        </w:rPr>
        <w:t>Health policy in Britain: The politics and organization of the National Health Service</w:t>
      </w:r>
      <w:r w:rsidRPr="1DB91298" w:rsidR="001C20E1">
        <w:rPr>
          <w:rFonts w:ascii="Arial" w:hAnsi="Arial" w:eastAsia="Arial" w:cs="Arial"/>
          <w:sz w:val="22"/>
          <w:szCs w:val="22"/>
          <w:lang w:val="en-IN"/>
        </w:rPr>
        <w:t>. Routledge.</w:t>
      </w:r>
    </w:p>
    <w:p w:rsidRPr="00A64D5D" w:rsidR="001C20E1" w:rsidP="1DB91298" w:rsidRDefault="001C20E1" w14:paraId="41809D9E" w14:textId="77777777">
      <w:pPr>
        <w:spacing w:line="360" w:lineRule="auto"/>
        <w:jc w:val="both"/>
        <w:rPr>
          <w:rFonts w:ascii="Arial" w:hAnsi="Arial" w:eastAsia="Arial" w:cs="Arial"/>
          <w:sz w:val="22"/>
          <w:szCs w:val="22"/>
          <w:lang w:val="en-IN"/>
        </w:rPr>
      </w:pPr>
      <w:r w:rsidRPr="1DB91298" w:rsidR="001C20E1">
        <w:rPr>
          <w:rFonts w:ascii="Arial" w:hAnsi="Arial" w:eastAsia="Arial" w:cs="Arial"/>
          <w:sz w:val="22"/>
          <w:szCs w:val="22"/>
          <w:lang w:val="en-IN"/>
        </w:rPr>
        <w:t xml:space="preserve">Khan, Z., 2023. The emerging challenges and strengths of the National Health Services: a physician perspective. </w:t>
      </w:r>
      <w:r w:rsidRPr="1DB91298" w:rsidR="001C20E1">
        <w:rPr>
          <w:rFonts w:ascii="Arial" w:hAnsi="Arial" w:eastAsia="Arial" w:cs="Arial"/>
          <w:i w:val="1"/>
          <w:iCs w:val="1"/>
          <w:sz w:val="22"/>
          <w:szCs w:val="22"/>
          <w:lang w:val="en-IN"/>
        </w:rPr>
        <w:t>Cureus</w:t>
      </w:r>
      <w:r w:rsidRPr="1DB91298" w:rsidR="001C20E1">
        <w:rPr>
          <w:rFonts w:ascii="Arial" w:hAnsi="Arial" w:eastAsia="Arial" w:cs="Arial"/>
          <w:sz w:val="22"/>
          <w:szCs w:val="22"/>
          <w:lang w:val="en-IN"/>
        </w:rPr>
        <w:t xml:space="preserve">, </w:t>
      </w:r>
      <w:r w:rsidRPr="1DB91298" w:rsidR="001C20E1">
        <w:rPr>
          <w:rFonts w:ascii="Arial" w:hAnsi="Arial" w:eastAsia="Arial" w:cs="Arial"/>
          <w:i w:val="1"/>
          <w:iCs w:val="1"/>
          <w:sz w:val="22"/>
          <w:szCs w:val="22"/>
          <w:lang w:val="en-IN"/>
        </w:rPr>
        <w:t>15</w:t>
      </w:r>
      <w:r w:rsidRPr="1DB91298" w:rsidR="001C20E1">
        <w:rPr>
          <w:rFonts w:ascii="Arial" w:hAnsi="Arial" w:eastAsia="Arial" w:cs="Arial"/>
          <w:sz w:val="22"/>
          <w:szCs w:val="22"/>
          <w:lang w:val="en-IN"/>
        </w:rPr>
        <w:t>(5).</w:t>
      </w:r>
    </w:p>
    <w:p w:rsidRPr="00A64D5D" w:rsidR="007F598A" w:rsidP="1DB91298" w:rsidRDefault="007F598A" w14:paraId="575C4B39" w14:textId="7809F461">
      <w:pPr>
        <w:spacing w:line="360" w:lineRule="auto"/>
        <w:jc w:val="both"/>
        <w:rPr>
          <w:rFonts w:ascii="Arial" w:hAnsi="Arial" w:eastAsia="Arial" w:cs="Arial"/>
          <w:sz w:val="22"/>
          <w:szCs w:val="22"/>
          <w:lang w:val="en-IN"/>
        </w:rPr>
      </w:pPr>
      <w:r w:rsidRPr="1DB91298" w:rsidR="007F598A">
        <w:rPr>
          <w:rFonts w:ascii="Arial" w:hAnsi="Arial" w:eastAsia="Arial" w:cs="Arial"/>
          <w:sz w:val="22"/>
          <w:szCs w:val="22"/>
          <w:lang w:val="en-IN"/>
        </w:rPr>
        <w:t xml:space="preserve">Klein, R. and Powell, M., 2025. </w:t>
      </w:r>
      <w:r w:rsidRPr="1DB91298" w:rsidR="007F598A">
        <w:rPr>
          <w:rFonts w:ascii="Arial" w:hAnsi="Arial" w:eastAsia="Arial" w:cs="Arial"/>
          <w:i w:val="1"/>
          <w:iCs w:val="1"/>
          <w:sz w:val="22"/>
          <w:szCs w:val="22"/>
          <w:lang w:val="en-IN"/>
        </w:rPr>
        <w:t>The new politics of the NHS: from creation to reinvention</w:t>
      </w:r>
      <w:r w:rsidRPr="1DB91298" w:rsidR="007F598A">
        <w:rPr>
          <w:rFonts w:ascii="Arial" w:hAnsi="Arial" w:eastAsia="Arial" w:cs="Arial"/>
          <w:sz w:val="22"/>
          <w:szCs w:val="22"/>
          <w:lang w:val="en-IN"/>
        </w:rPr>
        <w:t>. CRC Press.</w:t>
      </w:r>
    </w:p>
    <w:p w:rsidRPr="001C20E1" w:rsidR="007613B3" w:rsidP="1DB91298" w:rsidRDefault="007613B3" w14:paraId="7E2B9029" w14:textId="3AB7B9A1">
      <w:pPr>
        <w:spacing w:line="360" w:lineRule="auto"/>
        <w:jc w:val="both"/>
        <w:rPr>
          <w:rFonts w:ascii="Arial" w:hAnsi="Arial" w:eastAsia="Arial" w:cs="Arial"/>
          <w:sz w:val="22"/>
          <w:szCs w:val="22"/>
          <w:lang w:val="en-IN"/>
        </w:rPr>
      </w:pPr>
      <w:r w:rsidRPr="1DB91298" w:rsidR="007613B3">
        <w:rPr>
          <w:rFonts w:ascii="Arial" w:hAnsi="Arial" w:eastAsia="Arial" w:cs="Arial"/>
          <w:sz w:val="22"/>
          <w:szCs w:val="22"/>
          <w:lang w:val="en-IN"/>
        </w:rPr>
        <w:t>Powell, M. and Williams, I., 2024. What is a ‘National</w:t>
      </w:r>
      <w:r w:rsidRPr="1DB91298" w:rsidR="00A72F71">
        <w:rPr>
          <w:rFonts w:ascii="Arial" w:hAnsi="Arial" w:eastAsia="Arial" w:cs="Arial"/>
          <w:sz w:val="22"/>
          <w:szCs w:val="22"/>
          <w:lang w:val="en-IN"/>
        </w:rPr>
        <w:t xml:space="preserve"> </w:t>
      </w:r>
      <w:r w:rsidRPr="1DB91298" w:rsidR="007613B3">
        <w:rPr>
          <w:rFonts w:ascii="Arial" w:hAnsi="Arial" w:eastAsia="Arial" w:cs="Arial"/>
          <w:sz w:val="22"/>
          <w:szCs w:val="22"/>
          <w:lang w:val="en-IN"/>
        </w:rPr>
        <w:t>Health</w:t>
      </w:r>
      <w:r w:rsidRPr="1DB91298" w:rsidR="00A72F71">
        <w:rPr>
          <w:rFonts w:ascii="Arial" w:hAnsi="Arial" w:eastAsia="Arial" w:cs="Arial"/>
          <w:sz w:val="22"/>
          <w:szCs w:val="22"/>
          <w:lang w:val="en-IN"/>
        </w:rPr>
        <w:t xml:space="preserve"> </w:t>
      </w:r>
      <w:r w:rsidRPr="1DB91298" w:rsidR="007613B3">
        <w:rPr>
          <w:rFonts w:ascii="Arial" w:hAnsi="Arial" w:eastAsia="Arial" w:cs="Arial"/>
          <w:sz w:val="22"/>
          <w:szCs w:val="22"/>
          <w:lang w:val="en-IN"/>
        </w:rPr>
        <w:t xml:space="preserve">Service’? A keyword analysis of policy documents leading to the formation of the UK NHS. </w:t>
      </w:r>
      <w:r w:rsidRPr="1DB91298" w:rsidR="007613B3">
        <w:rPr>
          <w:rFonts w:ascii="Arial" w:hAnsi="Arial" w:eastAsia="Arial" w:cs="Arial"/>
          <w:i w:val="1"/>
          <w:iCs w:val="1"/>
          <w:sz w:val="22"/>
          <w:szCs w:val="22"/>
          <w:lang w:val="en-IN"/>
        </w:rPr>
        <w:t>Health Economics, Policy and Law</w:t>
      </w:r>
      <w:r w:rsidRPr="1DB91298" w:rsidR="007613B3">
        <w:rPr>
          <w:rFonts w:ascii="Arial" w:hAnsi="Arial" w:eastAsia="Arial" w:cs="Arial"/>
          <w:sz w:val="22"/>
          <w:szCs w:val="22"/>
          <w:lang w:val="en-IN"/>
        </w:rPr>
        <w:t xml:space="preserve">, </w:t>
      </w:r>
      <w:r w:rsidRPr="1DB91298" w:rsidR="007613B3">
        <w:rPr>
          <w:rFonts w:ascii="Arial" w:hAnsi="Arial" w:eastAsia="Arial" w:cs="Arial"/>
          <w:i w:val="1"/>
          <w:iCs w:val="1"/>
          <w:sz w:val="22"/>
          <w:szCs w:val="22"/>
          <w:lang w:val="en-IN"/>
        </w:rPr>
        <w:t>19</w:t>
      </w:r>
      <w:r w:rsidRPr="1DB91298" w:rsidR="007613B3">
        <w:rPr>
          <w:rFonts w:ascii="Arial" w:hAnsi="Arial" w:eastAsia="Arial" w:cs="Arial"/>
          <w:sz w:val="22"/>
          <w:szCs w:val="22"/>
          <w:lang w:val="en-IN"/>
        </w:rPr>
        <w:t>(3), pp.323-336.</w:t>
      </w:r>
    </w:p>
    <w:p w:rsidRPr="00A64D5D" w:rsidR="007613B3" w:rsidP="00240340" w:rsidRDefault="007613B3" w14:paraId="20F1A3B3" w14:textId="065BF49D">
      <w:pPr>
        <w:spacing w:line="360" w:lineRule="auto"/>
        <w:jc w:val="both"/>
        <w:rPr>
          <w:rFonts w:ascii="Arial" w:hAnsi="Arial" w:cs="Arial"/>
          <w:sz w:val="28"/>
          <w:szCs w:val="28"/>
        </w:rPr>
        <w:sectPr w:rsidRPr="00A64D5D" w:rsidR="007613B3" w:rsidSect="005C4676">
          <w:pgSz w:w="11906" w:h="16838" w:orient="portrait"/>
          <w:pgMar w:top="1440" w:right="1440" w:bottom="1440" w:left="1440" w:header="708" w:footer="708" w:gutter="0"/>
          <w:pgNumType w:start="0"/>
          <w:cols w:space="708"/>
          <w:titlePg/>
          <w:docGrid w:linePitch="360"/>
        </w:sectPr>
      </w:pPr>
    </w:p>
    <w:p w:rsidRPr="00A64D5D" w:rsidR="00EF3E35" w:rsidP="00240340" w:rsidRDefault="00EF3E35" w14:paraId="27EBF8A3" w14:textId="77777777">
      <w:pPr>
        <w:spacing w:line="360" w:lineRule="auto"/>
        <w:jc w:val="both"/>
        <w:rPr>
          <w:rFonts w:ascii="Arial" w:hAnsi="Arial" w:cs="Arial"/>
        </w:rPr>
      </w:pPr>
    </w:p>
    <w:p w:rsidRPr="00A64D5D" w:rsidR="00EF3E35" w:rsidP="00240340" w:rsidRDefault="00EF3E35" w14:paraId="150E9E72" w14:textId="77777777">
      <w:pPr>
        <w:spacing w:line="360" w:lineRule="auto"/>
        <w:jc w:val="both"/>
        <w:rPr>
          <w:rFonts w:ascii="Arial" w:hAnsi="Arial" w:cs="Arial"/>
        </w:rPr>
      </w:pPr>
    </w:p>
    <w:p w:rsidRPr="00A64D5D" w:rsidR="00EF3E35" w:rsidP="00240340" w:rsidRDefault="00EF3E35" w14:paraId="14ED9CB8" w14:textId="77777777">
      <w:pPr>
        <w:spacing w:line="360" w:lineRule="auto"/>
        <w:jc w:val="both"/>
        <w:rPr>
          <w:rFonts w:ascii="Arial" w:hAnsi="Arial" w:cs="Arial"/>
        </w:rPr>
      </w:pPr>
    </w:p>
    <w:p w:rsidRPr="00A64D5D" w:rsidR="00EF3E35" w:rsidP="00240340" w:rsidRDefault="00EF3E35" w14:paraId="349765E8" w14:textId="77777777">
      <w:pPr>
        <w:spacing w:line="360" w:lineRule="auto"/>
        <w:jc w:val="both"/>
        <w:rPr>
          <w:rFonts w:ascii="Arial" w:hAnsi="Arial" w:cs="Arial"/>
        </w:rPr>
      </w:pPr>
    </w:p>
    <w:sectPr w:rsidRPr="00A64D5D" w:rsidR="00EF3E35" w:rsidSect="003A000F">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73635" w:rsidP="00BE6BE0" w:rsidRDefault="00473635" w14:paraId="54866800" w14:textId="77777777">
      <w:pPr>
        <w:spacing w:after="0" w:line="240" w:lineRule="auto"/>
      </w:pPr>
      <w:r>
        <w:separator/>
      </w:r>
    </w:p>
  </w:endnote>
  <w:endnote w:type="continuationSeparator" w:id="0">
    <w:p w:rsidR="00473635" w:rsidP="00BE6BE0" w:rsidRDefault="00473635" w14:paraId="0752074C"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40656170"/>
      <w:docPartObj>
        <w:docPartGallery w:val="Page Numbers (Bottom of Page)"/>
        <w:docPartUnique/>
      </w:docPartObj>
    </w:sdtPr>
    <w:sdtEndPr>
      <w:rPr>
        <w:noProof/>
      </w:rPr>
    </w:sdtEndPr>
    <w:sdtContent>
      <w:p w:rsidR="001339F6" w:rsidRDefault="001339F6" w14:paraId="6B9182DA" w14:textId="212393C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9E257B" w:rsidRDefault="009E257B" w14:paraId="4F3AE87D"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73635" w:rsidP="00BE6BE0" w:rsidRDefault="00473635" w14:paraId="3ADA5F48" w14:textId="77777777">
      <w:pPr>
        <w:spacing w:after="0" w:line="240" w:lineRule="auto"/>
      </w:pPr>
      <w:r>
        <w:separator/>
      </w:r>
    </w:p>
  </w:footnote>
  <w:footnote w:type="continuationSeparator" w:id="0">
    <w:p w:rsidR="00473635" w:rsidP="00BE6BE0" w:rsidRDefault="00473635" w14:paraId="43A6F567"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00BE6BE0" w:rsidP="00BE6BE0" w:rsidRDefault="00BE6BE0" w14:paraId="44A9FA97" w14:textId="0D213EB9">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417254"/>
    <w:multiLevelType w:val="hybridMultilevel"/>
    <w:tmpl w:val="E78C8142"/>
    <w:lvl w:ilvl="0" w:tplc="40090001">
      <w:start w:val="1"/>
      <w:numFmt w:val="bullet"/>
      <w:lvlText w:val=""/>
      <w:lvlJc w:val="left"/>
      <w:pPr>
        <w:ind w:left="1080" w:hanging="360"/>
      </w:pPr>
      <w:rPr>
        <w:rFonts w:hint="default" w:ascii="Symbol" w:hAnsi="Symbol"/>
      </w:rPr>
    </w:lvl>
    <w:lvl w:ilvl="1" w:tplc="40090003" w:tentative="1">
      <w:start w:val="1"/>
      <w:numFmt w:val="bullet"/>
      <w:lvlText w:val="o"/>
      <w:lvlJc w:val="left"/>
      <w:pPr>
        <w:ind w:left="1800" w:hanging="360"/>
      </w:pPr>
      <w:rPr>
        <w:rFonts w:hint="default" w:ascii="Courier New" w:hAnsi="Courier New" w:cs="Courier New"/>
      </w:rPr>
    </w:lvl>
    <w:lvl w:ilvl="2" w:tplc="40090005" w:tentative="1">
      <w:start w:val="1"/>
      <w:numFmt w:val="bullet"/>
      <w:lvlText w:val=""/>
      <w:lvlJc w:val="left"/>
      <w:pPr>
        <w:ind w:left="2520" w:hanging="360"/>
      </w:pPr>
      <w:rPr>
        <w:rFonts w:hint="default" w:ascii="Wingdings" w:hAnsi="Wingdings"/>
      </w:rPr>
    </w:lvl>
    <w:lvl w:ilvl="3" w:tplc="40090001" w:tentative="1">
      <w:start w:val="1"/>
      <w:numFmt w:val="bullet"/>
      <w:lvlText w:val=""/>
      <w:lvlJc w:val="left"/>
      <w:pPr>
        <w:ind w:left="3240" w:hanging="360"/>
      </w:pPr>
      <w:rPr>
        <w:rFonts w:hint="default" w:ascii="Symbol" w:hAnsi="Symbol"/>
      </w:rPr>
    </w:lvl>
    <w:lvl w:ilvl="4" w:tplc="40090003" w:tentative="1">
      <w:start w:val="1"/>
      <w:numFmt w:val="bullet"/>
      <w:lvlText w:val="o"/>
      <w:lvlJc w:val="left"/>
      <w:pPr>
        <w:ind w:left="3960" w:hanging="360"/>
      </w:pPr>
      <w:rPr>
        <w:rFonts w:hint="default" w:ascii="Courier New" w:hAnsi="Courier New" w:cs="Courier New"/>
      </w:rPr>
    </w:lvl>
    <w:lvl w:ilvl="5" w:tplc="40090005" w:tentative="1">
      <w:start w:val="1"/>
      <w:numFmt w:val="bullet"/>
      <w:lvlText w:val=""/>
      <w:lvlJc w:val="left"/>
      <w:pPr>
        <w:ind w:left="4680" w:hanging="360"/>
      </w:pPr>
      <w:rPr>
        <w:rFonts w:hint="default" w:ascii="Wingdings" w:hAnsi="Wingdings"/>
      </w:rPr>
    </w:lvl>
    <w:lvl w:ilvl="6" w:tplc="40090001" w:tentative="1">
      <w:start w:val="1"/>
      <w:numFmt w:val="bullet"/>
      <w:lvlText w:val=""/>
      <w:lvlJc w:val="left"/>
      <w:pPr>
        <w:ind w:left="5400" w:hanging="360"/>
      </w:pPr>
      <w:rPr>
        <w:rFonts w:hint="default" w:ascii="Symbol" w:hAnsi="Symbol"/>
      </w:rPr>
    </w:lvl>
    <w:lvl w:ilvl="7" w:tplc="40090003" w:tentative="1">
      <w:start w:val="1"/>
      <w:numFmt w:val="bullet"/>
      <w:lvlText w:val="o"/>
      <w:lvlJc w:val="left"/>
      <w:pPr>
        <w:ind w:left="6120" w:hanging="360"/>
      </w:pPr>
      <w:rPr>
        <w:rFonts w:hint="default" w:ascii="Courier New" w:hAnsi="Courier New" w:cs="Courier New"/>
      </w:rPr>
    </w:lvl>
    <w:lvl w:ilvl="8" w:tplc="40090005" w:tentative="1">
      <w:start w:val="1"/>
      <w:numFmt w:val="bullet"/>
      <w:lvlText w:val=""/>
      <w:lvlJc w:val="left"/>
      <w:pPr>
        <w:ind w:left="6840" w:hanging="360"/>
      </w:pPr>
      <w:rPr>
        <w:rFonts w:hint="default" w:ascii="Wingdings" w:hAnsi="Wingdings"/>
      </w:rPr>
    </w:lvl>
  </w:abstractNum>
  <w:abstractNum w:abstractNumId="1" w15:restartNumberingAfterBreak="0">
    <w:nsid w:val="5AE83D5A"/>
    <w:multiLevelType w:val="multilevel"/>
    <w:tmpl w:val="C08C6A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2055763272">
    <w:abstractNumId w:val="1"/>
  </w:num>
  <w:num w:numId="2" w16cid:durableId="20397008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57E2"/>
    <w:rsid w:val="000464A0"/>
    <w:rsid w:val="00056EB1"/>
    <w:rsid w:val="00065C08"/>
    <w:rsid w:val="000A15D7"/>
    <w:rsid w:val="000F181E"/>
    <w:rsid w:val="000F431C"/>
    <w:rsid w:val="0010015D"/>
    <w:rsid w:val="001339F6"/>
    <w:rsid w:val="00143D4A"/>
    <w:rsid w:val="001C20E1"/>
    <w:rsid w:val="002365A2"/>
    <w:rsid w:val="00240340"/>
    <w:rsid w:val="002767BF"/>
    <w:rsid w:val="003A000F"/>
    <w:rsid w:val="004175B6"/>
    <w:rsid w:val="00471559"/>
    <w:rsid w:val="00473635"/>
    <w:rsid w:val="0052753F"/>
    <w:rsid w:val="005C4676"/>
    <w:rsid w:val="00627BF5"/>
    <w:rsid w:val="00641159"/>
    <w:rsid w:val="006A6816"/>
    <w:rsid w:val="006C08E1"/>
    <w:rsid w:val="007613B3"/>
    <w:rsid w:val="00771D38"/>
    <w:rsid w:val="007F598A"/>
    <w:rsid w:val="00804A7F"/>
    <w:rsid w:val="00833470"/>
    <w:rsid w:val="00833A5B"/>
    <w:rsid w:val="008813E1"/>
    <w:rsid w:val="008C0628"/>
    <w:rsid w:val="00925D5E"/>
    <w:rsid w:val="00926C03"/>
    <w:rsid w:val="00950714"/>
    <w:rsid w:val="009B259A"/>
    <w:rsid w:val="009E257B"/>
    <w:rsid w:val="009E29E8"/>
    <w:rsid w:val="00A6165E"/>
    <w:rsid w:val="00A64D5D"/>
    <w:rsid w:val="00A72F71"/>
    <w:rsid w:val="00A82690"/>
    <w:rsid w:val="00A9547C"/>
    <w:rsid w:val="00AF6B7C"/>
    <w:rsid w:val="00B33656"/>
    <w:rsid w:val="00B642EF"/>
    <w:rsid w:val="00BD1543"/>
    <w:rsid w:val="00BE6BE0"/>
    <w:rsid w:val="00BF013D"/>
    <w:rsid w:val="00C14718"/>
    <w:rsid w:val="00C15BE5"/>
    <w:rsid w:val="00C83A82"/>
    <w:rsid w:val="00CB16B5"/>
    <w:rsid w:val="00D002B2"/>
    <w:rsid w:val="00D52C86"/>
    <w:rsid w:val="00DE7BAF"/>
    <w:rsid w:val="00E93AC2"/>
    <w:rsid w:val="00ED0D33"/>
    <w:rsid w:val="00ED65BD"/>
    <w:rsid w:val="00EF3E35"/>
    <w:rsid w:val="00F36D02"/>
    <w:rsid w:val="00F64FBC"/>
    <w:rsid w:val="00FD25E0"/>
    <w:rsid w:val="012C31AC"/>
    <w:rsid w:val="048387DF"/>
    <w:rsid w:val="05552D8E"/>
    <w:rsid w:val="0818A7CE"/>
    <w:rsid w:val="0D34D55F"/>
    <w:rsid w:val="0E8CABC8"/>
    <w:rsid w:val="16776FC1"/>
    <w:rsid w:val="19311DC8"/>
    <w:rsid w:val="1DB91298"/>
    <w:rsid w:val="22E4B8C8"/>
    <w:rsid w:val="22F63A60"/>
    <w:rsid w:val="2554B758"/>
    <w:rsid w:val="272721F8"/>
    <w:rsid w:val="27F2D39A"/>
    <w:rsid w:val="292E9E1D"/>
    <w:rsid w:val="2AD8FEAB"/>
    <w:rsid w:val="2C4C4C32"/>
    <w:rsid w:val="34E74B6C"/>
    <w:rsid w:val="379E827C"/>
    <w:rsid w:val="3D2BF097"/>
    <w:rsid w:val="403C09D2"/>
    <w:rsid w:val="40F470C0"/>
    <w:rsid w:val="44E5463E"/>
    <w:rsid w:val="4CBC8643"/>
    <w:rsid w:val="501C3AC6"/>
    <w:rsid w:val="584223A4"/>
    <w:rsid w:val="5B2D4C23"/>
    <w:rsid w:val="5BCC8C81"/>
    <w:rsid w:val="5F2ADD06"/>
    <w:rsid w:val="5F8ED063"/>
    <w:rsid w:val="66088131"/>
    <w:rsid w:val="67EBF66C"/>
    <w:rsid w:val="6E55781B"/>
    <w:rsid w:val="749E7415"/>
    <w:rsid w:val="7C44C3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A64D5D"/>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64D5D"/>
    <w:pPr>
      <w:keepNext/>
      <w:keepLines/>
      <w:spacing w:before="40" w:after="0"/>
      <w:outlineLvl w:val="1"/>
    </w:pPr>
    <w:rPr>
      <w:rFonts w:ascii="Arial" w:hAnsi="Arial" w:eastAsiaTheme="majorEastAsia" w:cstheme="majorBidi"/>
      <w:b/>
      <w:sz w:val="26"/>
      <w:szCs w:val="26"/>
    </w:rPr>
  </w:style>
  <w:style w:type="paragraph" w:styleId="Heading3">
    <w:name w:val="heading 3"/>
    <w:basedOn w:val="Normal"/>
    <w:next w:val="Normal"/>
    <w:link w:val="Heading3Char"/>
    <w:uiPriority w:val="9"/>
    <w:unhideWhenUsed/>
    <w:qFormat/>
    <w:rsid w:val="00A64D5D"/>
    <w:pPr>
      <w:keepNext/>
      <w:keepLines/>
      <w:spacing w:before="40" w:after="0"/>
      <w:outlineLvl w:val="2"/>
    </w:pPr>
    <w:rPr>
      <w:rFonts w:ascii="Arial" w:hAnsi="Arial" w:eastAsiaTheme="majorEastAsia" w:cstheme="majorBidi"/>
      <w:b/>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styleId="HeaderChar" w:customStyle="1">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styleId="FooterChar" w:customStyle="1">
    <w:name w:val="Footer Char"/>
    <w:basedOn w:val="DefaultParagraphFont"/>
    <w:link w:val="Footer"/>
    <w:uiPriority w:val="99"/>
    <w:rsid w:val="00BE6BE0"/>
  </w:style>
  <w:style w:type="paragraph" w:styleId="ListParagraph">
    <w:name w:val="List Paragraph"/>
    <w:basedOn w:val="Normal"/>
    <w:uiPriority w:val="34"/>
    <w:qFormat/>
    <w:rsid w:val="009B259A"/>
    <w:pPr>
      <w:ind w:left="720"/>
      <w:contextualSpacing/>
    </w:pPr>
  </w:style>
  <w:style w:type="character" w:styleId="Heading2Char" w:customStyle="1">
    <w:name w:val="Heading 2 Char"/>
    <w:basedOn w:val="DefaultParagraphFont"/>
    <w:link w:val="Heading2"/>
    <w:uiPriority w:val="9"/>
    <w:rsid w:val="00A64D5D"/>
    <w:rPr>
      <w:rFonts w:ascii="Arial" w:hAnsi="Arial" w:eastAsiaTheme="majorEastAsia" w:cstheme="majorBidi"/>
      <w:b/>
      <w:sz w:val="26"/>
      <w:szCs w:val="26"/>
    </w:rPr>
  </w:style>
  <w:style w:type="character" w:styleId="Heading3Char" w:customStyle="1">
    <w:name w:val="Heading 3 Char"/>
    <w:basedOn w:val="DefaultParagraphFont"/>
    <w:link w:val="Heading3"/>
    <w:uiPriority w:val="9"/>
    <w:rsid w:val="00A64D5D"/>
    <w:rPr>
      <w:rFonts w:ascii="Arial" w:hAnsi="Arial" w:eastAsiaTheme="majorEastAsia" w:cstheme="majorBidi"/>
      <w:b/>
      <w:sz w:val="24"/>
      <w:szCs w:val="24"/>
    </w:rPr>
  </w:style>
  <w:style w:type="character" w:styleId="Heading1Char" w:customStyle="1">
    <w:name w:val="Heading 1 Char"/>
    <w:basedOn w:val="DefaultParagraphFont"/>
    <w:link w:val="Heading1"/>
    <w:uiPriority w:val="9"/>
    <w:rsid w:val="00A64D5D"/>
    <w:rPr>
      <w:rFonts w:asciiTheme="majorHAnsi" w:hAnsiTheme="majorHAnsi"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A64D5D"/>
    <w:pPr>
      <w:outlineLvl w:val="9"/>
    </w:pPr>
    <w:rPr>
      <w:lang w:val="en-US" w:eastAsia="en-US"/>
    </w:rPr>
  </w:style>
  <w:style w:type="paragraph" w:styleId="TOC2">
    <w:name w:val="toc 2"/>
    <w:basedOn w:val="Normal"/>
    <w:next w:val="Normal"/>
    <w:autoRedefine/>
    <w:uiPriority w:val="39"/>
    <w:unhideWhenUsed/>
    <w:rsid w:val="00A64D5D"/>
    <w:pPr>
      <w:spacing w:after="100"/>
      <w:ind w:left="220"/>
    </w:pPr>
  </w:style>
  <w:style w:type="paragraph" w:styleId="TOC3">
    <w:name w:val="toc 3"/>
    <w:basedOn w:val="Normal"/>
    <w:next w:val="Normal"/>
    <w:autoRedefine/>
    <w:uiPriority w:val="39"/>
    <w:unhideWhenUsed/>
    <w:rsid w:val="00A64D5D"/>
    <w:pPr>
      <w:spacing w:after="100"/>
      <w:ind w:left="440"/>
    </w:pPr>
  </w:style>
  <w:style w:type="character" w:styleId="Hyperlink">
    <w:name w:val="Hyperlink"/>
    <w:basedOn w:val="DefaultParagraphFont"/>
    <w:uiPriority w:val="99"/>
    <w:unhideWhenUsed/>
    <w:rsid w:val="00A64D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fontTable" Target="fontTable.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3.jpeg"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1.xml" Id="rId11" /><Relationship Type="http://schemas.openxmlformats.org/officeDocument/2006/relationships/webSettings" Target="webSettings.xml" Id="rId5" /><Relationship Type="http://schemas.openxmlformats.org/officeDocument/2006/relationships/header" Target="header1.xml" Id="rId10" /><Relationship Type="http://schemas.openxmlformats.org/officeDocument/2006/relationships/settings" Target="settings.xml" Id="rId4" /><Relationship Type="http://schemas.openxmlformats.org/officeDocument/2006/relationships/image" Target="cid:image001.png@01D0EA4A.2BD679A0" TargetMode="External" Id="rId9" /><Relationship Type="http://schemas.openxmlformats.org/officeDocument/2006/relationships/theme" Target="theme/theme1.xml" Id="rId14" /><Relationship Type="http://schemas.openxmlformats.org/officeDocument/2006/relationships/image" Target="/media/image2.jpg" Id="rId1577001639" /></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Tarandeep Johal</dc:creator>
  <keywords/>
  <dc:description/>
  <lastModifiedBy>Souhib Alhassan (2438046)</lastModifiedBy>
  <revision>3</revision>
  <dcterms:created xsi:type="dcterms:W3CDTF">2025-11-01T06:35:00.0000000Z</dcterms:created>
  <dcterms:modified xsi:type="dcterms:W3CDTF">2025-11-16T15:49:04.5794946Z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16ebf7bb-7082-4868-8b21-bc3321972269</vt:lpwstr>
  </property>
</Properties>
</file>