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34975" w14:textId="77777777" w:rsidR="002D4FB7" w:rsidRPr="006F412D" w:rsidRDefault="002D4FB7" w:rsidP="002D4FB7">
      <w:pPr>
        <w:spacing w:after="120" w:line="360" w:lineRule="auto"/>
        <w:jc w:val="center"/>
        <w:rPr>
          <w:rFonts w:ascii="Arial" w:hAnsi="Arial" w:cs="Arial"/>
          <w:b/>
          <w:bCs/>
        </w:rPr>
      </w:pPr>
      <w:r w:rsidRPr="006F412D">
        <w:rPr>
          <w:rFonts w:ascii="Arial" w:eastAsia="Arial" w:hAnsi="Arial" w:cs="Arial"/>
          <w:b/>
          <w:bCs/>
        </w:rPr>
        <w:t>University of Wales Trinity Saint David</w:t>
      </w:r>
    </w:p>
    <w:p w14:paraId="6DF5D415" w14:textId="77777777" w:rsidR="002D4FB7" w:rsidRPr="006F412D" w:rsidRDefault="002D4FB7" w:rsidP="002D4FB7">
      <w:pPr>
        <w:spacing w:after="600" w:line="360" w:lineRule="auto"/>
        <w:jc w:val="center"/>
        <w:rPr>
          <w:rFonts w:ascii="Arial" w:hAnsi="Arial" w:cs="Arial"/>
          <w:b/>
          <w:bCs/>
        </w:rPr>
      </w:pPr>
      <w:r w:rsidRPr="006F412D">
        <w:rPr>
          <w:rFonts w:ascii="Arial" w:eastAsia="Arial" w:hAnsi="Arial" w:cs="Arial"/>
          <w:b/>
          <w:bCs/>
        </w:rPr>
        <w:t>Certificate of Higher Education Skills for the Workplace (Health and Social Care)</w:t>
      </w:r>
    </w:p>
    <w:p w14:paraId="0AD62DE2" w14:textId="77777777" w:rsidR="002D4FB7" w:rsidRPr="006F412D" w:rsidRDefault="002D4FB7" w:rsidP="002D4FB7">
      <w:pPr>
        <w:spacing w:after="120" w:line="360" w:lineRule="auto"/>
        <w:jc w:val="center"/>
        <w:rPr>
          <w:rFonts w:ascii="Arial" w:hAnsi="Arial" w:cs="Arial"/>
          <w:b/>
          <w:bCs/>
        </w:rPr>
      </w:pPr>
      <w:r w:rsidRPr="006F412D">
        <w:rPr>
          <w:rFonts w:ascii="Arial" w:eastAsia="Arial" w:hAnsi="Arial" w:cs="Arial"/>
          <w:b/>
          <w:bCs/>
        </w:rPr>
        <w:t>LCHS4003 Introduction to Health and Social Care</w:t>
      </w:r>
    </w:p>
    <w:p w14:paraId="55AADB24" w14:textId="77777777" w:rsidR="002D4FB7" w:rsidRPr="006F412D" w:rsidRDefault="002D4FB7" w:rsidP="002D4FB7">
      <w:pPr>
        <w:spacing w:after="800" w:line="360" w:lineRule="auto"/>
        <w:jc w:val="center"/>
        <w:rPr>
          <w:rFonts w:ascii="Arial" w:hAnsi="Arial" w:cs="Arial"/>
          <w:b/>
          <w:bCs/>
        </w:rPr>
      </w:pPr>
      <w:r w:rsidRPr="006F412D">
        <w:rPr>
          <w:rFonts w:ascii="Arial" w:eastAsia="Arial" w:hAnsi="Arial" w:cs="Arial"/>
          <w:b/>
          <w:bCs/>
        </w:rPr>
        <w:t>Component 1: Written Assignment (Coursework Portfolio)</w:t>
      </w:r>
    </w:p>
    <w:p w14:paraId="16A5DC15" w14:textId="77777777" w:rsidR="002D4FB7" w:rsidRPr="006F412D" w:rsidRDefault="002D4FB7" w:rsidP="002D4FB7">
      <w:pPr>
        <w:spacing w:after="120" w:line="360" w:lineRule="auto"/>
        <w:jc w:val="center"/>
        <w:rPr>
          <w:rFonts w:ascii="Arial" w:hAnsi="Arial" w:cs="Arial"/>
          <w:b/>
          <w:bCs/>
        </w:rPr>
      </w:pPr>
      <w:r w:rsidRPr="006F412D">
        <w:rPr>
          <w:rFonts w:ascii="Arial" w:eastAsia="Arial" w:hAnsi="Arial" w:cs="Arial"/>
          <w:b/>
          <w:bCs/>
        </w:rPr>
        <w:t>Student Name: Sarah Arif</w:t>
      </w:r>
    </w:p>
    <w:p w14:paraId="73F8C999" w14:textId="68183E69" w:rsidR="002D4FB7" w:rsidRPr="006F412D" w:rsidRDefault="002D4FB7" w:rsidP="002D4FB7">
      <w:pPr>
        <w:spacing w:after="120" w:line="360" w:lineRule="auto"/>
        <w:jc w:val="center"/>
        <w:rPr>
          <w:rFonts w:ascii="Arial" w:eastAsia="Arial" w:hAnsi="Arial" w:cs="Arial"/>
          <w:b/>
          <w:bCs/>
        </w:rPr>
      </w:pPr>
      <w:r w:rsidRPr="006F412D">
        <w:rPr>
          <w:rFonts w:ascii="Arial" w:eastAsia="Arial" w:hAnsi="Arial" w:cs="Arial"/>
          <w:b/>
          <w:bCs/>
        </w:rPr>
        <w:t>Student Number: 2519613</w:t>
      </w:r>
    </w:p>
    <w:p w14:paraId="051F2F18" w14:textId="77777777" w:rsidR="002D4FB7" w:rsidRPr="006F412D" w:rsidRDefault="002D4FB7" w:rsidP="002D4FB7">
      <w:pPr>
        <w:spacing w:after="120" w:line="360" w:lineRule="auto"/>
        <w:jc w:val="center"/>
        <w:rPr>
          <w:rFonts w:ascii="Arial" w:hAnsi="Arial" w:cs="Arial"/>
          <w:b/>
          <w:bCs/>
        </w:rPr>
      </w:pPr>
    </w:p>
    <w:p w14:paraId="2A5AE6B9" w14:textId="77777777" w:rsidR="002D4FB7" w:rsidRPr="006F412D" w:rsidRDefault="002D4FB7" w:rsidP="002D4FB7">
      <w:pPr>
        <w:spacing w:after="120" w:line="360" w:lineRule="auto"/>
        <w:jc w:val="center"/>
        <w:rPr>
          <w:rFonts w:ascii="Arial" w:hAnsi="Arial" w:cs="Arial"/>
          <w:b/>
          <w:bCs/>
        </w:rPr>
      </w:pPr>
      <w:r w:rsidRPr="006F412D">
        <w:rPr>
          <w:rFonts w:ascii="Arial" w:eastAsia="Arial" w:hAnsi="Arial" w:cs="Arial"/>
          <w:b/>
          <w:bCs/>
        </w:rPr>
        <w:t>Module Code and Title: LCHS4003 – Introduction to Health and Social Care</w:t>
      </w:r>
    </w:p>
    <w:p w14:paraId="7C520FA9" w14:textId="77777777" w:rsidR="002D4FB7" w:rsidRPr="006F412D" w:rsidRDefault="002D4FB7" w:rsidP="002D4FB7">
      <w:pPr>
        <w:spacing w:after="120" w:line="360" w:lineRule="auto"/>
        <w:jc w:val="center"/>
        <w:rPr>
          <w:rFonts w:ascii="Arial" w:hAnsi="Arial" w:cs="Arial"/>
          <w:b/>
          <w:bCs/>
        </w:rPr>
      </w:pPr>
      <w:r w:rsidRPr="006F412D">
        <w:rPr>
          <w:rFonts w:ascii="Arial" w:eastAsia="Arial" w:hAnsi="Arial" w:cs="Arial"/>
          <w:b/>
          <w:bCs/>
        </w:rPr>
        <w:t>Lecturer: Dr Helen Parsons (Module Lead)</w:t>
      </w:r>
    </w:p>
    <w:p w14:paraId="732FB908" w14:textId="77777777" w:rsidR="002D4FB7" w:rsidRPr="006F412D" w:rsidRDefault="002D4FB7" w:rsidP="002D4FB7">
      <w:pPr>
        <w:spacing w:after="120" w:line="360" w:lineRule="auto"/>
        <w:jc w:val="center"/>
        <w:rPr>
          <w:rFonts w:ascii="Arial" w:hAnsi="Arial" w:cs="Arial"/>
          <w:b/>
          <w:bCs/>
        </w:rPr>
      </w:pPr>
      <w:r w:rsidRPr="006F412D">
        <w:rPr>
          <w:rFonts w:ascii="Arial" w:eastAsia="Arial" w:hAnsi="Arial" w:cs="Arial"/>
          <w:b/>
          <w:bCs/>
        </w:rPr>
        <w:t>Assignment Title: Written Assignment – Guided Scenario Response and Essay</w:t>
      </w:r>
    </w:p>
    <w:p w14:paraId="5619D53D" w14:textId="77777777" w:rsidR="00176FBA" w:rsidRPr="006F412D" w:rsidRDefault="002D4FB7" w:rsidP="002D4FB7">
      <w:pPr>
        <w:spacing w:after="120" w:line="360" w:lineRule="auto"/>
        <w:jc w:val="center"/>
        <w:rPr>
          <w:rFonts w:ascii="Arial" w:eastAsia="Arial" w:hAnsi="Arial" w:cs="Arial"/>
          <w:b/>
          <w:bCs/>
        </w:rPr>
      </w:pPr>
      <w:r w:rsidRPr="006F412D">
        <w:rPr>
          <w:rFonts w:ascii="Arial" w:eastAsia="Arial" w:hAnsi="Arial" w:cs="Arial"/>
          <w:b/>
          <w:bCs/>
        </w:rPr>
        <w:t>Submission Date: 19 October 2026</w:t>
      </w:r>
    </w:p>
    <w:p w14:paraId="4F4CBD64" w14:textId="77777777" w:rsidR="00176FBA" w:rsidRPr="00887B60" w:rsidRDefault="00176FBA" w:rsidP="002D4FB7">
      <w:pPr>
        <w:spacing w:after="120" w:line="360" w:lineRule="auto"/>
        <w:jc w:val="center"/>
        <w:rPr>
          <w:rFonts w:ascii="Arial" w:eastAsia="Arial" w:hAnsi="Arial" w:cs="Arial"/>
        </w:rPr>
      </w:pPr>
    </w:p>
    <w:p w14:paraId="077D7B1A" w14:textId="0DD98C9D" w:rsidR="00176FBA" w:rsidRPr="00887B60" w:rsidRDefault="00176FBA">
      <w:pPr>
        <w:rPr>
          <w:rFonts w:ascii="Arial" w:eastAsia="Arial" w:hAnsi="Arial" w:cs="Arial"/>
        </w:rPr>
      </w:pPr>
      <w:r w:rsidRPr="00887B60">
        <w:rPr>
          <w:rFonts w:ascii="Arial" w:eastAsia="Arial" w:hAnsi="Arial" w:cs="Arial"/>
        </w:rPr>
        <w:br w:type="page"/>
      </w:r>
    </w:p>
    <w:p w14:paraId="6DF41D67" w14:textId="77777777" w:rsidR="00176FBA" w:rsidRPr="00887B60" w:rsidRDefault="00176FBA" w:rsidP="002D4FB7">
      <w:pPr>
        <w:spacing w:after="120" w:line="360" w:lineRule="auto"/>
        <w:jc w:val="center"/>
        <w:rPr>
          <w:rFonts w:ascii="Arial" w:eastAsia="Arial" w:hAnsi="Arial" w:cs="Arial"/>
        </w:rPr>
      </w:pPr>
    </w:p>
    <w:sdt>
      <w:sdtPr>
        <w:rPr>
          <w:rFonts w:ascii="Arial" w:hAnsi="Arial" w:cs="Arial"/>
          <w:color w:val="auto"/>
          <w:sz w:val="22"/>
          <w:szCs w:val="22"/>
        </w:rPr>
        <w:id w:val="1371345392"/>
        <w:docPartObj>
          <w:docPartGallery w:val="Table of Contents"/>
          <w:docPartUnique/>
        </w:docPartObj>
      </w:sdtPr>
      <w:sdtEndPr>
        <w:rPr>
          <w:rFonts w:eastAsiaTheme="minorHAnsi"/>
          <w:b/>
          <w:bCs/>
          <w:noProof/>
          <w:lang w:val="en-GB"/>
        </w:rPr>
      </w:sdtEndPr>
      <w:sdtContent>
        <w:p w14:paraId="742D997C" w14:textId="31ACA687" w:rsidR="00176FBA" w:rsidRPr="00887B60" w:rsidRDefault="00176FBA">
          <w:pPr>
            <w:pStyle w:val="TOCHeading"/>
            <w:rPr>
              <w:rFonts w:ascii="Arial" w:hAnsi="Arial" w:cs="Arial"/>
              <w:color w:val="auto"/>
              <w:sz w:val="22"/>
              <w:szCs w:val="22"/>
            </w:rPr>
          </w:pPr>
          <w:r w:rsidRPr="00887B60">
            <w:rPr>
              <w:rFonts w:ascii="Arial" w:hAnsi="Arial" w:cs="Arial"/>
              <w:color w:val="auto"/>
              <w:sz w:val="22"/>
              <w:szCs w:val="22"/>
            </w:rPr>
            <w:t>Table of Contents</w:t>
          </w:r>
        </w:p>
        <w:p w14:paraId="7E8CD53E" w14:textId="22B71CCB" w:rsidR="00887B60" w:rsidRPr="00887B60" w:rsidRDefault="00176FBA">
          <w:pPr>
            <w:pStyle w:val="TOC1"/>
            <w:tabs>
              <w:tab w:val="right" w:leader="dot" w:pos="9016"/>
            </w:tabs>
            <w:rPr>
              <w:rFonts w:eastAsiaTheme="minorEastAsia"/>
              <w:noProof/>
              <w:lang w:val="en-KE" w:eastAsia="en-KE"/>
            </w:rPr>
          </w:pPr>
          <w:r w:rsidRPr="00887B60">
            <w:rPr>
              <w:rFonts w:ascii="Arial" w:hAnsi="Arial" w:cs="Arial"/>
            </w:rPr>
            <w:fldChar w:fldCharType="begin"/>
          </w:r>
          <w:r w:rsidRPr="00887B60">
            <w:rPr>
              <w:rFonts w:ascii="Arial" w:hAnsi="Arial" w:cs="Arial"/>
            </w:rPr>
            <w:instrText xml:space="preserve"> TOC \o "1-3" \h \z \u </w:instrText>
          </w:r>
          <w:r w:rsidRPr="00887B60">
            <w:rPr>
              <w:rFonts w:ascii="Arial" w:hAnsi="Arial" w:cs="Arial"/>
            </w:rPr>
            <w:fldChar w:fldCharType="separate"/>
          </w:r>
          <w:hyperlink w:anchor="_Toc242631607" w:history="1">
            <w:r w:rsidR="00887B60" w:rsidRPr="00887B60">
              <w:rPr>
                <w:rStyle w:val="Hyperlink"/>
                <w:noProof/>
                <w:color w:val="auto"/>
              </w:rPr>
              <w:t>Task 1: Guided Scenario Response – Mini-Report</w:t>
            </w:r>
            <w:r w:rsidR="00887B60" w:rsidRPr="00887B60">
              <w:rPr>
                <w:noProof/>
                <w:webHidden/>
              </w:rPr>
              <w:tab/>
            </w:r>
            <w:r w:rsidR="00887B60" w:rsidRPr="00887B60">
              <w:rPr>
                <w:noProof/>
                <w:webHidden/>
              </w:rPr>
              <w:fldChar w:fldCharType="begin"/>
            </w:r>
            <w:r w:rsidR="00887B60" w:rsidRPr="00887B60">
              <w:rPr>
                <w:noProof/>
                <w:webHidden/>
              </w:rPr>
              <w:instrText xml:space="preserve"> PAGEREF _Toc242631607 \h </w:instrText>
            </w:r>
            <w:r w:rsidR="00887B60" w:rsidRPr="00887B60">
              <w:rPr>
                <w:noProof/>
                <w:webHidden/>
              </w:rPr>
            </w:r>
            <w:r w:rsidR="00887B60" w:rsidRPr="00887B60">
              <w:rPr>
                <w:noProof/>
                <w:webHidden/>
              </w:rPr>
              <w:fldChar w:fldCharType="separate"/>
            </w:r>
            <w:r w:rsidR="00887B60" w:rsidRPr="00887B60">
              <w:rPr>
                <w:noProof/>
                <w:webHidden/>
              </w:rPr>
              <w:t>3</w:t>
            </w:r>
            <w:r w:rsidR="00887B60" w:rsidRPr="00887B60">
              <w:rPr>
                <w:noProof/>
                <w:webHidden/>
              </w:rPr>
              <w:fldChar w:fldCharType="end"/>
            </w:r>
          </w:hyperlink>
        </w:p>
        <w:p w14:paraId="7BDDB7B6" w14:textId="5F792698" w:rsidR="00887B60" w:rsidRPr="00887B60" w:rsidRDefault="00887B60">
          <w:pPr>
            <w:pStyle w:val="TOC1"/>
            <w:tabs>
              <w:tab w:val="right" w:leader="dot" w:pos="9016"/>
            </w:tabs>
            <w:rPr>
              <w:rFonts w:eastAsiaTheme="minorEastAsia"/>
              <w:noProof/>
              <w:lang w:val="en-KE" w:eastAsia="en-KE"/>
            </w:rPr>
          </w:pPr>
          <w:hyperlink w:anchor="_Toc242631608" w:history="1">
            <w:r w:rsidRPr="00887B60">
              <w:rPr>
                <w:rStyle w:val="Hyperlink"/>
                <w:noProof/>
                <w:color w:val="auto"/>
              </w:rPr>
              <w:t>1.0 Introduction of the Issue</w:t>
            </w:r>
            <w:r w:rsidRPr="00887B60">
              <w:rPr>
                <w:noProof/>
                <w:webHidden/>
              </w:rPr>
              <w:tab/>
            </w:r>
            <w:r w:rsidRPr="00887B60">
              <w:rPr>
                <w:noProof/>
                <w:webHidden/>
              </w:rPr>
              <w:fldChar w:fldCharType="begin"/>
            </w:r>
            <w:r w:rsidRPr="00887B60">
              <w:rPr>
                <w:noProof/>
                <w:webHidden/>
              </w:rPr>
              <w:instrText xml:space="preserve"> PAGEREF _Toc242631608 \h </w:instrText>
            </w:r>
            <w:r w:rsidRPr="00887B60">
              <w:rPr>
                <w:noProof/>
                <w:webHidden/>
              </w:rPr>
            </w:r>
            <w:r w:rsidRPr="00887B60">
              <w:rPr>
                <w:noProof/>
                <w:webHidden/>
              </w:rPr>
              <w:fldChar w:fldCharType="separate"/>
            </w:r>
            <w:r w:rsidRPr="00887B60">
              <w:rPr>
                <w:noProof/>
                <w:webHidden/>
              </w:rPr>
              <w:t>3</w:t>
            </w:r>
            <w:r w:rsidRPr="00887B60">
              <w:rPr>
                <w:noProof/>
                <w:webHidden/>
              </w:rPr>
              <w:fldChar w:fldCharType="end"/>
            </w:r>
          </w:hyperlink>
        </w:p>
        <w:p w14:paraId="03DDBBA1" w14:textId="0A4040C2" w:rsidR="00887B60" w:rsidRPr="00887B60" w:rsidRDefault="00887B60">
          <w:pPr>
            <w:pStyle w:val="TOC1"/>
            <w:tabs>
              <w:tab w:val="right" w:leader="dot" w:pos="9016"/>
            </w:tabs>
            <w:rPr>
              <w:rFonts w:eastAsiaTheme="minorEastAsia"/>
              <w:noProof/>
              <w:lang w:val="en-KE" w:eastAsia="en-KE"/>
            </w:rPr>
          </w:pPr>
          <w:hyperlink w:anchor="_Toc242631609" w:history="1">
            <w:r w:rsidRPr="00887B60">
              <w:rPr>
                <w:rStyle w:val="Hyperlink"/>
                <w:noProof/>
                <w:color w:val="auto"/>
              </w:rPr>
              <w:t>2.0 Impact of the Issue on the Community</w:t>
            </w:r>
            <w:r w:rsidRPr="00887B60">
              <w:rPr>
                <w:noProof/>
                <w:webHidden/>
              </w:rPr>
              <w:tab/>
            </w:r>
            <w:r w:rsidRPr="00887B60">
              <w:rPr>
                <w:noProof/>
                <w:webHidden/>
              </w:rPr>
              <w:fldChar w:fldCharType="begin"/>
            </w:r>
            <w:r w:rsidRPr="00887B60">
              <w:rPr>
                <w:noProof/>
                <w:webHidden/>
              </w:rPr>
              <w:instrText xml:space="preserve"> PAGEREF _Toc242631609 \h </w:instrText>
            </w:r>
            <w:r w:rsidRPr="00887B60">
              <w:rPr>
                <w:noProof/>
                <w:webHidden/>
              </w:rPr>
            </w:r>
            <w:r w:rsidRPr="00887B60">
              <w:rPr>
                <w:noProof/>
                <w:webHidden/>
              </w:rPr>
              <w:fldChar w:fldCharType="separate"/>
            </w:r>
            <w:r w:rsidRPr="00887B60">
              <w:rPr>
                <w:noProof/>
                <w:webHidden/>
              </w:rPr>
              <w:t>3</w:t>
            </w:r>
            <w:r w:rsidRPr="00887B60">
              <w:rPr>
                <w:noProof/>
                <w:webHidden/>
              </w:rPr>
              <w:fldChar w:fldCharType="end"/>
            </w:r>
          </w:hyperlink>
        </w:p>
        <w:p w14:paraId="6C73C25D" w14:textId="08D4631E" w:rsidR="00887B60" w:rsidRPr="00887B60" w:rsidRDefault="00887B60">
          <w:pPr>
            <w:pStyle w:val="TOC1"/>
            <w:tabs>
              <w:tab w:val="right" w:leader="dot" w:pos="9016"/>
            </w:tabs>
            <w:rPr>
              <w:rFonts w:eastAsiaTheme="minorEastAsia"/>
              <w:noProof/>
              <w:lang w:val="en-KE" w:eastAsia="en-KE"/>
            </w:rPr>
          </w:pPr>
          <w:hyperlink w:anchor="_Toc242631610" w:history="1">
            <w:r w:rsidRPr="00887B60">
              <w:rPr>
                <w:rStyle w:val="Hyperlink"/>
                <w:noProof/>
                <w:color w:val="auto"/>
              </w:rPr>
              <w:t>3.0 Recommended Response</w:t>
            </w:r>
            <w:r w:rsidRPr="00887B60">
              <w:rPr>
                <w:noProof/>
                <w:webHidden/>
              </w:rPr>
              <w:tab/>
            </w:r>
            <w:r w:rsidRPr="00887B60">
              <w:rPr>
                <w:noProof/>
                <w:webHidden/>
              </w:rPr>
              <w:fldChar w:fldCharType="begin"/>
            </w:r>
            <w:r w:rsidRPr="00887B60">
              <w:rPr>
                <w:noProof/>
                <w:webHidden/>
              </w:rPr>
              <w:instrText xml:space="preserve"> PAGEREF _Toc242631610 \h </w:instrText>
            </w:r>
            <w:r w:rsidRPr="00887B60">
              <w:rPr>
                <w:noProof/>
                <w:webHidden/>
              </w:rPr>
            </w:r>
            <w:r w:rsidRPr="00887B60">
              <w:rPr>
                <w:noProof/>
                <w:webHidden/>
              </w:rPr>
              <w:fldChar w:fldCharType="separate"/>
            </w:r>
            <w:r w:rsidRPr="00887B60">
              <w:rPr>
                <w:noProof/>
                <w:webHidden/>
              </w:rPr>
              <w:t>4</w:t>
            </w:r>
            <w:r w:rsidRPr="00887B60">
              <w:rPr>
                <w:noProof/>
                <w:webHidden/>
              </w:rPr>
              <w:fldChar w:fldCharType="end"/>
            </w:r>
          </w:hyperlink>
        </w:p>
        <w:p w14:paraId="2FF45070" w14:textId="13C9E7AC" w:rsidR="00887B60" w:rsidRPr="00887B60" w:rsidRDefault="00887B60">
          <w:pPr>
            <w:pStyle w:val="TOC1"/>
            <w:tabs>
              <w:tab w:val="right" w:leader="dot" w:pos="9016"/>
            </w:tabs>
            <w:rPr>
              <w:rFonts w:eastAsiaTheme="minorEastAsia"/>
              <w:noProof/>
              <w:lang w:val="en-KE" w:eastAsia="en-KE"/>
            </w:rPr>
          </w:pPr>
          <w:hyperlink w:anchor="_Toc242631611" w:history="1">
            <w:r w:rsidRPr="00887B60">
              <w:rPr>
                <w:rStyle w:val="Hyperlink"/>
                <w:noProof/>
                <w:color w:val="auto"/>
              </w:rPr>
              <w:t>4.0 Conclusion</w:t>
            </w:r>
            <w:r w:rsidRPr="00887B60">
              <w:rPr>
                <w:noProof/>
                <w:webHidden/>
              </w:rPr>
              <w:tab/>
            </w:r>
            <w:r w:rsidRPr="00887B60">
              <w:rPr>
                <w:noProof/>
                <w:webHidden/>
              </w:rPr>
              <w:fldChar w:fldCharType="begin"/>
            </w:r>
            <w:r w:rsidRPr="00887B60">
              <w:rPr>
                <w:noProof/>
                <w:webHidden/>
              </w:rPr>
              <w:instrText xml:space="preserve"> PAGEREF _Toc242631611 \h </w:instrText>
            </w:r>
            <w:r w:rsidRPr="00887B60">
              <w:rPr>
                <w:noProof/>
                <w:webHidden/>
              </w:rPr>
            </w:r>
            <w:r w:rsidRPr="00887B60">
              <w:rPr>
                <w:noProof/>
                <w:webHidden/>
              </w:rPr>
              <w:fldChar w:fldCharType="separate"/>
            </w:r>
            <w:r w:rsidRPr="00887B60">
              <w:rPr>
                <w:noProof/>
                <w:webHidden/>
              </w:rPr>
              <w:t>4</w:t>
            </w:r>
            <w:r w:rsidRPr="00887B60">
              <w:rPr>
                <w:noProof/>
                <w:webHidden/>
              </w:rPr>
              <w:fldChar w:fldCharType="end"/>
            </w:r>
          </w:hyperlink>
        </w:p>
        <w:p w14:paraId="4ABEACD5" w14:textId="4483A9D0" w:rsidR="00887B60" w:rsidRPr="00887B60" w:rsidRDefault="00887B60">
          <w:pPr>
            <w:pStyle w:val="TOC1"/>
            <w:tabs>
              <w:tab w:val="right" w:leader="dot" w:pos="9016"/>
            </w:tabs>
            <w:rPr>
              <w:rFonts w:eastAsiaTheme="minorEastAsia"/>
              <w:noProof/>
              <w:lang w:val="en-KE" w:eastAsia="en-KE"/>
            </w:rPr>
          </w:pPr>
          <w:hyperlink w:anchor="_Toc242631612" w:history="1">
            <w:r w:rsidRPr="00887B60">
              <w:rPr>
                <w:rStyle w:val="Hyperlink"/>
                <w:noProof/>
                <w:color w:val="auto"/>
              </w:rPr>
              <w:t>Task 2: Essay – Community Pharmacy Services</w:t>
            </w:r>
            <w:r w:rsidRPr="00887B60">
              <w:rPr>
                <w:noProof/>
                <w:webHidden/>
              </w:rPr>
              <w:tab/>
            </w:r>
            <w:r w:rsidRPr="00887B60">
              <w:rPr>
                <w:noProof/>
                <w:webHidden/>
              </w:rPr>
              <w:fldChar w:fldCharType="begin"/>
            </w:r>
            <w:r w:rsidRPr="00887B60">
              <w:rPr>
                <w:noProof/>
                <w:webHidden/>
              </w:rPr>
              <w:instrText xml:space="preserve"> PAGEREF _Toc242631612 \h </w:instrText>
            </w:r>
            <w:r w:rsidRPr="00887B60">
              <w:rPr>
                <w:noProof/>
                <w:webHidden/>
              </w:rPr>
            </w:r>
            <w:r w:rsidRPr="00887B60">
              <w:rPr>
                <w:noProof/>
                <w:webHidden/>
              </w:rPr>
              <w:fldChar w:fldCharType="separate"/>
            </w:r>
            <w:r w:rsidRPr="00887B60">
              <w:rPr>
                <w:noProof/>
                <w:webHidden/>
              </w:rPr>
              <w:t>5</w:t>
            </w:r>
            <w:r w:rsidRPr="00887B60">
              <w:rPr>
                <w:noProof/>
                <w:webHidden/>
              </w:rPr>
              <w:fldChar w:fldCharType="end"/>
            </w:r>
          </w:hyperlink>
        </w:p>
        <w:p w14:paraId="0FF9408C" w14:textId="7F8089D7" w:rsidR="00887B60" w:rsidRPr="00887B60" w:rsidRDefault="00887B60">
          <w:pPr>
            <w:pStyle w:val="TOC1"/>
            <w:tabs>
              <w:tab w:val="right" w:leader="dot" w:pos="9016"/>
            </w:tabs>
            <w:rPr>
              <w:rFonts w:eastAsiaTheme="minorEastAsia"/>
              <w:noProof/>
              <w:lang w:val="en-KE" w:eastAsia="en-KE"/>
            </w:rPr>
          </w:pPr>
          <w:hyperlink w:anchor="_Toc242631613" w:history="1">
            <w:r w:rsidRPr="00887B60">
              <w:rPr>
                <w:rStyle w:val="Hyperlink"/>
                <w:noProof/>
                <w:color w:val="auto"/>
              </w:rPr>
              <w:t>1.0 Introduction</w:t>
            </w:r>
            <w:r w:rsidRPr="00887B60">
              <w:rPr>
                <w:noProof/>
                <w:webHidden/>
              </w:rPr>
              <w:tab/>
            </w:r>
            <w:r w:rsidRPr="00887B60">
              <w:rPr>
                <w:noProof/>
                <w:webHidden/>
              </w:rPr>
              <w:fldChar w:fldCharType="begin"/>
            </w:r>
            <w:r w:rsidRPr="00887B60">
              <w:rPr>
                <w:noProof/>
                <w:webHidden/>
              </w:rPr>
              <w:instrText xml:space="preserve"> PAGEREF _Toc242631613 \h </w:instrText>
            </w:r>
            <w:r w:rsidRPr="00887B60">
              <w:rPr>
                <w:noProof/>
                <w:webHidden/>
              </w:rPr>
            </w:r>
            <w:r w:rsidRPr="00887B60">
              <w:rPr>
                <w:noProof/>
                <w:webHidden/>
              </w:rPr>
              <w:fldChar w:fldCharType="separate"/>
            </w:r>
            <w:r w:rsidRPr="00887B60">
              <w:rPr>
                <w:noProof/>
                <w:webHidden/>
              </w:rPr>
              <w:t>5</w:t>
            </w:r>
            <w:r w:rsidRPr="00887B60">
              <w:rPr>
                <w:noProof/>
                <w:webHidden/>
              </w:rPr>
              <w:fldChar w:fldCharType="end"/>
            </w:r>
          </w:hyperlink>
        </w:p>
        <w:p w14:paraId="682DF42D" w14:textId="0C7F6E8D" w:rsidR="00887B60" w:rsidRPr="00887B60" w:rsidRDefault="00887B60">
          <w:pPr>
            <w:pStyle w:val="TOC1"/>
            <w:tabs>
              <w:tab w:val="right" w:leader="dot" w:pos="9016"/>
            </w:tabs>
            <w:rPr>
              <w:rFonts w:eastAsiaTheme="minorEastAsia"/>
              <w:noProof/>
              <w:lang w:val="en-KE" w:eastAsia="en-KE"/>
            </w:rPr>
          </w:pPr>
          <w:hyperlink w:anchor="_Toc242631614" w:history="1">
            <w:r w:rsidRPr="00887B60">
              <w:rPr>
                <w:rStyle w:val="Hyperlink"/>
                <w:noProof/>
                <w:color w:val="auto"/>
              </w:rPr>
              <w:t>2.0 Origins and Historical Context</w:t>
            </w:r>
            <w:r w:rsidRPr="00887B60">
              <w:rPr>
                <w:noProof/>
                <w:webHidden/>
              </w:rPr>
              <w:tab/>
            </w:r>
            <w:r w:rsidRPr="00887B60">
              <w:rPr>
                <w:noProof/>
                <w:webHidden/>
              </w:rPr>
              <w:fldChar w:fldCharType="begin"/>
            </w:r>
            <w:r w:rsidRPr="00887B60">
              <w:rPr>
                <w:noProof/>
                <w:webHidden/>
              </w:rPr>
              <w:instrText xml:space="preserve"> PAGEREF _Toc242631614 \h </w:instrText>
            </w:r>
            <w:r w:rsidRPr="00887B60">
              <w:rPr>
                <w:noProof/>
                <w:webHidden/>
              </w:rPr>
            </w:r>
            <w:r w:rsidRPr="00887B60">
              <w:rPr>
                <w:noProof/>
                <w:webHidden/>
              </w:rPr>
              <w:fldChar w:fldCharType="separate"/>
            </w:r>
            <w:r w:rsidRPr="00887B60">
              <w:rPr>
                <w:noProof/>
                <w:webHidden/>
              </w:rPr>
              <w:t>5</w:t>
            </w:r>
            <w:r w:rsidRPr="00887B60">
              <w:rPr>
                <w:noProof/>
                <w:webHidden/>
              </w:rPr>
              <w:fldChar w:fldCharType="end"/>
            </w:r>
          </w:hyperlink>
        </w:p>
        <w:p w14:paraId="45FD60D4" w14:textId="1BCD83A0" w:rsidR="00887B60" w:rsidRPr="00887B60" w:rsidRDefault="00887B60">
          <w:pPr>
            <w:pStyle w:val="TOC1"/>
            <w:tabs>
              <w:tab w:val="right" w:leader="dot" w:pos="9016"/>
            </w:tabs>
            <w:rPr>
              <w:rFonts w:eastAsiaTheme="minorEastAsia"/>
              <w:noProof/>
              <w:lang w:val="en-KE" w:eastAsia="en-KE"/>
            </w:rPr>
          </w:pPr>
          <w:hyperlink w:anchor="_Toc242631615" w:history="1">
            <w:r w:rsidRPr="00887B60">
              <w:rPr>
                <w:rStyle w:val="Hyperlink"/>
                <w:noProof/>
                <w:color w:val="auto"/>
              </w:rPr>
              <w:t>3.0 How the Service Functions Today</w:t>
            </w:r>
            <w:r w:rsidRPr="00887B60">
              <w:rPr>
                <w:noProof/>
                <w:webHidden/>
              </w:rPr>
              <w:tab/>
            </w:r>
            <w:r w:rsidRPr="00887B60">
              <w:rPr>
                <w:noProof/>
                <w:webHidden/>
              </w:rPr>
              <w:fldChar w:fldCharType="begin"/>
            </w:r>
            <w:r w:rsidRPr="00887B60">
              <w:rPr>
                <w:noProof/>
                <w:webHidden/>
              </w:rPr>
              <w:instrText xml:space="preserve"> PAGEREF _Toc242631615 \h </w:instrText>
            </w:r>
            <w:r w:rsidRPr="00887B60">
              <w:rPr>
                <w:noProof/>
                <w:webHidden/>
              </w:rPr>
            </w:r>
            <w:r w:rsidRPr="00887B60">
              <w:rPr>
                <w:noProof/>
                <w:webHidden/>
              </w:rPr>
              <w:fldChar w:fldCharType="separate"/>
            </w:r>
            <w:r w:rsidRPr="00887B60">
              <w:rPr>
                <w:noProof/>
                <w:webHidden/>
              </w:rPr>
              <w:t>5</w:t>
            </w:r>
            <w:r w:rsidRPr="00887B60">
              <w:rPr>
                <w:noProof/>
                <w:webHidden/>
              </w:rPr>
              <w:fldChar w:fldCharType="end"/>
            </w:r>
          </w:hyperlink>
        </w:p>
        <w:p w14:paraId="24786FDF" w14:textId="21B78CB5" w:rsidR="00887B60" w:rsidRPr="00887B60" w:rsidRDefault="00887B60">
          <w:pPr>
            <w:pStyle w:val="TOC1"/>
            <w:tabs>
              <w:tab w:val="right" w:leader="dot" w:pos="9016"/>
            </w:tabs>
            <w:rPr>
              <w:rFonts w:eastAsiaTheme="minorEastAsia"/>
              <w:noProof/>
              <w:lang w:val="en-KE" w:eastAsia="en-KE"/>
            </w:rPr>
          </w:pPr>
          <w:hyperlink w:anchor="_Toc242631616" w:history="1">
            <w:r w:rsidRPr="00887B60">
              <w:rPr>
                <w:rStyle w:val="Hyperlink"/>
                <w:noProof/>
                <w:color w:val="auto"/>
              </w:rPr>
              <w:t>4.0 Significance for Quality of Life</w:t>
            </w:r>
            <w:r w:rsidRPr="00887B60">
              <w:rPr>
                <w:noProof/>
                <w:webHidden/>
              </w:rPr>
              <w:tab/>
            </w:r>
            <w:r w:rsidRPr="00887B60">
              <w:rPr>
                <w:noProof/>
                <w:webHidden/>
              </w:rPr>
              <w:fldChar w:fldCharType="begin"/>
            </w:r>
            <w:r w:rsidRPr="00887B60">
              <w:rPr>
                <w:noProof/>
                <w:webHidden/>
              </w:rPr>
              <w:instrText xml:space="preserve"> PAGEREF _Toc242631616 \h </w:instrText>
            </w:r>
            <w:r w:rsidRPr="00887B60">
              <w:rPr>
                <w:noProof/>
                <w:webHidden/>
              </w:rPr>
            </w:r>
            <w:r w:rsidRPr="00887B60">
              <w:rPr>
                <w:noProof/>
                <w:webHidden/>
              </w:rPr>
              <w:fldChar w:fldCharType="separate"/>
            </w:r>
            <w:r w:rsidRPr="00887B60">
              <w:rPr>
                <w:noProof/>
                <w:webHidden/>
              </w:rPr>
              <w:t>6</w:t>
            </w:r>
            <w:r w:rsidRPr="00887B60">
              <w:rPr>
                <w:noProof/>
                <w:webHidden/>
              </w:rPr>
              <w:fldChar w:fldCharType="end"/>
            </w:r>
          </w:hyperlink>
        </w:p>
        <w:p w14:paraId="3B688319" w14:textId="6C7279D2" w:rsidR="00887B60" w:rsidRPr="00887B60" w:rsidRDefault="00887B60">
          <w:pPr>
            <w:pStyle w:val="TOC1"/>
            <w:tabs>
              <w:tab w:val="right" w:leader="dot" w:pos="9016"/>
            </w:tabs>
            <w:rPr>
              <w:rFonts w:eastAsiaTheme="minorEastAsia"/>
              <w:noProof/>
              <w:lang w:val="en-KE" w:eastAsia="en-KE"/>
            </w:rPr>
          </w:pPr>
          <w:hyperlink w:anchor="_Toc242631617" w:history="1">
            <w:r w:rsidRPr="00887B60">
              <w:rPr>
                <w:rStyle w:val="Hyperlink"/>
                <w:noProof/>
                <w:color w:val="auto"/>
              </w:rPr>
              <w:t>5.0 Conclusion</w:t>
            </w:r>
            <w:r w:rsidRPr="00887B60">
              <w:rPr>
                <w:noProof/>
                <w:webHidden/>
              </w:rPr>
              <w:tab/>
            </w:r>
            <w:r w:rsidRPr="00887B60">
              <w:rPr>
                <w:noProof/>
                <w:webHidden/>
              </w:rPr>
              <w:fldChar w:fldCharType="begin"/>
            </w:r>
            <w:r w:rsidRPr="00887B60">
              <w:rPr>
                <w:noProof/>
                <w:webHidden/>
              </w:rPr>
              <w:instrText xml:space="preserve"> PAGEREF _Toc242631617 \h </w:instrText>
            </w:r>
            <w:r w:rsidRPr="00887B60">
              <w:rPr>
                <w:noProof/>
                <w:webHidden/>
              </w:rPr>
            </w:r>
            <w:r w:rsidRPr="00887B60">
              <w:rPr>
                <w:noProof/>
                <w:webHidden/>
              </w:rPr>
              <w:fldChar w:fldCharType="separate"/>
            </w:r>
            <w:r w:rsidRPr="00887B60">
              <w:rPr>
                <w:noProof/>
                <w:webHidden/>
              </w:rPr>
              <w:t>6</w:t>
            </w:r>
            <w:r w:rsidRPr="00887B60">
              <w:rPr>
                <w:noProof/>
                <w:webHidden/>
              </w:rPr>
              <w:fldChar w:fldCharType="end"/>
            </w:r>
          </w:hyperlink>
        </w:p>
        <w:p w14:paraId="337A1BB1" w14:textId="57327F7B" w:rsidR="00887B60" w:rsidRPr="00887B60" w:rsidRDefault="00887B60">
          <w:pPr>
            <w:pStyle w:val="TOC1"/>
            <w:tabs>
              <w:tab w:val="right" w:leader="dot" w:pos="9016"/>
            </w:tabs>
            <w:rPr>
              <w:rFonts w:eastAsiaTheme="minorEastAsia"/>
              <w:noProof/>
              <w:lang w:val="en-KE" w:eastAsia="en-KE"/>
            </w:rPr>
          </w:pPr>
          <w:hyperlink w:anchor="_Toc242631618" w:history="1">
            <w:r w:rsidRPr="00887B60">
              <w:rPr>
                <w:rStyle w:val="Hyperlink"/>
                <w:noProof/>
                <w:color w:val="auto"/>
              </w:rPr>
              <w:t>Reference List</w:t>
            </w:r>
            <w:r w:rsidRPr="00887B60">
              <w:rPr>
                <w:noProof/>
                <w:webHidden/>
              </w:rPr>
              <w:tab/>
            </w:r>
            <w:r w:rsidRPr="00887B60">
              <w:rPr>
                <w:noProof/>
                <w:webHidden/>
              </w:rPr>
              <w:fldChar w:fldCharType="begin"/>
            </w:r>
            <w:r w:rsidRPr="00887B60">
              <w:rPr>
                <w:noProof/>
                <w:webHidden/>
              </w:rPr>
              <w:instrText xml:space="preserve"> PAGEREF _Toc242631618 \h </w:instrText>
            </w:r>
            <w:r w:rsidRPr="00887B60">
              <w:rPr>
                <w:noProof/>
                <w:webHidden/>
              </w:rPr>
            </w:r>
            <w:r w:rsidRPr="00887B60">
              <w:rPr>
                <w:noProof/>
                <w:webHidden/>
              </w:rPr>
              <w:fldChar w:fldCharType="separate"/>
            </w:r>
            <w:r w:rsidRPr="00887B60">
              <w:rPr>
                <w:noProof/>
                <w:webHidden/>
              </w:rPr>
              <w:t>7</w:t>
            </w:r>
            <w:r w:rsidRPr="00887B60">
              <w:rPr>
                <w:noProof/>
                <w:webHidden/>
              </w:rPr>
              <w:fldChar w:fldCharType="end"/>
            </w:r>
          </w:hyperlink>
        </w:p>
        <w:p w14:paraId="14661DAA" w14:textId="6E852552" w:rsidR="00176FBA" w:rsidRPr="00887B60" w:rsidRDefault="00176FBA">
          <w:pPr>
            <w:rPr>
              <w:rFonts w:ascii="Arial" w:hAnsi="Arial" w:cs="Arial"/>
            </w:rPr>
          </w:pPr>
          <w:r w:rsidRPr="00887B60">
            <w:rPr>
              <w:rFonts w:ascii="Arial" w:hAnsi="Arial" w:cs="Arial"/>
              <w:b/>
              <w:bCs/>
              <w:noProof/>
            </w:rPr>
            <w:fldChar w:fldCharType="end"/>
          </w:r>
        </w:p>
      </w:sdtContent>
    </w:sdt>
    <w:p w14:paraId="7CDE6D2C" w14:textId="4E0A9831" w:rsidR="002D4FB7" w:rsidRPr="00887B60" w:rsidRDefault="002D4FB7" w:rsidP="002D4FB7">
      <w:pPr>
        <w:spacing w:after="120" w:line="360" w:lineRule="auto"/>
        <w:jc w:val="center"/>
        <w:rPr>
          <w:rFonts w:ascii="Arial" w:hAnsi="Arial" w:cs="Arial"/>
        </w:rPr>
      </w:pPr>
      <w:r w:rsidRPr="00887B60">
        <w:rPr>
          <w:rFonts w:ascii="Arial" w:hAnsi="Arial" w:cs="Arial"/>
        </w:rPr>
        <w:br w:type="page"/>
      </w:r>
    </w:p>
    <w:p w14:paraId="6D017A37" w14:textId="77777777" w:rsidR="002D4FB7" w:rsidRPr="00887B60" w:rsidRDefault="002D4FB7" w:rsidP="002D4FB7">
      <w:pPr>
        <w:rPr>
          <w:rFonts w:ascii="Arial" w:hAnsi="Arial" w:cs="Arial"/>
        </w:rPr>
      </w:pPr>
    </w:p>
    <w:p w14:paraId="1C3B8A50" w14:textId="7C0F2B6A" w:rsidR="00D106C4" w:rsidRPr="00887B60" w:rsidRDefault="00D106C4" w:rsidP="00D106C4">
      <w:pPr>
        <w:pStyle w:val="Heading1"/>
        <w:spacing w:after="200" w:line="360" w:lineRule="auto"/>
        <w:rPr>
          <w:color w:val="auto"/>
          <w:sz w:val="22"/>
          <w:szCs w:val="22"/>
        </w:rPr>
      </w:pPr>
      <w:bookmarkStart w:id="0" w:name="_Toc242631607"/>
      <w:r w:rsidRPr="00887B60">
        <w:rPr>
          <w:color w:val="auto"/>
          <w:sz w:val="22"/>
          <w:szCs w:val="22"/>
        </w:rPr>
        <w:t>Task 1: Guided Scenario Response – Mini-Report</w:t>
      </w:r>
      <w:bookmarkEnd w:id="0"/>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00"/>
        <w:gridCol w:w="7426"/>
      </w:tblGrid>
      <w:tr w:rsidR="00887B60" w:rsidRPr="00887B60" w14:paraId="0A70BAE3" w14:textId="77777777" w:rsidTr="00317E40">
        <w:tblPrEx>
          <w:tblCellMar>
            <w:top w:w="0" w:type="dxa"/>
            <w:bottom w:w="0" w:type="dxa"/>
          </w:tblCellMar>
        </w:tblPrEx>
        <w:tc>
          <w:tcPr>
            <w:tcW w:w="1600" w:type="dxa"/>
            <w:tcBorders>
              <w:top w:val="single" w:sz="4" w:space="0" w:color="BFBFBF"/>
              <w:left w:val="single" w:sz="4" w:space="0" w:color="BFBFBF"/>
              <w:bottom w:val="single" w:sz="4" w:space="0" w:color="BFBFBF"/>
              <w:right w:val="single" w:sz="4" w:space="0" w:color="BFBFBF"/>
            </w:tcBorders>
            <w:shd w:val="clear" w:color="auto" w:fill="E8EDF5"/>
            <w:tcMar>
              <w:top w:w="60" w:type="dxa"/>
              <w:left w:w="120" w:type="dxa"/>
              <w:bottom w:w="60" w:type="dxa"/>
              <w:right w:w="120" w:type="dxa"/>
            </w:tcMar>
          </w:tcPr>
          <w:p w14:paraId="3335D6E3" w14:textId="77777777" w:rsidR="00D106C4" w:rsidRPr="00887B60" w:rsidRDefault="00D106C4" w:rsidP="00317E40">
            <w:pPr>
              <w:spacing w:line="360" w:lineRule="auto"/>
              <w:rPr>
                <w:rFonts w:ascii="Arial" w:hAnsi="Arial" w:cs="Arial"/>
              </w:rPr>
            </w:pPr>
            <w:r w:rsidRPr="00887B60">
              <w:rPr>
                <w:rFonts w:ascii="Arial" w:eastAsia="Arial" w:hAnsi="Arial" w:cs="Arial"/>
                <w:b/>
                <w:bCs/>
              </w:rPr>
              <w:t>To:</w:t>
            </w:r>
          </w:p>
        </w:tc>
        <w:tc>
          <w:tcPr>
            <w:tcW w:w="7426" w:type="dxa"/>
            <w:tcBorders>
              <w:top w:val="single" w:sz="4" w:space="0" w:color="BFBFBF"/>
              <w:left w:val="single" w:sz="4" w:space="0" w:color="BFBFBF"/>
              <w:bottom w:val="single" w:sz="4" w:space="0" w:color="BFBFBF"/>
              <w:right w:val="single" w:sz="4" w:space="0" w:color="BFBFBF"/>
            </w:tcBorders>
            <w:tcMar>
              <w:top w:w="60" w:type="dxa"/>
              <w:left w:w="120" w:type="dxa"/>
              <w:bottom w:w="60" w:type="dxa"/>
              <w:right w:w="120" w:type="dxa"/>
            </w:tcMar>
          </w:tcPr>
          <w:p w14:paraId="3381824E" w14:textId="77777777" w:rsidR="00D106C4" w:rsidRPr="00887B60" w:rsidRDefault="00D106C4" w:rsidP="00317E40">
            <w:pPr>
              <w:spacing w:line="360" w:lineRule="auto"/>
              <w:rPr>
                <w:rFonts w:ascii="Arial" w:hAnsi="Arial" w:cs="Arial"/>
              </w:rPr>
            </w:pPr>
            <w:r w:rsidRPr="00887B60">
              <w:rPr>
                <w:rFonts w:ascii="Arial" w:eastAsia="Arial" w:hAnsi="Arial" w:cs="Arial"/>
              </w:rPr>
              <w:t>Councillor Nosheen Khalid, Cabinet Member for Health and Social Care, Birmingham City Council</w:t>
            </w:r>
          </w:p>
        </w:tc>
      </w:tr>
      <w:tr w:rsidR="00887B60" w:rsidRPr="00887B60" w14:paraId="57C45F56" w14:textId="77777777" w:rsidTr="00317E40">
        <w:tblPrEx>
          <w:tblCellMar>
            <w:top w:w="0" w:type="dxa"/>
            <w:bottom w:w="0" w:type="dxa"/>
          </w:tblCellMar>
        </w:tblPrEx>
        <w:tc>
          <w:tcPr>
            <w:tcW w:w="1600" w:type="dxa"/>
            <w:tcBorders>
              <w:top w:val="single" w:sz="4" w:space="0" w:color="BFBFBF"/>
              <w:left w:val="single" w:sz="4" w:space="0" w:color="BFBFBF"/>
              <w:bottom w:val="single" w:sz="4" w:space="0" w:color="BFBFBF"/>
              <w:right w:val="single" w:sz="4" w:space="0" w:color="BFBFBF"/>
            </w:tcBorders>
            <w:shd w:val="clear" w:color="auto" w:fill="E8EDF5"/>
            <w:tcMar>
              <w:top w:w="60" w:type="dxa"/>
              <w:left w:w="120" w:type="dxa"/>
              <w:bottom w:w="60" w:type="dxa"/>
              <w:right w:w="120" w:type="dxa"/>
            </w:tcMar>
          </w:tcPr>
          <w:p w14:paraId="21BE540F" w14:textId="77777777" w:rsidR="00D106C4" w:rsidRPr="00887B60" w:rsidRDefault="00D106C4" w:rsidP="00317E40">
            <w:pPr>
              <w:spacing w:line="360" w:lineRule="auto"/>
              <w:rPr>
                <w:rFonts w:ascii="Arial" w:hAnsi="Arial" w:cs="Arial"/>
              </w:rPr>
            </w:pPr>
            <w:r w:rsidRPr="00887B60">
              <w:rPr>
                <w:rFonts w:ascii="Arial" w:eastAsia="Arial" w:hAnsi="Arial" w:cs="Arial"/>
                <w:b/>
                <w:bCs/>
              </w:rPr>
              <w:t>From:</w:t>
            </w:r>
          </w:p>
        </w:tc>
        <w:tc>
          <w:tcPr>
            <w:tcW w:w="7426" w:type="dxa"/>
            <w:tcBorders>
              <w:top w:val="single" w:sz="4" w:space="0" w:color="BFBFBF"/>
              <w:left w:val="single" w:sz="4" w:space="0" w:color="BFBFBF"/>
              <w:bottom w:val="single" w:sz="4" w:space="0" w:color="BFBFBF"/>
              <w:right w:val="single" w:sz="4" w:space="0" w:color="BFBFBF"/>
            </w:tcBorders>
            <w:tcMar>
              <w:top w:w="60" w:type="dxa"/>
              <w:left w:w="120" w:type="dxa"/>
              <w:bottom w:w="60" w:type="dxa"/>
              <w:right w:w="120" w:type="dxa"/>
            </w:tcMar>
          </w:tcPr>
          <w:p w14:paraId="470872FF" w14:textId="6969384E" w:rsidR="00887B60" w:rsidRDefault="00887B60" w:rsidP="00317E40">
            <w:pPr>
              <w:spacing w:line="360" w:lineRule="auto"/>
              <w:rPr>
                <w:rFonts w:ascii="Arial" w:eastAsia="Arial" w:hAnsi="Arial" w:cs="Arial"/>
              </w:rPr>
            </w:pPr>
            <w:r>
              <w:rPr>
                <w:rFonts w:ascii="Arial" w:eastAsia="Arial" w:hAnsi="Arial" w:cs="Arial"/>
              </w:rPr>
              <w:t xml:space="preserve">Student name: </w:t>
            </w:r>
            <w:r w:rsidR="00D106C4" w:rsidRPr="00887B60">
              <w:rPr>
                <w:rFonts w:ascii="Arial" w:eastAsia="Arial" w:hAnsi="Arial" w:cs="Arial"/>
              </w:rPr>
              <w:t xml:space="preserve">Sarah Arif </w:t>
            </w:r>
          </w:p>
          <w:p w14:paraId="1DAB82C4" w14:textId="72C573CE" w:rsidR="00D106C4" w:rsidRPr="00887B60" w:rsidRDefault="00887B60" w:rsidP="00317E40">
            <w:pPr>
              <w:spacing w:line="360" w:lineRule="auto"/>
              <w:rPr>
                <w:rFonts w:ascii="Arial" w:hAnsi="Arial" w:cs="Arial"/>
              </w:rPr>
            </w:pPr>
            <w:r>
              <w:rPr>
                <w:rFonts w:ascii="Arial" w:eastAsia="Arial" w:hAnsi="Arial" w:cs="Arial"/>
              </w:rPr>
              <w:t xml:space="preserve">Student ID: </w:t>
            </w:r>
            <w:r w:rsidR="00D106C4" w:rsidRPr="00887B60">
              <w:rPr>
                <w:rFonts w:ascii="Arial" w:eastAsia="Arial" w:hAnsi="Arial" w:cs="Arial"/>
              </w:rPr>
              <w:t>2519613</w:t>
            </w:r>
          </w:p>
        </w:tc>
      </w:tr>
      <w:tr w:rsidR="00887B60" w:rsidRPr="00887B60" w14:paraId="798EAD7C" w14:textId="77777777" w:rsidTr="00317E40">
        <w:tblPrEx>
          <w:tblCellMar>
            <w:top w:w="0" w:type="dxa"/>
            <w:bottom w:w="0" w:type="dxa"/>
          </w:tblCellMar>
        </w:tblPrEx>
        <w:tc>
          <w:tcPr>
            <w:tcW w:w="1600" w:type="dxa"/>
            <w:tcBorders>
              <w:top w:val="single" w:sz="4" w:space="0" w:color="BFBFBF"/>
              <w:left w:val="single" w:sz="4" w:space="0" w:color="BFBFBF"/>
              <w:bottom w:val="single" w:sz="4" w:space="0" w:color="BFBFBF"/>
              <w:right w:val="single" w:sz="4" w:space="0" w:color="BFBFBF"/>
            </w:tcBorders>
            <w:shd w:val="clear" w:color="auto" w:fill="E8EDF5"/>
            <w:tcMar>
              <w:top w:w="60" w:type="dxa"/>
              <w:left w:w="120" w:type="dxa"/>
              <w:bottom w:w="60" w:type="dxa"/>
              <w:right w:w="120" w:type="dxa"/>
            </w:tcMar>
          </w:tcPr>
          <w:p w14:paraId="238A40AF" w14:textId="77777777" w:rsidR="00D106C4" w:rsidRPr="00887B60" w:rsidRDefault="00D106C4" w:rsidP="00317E40">
            <w:pPr>
              <w:spacing w:line="360" w:lineRule="auto"/>
              <w:rPr>
                <w:rFonts w:ascii="Arial" w:hAnsi="Arial" w:cs="Arial"/>
              </w:rPr>
            </w:pPr>
            <w:r w:rsidRPr="00887B60">
              <w:rPr>
                <w:rFonts w:ascii="Arial" w:eastAsia="Arial" w:hAnsi="Arial" w:cs="Arial"/>
                <w:b/>
                <w:bCs/>
              </w:rPr>
              <w:t>Date:</w:t>
            </w:r>
          </w:p>
        </w:tc>
        <w:tc>
          <w:tcPr>
            <w:tcW w:w="7426" w:type="dxa"/>
            <w:tcBorders>
              <w:top w:val="single" w:sz="4" w:space="0" w:color="BFBFBF"/>
              <w:left w:val="single" w:sz="4" w:space="0" w:color="BFBFBF"/>
              <w:bottom w:val="single" w:sz="4" w:space="0" w:color="BFBFBF"/>
              <w:right w:val="single" w:sz="4" w:space="0" w:color="BFBFBF"/>
            </w:tcBorders>
            <w:tcMar>
              <w:top w:w="60" w:type="dxa"/>
              <w:left w:w="120" w:type="dxa"/>
              <w:bottom w:w="60" w:type="dxa"/>
              <w:right w:w="120" w:type="dxa"/>
            </w:tcMar>
          </w:tcPr>
          <w:p w14:paraId="09E03645" w14:textId="77777777" w:rsidR="00D106C4" w:rsidRPr="00887B60" w:rsidRDefault="00D106C4" w:rsidP="00317E40">
            <w:pPr>
              <w:spacing w:line="360" w:lineRule="auto"/>
              <w:rPr>
                <w:rFonts w:ascii="Arial" w:hAnsi="Arial" w:cs="Arial"/>
              </w:rPr>
            </w:pPr>
            <w:r w:rsidRPr="00887B60">
              <w:rPr>
                <w:rFonts w:ascii="Arial" w:eastAsia="Arial" w:hAnsi="Arial" w:cs="Arial"/>
              </w:rPr>
              <w:t>19 October 2026</w:t>
            </w:r>
          </w:p>
        </w:tc>
      </w:tr>
      <w:tr w:rsidR="00887B60" w:rsidRPr="00887B60" w14:paraId="71E0CBC5" w14:textId="77777777" w:rsidTr="00317E40">
        <w:tblPrEx>
          <w:tblCellMar>
            <w:top w:w="0" w:type="dxa"/>
            <w:bottom w:w="0" w:type="dxa"/>
          </w:tblCellMar>
        </w:tblPrEx>
        <w:tc>
          <w:tcPr>
            <w:tcW w:w="1600" w:type="dxa"/>
            <w:tcBorders>
              <w:top w:val="single" w:sz="4" w:space="0" w:color="BFBFBF"/>
              <w:left w:val="single" w:sz="4" w:space="0" w:color="BFBFBF"/>
              <w:bottom w:val="single" w:sz="4" w:space="0" w:color="BFBFBF"/>
              <w:right w:val="single" w:sz="4" w:space="0" w:color="BFBFBF"/>
            </w:tcBorders>
            <w:shd w:val="clear" w:color="auto" w:fill="E8EDF5"/>
            <w:tcMar>
              <w:top w:w="60" w:type="dxa"/>
              <w:left w:w="120" w:type="dxa"/>
              <w:bottom w:w="60" w:type="dxa"/>
              <w:right w:w="120" w:type="dxa"/>
            </w:tcMar>
          </w:tcPr>
          <w:p w14:paraId="71A265A1" w14:textId="77777777" w:rsidR="00D106C4" w:rsidRPr="00887B60" w:rsidRDefault="00D106C4" w:rsidP="00317E40">
            <w:pPr>
              <w:spacing w:line="360" w:lineRule="auto"/>
              <w:rPr>
                <w:rFonts w:ascii="Arial" w:hAnsi="Arial" w:cs="Arial"/>
              </w:rPr>
            </w:pPr>
            <w:r w:rsidRPr="00887B60">
              <w:rPr>
                <w:rFonts w:ascii="Arial" w:eastAsia="Arial" w:hAnsi="Arial" w:cs="Arial"/>
                <w:b/>
                <w:bCs/>
              </w:rPr>
              <w:t>Subject:</w:t>
            </w:r>
          </w:p>
        </w:tc>
        <w:tc>
          <w:tcPr>
            <w:tcW w:w="7426" w:type="dxa"/>
            <w:tcBorders>
              <w:top w:val="single" w:sz="4" w:space="0" w:color="BFBFBF"/>
              <w:left w:val="single" w:sz="4" w:space="0" w:color="BFBFBF"/>
              <w:bottom w:val="single" w:sz="4" w:space="0" w:color="BFBFBF"/>
              <w:right w:val="single" w:sz="4" w:space="0" w:color="BFBFBF"/>
            </w:tcBorders>
            <w:tcMar>
              <w:top w:w="60" w:type="dxa"/>
              <w:left w:w="120" w:type="dxa"/>
              <w:bottom w:w="60" w:type="dxa"/>
              <w:right w:w="120" w:type="dxa"/>
            </w:tcMar>
          </w:tcPr>
          <w:p w14:paraId="7E21CDCA" w14:textId="77777777" w:rsidR="00D106C4" w:rsidRPr="00887B60" w:rsidRDefault="00D106C4" w:rsidP="00317E40">
            <w:pPr>
              <w:spacing w:line="360" w:lineRule="auto"/>
              <w:rPr>
                <w:rFonts w:ascii="Arial" w:hAnsi="Arial" w:cs="Arial"/>
              </w:rPr>
            </w:pPr>
            <w:r w:rsidRPr="00887B60">
              <w:rPr>
                <w:rFonts w:ascii="Arial" w:eastAsia="Arial" w:hAnsi="Arial" w:cs="Arial"/>
              </w:rPr>
              <w:t>Addressing the shortage of domiciliary care in Birmingham under the Care Act 2014</w:t>
            </w:r>
          </w:p>
        </w:tc>
      </w:tr>
    </w:tbl>
    <w:p w14:paraId="73611B0D" w14:textId="77777777" w:rsidR="00D106C4" w:rsidRPr="00887B60" w:rsidRDefault="00D106C4" w:rsidP="00D106C4">
      <w:pPr>
        <w:spacing w:line="360" w:lineRule="auto"/>
        <w:jc w:val="both"/>
        <w:rPr>
          <w:rFonts w:ascii="Arial" w:hAnsi="Arial" w:cs="Arial"/>
        </w:rPr>
      </w:pPr>
    </w:p>
    <w:p w14:paraId="49980756" w14:textId="1B5DAA75" w:rsidR="00D106C4" w:rsidRPr="00887B60" w:rsidRDefault="00D106C4" w:rsidP="00D106C4">
      <w:pPr>
        <w:pStyle w:val="Heading1"/>
        <w:rPr>
          <w:color w:val="auto"/>
          <w:sz w:val="22"/>
          <w:szCs w:val="22"/>
        </w:rPr>
      </w:pPr>
      <w:bookmarkStart w:id="1" w:name="_Toc242631608"/>
      <w:r w:rsidRPr="00887B60">
        <w:rPr>
          <w:color w:val="auto"/>
          <w:sz w:val="22"/>
          <w:szCs w:val="22"/>
        </w:rPr>
        <w:t>1.0 Introduction of the Issue</w:t>
      </w:r>
      <w:bookmarkEnd w:id="1"/>
    </w:p>
    <w:p w14:paraId="685E5246" w14:textId="39681E87" w:rsidR="00D106C4" w:rsidRPr="00887B60" w:rsidRDefault="00CD724E" w:rsidP="00D106C4">
      <w:pPr>
        <w:spacing w:line="360" w:lineRule="auto"/>
        <w:jc w:val="both"/>
        <w:rPr>
          <w:rFonts w:ascii="Arial" w:hAnsi="Arial" w:cs="Arial"/>
        </w:rPr>
      </w:pPr>
      <w:r w:rsidRPr="00887B60">
        <w:rPr>
          <w:rFonts w:ascii="Arial" w:hAnsi="Arial" w:cs="Arial"/>
        </w:rPr>
        <w:t>1.1 Domiciliary care refers to care provided to adults in their own home including washing, dressing, medicine reminders and feeding. Part 1 of the Care Act 2014 puts a duty on Birmingham City Council (BCC) to ensure wellbeing (s.1), prevent, reduce or delay needs (s.2) and meet assessed needs (ss.9 and 18).</w:t>
      </w:r>
      <w:r w:rsidRPr="00887B60">
        <w:rPr>
          <w:rFonts w:ascii="Arial" w:hAnsi="Arial" w:cs="Arial"/>
        </w:rPr>
        <w:t xml:space="preserve"> </w:t>
      </w:r>
      <w:r w:rsidR="00D106C4" w:rsidRPr="00887B60">
        <w:rPr>
          <w:rFonts w:ascii="Arial" w:hAnsi="Arial" w:cs="Arial"/>
        </w:rPr>
        <w:t>In addition, the section imposes a duty on the council to create a care market that provides ‘a variety of high quality services' (s.5(1)(b)) and that there are adequate services available (s.5(3)).</w:t>
      </w:r>
    </w:p>
    <w:p w14:paraId="058724B8" w14:textId="76713621" w:rsidR="00D106C4" w:rsidRPr="00887B60" w:rsidRDefault="00D106C4" w:rsidP="00D106C4">
      <w:pPr>
        <w:spacing w:line="360" w:lineRule="auto"/>
        <w:jc w:val="both"/>
        <w:rPr>
          <w:rFonts w:ascii="Arial" w:hAnsi="Arial" w:cs="Arial"/>
        </w:rPr>
      </w:pPr>
      <w:r w:rsidRPr="00887B60">
        <w:rPr>
          <w:rFonts w:ascii="Arial" w:hAnsi="Arial" w:cs="Arial"/>
        </w:rPr>
        <w:t>1.2 BCC's Market Position Statement states there is 'sufficient capacity' in home support (Birmingham City Council, 2025, p. 3). This report claims the challenge is not about a lack of agency</w:t>
      </w:r>
      <w:r w:rsidRPr="00887B60">
        <w:rPr>
          <w:rFonts w:ascii="Arial" w:hAnsi="Arial" w:cs="Arial"/>
        </w:rPr>
        <w:t xml:space="preserve"> but about a lack of stable, deliverable hours of care in relation to increased need, and it </w:t>
      </w:r>
      <w:r w:rsidRPr="00887B60">
        <w:rPr>
          <w:rFonts w:ascii="Arial" w:hAnsi="Arial" w:cs="Arial"/>
        </w:rPr>
        <w:t>clearly puts the council's obligations under the Care Act at risk.</w:t>
      </w:r>
    </w:p>
    <w:p w14:paraId="2C985FCA" w14:textId="77777777" w:rsidR="00D106C4" w:rsidRPr="00887B60" w:rsidRDefault="00D106C4" w:rsidP="00D106C4">
      <w:pPr>
        <w:pStyle w:val="Heading1"/>
        <w:rPr>
          <w:color w:val="auto"/>
          <w:sz w:val="22"/>
          <w:szCs w:val="22"/>
        </w:rPr>
      </w:pPr>
      <w:bookmarkStart w:id="2" w:name="_Toc242631609"/>
      <w:r w:rsidRPr="00887B60">
        <w:rPr>
          <w:color w:val="auto"/>
          <w:sz w:val="22"/>
          <w:szCs w:val="22"/>
        </w:rPr>
        <w:t>2.0 Impact of the Issue on the Community</w:t>
      </w:r>
      <w:bookmarkEnd w:id="2"/>
    </w:p>
    <w:p w14:paraId="6C9FA405" w14:textId="7D424E75" w:rsidR="00D106C4" w:rsidRPr="00887B60" w:rsidRDefault="00D106C4" w:rsidP="00D106C4">
      <w:pPr>
        <w:spacing w:line="360" w:lineRule="auto"/>
        <w:jc w:val="both"/>
        <w:rPr>
          <w:rFonts w:ascii="Arial" w:hAnsi="Arial" w:cs="Arial"/>
        </w:rPr>
      </w:pPr>
      <w:r w:rsidRPr="00887B60">
        <w:rPr>
          <w:rFonts w:ascii="Arial" w:hAnsi="Arial" w:cs="Arial"/>
        </w:rPr>
        <w:t xml:space="preserve">2.1 Demand is rising as supply contracts. </w:t>
      </w:r>
      <w:r w:rsidR="00CD724E" w:rsidRPr="00887B60">
        <w:rPr>
          <w:rFonts w:ascii="Arial" w:hAnsi="Arial" w:cs="Arial"/>
        </w:rPr>
        <w:t>Birmingham is projected to have an additional 27,000 people (17.65%) aged 65 and older by 2033, while the amount of council-provided commissioned home support has fallen 30% since 2019/20 from 3.28 million hours of support to 2.29 million hours in 2024/25 (Birmingham City Council, 2025). This is partly due to a growing proportion of recipients choosing to make a switch to Direct Payments (32% to 37%).</w:t>
      </w:r>
      <w:r w:rsidR="00CD724E" w:rsidRPr="00887B60">
        <w:rPr>
          <w:rFonts w:ascii="Arial" w:hAnsi="Arial" w:cs="Arial"/>
        </w:rPr>
        <w:t xml:space="preserve"> </w:t>
      </w:r>
      <w:r w:rsidRPr="00887B60">
        <w:rPr>
          <w:rFonts w:ascii="Arial" w:hAnsi="Arial" w:cs="Arial"/>
        </w:rPr>
        <w:t xml:space="preserve">Even funded care is not sufficient: nationally, 66.5% of older </w:t>
      </w:r>
      <w:r w:rsidR="00CD724E" w:rsidRPr="00887B60">
        <w:rPr>
          <w:rFonts w:ascii="Arial" w:hAnsi="Arial" w:cs="Arial"/>
        </w:rPr>
        <w:t>people</w:t>
      </w:r>
      <w:r w:rsidRPr="00887B60">
        <w:rPr>
          <w:rFonts w:ascii="Arial" w:hAnsi="Arial" w:cs="Arial"/>
        </w:rPr>
        <w:t xml:space="preserve"> receiving publicly funded home care report </w:t>
      </w:r>
      <w:r w:rsidR="00CD724E" w:rsidRPr="00887B60">
        <w:rPr>
          <w:rFonts w:ascii="Arial" w:hAnsi="Arial" w:cs="Arial"/>
        </w:rPr>
        <w:t>unmet</w:t>
      </w:r>
      <w:r w:rsidRPr="00887B60">
        <w:rPr>
          <w:rFonts w:ascii="Arial" w:hAnsi="Arial" w:cs="Arial"/>
        </w:rPr>
        <w:t xml:space="preserve"> need (Wang et al., 2025).</w:t>
      </w:r>
    </w:p>
    <w:p w14:paraId="43643346" w14:textId="556D5C5F" w:rsidR="00D106C4" w:rsidRPr="00887B60" w:rsidRDefault="00D106C4" w:rsidP="00D106C4">
      <w:pPr>
        <w:spacing w:line="360" w:lineRule="auto"/>
        <w:jc w:val="both"/>
        <w:rPr>
          <w:rFonts w:ascii="Arial" w:hAnsi="Arial" w:cs="Arial"/>
        </w:rPr>
      </w:pPr>
      <w:r w:rsidRPr="00887B60">
        <w:rPr>
          <w:rFonts w:ascii="Arial" w:hAnsi="Arial" w:cs="Arial"/>
        </w:rPr>
        <w:t>2.2 Low staff turnover negatively affects continuity of care. There were also 9.5% vacancies and a staff turnover of 32.1% in 2023/24</w:t>
      </w:r>
      <w:r w:rsidR="00CD724E" w:rsidRPr="00887B60">
        <w:rPr>
          <w:rFonts w:ascii="Arial" w:hAnsi="Arial" w:cs="Arial"/>
        </w:rPr>
        <w:t xml:space="preserve">, </w:t>
      </w:r>
      <w:r w:rsidRPr="00887B60">
        <w:rPr>
          <w:rFonts w:ascii="Arial" w:hAnsi="Arial" w:cs="Arial"/>
        </w:rPr>
        <w:t xml:space="preserve">which translates to nearly one in three staff members </w:t>
      </w:r>
      <w:r w:rsidRPr="00887B60">
        <w:rPr>
          <w:rFonts w:ascii="Arial" w:hAnsi="Arial" w:cs="Arial"/>
        </w:rPr>
        <w:lastRenderedPageBreak/>
        <w:t>leaving annually</w:t>
      </w:r>
      <w:r w:rsidR="00CD724E" w:rsidRPr="00887B60">
        <w:rPr>
          <w:rFonts w:ascii="Arial" w:hAnsi="Arial" w:cs="Arial"/>
        </w:rPr>
        <w:t xml:space="preserve"> </w:t>
      </w:r>
      <w:r w:rsidR="00CD724E" w:rsidRPr="00887B60">
        <w:rPr>
          <w:rFonts w:ascii="Arial" w:hAnsi="Arial" w:cs="Arial"/>
        </w:rPr>
        <w:t>(Birmingham City Council, 2025)</w:t>
      </w:r>
      <w:r w:rsidRPr="00887B60">
        <w:rPr>
          <w:rFonts w:ascii="Arial" w:hAnsi="Arial" w:cs="Arial"/>
        </w:rPr>
        <w:t xml:space="preserve">. Across the country, 42% of care workers in domiciliary care are on </w:t>
      </w:r>
      <w:r w:rsidRPr="00887B60">
        <w:rPr>
          <w:rFonts w:ascii="Arial" w:hAnsi="Arial" w:cs="Arial"/>
        </w:rPr>
        <w:t>zero-hours</w:t>
      </w:r>
      <w:r w:rsidRPr="00887B60">
        <w:rPr>
          <w:rFonts w:ascii="Arial" w:hAnsi="Arial" w:cs="Arial"/>
        </w:rPr>
        <w:t xml:space="preserve"> contracts, and the number of international recruits taking on direct care positions has dropped from 105,000 to 50,000 within one year (Skills for Care, 2025). </w:t>
      </w:r>
      <w:proofErr w:type="spellStart"/>
      <w:r w:rsidRPr="00887B60">
        <w:rPr>
          <w:rFonts w:ascii="Arial" w:hAnsi="Arial" w:cs="Arial"/>
        </w:rPr>
        <w:t>Vadean</w:t>
      </w:r>
      <w:proofErr w:type="spellEnd"/>
      <w:r w:rsidRPr="00887B60">
        <w:rPr>
          <w:rFonts w:ascii="Arial" w:hAnsi="Arial" w:cs="Arial"/>
        </w:rPr>
        <w:t xml:space="preserve"> and </w:t>
      </w:r>
      <w:proofErr w:type="spellStart"/>
      <w:r w:rsidRPr="00887B60">
        <w:rPr>
          <w:rFonts w:ascii="Arial" w:hAnsi="Arial" w:cs="Arial"/>
        </w:rPr>
        <w:t>Saloniki</w:t>
      </w:r>
      <w:proofErr w:type="spellEnd"/>
      <w:r w:rsidRPr="00887B60">
        <w:rPr>
          <w:rFonts w:ascii="Arial" w:hAnsi="Arial" w:cs="Arial"/>
        </w:rPr>
        <w:t xml:space="preserve"> (2023) showed that contracts with no guaranteed hours are associated with higher rates of turnover</w:t>
      </w:r>
      <w:r w:rsidRPr="00887B60">
        <w:rPr>
          <w:rFonts w:ascii="Arial" w:hAnsi="Arial" w:cs="Arial"/>
        </w:rPr>
        <w:t>,</w:t>
      </w:r>
      <w:r w:rsidRPr="00887B60">
        <w:rPr>
          <w:rFonts w:ascii="Arial" w:hAnsi="Arial" w:cs="Arial"/>
        </w:rPr>
        <w:t xml:space="preserve"> while higher wages and full-time employment are associated with lower rates of turnover. The continuous turnover of staff for service users translates to rushed visits and lost trust</w:t>
      </w:r>
      <w:r w:rsidRPr="00887B60">
        <w:rPr>
          <w:rFonts w:ascii="Arial" w:hAnsi="Arial" w:cs="Arial"/>
        </w:rPr>
        <w:t>,</w:t>
      </w:r>
      <w:r w:rsidRPr="00887B60">
        <w:rPr>
          <w:rFonts w:ascii="Arial" w:hAnsi="Arial" w:cs="Arial"/>
        </w:rPr>
        <w:t xml:space="preserve"> undermining wellbeing under s.1.</w:t>
      </w:r>
    </w:p>
    <w:p w14:paraId="760FEE27" w14:textId="6C020CE6" w:rsidR="00D106C4" w:rsidRPr="00887B60" w:rsidRDefault="00D106C4" w:rsidP="00D106C4">
      <w:pPr>
        <w:spacing w:line="360" w:lineRule="auto"/>
        <w:jc w:val="both"/>
        <w:rPr>
          <w:rFonts w:ascii="Arial" w:hAnsi="Arial" w:cs="Arial"/>
        </w:rPr>
      </w:pPr>
      <w:r w:rsidRPr="00887B60">
        <w:rPr>
          <w:rFonts w:ascii="Arial" w:hAnsi="Arial" w:cs="Arial"/>
        </w:rPr>
        <w:t xml:space="preserve">2.3 Delays push people towards costlier care. </w:t>
      </w:r>
      <w:r w:rsidR="002D4FB7" w:rsidRPr="00887B60">
        <w:rPr>
          <w:rFonts w:ascii="Arial" w:hAnsi="Arial" w:cs="Arial"/>
        </w:rPr>
        <w:t>More than 400,000 people are awaiting assessment, care, a direct payment, or a review on a national level, and council’s overspent social care budgets by £715 million (ADASS, 2026). Whereas the statutory guidance set out by DOHS (2025a) advocates for prevention, reduction and/or delay, failure to provide prompt home care results in a greater length of hospital stay or earlier admissions to residential care.</w:t>
      </w:r>
      <w:r w:rsidR="002D4FB7" w:rsidRPr="00887B60">
        <w:rPr>
          <w:rFonts w:ascii="Arial" w:hAnsi="Arial" w:cs="Arial"/>
        </w:rPr>
        <w:t xml:space="preserve"> </w:t>
      </w:r>
      <w:r w:rsidRPr="00887B60">
        <w:rPr>
          <w:rFonts w:ascii="Arial" w:hAnsi="Arial" w:cs="Arial"/>
        </w:rPr>
        <w:t>BCC's Care Quality Commission rating in 2026 was ‘</w:t>
      </w:r>
      <w:r w:rsidR="00CD724E" w:rsidRPr="00887B60">
        <w:rPr>
          <w:rFonts w:ascii="Arial" w:hAnsi="Arial" w:cs="Arial"/>
        </w:rPr>
        <w:t>Good '</w:t>
      </w:r>
      <w:r w:rsidRPr="00887B60">
        <w:rPr>
          <w:rFonts w:ascii="Arial" w:hAnsi="Arial" w:cs="Arial"/>
        </w:rPr>
        <w:t>, although the council itself identified the issue of waiting times as a priority to improve (Birmingham City Council, 2026).</w:t>
      </w:r>
    </w:p>
    <w:p w14:paraId="5C303352" w14:textId="77777777" w:rsidR="00D106C4" w:rsidRPr="00887B60" w:rsidRDefault="00D106C4" w:rsidP="00D106C4">
      <w:pPr>
        <w:pStyle w:val="Heading1"/>
        <w:rPr>
          <w:color w:val="auto"/>
          <w:sz w:val="22"/>
          <w:szCs w:val="22"/>
        </w:rPr>
      </w:pPr>
      <w:bookmarkStart w:id="3" w:name="_Toc242631610"/>
      <w:r w:rsidRPr="00887B60">
        <w:rPr>
          <w:color w:val="auto"/>
          <w:sz w:val="22"/>
          <w:szCs w:val="22"/>
        </w:rPr>
        <w:t>3.0 Recommended Response</w:t>
      </w:r>
      <w:bookmarkEnd w:id="3"/>
    </w:p>
    <w:p w14:paraId="402DB305" w14:textId="6B18BF2F" w:rsidR="00D106C4" w:rsidRPr="00887B60" w:rsidRDefault="00D106C4" w:rsidP="00D106C4">
      <w:pPr>
        <w:spacing w:line="360" w:lineRule="auto"/>
        <w:jc w:val="both"/>
        <w:rPr>
          <w:rFonts w:ascii="Arial" w:hAnsi="Arial" w:cs="Arial"/>
        </w:rPr>
      </w:pPr>
      <w:r w:rsidRPr="00887B60">
        <w:rPr>
          <w:rFonts w:ascii="Arial" w:hAnsi="Arial" w:cs="Arial"/>
        </w:rPr>
        <w:t xml:space="preserve">3.1 Commission for workforce stability (s.5(2)(f)). Transition a proportion of contracts from zero-hours, “time-and-task” models to guaranteed-hours locality contracts (“patch”) with fee uplifts contingent on this. This is better than continuous recruitment, as guaranteed hours and pay </w:t>
      </w:r>
      <w:r w:rsidR="00CD724E" w:rsidRPr="00887B60">
        <w:rPr>
          <w:rFonts w:ascii="Arial" w:hAnsi="Arial" w:cs="Arial"/>
        </w:rPr>
        <w:t>decrease</w:t>
      </w:r>
      <w:r w:rsidRPr="00887B60">
        <w:rPr>
          <w:rFonts w:ascii="Arial" w:hAnsi="Arial" w:cs="Arial"/>
        </w:rPr>
        <w:t xml:space="preserve"> turnover (</w:t>
      </w:r>
      <w:proofErr w:type="spellStart"/>
      <w:r w:rsidRPr="00887B60">
        <w:rPr>
          <w:rFonts w:ascii="Arial" w:hAnsi="Arial" w:cs="Arial"/>
        </w:rPr>
        <w:t>Vadean</w:t>
      </w:r>
      <w:proofErr w:type="spellEnd"/>
      <w:r w:rsidRPr="00887B60">
        <w:rPr>
          <w:rFonts w:ascii="Arial" w:hAnsi="Arial" w:cs="Arial"/>
        </w:rPr>
        <w:t xml:space="preserve"> and </w:t>
      </w:r>
      <w:proofErr w:type="spellStart"/>
      <w:r w:rsidRPr="00887B60">
        <w:rPr>
          <w:rFonts w:ascii="Arial" w:hAnsi="Arial" w:cs="Arial"/>
        </w:rPr>
        <w:t>Saloniki</w:t>
      </w:r>
      <w:proofErr w:type="spellEnd"/>
      <w:r w:rsidRPr="00887B60">
        <w:rPr>
          <w:rFonts w:ascii="Arial" w:hAnsi="Arial" w:cs="Arial"/>
        </w:rPr>
        <w:t>, 2023).</w:t>
      </w:r>
    </w:p>
    <w:p w14:paraId="3439A5AD" w14:textId="77777777" w:rsidR="00D106C4" w:rsidRPr="00887B60" w:rsidRDefault="00D106C4" w:rsidP="00D106C4">
      <w:pPr>
        <w:spacing w:line="360" w:lineRule="auto"/>
        <w:jc w:val="both"/>
        <w:rPr>
          <w:rFonts w:ascii="Arial" w:hAnsi="Arial" w:cs="Arial"/>
        </w:rPr>
      </w:pPr>
      <w:r w:rsidRPr="00887B60">
        <w:rPr>
          <w:rFonts w:ascii="Arial" w:hAnsi="Arial" w:cs="Arial"/>
        </w:rPr>
        <w:t>3.2 Assess unmet need, rather than provider numbers (s.5(2)(b)). Provide residents with quarterly information on undelivered hours, waiting times and delayed discharges and make decisions about "sufficiency" based on outcomes, not agency numbers.</w:t>
      </w:r>
    </w:p>
    <w:p w14:paraId="2295B60A" w14:textId="59CC5F5C" w:rsidR="00D106C4" w:rsidRPr="00887B60" w:rsidRDefault="00D106C4" w:rsidP="00D106C4">
      <w:pPr>
        <w:spacing w:line="360" w:lineRule="auto"/>
        <w:jc w:val="both"/>
        <w:rPr>
          <w:rFonts w:ascii="Arial" w:hAnsi="Arial" w:cs="Arial"/>
        </w:rPr>
      </w:pPr>
      <w:r w:rsidRPr="00887B60">
        <w:rPr>
          <w:rFonts w:ascii="Arial" w:hAnsi="Arial" w:cs="Arial"/>
        </w:rPr>
        <w:t xml:space="preserve">3.3 Invest in prevention and reablement (s.2). Continue to expand reablement and </w:t>
      </w:r>
      <w:r w:rsidR="00CD724E" w:rsidRPr="00887B60">
        <w:rPr>
          <w:rFonts w:ascii="Arial" w:hAnsi="Arial" w:cs="Arial"/>
        </w:rPr>
        <w:t>technology-enabled</w:t>
      </w:r>
      <w:r w:rsidRPr="00887B60">
        <w:rPr>
          <w:rFonts w:ascii="Arial" w:hAnsi="Arial" w:cs="Arial"/>
        </w:rPr>
        <w:t xml:space="preserve"> care, which BCC is already considering (Birmingham City Council, 2025), to ensure that people become more independent and that long-term hours are spent on the greatest need.</w:t>
      </w:r>
    </w:p>
    <w:p w14:paraId="02504948" w14:textId="77777777" w:rsidR="002D4FB7" w:rsidRPr="00887B60" w:rsidRDefault="002D4FB7" w:rsidP="00D106C4">
      <w:pPr>
        <w:spacing w:line="360" w:lineRule="auto"/>
        <w:jc w:val="both"/>
        <w:rPr>
          <w:rFonts w:ascii="Arial" w:hAnsi="Arial" w:cs="Arial"/>
        </w:rPr>
      </w:pPr>
      <w:r w:rsidRPr="00887B60">
        <w:rPr>
          <w:rFonts w:ascii="Arial" w:hAnsi="Arial" w:cs="Arial"/>
        </w:rPr>
        <w:t>3.4 Strengthen partnership working. Co-produce local recruitment pathway with Birmingham and Solihull Integrated Care Board, colleges and providers, including Care Certificate route for local people.</w:t>
      </w:r>
    </w:p>
    <w:p w14:paraId="08419C78" w14:textId="6D9EDB4F" w:rsidR="00D106C4" w:rsidRPr="00887B60" w:rsidRDefault="00D106C4" w:rsidP="00D106C4">
      <w:pPr>
        <w:spacing w:line="360" w:lineRule="auto"/>
        <w:jc w:val="both"/>
        <w:rPr>
          <w:rFonts w:ascii="Arial" w:hAnsi="Arial" w:cs="Arial"/>
        </w:rPr>
      </w:pPr>
      <w:r w:rsidRPr="00887B60">
        <w:rPr>
          <w:rFonts w:ascii="Arial" w:hAnsi="Arial" w:cs="Arial"/>
        </w:rPr>
        <w:t xml:space="preserve">3.5 Implementation and alternatives. The ICB should be at the forefront of the Adult Social Care Directorate, trialling in the wards with the largest waiting times from April 2027 and assessing the results after 12 months based on turnover, undelivered hours and discharge delays. The </w:t>
      </w:r>
      <w:r w:rsidR="00CD724E" w:rsidRPr="00887B60">
        <w:rPr>
          <w:rFonts w:ascii="Arial" w:hAnsi="Arial" w:cs="Arial"/>
        </w:rPr>
        <w:t>across-the-board</w:t>
      </w:r>
      <w:r w:rsidRPr="00887B60">
        <w:rPr>
          <w:rFonts w:ascii="Arial" w:hAnsi="Arial" w:cs="Arial"/>
        </w:rPr>
        <w:t xml:space="preserve"> fee rise was rejected as unaffordable and untargeted, while overseas recruitment is no longer viable, with arrivals now halved (Skills for Care, 2025).</w:t>
      </w:r>
    </w:p>
    <w:p w14:paraId="581C6D93" w14:textId="77777777" w:rsidR="00D106C4" w:rsidRPr="00887B60" w:rsidRDefault="00D106C4" w:rsidP="00D106C4">
      <w:pPr>
        <w:pStyle w:val="Heading1"/>
        <w:rPr>
          <w:color w:val="auto"/>
          <w:sz w:val="22"/>
          <w:szCs w:val="22"/>
        </w:rPr>
      </w:pPr>
      <w:bookmarkStart w:id="4" w:name="_Toc242631611"/>
      <w:r w:rsidRPr="00887B60">
        <w:rPr>
          <w:color w:val="auto"/>
          <w:sz w:val="22"/>
          <w:szCs w:val="22"/>
        </w:rPr>
        <w:lastRenderedPageBreak/>
        <w:t>4.0 Conclusion</w:t>
      </w:r>
      <w:bookmarkEnd w:id="4"/>
    </w:p>
    <w:p w14:paraId="6266F492" w14:textId="76AD9DF1" w:rsidR="00CD724E" w:rsidRPr="00887B60" w:rsidRDefault="00D106C4" w:rsidP="00D106C4">
      <w:pPr>
        <w:spacing w:line="360" w:lineRule="auto"/>
        <w:jc w:val="both"/>
        <w:rPr>
          <w:rFonts w:ascii="Arial" w:hAnsi="Arial" w:cs="Arial"/>
        </w:rPr>
      </w:pPr>
      <w:r w:rsidRPr="00887B60">
        <w:rPr>
          <w:rFonts w:ascii="Arial" w:hAnsi="Arial" w:cs="Arial"/>
        </w:rPr>
        <w:t>4.1 Birmingham is not short of home care agencies</w:t>
      </w:r>
      <w:r w:rsidR="00CD724E" w:rsidRPr="00887B60">
        <w:rPr>
          <w:rFonts w:ascii="Arial" w:hAnsi="Arial" w:cs="Arial"/>
        </w:rPr>
        <w:t>;</w:t>
      </w:r>
      <w:r w:rsidRPr="00887B60">
        <w:rPr>
          <w:rFonts w:ascii="Arial" w:hAnsi="Arial" w:cs="Arial"/>
        </w:rPr>
        <w:t xml:space="preserve"> it is short of a stable and </w:t>
      </w:r>
      <w:r w:rsidR="00CD724E" w:rsidRPr="00887B60">
        <w:rPr>
          <w:rFonts w:ascii="Arial" w:hAnsi="Arial" w:cs="Arial"/>
        </w:rPr>
        <w:t>fairly paid</w:t>
      </w:r>
      <w:r w:rsidRPr="00887B60">
        <w:rPr>
          <w:rFonts w:ascii="Arial" w:hAnsi="Arial" w:cs="Arial"/>
        </w:rPr>
        <w:t xml:space="preserve"> workforce for a growing older population. Part 1 of the Care Act 2014 requires the council to promote wellbeing, prevent escalating needs and secure sufficient services. These recommendations would meet those duties while reducing costlier hospital and residential care. </w:t>
      </w:r>
    </w:p>
    <w:p w14:paraId="5DEB7C7D" w14:textId="77777777" w:rsidR="00CD724E" w:rsidRPr="00887B60" w:rsidRDefault="00CD724E" w:rsidP="00CD724E">
      <w:pPr>
        <w:pStyle w:val="Heading1"/>
        <w:rPr>
          <w:color w:val="auto"/>
          <w:sz w:val="22"/>
          <w:szCs w:val="22"/>
        </w:rPr>
      </w:pPr>
      <w:bookmarkStart w:id="5" w:name="_Toc242631612"/>
      <w:r w:rsidRPr="00887B60">
        <w:rPr>
          <w:color w:val="auto"/>
          <w:sz w:val="22"/>
          <w:szCs w:val="22"/>
        </w:rPr>
        <w:t>Task 2: Essay – Community Pharmacy Services</w:t>
      </w:r>
      <w:bookmarkEnd w:id="5"/>
    </w:p>
    <w:p w14:paraId="2E13A5F9" w14:textId="77777777" w:rsidR="00CD724E" w:rsidRPr="00887B60" w:rsidRDefault="00CD724E" w:rsidP="00CD724E">
      <w:pPr>
        <w:pStyle w:val="Heading1"/>
        <w:rPr>
          <w:color w:val="auto"/>
          <w:sz w:val="22"/>
          <w:szCs w:val="22"/>
        </w:rPr>
      </w:pPr>
      <w:bookmarkStart w:id="6" w:name="_Toc242631613"/>
      <w:r w:rsidRPr="00887B60">
        <w:rPr>
          <w:color w:val="auto"/>
          <w:sz w:val="22"/>
          <w:szCs w:val="22"/>
        </w:rPr>
        <w:t>1.0 Introduction</w:t>
      </w:r>
      <w:bookmarkEnd w:id="6"/>
    </w:p>
    <w:p w14:paraId="42D2FDC6" w14:textId="77777777" w:rsidR="00CD724E" w:rsidRPr="00887B60" w:rsidRDefault="00CD724E" w:rsidP="00CD724E">
      <w:pPr>
        <w:spacing w:line="360" w:lineRule="auto"/>
        <w:jc w:val="both"/>
        <w:rPr>
          <w:rFonts w:ascii="Arial" w:hAnsi="Arial" w:cs="Arial"/>
        </w:rPr>
      </w:pPr>
      <w:r w:rsidRPr="00887B60">
        <w:rPr>
          <w:rFonts w:ascii="Arial" w:hAnsi="Arial" w:cs="Arial"/>
        </w:rPr>
        <w:t>Community pharmacies are often the most convenient place to access the NHS. This essay examines the origins of community pharmacy in England, critically evaluates how it functions today, and discusses its significance for service users’ quality of life.</w:t>
      </w:r>
    </w:p>
    <w:p w14:paraId="335E773D" w14:textId="77777777" w:rsidR="00CD724E" w:rsidRPr="00887B60" w:rsidRDefault="00CD724E" w:rsidP="00CD724E">
      <w:pPr>
        <w:pStyle w:val="Heading1"/>
        <w:rPr>
          <w:color w:val="auto"/>
          <w:sz w:val="22"/>
          <w:szCs w:val="22"/>
        </w:rPr>
      </w:pPr>
      <w:bookmarkStart w:id="7" w:name="_Toc242631614"/>
      <w:r w:rsidRPr="00887B60">
        <w:rPr>
          <w:color w:val="auto"/>
          <w:sz w:val="22"/>
          <w:szCs w:val="22"/>
        </w:rPr>
        <w:t>2.0 Origins and Historical Context</w:t>
      </w:r>
      <w:bookmarkEnd w:id="7"/>
    </w:p>
    <w:p w14:paraId="4A111EA0" w14:textId="48A15A55" w:rsidR="00CD724E" w:rsidRPr="00887B60" w:rsidRDefault="00CD724E" w:rsidP="00CD724E">
      <w:pPr>
        <w:spacing w:line="360" w:lineRule="auto"/>
        <w:jc w:val="both"/>
        <w:rPr>
          <w:rFonts w:ascii="Arial" w:hAnsi="Arial" w:cs="Arial"/>
        </w:rPr>
      </w:pPr>
      <w:r w:rsidRPr="00887B60">
        <w:rPr>
          <w:rFonts w:ascii="Arial" w:hAnsi="Arial" w:cs="Arial"/>
        </w:rPr>
        <w:t>Prior to 1841, there was virtually no examination required for a person to be allowed to trade as a “chemist and druggist.” That year, threatened by a medical reform bill restricting their right to advise and sell medicines, chemists led by Jacob Bell formed the Pharmaceutical Society of Great Britain (Robinson, 2016). Public concern over poisoning triggered the Pharmacy Act 1852</w:t>
      </w:r>
      <w:r w:rsidRPr="00887B60">
        <w:rPr>
          <w:rFonts w:ascii="Arial" w:hAnsi="Arial" w:cs="Arial"/>
        </w:rPr>
        <w:t>,</w:t>
      </w:r>
      <w:r w:rsidRPr="00887B60">
        <w:rPr>
          <w:rFonts w:ascii="Arial" w:hAnsi="Arial" w:cs="Arial"/>
        </w:rPr>
        <w:t xml:space="preserve"> which established a register of qualified pharmacists</w:t>
      </w:r>
      <w:r w:rsidRPr="00887B60">
        <w:rPr>
          <w:rFonts w:ascii="Arial" w:hAnsi="Arial" w:cs="Arial"/>
        </w:rPr>
        <w:t>,</w:t>
      </w:r>
      <w:r w:rsidRPr="00887B60">
        <w:rPr>
          <w:rFonts w:ascii="Arial" w:hAnsi="Arial" w:cs="Arial"/>
        </w:rPr>
        <w:t xml:space="preserve"> and the Pharmacy Act 1868</w:t>
      </w:r>
      <w:r w:rsidRPr="00887B60">
        <w:rPr>
          <w:rFonts w:ascii="Arial" w:hAnsi="Arial" w:cs="Arial"/>
        </w:rPr>
        <w:t>,</w:t>
      </w:r>
      <w:r w:rsidRPr="00887B60">
        <w:rPr>
          <w:rFonts w:ascii="Arial" w:hAnsi="Arial" w:cs="Arial"/>
        </w:rPr>
        <w:t xml:space="preserve"> which limited the sale of poisons to registered persons (Robinson, 2016). Pharmacy became a regulated profession based on public safety.</w:t>
      </w:r>
    </w:p>
    <w:p w14:paraId="0DD0B433" w14:textId="18793646" w:rsidR="00CD724E" w:rsidRPr="00887B60" w:rsidRDefault="00CD724E" w:rsidP="00CD724E">
      <w:pPr>
        <w:spacing w:line="360" w:lineRule="auto"/>
        <w:jc w:val="both"/>
        <w:rPr>
          <w:rFonts w:ascii="Arial" w:hAnsi="Arial" w:cs="Arial"/>
        </w:rPr>
      </w:pPr>
      <w:r w:rsidRPr="00887B60">
        <w:rPr>
          <w:rFonts w:ascii="Arial" w:hAnsi="Arial" w:cs="Arial"/>
        </w:rPr>
        <w:t>The National Health Insurance Act 1911 provided free prescription medicines to insured workers, not their dependents, for the first time and placed pharmacists in the state-funded medical care system. (Robinson, 2016) In 1948</w:t>
      </w:r>
      <w:r w:rsidRPr="00887B60">
        <w:rPr>
          <w:rFonts w:ascii="Arial" w:hAnsi="Arial" w:cs="Arial"/>
        </w:rPr>
        <w:t>,</w:t>
      </w:r>
      <w:r w:rsidRPr="00887B60">
        <w:rPr>
          <w:rFonts w:ascii="Arial" w:hAnsi="Arial" w:cs="Arial"/>
        </w:rPr>
        <w:t xml:space="preserve"> the NHS became available to all</w:t>
      </w:r>
      <w:r w:rsidRPr="00887B60">
        <w:rPr>
          <w:rFonts w:ascii="Arial" w:hAnsi="Arial" w:cs="Arial"/>
        </w:rPr>
        <w:t>,</w:t>
      </w:r>
      <w:r w:rsidRPr="00887B60">
        <w:rPr>
          <w:rFonts w:ascii="Arial" w:hAnsi="Arial" w:cs="Arial"/>
        </w:rPr>
        <w:t xml:space="preserve"> and in 1950 prescriptions had increased from approximately 65 million in 1937 to almost 250 million (Anderson, 2007). Interestingly, this success led to a decline in the pharmacist as a professional advisor moving out of the public spotlight, until the Nuffield Report (1986), Choosing Health (2004) and the 2005 pharmacy contract slowly restored the public health role (Anderson, 2007).</w:t>
      </w:r>
    </w:p>
    <w:p w14:paraId="1A9DB45D" w14:textId="77777777" w:rsidR="00CD724E" w:rsidRPr="00887B60" w:rsidRDefault="00CD724E" w:rsidP="00CD724E">
      <w:pPr>
        <w:pStyle w:val="Heading1"/>
        <w:rPr>
          <w:color w:val="auto"/>
          <w:sz w:val="22"/>
          <w:szCs w:val="22"/>
        </w:rPr>
      </w:pPr>
      <w:bookmarkStart w:id="8" w:name="_Toc242631615"/>
      <w:r w:rsidRPr="00887B60">
        <w:rPr>
          <w:color w:val="auto"/>
          <w:sz w:val="22"/>
          <w:szCs w:val="22"/>
        </w:rPr>
        <w:t>3.0 How the Service Functions Today</w:t>
      </w:r>
      <w:bookmarkEnd w:id="8"/>
    </w:p>
    <w:p w14:paraId="2F1D113A" w14:textId="1B8AAA7C" w:rsidR="00CD724E" w:rsidRPr="00887B60" w:rsidRDefault="00CD724E" w:rsidP="00CD724E">
      <w:pPr>
        <w:spacing w:line="360" w:lineRule="auto"/>
        <w:jc w:val="both"/>
        <w:rPr>
          <w:rFonts w:ascii="Arial" w:hAnsi="Arial" w:cs="Arial"/>
        </w:rPr>
      </w:pPr>
      <w:r w:rsidRPr="00887B60">
        <w:rPr>
          <w:rFonts w:ascii="Arial" w:hAnsi="Arial" w:cs="Arial"/>
        </w:rPr>
        <w:t>There were 10,526 community pharmacies delivering services in England in February 2026 with 56,845 registered pharmacists in their workforce. These are funded via the Community Pharmacy Contractual Framework (CPCF), which is agreed between the Department of Health and Social Care, NHS England</w:t>
      </w:r>
      <w:r w:rsidRPr="00887B60">
        <w:rPr>
          <w:rFonts w:ascii="Arial" w:hAnsi="Arial" w:cs="Arial"/>
        </w:rPr>
        <w:t>,</w:t>
      </w:r>
      <w:r w:rsidRPr="00887B60">
        <w:rPr>
          <w:rFonts w:ascii="Arial" w:hAnsi="Arial" w:cs="Arial"/>
        </w:rPr>
        <w:t xml:space="preserve"> and Community Pharmacy England and the payments are for dispensing and clinical services, including the New Medicine Service (Balogun and Harker, 2026). The most important change is the introduction of Pharmacy First, a scheme that came into effect on 31 January 2024 and enables pharmacists to provide prescription-only medicines (POMDs) for seven common conditions, including uncomplicated urinary tract infections (UTIs) in women. The contractors had been able to claim 4.5 million consultations </w:t>
      </w:r>
      <w:r w:rsidRPr="00887B60">
        <w:rPr>
          <w:rFonts w:ascii="Arial" w:hAnsi="Arial" w:cs="Arial"/>
        </w:rPr>
        <w:lastRenderedPageBreak/>
        <w:t>from February 2024 to October 2025, realising that they had the capacity to divert some demand from general practice (GP) (Balogun and Harker, 2026).</w:t>
      </w:r>
    </w:p>
    <w:p w14:paraId="092AB5D1" w14:textId="557062EB" w:rsidR="00CD724E" w:rsidRPr="00887B60" w:rsidRDefault="00CD724E" w:rsidP="00CD724E">
      <w:pPr>
        <w:spacing w:line="360" w:lineRule="auto"/>
        <w:jc w:val="both"/>
        <w:rPr>
          <w:rFonts w:ascii="Arial" w:hAnsi="Arial" w:cs="Arial"/>
        </w:rPr>
      </w:pPr>
      <w:r w:rsidRPr="00887B60">
        <w:rPr>
          <w:rFonts w:ascii="Arial" w:hAnsi="Arial" w:cs="Arial"/>
        </w:rPr>
        <w:t>However, service is restricted due to lack of resources and staff (Lalani et al., 2026). There were 1083 fewer pharmacies in 2023 than in 2016 (-9%) and 41 integrated care boards reported 13,863 temporary closures in 2023, with the primary cause being staff shortages (Balogun and Harker, 2026). Although funding has increased to £3.0 billion in 2025/26, this is not an increase in funding but rather a stabilisation of funding, as the cash settlements were maintained at a flat rate over the previous five years (Balogun and Harker, 2026). There is also a lack of integration; GPs have indicated concerns about patient safety and duplication of effort</w:t>
      </w:r>
      <w:r w:rsidRPr="00887B60">
        <w:rPr>
          <w:rFonts w:ascii="Arial" w:hAnsi="Arial" w:cs="Arial"/>
        </w:rPr>
        <w:t>,</w:t>
      </w:r>
      <w:r w:rsidRPr="00887B60">
        <w:rPr>
          <w:rFonts w:ascii="Arial" w:hAnsi="Arial" w:cs="Arial"/>
        </w:rPr>
        <w:t xml:space="preserve"> and </w:t>
      </w:r>
      <w:r w:rsidRPr="00887B60">
        <w:rPr>
          <w:rFonts w:ascii="Arial" w:hAnsi="Arial" w:cs="Arial"/>
        </w:rPr>
        <w:t>about</w:t>
      </w:r>
      <w:r w:rsidRPr="00887B60">
        <w:rPr>
          <w:rFonts w:ascii="Arial" w:hAnsi="Arial" w:cs="Arial"/>
        </w:rPr>
        <w:t xml:space="preserve"> interoperability between pharmacy and general practice information systems, which has been a challenge to roll out (Lalani et al., 2026). The clinical model is robust, and relies on sustainable funding and shared records, which are at the heart of the 10 Year Health Plan's vision of a neighbourhood health service with a pharmacy at its core (Department of Health and Social Care, 2025b).</w:t>
      </w:r>
    </w:p>
    <w:p w14:paraId="468DBAF0" w14:textId="77777777" w:rsidR="00CD724E" w:rsidRPr="00887B60" w:rsidRDefault="00CD724E" w:rsidP="00CD724E">
      <w:pPr>
        <w:pStyle w:val="Heading1"/>
        <w:rPr>
          <w:color w:val="auto"/>
          <w:sz w:val="22"/>
          <w:szCs w:val="22"/>
        </w:rPr>
      </w:pPr>
      <w:bookmarkStart w:id="9" w:name="_Toc242631616"/>
      <w:r w:rsidRPr="00887B60">
        <w:rPr>
          <w:color w:val="auto"/>
          <w:sz w:val="22"/>
          <w:szCs w:val="22"/>
        </w:rPr>
        <w:t>4.0 Significance for Quality of Life</w:t>
      </w:r>
      <w:bookmarkEnd w:id="9"/>
    </w:p>
    <w:p w14:paraId="464962E0" w14:textId="1BB5AE46" w:rsidR="00CD724E" w:rsidRPr="00887B60" w:rsidRDefault="00CD724E" w:rsidP="00CD724E">
      <w:pPr>
        <w:spacing w:line="360" w:lineRule="auto"/>
        <w:jc w:val="both"/>
        <w:rPr>
          <w:rFonts w:ascii="Arial" w:hAnsi="Arial" w:cs="Arial"/>
        </w:rPr>
      </w:pPr>
      <w:r w:rsidRPr="00887B60">
        <w:rPr>
          <w:rFonts w:ascii="Arial" w:hAnsi="Arial" w:cs="Arial"/>
        </w:rPr>
        <w:t>Community Pharmacy is most effective in terms of accessibility. Todd et al. (2014) reported that 89.2% of the people in England reside within a 20-minute walk from the nearest pharmacy and it was 99.8% in the most deprived areas. This is a positive pharmacy care law</w:t>
      </w:r>
      <w:r w:rsidRPr="00887B60">
        <w:rPr>
          <w:rFonts w:ascii="Arial" w:hAnsi="Arial" w:cs="Arial"/>
        </w:rPr>
        <w:t>,</w:t>
      </w:r>
      <w:r w:rsidRPr="00887B60">
        <w:rPr>
          <w:rFonts w:ascii="Arial" w:hAnsi="Arial" w:cs="Arial"/>
        </w:rPr>
        <w:t xml:space="preserve"> which challenges the inverse care law of Hart (1971) that states that good care is the least for those who need it most, thus allowing pharmacies to help minimize health inequalities. Walk-In Pharmacy First consultations help individuals who are unable to make GP appointments receive immediate relief. In a randomised trial, the New Medicine Service increased adherence from 61% to 71% among people beginning medicines for long-term health conditions, leading to a reduction in complications and an improvement in living independently (Elliott et al, 2016).</w:t>
      </w:r>
    </w:p>
    <w:p w14:paraId="0863157A" w14:textId="756CB918" w:rsidR="00CD724E" w:rsidRPr="00887B60" w:rsidRDefault="00CD724E" w:rsidP="00CD724E">
      <w:pPr>
        <w:spacing w:line="360" w:lineRule="auto"/>
        <w:jc w:val="both"/>
        <w:rPr>
          <w:rFonts w:ascii="Arial" w:hAnsi="Arial" w:cs="Arial"/>
        </w:rPr>
      </w:pPr>
      <w:r w:rsidRPr="00887B60">
        <w:rPr>
          <w:rFonts w:ascii="Arial" w:hAnsi="Arial" w:cs="Arial"/>
        </w:rPr>
        <w:t xml:space="preserve">This benefit is tenuous. While the overall access level was unchanged at 91.7% for 2023, there have been a decrease in pharmacies per head and the most deprived areas had </w:t>
      </w:r>
      <w:r w:rsidRPr="00887B60">
        <w:rPr>
          <w:rFonts w:ascii="Arial" w:hAnsi="Arial" w:cs="Arial"/>
        </w:rPr>
        <w:t xml:space="preserve">a </w:t>
      </w:r>
      <w:r w:rsidRPr="00887B60">
        <w:rPr>
          <w:rFonts w:ascii="Arial" w:hAnsi="Arial" w:cs="Arial"/>
        </w:rPr>
        <w:t xml:space="preserve">65% </w:t>
      </w:r>
      <w:r w:rsidRPr="00887B60">
        <w:rPr>
          <w:rFonts w:ascii="Arial" w:hAnsi="Arial" w:cs="Arial"/>
        </w:rPr>
        <w:t>higher</w:t>
      </w:r>
      <w:r w:rsidRPr="00887B60">
        <w:rPr>
          <w:rFonts w:ascii="Arial" w:hAnsi="Arial" w:cs="Arial"/>
        </w:rPr>
        <w:t xml:space="preserve"> chance of losing a pharmacy than the least deprived (</w:t>
      </w:r>
      <w:proofErr w:type="spellStart"/>
      <w:r w:rsidRPr="00887B60">
        <w:rPr>
          <w:rFonts w:ascii="Arial" w:hAnsi="Arial" w:cs="Arial"/>
        </w:rPr>
        <w:t>Abozied</w:t>
      </w:r>
      <w:proofErr w:type="spellEnd"/>
      <w:r w:rsidRPr="00887B60">
        <w:rPr>
          <w:rFonts w:ascii="Arial" w:hAnsi="Arial" w:cs="Arial"/>
        </w:rPr>
        <w:t xml:space="preserve"> et al., 2025). Rural access was already low at 18.9% (Todd et al., 2014). Ongoing closures could reintroduce the inverse care law in the community that will reap the greatest benefit.</w:t>
      </w:r>
    </w:p>
    <w:p w14:paraId="5C3BA496" w14:textId="77777777" w:rsidR="00CD724E" w:rsidRPr="00887B60" w:rsidRDefault="00CD724E" w:rsidP="00CD724E">
      <w:pPr>
        <w:pStyle w:val="Heading1"/>
        <w:rPr>
          <w:color w:val="auto"/>
          <w:sz w:val="22"/>
          <w:szCs w:val="22"/>
        </w:rPr>
      </w:pPr>
      <w:bookmarkStart w:id="10" w:name="_Toc242631617"/>
      <w:r w:rsidRPr="00887B60">
        <w:rPr>
          <w:color w:val="auto"/>
          <w:sz w:val="22"/>
          <w:szCs w:val="22"/>
        </w:rPr>
        <w:t>5.0 Conclusion</w:t>
      </w:r>
      <w:bookmarkEnd w:id="10"/>
    </w:p>
    <w:p w14:paraId="74AB927F" w14:textId="271AA10E" w:rsidR="00CD724E" w:rsidRPr="00887B60" w:rsidRDefault="00CD724E" w:rsidP="00CD724E">
      <w:pPr>
        <w:spacing w:line="360" w:lineRule="auto"/>
        <w:jc w:val="both"/>
        <w:rPr>
          <w:rFonts w:ascii="Arial" w:hAnsi="Arial" w:cs="Arial"/>
        </w:rPr>
      </w:pPr>
      <w:r w:rsidRPr="00887B60">
        <w:rPr>
          <w:rFonts w:ascii="Arial" w:hAnsi="Arial" w:cs="Arial"/>
        </w:rPr>
        <w:t>Community pharmacy evolved from an unregulated trade into a regulated profession, became the welfare state’s dispensing arm, and is re-emerging as a front-line clinical service whose accessibility gives it unique value for quality of life.</w:t>
      </w:r>
      <w:r w:rsidRPr="00887B60">
        <w:rPr>
          <w:rFonts w:ascii="Arial" w:hAnsi="Arial" w:cs="Arial"/>
        </w:rPr>
        <w:t xml:space="preserve"> Thus,</w:t>
      </w:r>
      <w:r w:rsidRPr="00887B60">
        <w:rPr>
          <w:rFonts w:ascii="Arial" w:hAnsi="Arial" w:cs="Arial"/>
        </w:rPr>
        <w:t xml:space="preserve"> funding must be tied to clinical services, GP and pharmacy records must be widely shared, and pharmacies in deprived and rural areas must not be closed.</w:t>
      </w:r>
    </w:p>
    <w:p w14:paraId="43A14F2E" w14:textId="1E67814A" w:rsidR="002D4FB7" w:rsidRPr="00887B60" w:rsidRDefault="002D4FB7" w:rsidP="00CD724E">
      <w:pPr>
        <w:spacing w:line="360" w:lineRule="auto"/>
        <w:jc w:val="both"/>
        <w:rPr>
          <w:rFonts w:ascii="Arial" w:hAnsi="Arial" w:cs="Arial"/>
        </w:rPr>
      </w:pPr>
    </w:p>
    <w:p w14:paraId="02D7AAA0" w14:textId="77777777" w:rsidR="002D4FB7" w:rsidRPr="00887B60" w:rsidRDefault="002D4FB7" w:rsidP="002D4FB7">
      <w:pPr>
        <w:pStyle w:val="Heading1"/>
        <w:spacing w:after="240" w:line="360" w:lineRule="auto"/>
        <w:rPr>
          <w:color w:val="auto"/>
          <w:sz w:val="22"/>
          <w:szCs w:val="22"/>
        </w:rPr>
      </w:pPr>
      <w:bookmarkStart w:id="11" w:name="_Toc242631618"/>
      <w:r w:rsidRPr="00887B60">
        <w:rPr>
          <w:color w:val="auto"/>
          <w:sz w:val="22"/>
          <w:szCs w:val="22"/>
        </w:rPr>
        <w:t>Reference List</w:t>
      </w:r>
      <w:bookmarkEnd w:id="11"/>
    </w:p>
    <w:p w14:paraId="26B965F0" w14:textId="77777777" w:rsidR="002D4FB7" w:rsidRPr="00887B60" w:rsidRDefault="002D4FB7" w:rsidP="002D4FB7">
      <w:pPr>
        <w:spacing w:line="360" w:lineRule="auto"/>
        <w:ind w:left="567" w:hanging="567"/>
        <w:rPr>
          <w:rFonts w:ascii="Arial" w:hAnsi="Arial" w:cs="Arial"/>
        </w:rPr>
      </w:pPr>
      <w:proofErr w:type="spellStart"/>
      <w:r w:rsidRPr="00887B60">
        <w:rPr>
          <w:rFonts w:ascii="Arial" w:eastAsia="Arial" w:hAnsi="Arial" w:cs="Arial"/>
        </w:rPr>
        <w:t>Abozied</w:t>
      </w:r>
      <w:proofErr w:type="spellEnd"/>
      <w:r w:rsidRPr="00887B60">
        <w:rPr>
          <w:rFonts w:ascii="Arial" w:eastAsia="Arial" w:hAnsi="Arial" w:cs="Arial"/>
        </w:rPr>
        <w:t xml:space="preserve">, E.Z., Munford, L.A., Copeland, A., Kasim, A., Husband, A., Bambra, C. and Todd, A. (2025) ‘The Positive Pharmacy Care Law revisited: an area-level analysis of the relationship between community pharmacy distribution, urbanicity and deprivation in England’, </w:t>
      </w:r>
      <w:r w:rsidRPr="00887B60">
        <w:rPr>
          <w:rFonts w:ascii="Arial" w:eastAsia="Arial" w:hAnsi="Arial" w:cs="Arial"/>
          <w:i/>
          <w:iCs/>
        </w:rPr>
        <w:t>BMJ Open</w:t>
      </w:r>
      <w:r w:rsidRPr="00887B60">
        <w:rPr>
          <w:rFonts w:ascii="Arial" w:eastAsia="Arial" w:hAnsi="Arial" w:cs="Arial"/>
        </w:rPr>
        <w:t xml:space="preserve">, 15(5), e095540. </w:t>
      </w:r>
      <w:hyperlink r:id="rId7" w:history="1">
        <w:r w:rsidRPr="00887B60">
          <w:rPr>
            <w:rStyle w:val="Hyperlink"/>
            <w:rFonts w:ascii="Arial" w:hAnsi="Arial" w:cs="Arial"/>
            <w:color w:val="auto"/>
          </w:rPr>
          <w:t>https://doi.org/10.1136/bmjopen-2024-095540</w:t>
        </w:r>
      </w:hyperlink>
    </w:p>
    <w:p w14:paraId="3188694E" w14:textId="77777777" w:rsidR="002D4FB7" w:rsidRPr="00887B60" w:rsidRDefault="002D4FB7" w:rsidP="002D4FB7">
      <w:pPr>
        <w:spacing w:line="360" w:lineRule="auto"/>
        <w:ind w:left="567" w:hanging="567"/>
        <w:rPr>
          <w:rFonts w:ascii="Arial" w:hAnsi="Arial" w:cs="Arial"/>
        </w:rPr>
      </w:pPr>
      <w:r w:rsidRPr="00887B60">
        <w:rPr>
          <w:rFonts w:ascii="Arial" w:eastAsia="Arial" w:hAnsi="Arial" w:cs="Arial"/>
        </w:rPr>
        <w:t xml:space="preserve">ADASS (2026) </w:t>
      </w:r>
      <w:r w:rsidRPr="00887B60">
        <w:rPr>
          <w:rFonts w:ascii="Arial" w:eastAsia="Arial" w:hAnsi="Arial" w:cs="Arial"/>
          <w:i/>
          <w:iCs/>
        </w:rPr>
        <w:t>ADASS Spring Survey: rising adult social care needs leave councils £715 million over budget</w:t>
      </w:r>
      <w:r w:rsidRPr="00887B60">
        <w:rPr>
          <w:rFonts w:ascii="Arial" w:eastAsia="Arial" w:hAnsi="Arial" w:cs="Arial"/>
        </w:rPr>
        <w:t xml:space="preserve">. London: Association of Directors of Adult Social Services.  </w:t>
      </w:r>
      <w:hyperlink r:id="rId8" w:history="1">
        <w:r w:rsidRPr="00887B60">
          <w:rPr>
            <w:rStyle w:val="Hyperlink"/>
            <w:rFonts w:ascii="Arial" w:hAnsi="Arial" w:cs="Arial"/>
            <w:color w:val="auto"/>
          </w:rPr>
          <w:t>https://www.adass.org.uk/adass-spring-survey-rising-adult-social-care-needs-leave-councils-715-million-over-budget/</w:t>
        </w:r>
      </w:hyperlink>
    </w:p>
    <w:p w14:paraId="593C99E5" w14:textId="77777777" w:rsidR="002D4FB7" w:rsidRPr="00887B60" w:rsidRDefault="002D4FB7" w:rsidP="002D4FB7">
      <w:pPr>
        <w:spacing w:line="360" w:lineRule="auto"/>
        <w:ind w:left="567" w:hanging="567"/>
        <w:rPr>
          <w:rFonts w:ascii="Arial" w:hAnsi="Arial" w:cs="Arial"/>
        </w:rPr>
      </w:pPr>
      <w:r w:rsidRPr="00887B60">
        <w:rPr>
          <w:rFonts w:ascii="Arial" w:eastAsia="Arial" w:hAnsi="Arial" w:cs="Arial"/>
        </w:rPr>
        <w:t xml:space="preserve">Anderson, S. (2007) ‘Community pharmacy and public health in Great Britain, 1936 to 2006: how a phoenix rose from the ashes’, </w:t>
      </w:r>
      <w:r w:rsidRPr="00887B60">
        <w:rPr>
          <w:rFonts w:ascii="Arial" w:eastAsia="Arial" w:hAnsi="Arial" w:cs="Arial"/>
          <w:i/>
          <w:iCs/>
        </w:rPr>
        <w:t>Journal of Epidemiology and Community Health</w:t>
      </w:r>
      <w:r w:rsidRPr="00887B60">
        <w:rPr>
          <w:rFonts w:ascii="Arial" w:eastAsia="Arial" w:hAnsi="Arial" w:cs="Arial"/>
        </w:rPr>
        <w:t xml:space="preserve">, 61(10), pp. 844–848. </w:t>
      </w:r>
      <w:hyperlink r:id="rId9" w:history="1">
        <w:r w:rsidRPr="00887B60">
          <w:rPr>
            <w:rStyle w:val="Hyperlink"/>
            <w:rFonts w:ascii="Arial" w:hAnsi="Arial" w:cs="Arial"/>
            <w:color w:val="auto"/>
          </w:rPr>
          <w:t>https://doi.org/10.1136/jech.2006.055442</w:t>
        </w:r>
      </w:hyperlink>
    </w:p>
    <w:p w14:paraId="04E8C7C1" w14:textId="77777777" w:rsidR="002D4FB7" w:rsidRPr="00887B60" w:rsidRDefault="002D4FB7" w:rsidP="002D4FB7">
      <w:pPr>
        <w:spacing w:line="360" w:lineRule="auto"/>
        <w:ind w:left="567" w:hanging="567"/>
        <w:rPr>
          <w:rFonts w:ascii="Arial" w:hAnsi="Arial" w:cs="Arial"/>
        </w:rPr>
      </w:pPr>
      <w:r w:rsidRPr="00887B60">
        <w:rPr>
          <w:rFonts w:ascii="Arial" w:eastAsia="Arial" w:hAnsi="Arial" w:cs="Arial"/>
        </w:rPr>
        <w:t xml:space="preserve">Balogun, B. and Harker, R. (2026) </w:t>
      </w:r>
      <w:r w:rsidRPr="00887B60">
        <w:rPr>
          <w:rFonts w:ascii="Arial" w:eastAsia="Arial" w:hAnsi="Arial" w:cs="Arial"/>
          <w:i/>
          <w:iCs/>
        </w:rPr>
        <w:t>Community pharmacy in England</w:t>
      </w:r>
      <w:r w:rsidRPr="00887B60">
        <w:rPr>
          <w:rFonts w:ascii="Arial" w:eastAsia="Arial" w:hAnsi="Arial" w:cs="Arial"/>
        </w:rPr>
        <w:t xml:space="preserve">. House of Commons Library Research Briefing CBP 9854. </w:t>
      </w:r>
      <w:hyperlink r:id="rId10" w:history="1">
        <w:r w:rsidRPr="00887B60">
          <w:rPr>
            <w:rStyle w:val="Hyperlink"/>
            <w:rFonts w:ascii="Arial" w:hAnsi="Arial" w:cs="Arial"/>
            <w:color w:val="auto"/>
          </w:rPr>
          <w:t>https://commonslibrary.parliament.uk/research-briefings/cbp-9854/</w:t>
        </w:r>
      </w:hyperlink>
    </w:p>
    <w:p w14:paraId="7143D741" w14:textId="77777777" w:rsidR="002D4FB7" w:rsidRPr="00887B60" w:rsidRDefault="002D4FB7" w:rsidP="002D4FB7">
      <w:pPr>
        <w:spacing w:line="360" w:lineRule="auto"/>
        <w:ind w:left="567" w:hanging="567"/>
        <w:rPr>
          <w:rFonts w:ascii="Arial" w:hAnsi="Arial" w:cs="Arial"/>
        </w:rPr>
      </w:pPr>
      <w:r w:rsidRPr="00887B60">
        <w:rPr>
          <w:rFonts w:ascii="Arial" w:eastAsia="Arial" w:hAnsi="Arial" w:cs="Arial"/>
        </w:rPr>
        <w:t xml:space="preserve">Birmingham City Council (2025) </w:t>
      </w:r>
      <w:r w:rsidRPr="00887B60">
        <w:rPr>
          <w:rFonts w:ascii="Arial" w:eastAsia="Arial" w:hAnsi="Arial" w:cs="Arial"/>
          <w:i/>
          <w:iCs/>
        </w:rPr>
        <w:t>Market Position Statement 2025 – Home Support</w:t>
      </w:r>
      <w:r w:rsidRPr="00887B60">
        <w:rPr>
          <w:rFonts w:ascii="Arial" w:eastAsia="Arial" w:hAnsi="Arial" w:cs="Arial"/>
        </w:rPr>
        <w:t>. Birmingham: Birmingham City Council.</w:t>
      </w:r>
      <w:r w:rsidRPr="00887B60">
        <w:rPr>
          <w:rFonts w:ascii="Arial" w:hAnsi="Arial" w:cs="Arial"/>
          <w:lang w:val="en-US"/>
        </w:rPr>
        <w:t xml:space="preserve"> </w:t>
      </w:r>
      <w:hyperlink r:id="rId11" w:history="1">
        <w:r w:rsidRPr="00887B60">
          <w:rPr>
            <w:rStyle w:val="Hyperlink"/>
            <w:rFonts w:ascii="Arial" w:hAnsi="Arial" w:cs="Arial"/>
            <w:color w:val="auto"/>
          </w:rPr>
          <w:t>https://www.birmingham.gov.uk/download/downloads/id/30893/home_support_-_mps_-_full_document.pdf</w:t>
        </w:r>
      </w:hyperlink>
    </w:p>
    <w:p w14:paraId="52A5D5E4" w14:textId="77777777" w:rsidR="002D4FB7" w:rsidRPr="00887B60" w:rsidRDefault="002D4FB7" w:rsidP="002D4FB7">
      <w:pPr>
        <w:spacing w:line="360" w:lineRule="auto"/>
        <w:ind w:left="567" w:hanging="567"/>
        <w:rPr>
          <w:rFonts w:ascii="Arial" w:hAnsi="Arial" w:cs="Arial"/>
        </w:rPr>
      </w:pPr>
      <w:r w:rsidRPr="00887B60">
        <w:rPr>
          <w:rFonts w:ascii="Arial" w:eastAsia="Arial" w:hAnsi="Arial" w:cs="Arial"/>
        </w:rPr>
        <w:t xml:space="preserve">Birmingham City Council (2026) </w:t>
      </w:r>
      <w:r w:rsidRPr="00887B60">
        <w:rPr>
          <w:rFonts w:ascii="Arial" w:eastAsia="Arial" w:hAnsi="Arial" w:cs="Arial"/>
          <w:i/>
          <w:iCs/>
        </w:rPr>
        <w:t>Birmingham maintains ‘good’ rating for adult social care</w:t>
      </w:r>
      <w:r w:rsidRPr="00887B60">
        <w:rPr>
          <w:rFonts w:ascii="Arial" w:eastAsia="Arial" w:hAnsi="Arial" w:cs="Arial"/>
        </w:rPr>
        <w:t>. 13 May.</w:t>
      </w:r>
      <w:r w:rsidRPr="00887B60">
        <w:rPr>
          <w:rFonts w:ascii="Arial" w:hAnsi="Arial" w:cs="Arial"/>
          <w:lang w:val="en-US"/>
        </w:rPr>
        <w:t xml:space="preserve"> </w:t>
      </w:r>
      <w:hyperlink r:id="rId12" w:history="1">
        <w:r w:rsidRPr="00887B60">
          <w:rPr>
            <w:rStyle w:val="Hyperlink"/>
            <w:rFonts w:ascii="Arial" w:hAnsi="Arial" w:cs="Arial"/>
            <w:color w:val="auto"/>
          </w:rPr>
          <w:t>https://www.birmingham.gov.uk/news/article/1773/birmingham_maintains_good_rating_for_adult_social_care</w:t>
        </w:r>
      </w:hyperlink>
    </w:p>
    <w:p w14:paraId="3F0B80A4" w14:textId="77777777" w:rsidR="002D4FB7" w:rsidRPr="00887B60" w:rsidRDefault="002D4FB7" w:rsidP="002D4FB7">
      <w:pPr>
        <w:spacing w:line="360" w:lineRule="auto"/>
        <w:ind w:left="567" w:hanging="567"/>
        <w:rPr>
          <w:rFonts w:ascii="Arial" w:hAnsi="Arial" w:cs="Arial"/>
        </w:rPr>
      </w:pPr>
      <w:r w:rsidRPr="00887B60">
        <w:rPr>
          <w:rFonts w:ascii="Arial" w:eastAsia="Arial" w:hAnsi="Arial" w:cs="Arial"/>
          <w:i/>
          <w:iCs/>
        </w:rPr>
        <w:t>Care Act 2014</w:t>
      </w:r>
      <w:r w:rsidRPr="00887B60">
        <w:rPr>
          <w:rFonts w:ascii="Arial" w:eastAsia="Arial" w:hAnsi="Arial" w:cs="Arial"/>
        </w:rPr>
        <w:t xml:space="preserve">, c. 23. </w:t>
      </w:r>
      <w:hyperlink r:id="rId13" w:history="1">
        <w:r w:rsidRPr="00887B60">
          <w:rPr>
            <w:rStyle w:val="Hyperlink"/>
            <w:rFonts w:ascii="Arial" w:hAnsi="Arial" w:cs="Arial"/>
            <w:color w:val="auto"/>
          </w:rPr>
          <w:t>https://www.legislation.gov.uk/ukpga/2014/23/contents</w:t>
        </w:r>
      </w:hyperlink>
    </w:p>
    <w:p w14:paraId="3752F43D" w14:textId="77777777" w:rsidR="002D4FB7" w:rsidRPr="00887B60" w:rsidRDefault="002D4FB7" w:rsidP="002D4FB7">
      <w:pPr>
        <w:spacing w:line="360" w:lineRule="auto"/>
        <w:ind w:left="567" w:hanging="567"/>
        <w:rPr>
          <w:rFonts w:ascii="Arial" w:hAnsi="Arial" w:cs="Arial"/>
        </w:rPr>
      </w:pPr>
      <w:r w:rsidRPr="00887B60">
        <w:rPr>
          <w:rFonts w:ascii="Arial" w:eastAsia="Arial" w:hAnsi="Arial" w:cs="Arial"/>
        </w:rPr>
        <w:t xml:space="preserve">Department of Health and Social Care (2025a) </w:t>
      </w:r>
      <w:r w:rsidRPr="00887B60">
        <w:rPr>
          <w:rFonts w:ascii="Arial" w:eastAsia="Arial" w:hAnsi="Arial" w:cs="Arial"/>
          <w:i/>
          <w:iCs/>
        </w:rPr>
        <w:t>Care and support statutory guidance</w:t>
      </w:r>
      <w:r w:rsidRPr="00887B60">
        <w:rPr>
          <w:rFonts w:ascii="Arial" w:eastAsia="Arial" w:hAnsi="Arial" w:cs="Arial"/>
        </w:rPr>
        <w:t xml:space="preserve">. Updated 22 July 2025. </w:t>
      </w:r>
      <w:hyperlink r:id="rId14" w:history="1">
        <w:r w:rsidRPr="00887B60">
          <w:rPr>
            <w:rStyle w:val="Hyperlink"/>
            <w:rFonts w:ascii="Arial" w:hAnsi="Arial" w:cs="Arial"/>
            <w:color w:val="auto"/>
          </w:rPr>
          <w:t>https://www.gov.uk/government/publications/care-act-statutory-guidance/care-and-support-statutory-guidance</w:t>
        </w:r>
      </w:hyperlink>
    </w:p>
    <w:p w14:paraId="047087C7" w14:textId="77777777" w:rsidR="002D4FB7" w:rsidRPr="00887B60" w:rsidRDefault="002D4FB7" w:rsidP="002D4FB7">
      <w:pPr>
        <w:spacing w:line="360" w:lineRule="auto"/>
        <w:ind w:left="567" w:hanging="567"/>
        <w:rPr>
          <w:rFonts w:ascii="Arial" w:hAnsi="Arial" w:cs="Arial"/>
        </w:rPr>
      </w:pPr>
      <w:r w:rsidRPr="00887B60">
        <w:rPr>
          <w:rFonts w:ascii="Arial" w:eastAsia="Arial" w:hAnsi="Arial" w:cs="Arial"/>
        </w:rPr>
        <w:t xml:space="preserve">Department of Health and Social Care (2025b) </w:t>
      </w:r>
      <w:r w:rsidRPr="00887B60">
        <w:rPr>
          <w:rFonts w:ascii="Arial" w:eastAsia="Arial" w:hAnsi="Arial" w:cs="Arial"/>
          <w:i/>
          <w:iCs/>
        </w:rPr>
        <w:t>Fit for the future: 10 Year Health Plan for England</w:t>
      </w:r>
      <w:r w:rsidRPr="00887B60">
        <w:rPr>
          <w:rFonts w:ascii="Arial" w:eastAsia="Arial" w:hAnsi="Arial" w:cs="Arial"/>
        </w:rPr>
        <w:t xml:space="preserve">. London: DHSC. </w:t>
      </w:r>
      <w:hyperlink r:id="rId15" w:history="1">
        <w:r w:rsidRPr="00887B60">
          <w:rPr>
            <w:rStyle w:val="Hyperlink"/>
            <w:rFonts w:ascii="Arial" w:hAnsi="Arial" w:cs="Arial"/>
            <w:color w:val="auto"/>
          </w:rPr>
          <w:t>https://www.gov.uk/government/publications/10-year-health-plan-for-england-fit-for-the-future</w:t>
        </w:r>
      </w:hyperlink>
    </w:p>
    <w:p w14:paraId="6C1598EF" w14:textId="77777777" w:rsidR="002D4FB7" w:rsidRPr="00887B60" w:rsidRDefault="002D4FB7" w:rsidP="002D4FB7">
      <w:pPr>
        <w:spacing w:line="360" w:lineRule="auto"/>
        <w:ind w:left="567" w:hanging="567"/>
        <w:rPr>
          <w:rFonts w:ascii="Arial" w:hAnsi="Arial" w:cs="Arial"/>
        </w:rPr>
      </w:pPr>
      <w:r w:rsidRPr="00887B60">
        <w:rPr>
          <w:rFonts w:ascii="Arial" w:eastAsia="Arial" w:hAnsi="Arial" w:cs="Arial"/>
        </w:rPr>
        <w:lastRenderedPageBreak/>
        <w:t xml:space="preserve">Elliott, R.A., Boyd, M.J., Salema, N.-E., Davies, J., Barber, N., Mehta, R.L., </w:t>
      </w:r>
      <w:proofErr w:type="spellStart"/>
      <w:r w:rsidRPr="00887B60">
        <w:rPr>
          <w:rFonts w:ascii="Arial" w:eastAsia="Arial" w:hAnsi="Arial" w:cs="Arial"/>
        </w:rPr>
        <w:t>Tanajewski</w:t>
      </w:r>
      <w:proofErr w:type="spellEnd"/>
      <w:r w:rsidRPr="00887B60">
        <w:rPr>
          <w:rFonts w:ascii="Arial" w:eastAsia="Arial" w:hAnsi="Arial" w:cs="Arial"/>
        </w:rPr>
        <w:t xml:space="preserve">, L., Waring, J., Latif, A., Gkountouras, G., Avery, A.J., Chuter, A. and Craig, C. (2016) ‘Supporting adherence for people starting a new medicine for a long-term condition through community pharmacies: a pragmatic randomised controlled trial of the New Medicine Service’, </w:t>
      </w:r>
      <w:r w:rsidRPr="00887B60">
        <w:rPr>
          <w:rFonts w:ascii="Arial" w:eastAsia="Arial" w:hAnsi="Arial" w:cs="Arial"/>
          <w:i/>
          <w:iCs/>
        </w:rPr>
        <w:t>BMJ Quality &amp; Safety</w:t>
      </w:r>
      <w:r w:rsidRPr="00887B60">
        <w:rPr>
          <w:rFonts w:ascii="Arial" w:eastAsia="Arial" w:hAnsi="Arial" w:cs="Arial"/>
        </w:rPr>
        <w:t xml:space="preserve">, 25(10), pp. 747–758. </w:t>
      </w:r>
      <w:hyperlink r:id="rId16" w:history="1">
        <w:r w:rsidRPr="00887B60">
          <w:rPr>
            <w:rStyle w:val="Hyperlink"/>
            <w:rFonts w:ascii="Arial" w:hAnsi="Arial" w:cs="Arial"/>
            <w:color w:val="auto"/>
          </w:rPr>
          <w:t>https://doi.org/10.1136/bmjqs-2015-004400</w:t>
        </w:r>
      </w:hyperlink>
    </w:p>
    <w:p w14:paraId="1398F925" w14:textId="77777777" w:rsidR="002D4FB7" w:rsidRPr="00887B60" w:rsidRDefault="002D4FB7" w:rsidP="002D4FB7">
      <w:pPr>
        <w:spacing w:line="360" w:lineRule="auto"/>
        <w:ind w:left="567" w:hanging="567"/>
        <w:rPr>
          <w:rFonts w:ascii="Arial" w:hAnsi="Arial" w:cs="Arial"/>
        </w:rPr>
      </w:pPr>
      <w:r w:rsidRPr="00887B60">
        <w:rPr>
          <w:rFonts w:ascii="Arial" w:eastAsia="Arial" w:hAnsi="Arial" w:cs="Arial"/>
        </w:rPr>
        <w:t xml:space="preserve">Hart, J.T. (1971) ‘The inverse care law’, </w:t>
      </w:r>
      <w:r w:rsidRPr="00887B60">
        <w:rPr>
          <w:rFonts w:ascii="Arial" w:eastAsia="Arial" w:hAnsi="Arial" w:cs="Arial"/>
          <w:i/>
          <w:iCs/>
        </w:rPr>
        <w:t>The Lancet</w:t>
      </w:r>
      <w:r w:rsidRPr="00887B60">
        <w:rPr>
          <w:rFonts w:ascii="Arial" w:eastAsia="Arial" w:hAnsi="Arial" w:cs="Arial"/>
        </w:rPr>
        <w:t xml:space="preserve">, 297(7696), pp. 405–412. </w:t>
      </w:r>
      <w:hyperlink r:id="rId17" w:history="1">
        <w:r w:rsidRPr="00887B60">
          <w:rPr>
            <w:rStyle w:val="Hyperlink"/>
            <w:rFonts w:ascii="Arial" w:hAnsi="Arial" w:cs="Arial"/>
            <w:color w:val="auto"/>
          </w:rPr>
          <w:t>https://doi.org/10.1016/S0140-6736(71)92410-X</w:t>
        </w:r>
      </w:hyperlink>
    </w:p>
    <w:p w14:paraId="6E9ABEB4" w14:textId="77777777" w:rsidR="002D4FB7" w:rsidRPr="00887B60" w:rsidRDefault="002D4FB7" w:rsidP="002D4FB7">
      <w:pPr>
        <w:spacing w:line="360" w:lineRule="auto"/>
        <w:ind w:left="567" w:hanging="567"/>
        <w:rPr>
          <w:rFonts w:ascii="Arial" w:hAnsi="Arial" w:cs="Arial"/>
        </w:rPr>
      </w:pPr>
      <w:r w:rsidRPr="00887B60">
        <w:rPr>
          <w:rFonts w:ascii="Arial" w:eastAsia="Arial" w:hAnsi="Arial" w:cs="Arial"/>
        </w:rPr>
        <w:t xml:space="preserve">Lalani, M., Chu, I., Pacho, A., </w:t>
      </w:r>
      <w:proofErr w:type="spellStart"/>
      <w:r w:rsidRPr="00887B60">
        <w:rPr>
          <w:rFonts w:ascii="Arial" w:eastAsia="Arial" w:hAnsi="Arial" w:cs="Arial"/>
        </w:rPr>
        <w:t>Matuluko</w:t>
      </w:r>
      <w:proofErr w:type="spellEnd"/>
      <w:r w:rsidRPr="00887B60">
        <w:rPr>
          <w:rFonts w:ascii="Arial" w:eastAsia="Arial" w:hAnsi="Arial" w:cs="Arial"/>
        </w:rPr>
        <w:t xml:space="preserve">, A., Hussain, B., Anderson, C., Mays, N. and Glover, R.E. (2026) ‘Understanding the factors involved in the development and early implementation of “Pharmacy First” services for the management of common conditions in England’, </w:t>
      </w:r>
      <w:r w:rsidRPr="00887B60">
        <w:rPr>
          <w:rFonts w:ascii="Arial" w:eastAsia="Arial" w:hAnsi="Arial" w:cs="Arial"/>
          <w:i/>
          <w:iCs/>
        </w:rPr>
        <w:t>International Journal of Health Policy and Management</w:t>
      </w:r>
      <w:r w:rsidRPr="00887B60">
        <w:rPr>
          <w:rFonts w:ascii="Arial" w:eastAsia="Arial" w:hAnsi="Arial" w:cs="Arial"/>
        </w:rPr>
        <w:t xml:space="preserve">, 15(1), pp. 1–12. </w:t>
      </w:r>
      <w:hyperlink r:id="rId18" w:history="1">
        <w:r w:rsidRPr="00887B60">
          <w:rPr>
            <w:rStyle w:val="Hyperlink"/>
            <w:rFonts w:ascii="Arial" w:hAnsi="Arial" w:cs="Arial"/>
            <w:color w:val="auto"/>
          </w:rPr>
          <w:t>https://doi.org/10.34172/ijhpm.9442</w:t>
        </w:r>
      </w:hyperlink>
    </w:p>
    <w:p w14:paraId="4192FD6C" w14:textId="77777777" w:rsidR="002D4FB7" w:rsidRPr="00887B60" w:rsidRDefault="002D4FB7" w:rsidP="002D4FB7">
      <w:pPr>
        <w:spacing w:line="360" w:lineRule="auto"/>
        <w:ind w:left="567" w:hanging="567"/>
        <w:rPr>
          <w:rFonts w:ascii="Arial" w:hAnsi="Arial" w:cs="Arial"/>
        </w:rPr>
      </w:pPr>
      <w:r w:rsidRPr="00887B60">
        <w:rPr>
          <w:rFonts w:ascii="Arial" w:eastAsia="Arial" w:hAnsi="Arial" w:cs="Arial"/>
        </w:rPr>
        <w:t xml:space="preserve">Robinson, J. (2016) ‘Looking back at 175 years of the Royal Pharmaceutical Society’, </w:t>
      </w:r>
      <w:r w:rsidRPr="00887B60">
        <w:rPr>
          <w:rFonts w:ascii="Arial" w:eastAsia="Arial" w:hAnsi="Arial" w:cs="Arial"/>
          <w:i/>
          <w:iCs/>
        </w:rPr>
        <w:t>The Pharmaceutical Journal</w:t>
      </w:r>
      <w:r w:rsidRPr="00887B60">
        <w:rPr>
          <w:rFonts w:ascii="Arial" w:eastAsia="Arial" w:hAnsi="Arial" w:cs="Arial"/>
        </w:rPr>
        <w:t xml:space="preserve">, 15 April. </w:t>
      </w:r>
      <w:hyperlink r:id="rId19" w:history="1">
        <w:r w:rsidRPr="00887B60">
          <w:rPr>
            <w:rStyle w:val="Hyperlink"/>
            <w:rFonts w:ascii="Arial" w:hAnsi="Arial" w:cs="Arial"/>
            <w:color w:val="auto"/>
          </w:rPr>
          <w:t>https://pharmaceutical-journal.com/article/feature/looking-back-at-175-years-of-the-royal-pharmaceutical-society</w:t>
        </w:r>
      </w:hyperlink>
    </w:p>
    <w:p w14:paraId="3F10DFCB" w14:textId="77777777" w:rsidR="002D4FB7" w:rsidRPr="00887B60" w:rsidRDefault="002D4FB7" w:rsidP="002D4FB7">
      <w:pPr>
        <w:spacing w:line="360" w:lineRule="auto"/>
        <w:ind w:left="567" w:hanging="567"/>
        <w:rPr>
          <w:rFonts w:ascii="Arial" w:hAnsi="Arial" w:cs="Arial"/>
        </w:rPr>
      </w:pPr>
      <w:r w:rsidRPr="00887B60">
        <w:rPr>
          <w:rFonts w:ascii="Arial" w:eastAsia="Arial" w:hAnsi="Arial" w:cs="Arial"/>
        </w:rPr>
        <w:t xml:space="preserve">Skills for Care (2025) </w:t>
      </w:r>
      <w:r w:rsidRPr="00887B60">
        <w:rPr>
          <w:rFonts w:ascii="Arial" w:eastAsia="Arial" w:hAnsi="Arial" w:cs="Arial"/>
          <w:i/>
          <w:iCs/>
        </w:rPr>
        <w:t>The state of the adult social care sector and workforce in England 2025</w:t>
      </w:r>
      <w:r w:rsidRPr="00887B60">
        <w:rPr>
          <w:rFonts w:ascii="Arial" w:eastAsia="Arial" w:hAnsi="Arial" w:cs="Arial"/>
        </w:rPr>
        <w:t xml:space="preserve">. Leeds: Skills for Care. </w:t>
      </w:r>
      <w:hyperlink r:id="rId20" w:history="1">
        <w:r w:rsidRPr="00887B60">
          <w:rPr>
            <w:rStyle w:val="Hyperlink"/>
            <w:rFonts w:ascii="Arial" w:hAnsi="Arial" w:cs="Arial"/>
            <w:color w:val="auto"/>
          </w:rPr>
          <w:t>https://www.skillsforcare.org.uk/Adult-Social-Care-Workforce-Data/workforceintelligence/resources/Reports/National/The-state-of-the-adult-social-care-sector-and-workforce-in-England-2025.pdf</w:t>
        </w:r>
      </w:hyperlink>
    </w:p>
    <w:p w14:paraId="05663422" w14:textId="77777777" w:rsidR="002D4FB7" w:rsidRPr="00887B60" w:rsidRDefault="002D4FB7" w:rsidP="002D4FB7">
      <w:pPr>
        <w:spacing w:line="360" w:lineRule="auto"/>
        <w:ind w:left="567" w:hanging="567"/>
        <w:rPr>
          <w:rFonts w:ascii="Arial" w:hAnsi="Arial" w:cs="Arial"/>
        </w:rPr>
      </w:pPr>
      <w:r w:rsidRPr="00887B60">
        <w:rPr>
          <w:rFonts w:ascii="Arial" w:eastAsia="Arial" w:hAnsi="Arial" w:cs="Arial"/>
        </w:rPr>
        <w:t xml:space="preserve">Todd, A., Copeland, A., Husband, A., Kasim, A. and Bambra, C. (2014) ‘The positive pharmacy care law: an area-level analysis of the relationship between community pharmacy distribution, urbanity and social deprivation in England’, </w:t>
      </w:r>
      <w:r w:rsidRPr="00887B60">
        <w:rPr>
          <w:rFonts w:ascii="Arial" w:eastAsia="Arial" w:hAnsi="Arial" w:cs="Arial"/>
          <w:i/>
          <w:iCs/>
        </w:rPr>
        <w:t>BMJ Open</w:t>
      </w:r>
      <w:r w:rsidRPr="00887B60">
        <w:rPr>
          <w:rFonts w:ascii="Arial" w:eastAsia="Arial" w:hAnsi="Arial" w:cs="Arial"/>
        </w:rPr>
        <w:t xml:space="preserve">, 4(8), e005764. </w:t>
      </w:r>
      <w:hyperlink r:id="rId21" w:history="1">
        <w:r w:rsidRPr="00887B60">
          <w:rPr>
            <w:rStyle w:val="Hyperlink"/>
            <w:rFonts w:ascii="Arial" w:hAnsi="Arial" w:cs="Arial"/>
            <w:color w:val="auto"/>
          </w:rPr>
          <w:t>https://doi.org/10.1136/bmjopen-2014-005764</w:t>
        </w:r>
      </w:hyperlink>
    </w:p>
    <w:p w14:paraId="3CEAB778" w14:textId="77777777" w:rsidR="002D4FB7" w:rsidRPr="00887B60" w:rsidRDefault="002D4FB7" w:rsidP="002D4FB7">
      <w:pPr>
        <w:spacing w:line="360" w:lineRule="auto"/>
        <w:ind w:left="567" w:hanging="567"/>
        <w:rPr>
          <w:rFonts w:ascii="Arial" w:hAnsi="Arial" w:cs="Arial"/>
        </w:rPr>
      </w:pPr>
      <w:proofErr w:type="spellStart"/>
      <w:r w:rsidRPr="00887B60">
        <w:rPr>
          <w:rFonts w:ascii="Arial" w:eastAsia="Arial" w:hAnsi="Arial" w:cs="Arial"/>
        </w:rPr>
        <w:t>Vadean</w:t>
      </w:r>
      <w:proofErr w:type="spellEnd"/>
      <w:r w:rsidRPr="00887B60">
        <w:rPr>
          <w:rFonts w:ascii="Arial" w:eastAsia="Arial" w:hAnsi="Arial" w:cs="Arial"/>
        </w:rPr>
        <w:t xml:space="preserve">, F. and </w:t>
      </w:r>
      <w:proofErr w:type="spellStart"/>
      <w:r w:rsidRPr="00887B60">
        <w:rPr>
          <w:rFonts w:ascii="Arial" w:eastAsia="Arial" w:hAnsi="Arial" w:cs="Arial"/>
        </w:rPr>
        <w:t>Saloniki</w:t>
      </w:r>
      <w:proofErr w:type="spellEnd"/>
      <w:r w:rsidRPr="00887B60">
        <w:rPr>
          <w:rFonts w:ascii="Arial" w:eastAsia="Arial" w:hAnsi="Arial" w:cs="Arial"/>
        </w:rPr>
        <w:t xml:space="preserve">, E.-C. (2023) ‘Job quality and job separation of direct care workers in England’, </w:t>
      </w:r>
      <w:r w:rsidRPr="00887B60">
        <w:rPr>
          <w:rFonts w:ascii="Arial" w:eastAsia="Arial" w:hAnsi="Arial" w:cs="Arial"/>
          <w:i/>
          <w:iCs/>
        </w:rPr>
        <w:t>Innovation in Aging</w:t>
      </w:r>
      <w:r w:rsidRPr="00887B60">
        <w:rPr>
          <w:rFonts w:ascii="Arial" w:eastAsia="Arial" w:hAnsi="Arial" w:cs="Arial"/>
        </w:rPr>
        <w:t xml:space="preserve">, 7(2), igad009. </w:t>
      </w:r>
      <w:hyperlink r:id="rId22" w:history="1">
        <w:r w:rsidRPr="00887B60">
          <w:rPr>
            <w:rStyle w:val="Hyperlink"/>
            <w:rFonts w:ascii="Arial" w:hAnsi="Arial" w:cs="Arial"/>
            <w:color w:val="auto"/>
          </w:rPr>
          <w:t>https://doi.org/10.1093/geroni/igad009</w:t>
        </w:r>
      </w:hyperlink>
    </w:p>
    <w:p w14:paraId="138D5C80" w14:textId="77777777" w:rsidR="002D4FB7" w:rsidRPr="00887B60" w:rsidRDefault="002D4FB7" w:rsidP="002D4FB7">
      <w:pPr>
        <w:spacing w:line="360" w:lineRule="auto"/>
        <w:ind w:left="567" w:hanging="567"/>
        <w:rPr>
          <w:rFonts w:ascii="Arial" w:hAnsi="Arial" w:cs="Arial"/>
        </w:rPr>
      </w:pPr>
      <w:r w:rsidRPr="00887B60">
        <w:rPr>
          <w:rFonts w:ascii="Arial" w:eastAsia="Arial" w:hAnsi="Arial" w:cs="Arial"/>
        </w:rPr>
        <w:t xml:space="preserve">Wang, F., Tobin, K., Thomas, S., Lowe, R. and Adrion, E.R. (2025) ‘Unmet need, under-met need and public financing of home care in England’, </w:t>
      </w:r>
      <w:r w:rsidRPr="00887B60">
        <w:rPr>
          <w:rFonts w:ascii="Arial" w:eastAsia="Arial" w:hAnsi="Arial" w:cs="Arial"/>
          <w:i/>
          <w:iCs/>
        </w:rPr>
        <w:t>Ageing &amp; Society</w:t>
      </w:r>
      <w:r w:rsidRPr="00887B60">
        <w:rPr>
          <w:rFonts w:ascii="Arial" w:eastAsia="Arial" w:hAnsi="Arial" w:cs="Arial"/>
        </w:rPr>
        <w:t xml:space="preserve">, 45(11), pp. 2409–2431. </w:t>
      </w:r>
      <w:hyperlink r:id="rId23" w:history="1">
        <w:r w:rsidRPr="00887B60">
          <w:rPr>
            <w:rStyle w:val="Hyperlink"/>
            <w:rFonts w:ascii="Arial" w:hAnsi="Arial" w:cs="Arial"/>
            <w:color w:val="auto"/>
          </w:rPr>
          <w:t>https://doi.org/10.1017/S0144686X25100160</w:t>
        </w:r>
      </w:hyperlink>
    </w:p>
    <w:p w14:paraId="31224F2D" w14:textId="77777777" w:rsidR="002D4FB7" w:rsidRPr="00887B60" w:rsidRDefault="002D4FB7" w:rsidP="002D4FB7">
      <w:pPr>
        <w:spacing w:line="360" w:lineRule="auto"/>
        <w:ind w:left="567" w:hanging="567"/>
        <w:rPr>
          <w:rFonts w:ascii="Arial" w:hAnsi="Arial" w:cs="Arial"/>
        </w:rPr>
      </w:pPr>
    </w:p>
    <w:p w14:paraId="03D7A4BD" w14:textId="77777777" w:rsidR="002D4FB7" w:rsidRPr="00887B60" w:rsidRDefault="002D4FB7" w:rsidP="00CD724E">
      <w:pPr>
        <w:spacing w:line="360" w:lineRule="auto"/>
        <w:jc w:val="both"/>
        <w:rPr>
          <w:rFonts w:ascii="Arial" w:hAnsi="Arial" w:cs="Arial"/>
        </w:rPr>
      </w:pPr>
    </w:p>
    <w:sectPr w:rsidR="002D4FB7" w:rsidRPr="00887B60">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A9436A" w14:textId="77777777" w:rsidR="0085011E" w:rsidRDefault="0085011E" w:rsidP="00176FBA">
      <w:pPr>
        <w:spacing w:after="0" w:line="240" w:lineRule="auto"/>
      </w:pPr>
      <w:r>
        <w:separator/>
      </w:r>
    </w:p>
  </w:endnote>
  <w:endnote w:type="continuationSeparator" w:id="0">
    <w:p w14:paraId="4B047C0D" w14:textId="77777777" w:rsidR="0085011E" w:rsidRDefault="0085011E" w:rsidP="00176F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4200964"/>
      <w:docPartObj>
        <w:docPartGallery w:val="Page Numbers (Bottom of Page)"/>
        <w:docPartUnique/>
      </w:docPartObj>
    </w:sdtPr>
    <w:sdtContent>
      <w:sdt>
        <w:sdtPr>
          <w:id w:val="-1705238520"/>
          <w:docPartObj>
            <w:docPartGallery w:val="Page Numbers (Top of Page)"/>
            <w:docPartUnique/>
          </w:docPartObj>
        </w:sdtPr>
        <w:sdtContent>
          <w:p w14:paraId="5D520930" w14:textId="78A4FEBD" w:rsidR="00176FBA" w:rsidRDefault="00176FBA">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3EFFDE1" w14:textId="77777777" w:rsidR="00176FBA" w:rsidRDefault="00176F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20DBA6" w14:textId="77777777" w:rsidR="0085011E" w:rsidRDefault="0085011E" w:rsidP="00176FBA">
      <w:pPr>
        <w:spacing w:after="0" w:line="240" w:lineRule="auto"/>
      </w:pPr>
      <w:r>
        <w:separator/>
      </w:r>
    </w:p>
  </w:footnote>
  <w:footnote w:type="continuationSeparator" w:id="0">
    <w:p w14:paraId="37C4E854" w14:textId="77777777" w:rsidR="0085011E" w:rsidRDefault="0085011E" w:rsidP="00176F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6C4"/>
    <w:rsid w:val="00176FBA"/>
    <w:rsid w:val="002D4FB7"/>
    <w:rsid w:val="00666549"/>
    <w:rsid w:val="006F412D"/>
    <w:rsid w:val="0085011E"/>
    <w:rsid w:val="00887B60"/>
    <w:rsid w:val="00CD724E"/>
    <w:rsid w:val="00D106C4"/>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D8916"/>
  <w15:chartTrackingRefBased/>
  <w15:docId w15:val="{3D314A1A-43F2-4863-A0BC-85D3E21A7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link w:val="Heading1Char"/>
    <w:uiPriority w:val="9"/>
    <w:qFormat/>
    <w:rsid w:val="00D106C4"/>
    <w:pPr>
      <w:spacing w:after="0" w:line="240" w:lineRule="auto"/>
      <w:outlineLvl w:val="0"/>
    </w:pPr>
    <w:rPr>
      <w:rFonts w:ascii="Arial" w:eastAsia="Arial" w:hAnsi="Arial" w:cs="Arial"/>
      <w:b/>
      <w:bCs/>
      <w:color w:val="1F3864"/>
      <w:sz w:val="28"/>
      <w:szCs w:val="28"/>
      <w:lang w:val="en-KE" w:eastAsia="en-K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06C4"/>
    <w:rPr>
      <w:rFonts w:ascii="Arial" w:eastAsia="Arial" w:hAnsi="Arial" w:cs="Arial"/>
      <w:b/>
      <w:bCs/>
      <w:color w:val="1F3864"/>
      <w:sz w:val="28"/>
      <w:szCs w:val="28"/>
      <w:lang w:val="en-KE" w:eastAsia="en-KE"/>
    </w:rPr>
  </w:style>
  <w:style w:type="character" w:styleId="Hyperlink">
    <w:name w:val="Hyperlink"/>
    <w:uiPriority w:val="99"/>
    <w:unhideWhenUsed/>
    <w:rsid w:val="002D4FB7"/>
    <w:rPr>
      <w:color w:val="0563C1"/>
      <w:u w:val="single"/>
    </w:rPr>
  </w:style>
  <w:style w:type="paragraph" w:styleId="TOCHeading">
    <w:name w:val="TOC Heading"/>
    <w:basedOn w:val="Heading1"/>
    <w:next w:val="Normal"/>
    <w:uiPriority w:val="39"/>
    <w:unhideWhenUsed/>
    <w:qFormat/>
    <w:rsid w:val="00176FBA"/>
    <w:pPr>
      <w:keepNext/>
      <w:keepLines/>
      <w:spacing w:before="240" w:line="259" w:lineRule="auto"/>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176FBA"/>
    <w:pPr>
      <w:spacing w:after="100"/>
    </w:pPr>
  </w:style>
  <w:style w:type="paragraph" w:styleId="Header">
    <w:name w:val="header"/>
    <w:basedOn w:val="Normal"/>
    <w:link w:val="HeaderChar"/>
    <w:uiPriority w:val="99"/>
    <w:unhideWhenUsed/>
    <w:rsid w:val="00176F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FBA"/>
    <w:rPr>
      <w:lang w:val="en-GB"/>
    </w:rPr>
  </w:style>
  <w:style w:type="paragraph" w:styleId="Footer">
    <w:name w:val="footer"/>
    <w:basedOn w:val="Normal"/>
    <w:link w:val="FooterChar"/>
    <w:uiPriority w:val="99"/>
    <w:unhideWhenUsed/>
    <w:rsid w:val="00176F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FB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ass.org.uk/adass-spring-survey-rising-adult-social-care-needs-leave-councils-715-million-over-budget/" TargetMode="External"/><Relationship Id="rId13" Type="http://schemas.openxmlformats.org/officeDocument/2006/relationships/hyperlink" Target="https://www.legislation.gov.uk/ukpga/2014/23/contents" TargetMode="External"/><Relationship Id="rId18" Type="http://schemas.openxmlformats.org/officeDocument/2006/relationships/hyperlink" Target="https://doi.org/10.34172/ijhpm.9442"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136/bmjopen-2014-005764" TargetMode="External"/><Relationship Id="rId7" Type="http://schemas.openxmlformats.org/officeDocument/2006/relationships/hyperlink" Target="https://doi.org/10.1136/bmjopen-2024-095540" TargetMode="External"/><Relationship Id="rId12" Type="http://schemas.openxmlformats.org/officeDocument/2006/relationships/hyperlink" Target="https://www.birmingham.gov.uk/news/article/1773/birmingham_maintains_good_rating_for_adult_social_care" TargetMode="External"/><Relationship Id="rId17" Type="http://schemas.openxmlformats.org/officeDocument/2006/relationships/hyperlink" Target="https://doi.org/10.1016/S0140-6736(71)92410-X"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36/bmjqs-2015-004400" TargetMode="External"/><Relationship Id="rId20" Type="http://schemas.openxmlformats.org/officeDocument/2006/relationships/hyperlink" Target="https://www.skillsforcare.org.uk/Adult-Social-Care-Workforce-Data/workforceintelligence/resources/Reports/National/The-state-of-the-adult-social-care-sector-and-workforce-in-England-2025.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irmingham.gov.uk/download/downloads/id/30893/home_support_-_mps_-_full_document.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uk/government/publications/10-year-health-plan-for-england-fit-for-the-future" TargetMode="External"/><Relationship Id="rId23" Type="http://schemas.openxmlformats.org/officeDocument/2006/relationships/hyperlink" Target="https://doi.org/10.1017/S0144686X25100160" TargetMode="External"/><Relationship Id="rId10" Type="http://schemas.openxmlformats.org/officeDocument/2006/relationships/hyperlink" Target="https://commonslibrary.parliament.uk/research-briefings/cbp-9854/" TargetMode="External"/><Relationship Id="rId19" Type="http://schemas.openxmlformats.org/officeDocument/2006/relationships/hyperlink" Target="https://pharmaceutical-journal.com/article/feature/looking-back-at-175-years-of-the-royal-pharmaceutical-society" TargetMode="External"/><Relationship Id="rId4" Type="http://schemas.openxmlformats.org/officeDocument/2006/relationships/webSettings" Target="webSettings.xml"/><Relationship Id="rId9" Type="http://schemas.openxmlformats.org/officeDocument/2006/relationships/hyperlink" Target="https://doi.org/10.1136/jech.2006.055442" TargetMode="External"/><Relationship Id="rId14" Type="http://schemas.openxmlformats.org/officeDocument/2006/relationships/hyperlink" Target="https://www.gov.uk/government/publications/care-act-statutory-guidance/care-and-support-statutory-guidance" TargetMode="External"/><Relationship Id="rId22" Type="http://schemas.openxmlformats.org/officeDocument/2006/relationships/hyperlink" Target="https://doi.org/10.1093/geroni/igad0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53839C-ABFC-41C2-BAE3-E7C02FB678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8</Pages>
  <Words>2679</Words>
  <Characters>15272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sarha Alif</dc:creator>
  <cp:keywords/>
  <dc:description/>
  <cp:lastModifiedBy>USER</cp:lastModifiedBy>
  <cp:revision>3</cp:revision>
  <dcterms:created xsi:type="dcterms:W3CDTF">2026-10-11T13:33:00Z</dcterms:created>
  <dcterms:modified xsi:type="dcterms:W3CDTF">2026-10-11T14:22:00Z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e9ef6f85-b01f-40dc-943c-ed6bef4104ef</vt:lpwstr>
  </property>
</Properties>
</file>