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004328"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3A1D1DFD"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0A143F31"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45C8EAD4"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47E5B16A"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51D406A6"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4E0FF1A9"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54B6B4B0"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003EAB0B"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7F347612"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1AA28FC5"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69724AC3"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60AAFEA5"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1AF7D7AF"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311A22F3"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52BB9DF7"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02A7F6D5"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00B504A7"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3B8021C9" w14:textId="77777777" w:rsidR="00391A5D" w:rsidRPr="00391A5D" w:rsidRDefault="00391A5D" w:rsidP="00391A5D">
      <w:pPr>
        <w:pStyle w:val="NormalWeb"/>
        <w:spacing w:before="0" w:beforeAutospacing="0" w:after="0" w:afterAutospacing="0" w:line="360" w:lineRule="auto"/>
        <w:jc w:val="center"/>
        <w:rPr>
          <w:rStyle w:val="Strong"/>
          <w:color w:val="0E101A"/>
          <w:sz w:val="44"/>
          <w:szCs w:val="44"/>
          <w:lang w:val="en-GB"/>
        </w:rPr>
      </w:pPr>
      <w:r w:rsidRPr="00391A5D">
        <w:rPr>
          <w:rStyle w:val="Strong"/>
          <w:color w:val="0E101A"/>
          <w:sz w:val="44"/>
          <w:szCs w:val="44"/>
          <w:lang w:val="en-GB"/>
        </w:rPr>
        <w:t>COMMUNITY ENGAGEMENT ASSESMENT</w:t>
      </w:r>
    </w:p>
    <w:p w14:paraId="3D9CDF73"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463517CB"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7DDE987D"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5F8CFA21"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3E64B49B"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38717860"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7423BB16"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19CD2E62"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6F7934F3"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17F135D5"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1BAAE10E"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0588A42A"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660E9D12"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59ACB61F"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51D3A365"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sdt>
      <w:sdtPr>
        <w:rPr>
          <w:rFonts w:asciiTheme="minorHAnsi" w:eastAsiaTheme="minorHAnsi" w:hAnsiTheme="minorHAnsi" w:cstheme="minorBidi"/>
          <w:color w:val="auto"/>
          <w:sz w:val="22"/>
          <w:szCs w:val="22"/>
          <w:lang w:val="en-IN" w:eastAsia="en-US"/>
        </w:rPr>
        <w:id w:val="1358854903"/>
        <w:docPartObj>
          <w:docPartGallery w:val="Table of Contents"/>
          <w:docPartUnique/>
        </w:docPartObj>
      </w:sdtPr>
      <w:sdtEndPr>
        <w:rPr>
          <w:b w:val="0"/>
          <w:bCs w:val="0"/>
          <w:noProof/>
        </w:rPr>
      </w:sdtEndPr>
      <w:sdtContent>
        <w:p w14:paraId="3F303541" w14:textId="77777777" w:rsidR="00391A5D" w:rsidRPr="00391A5D" w:rsidRDefault="00391A5D" w:rsidP="00391A5D">
          <w:pPr>
            <w:pStyle w:val="TOCHeading"/>
            <w:jc w:val="center"/>
            <w:rPr>
              <w:rFonts w:ascii="Times New Roman" w:hAnsi="Times New Roman" w:cs="Times New Roman"/>
              <w:color w:val="auto"/>
            </w:rPr>
          </w:pPr>
          <w:r w:rsidRPr="00391A5D">
            <w:rPr>
              <w:rFonts w:ascii="Times New Roman" w:hAnsi="Times New Roman" w:cs="Times New Roman"/>
              <w:color w:val="auto"/>
            </w:rPr>
            <w:t>Table of Contents</w:t>
          </w:r>
        </w:p>
        <w:p w14:paraId="3777D71B" w14:textId="77777777" w:rsidR="00391A5D" w:rsidRPr="00391A5D" w:rsidRDefault="00391A5D" w:rsidP="00391A5D">
          <w:pPr>
            <w:pStyle w:val="TOC1"/>
            <w:tabs>
              <w:tab w:val="right" w:leader="dot" w:pos="9016"/>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00663334" w:history="1">
            <w:r w:rsidRPr="00391A5D">
              <w:rPr>
                <w:rStyle w:val="Hyperlink"/>
                <w:rFonts w:ascii="Times New Roman" w:hAnsi="Times New Roman" w:cs="Times New Roman"/>
                <w:noProof/>
                <w:sz w:val="24"/>
                <w:szCs w:val="24"/>
              </w:rPr>
              <w:t>Introduction</w:t>
            </w:r>
            <w:r w:rsidRPr="00391A5D">
              <w:rPr>
                <w:rFonts w:ascii="Times New Roman" w:hAnsi="Times New Roman" w:cs="Times New Roman"/>
                <w:noProof/>
                <w:webHidden/>
                <w:sz w:val="24"/>
                <w:szCs w:val="24"/>
              </w:rPr>
              <w:tab/>
            </w:r>
            <w:r w:rsidRPr="00391A5D">
              <w:rPr>
                <w:rFonts w:ascii="Times New Roman" w:hAnsi="Times New Roman" w:cs="Times New Roman"/>
                <w:noProof/>
                <w:webHidden/>
                <w:sz w:val="24"/>
                <w:szCs w:val="24"/>
              </w:rPr>
              <w:fldChar w:fldCharType="begin"/>
            </w:r>
            <w:r w:rsidRPr="00391A5D">
              <w:rPr>
                <w:rFonts w:ascii="Times New Roman" w:hAnsi="Times New Roman" w:cs="Times New Roman"/>
                <w:noProof/>
                <w:webHidden/>
                <w:sz w:val="24"/>
                <w:szCs w:val="24"/>
              </w:rPr>
              <w:instrText xml:space="preserve"> PAGEREF _Toc100663334 \h </w:instrText>
            </w:r>
            <w:r w:rsidRPr="00391A5D">
              <w:rPr>
                <w:rFonts w:ascii="Times New Roman" w:hAnsi="Times New Roman" w:cs="Times New Roman"/>
                <w:noProof/>
                <w:webHidden/>
                <w:sz w:val="24"/>
                <w:szCs w:val="24"/>
              </w:rPr>
            </w:r>
            <w:r w:rsidRPr="00391A5D">
              <w:rPr>
                <w:rFonts w:ascii="Times New Roman" w:hAnsi="Times New Roman" w:cs="Times New Roman"/>
                <w:noProof/>
                <w:webHidden/>
                <w:sz w:val="24"/>
                <w:szCs w:val="24"/>
              </w:rPr>
              <w:fldChar w:fldCharType="separate"/>
            </w:r>
            <w:r w:rsidRPr="00391A5D">
              <w:rPr>
                <w:rFonts w:ascii="Times New Roman" w:hAnsi="Times New Roman" w:cs="Times New Roman"/>
                <w:noProof/>
                <w:webHidden/>
                <w:sz w:val="24"/>
                <w:szCs w:val="24"/>
              </w:rPr>
              <w:t>3</w:t>
            </w:r>
            <w:r w:rsidRPr="00391A5D">
              <w:rPr>
                <w:rFonts w:ascii="Times New Roman" w:hAnsi="Times New Roman" w:cs="Times New Roman"/>
                <w:noProof/>
                <w:webHidden/>
                <w:sz w:val="24"/>
                <w:szCs w:val="24"/>
              </w:rPr>
              <w:fldChar w:fldCharType="end"/>
            </w:r>
          </w:hyperlink>
        </w:p>
        <w:p w14:paraId="0B83EE25" w14:textId="77777777" w:rsidR="00391A5D" w:rsidRPr="00391A5D" w:rsidRDefault="008E2DB4" w:rsidP="00391A5D">
          <w:pPr>
            <w:pStyle w:val="TOC1"/>
            <w:tabs>
              <w:tab w:val="right" w:leader="dot" w:pos="9016"/>
            </w:tabs>
            <w:spacing w:line="360" w:lineRule="auto"/>
            <w:rPr>
              <w:rFonts w:ascii="Times New Roman" w:hAnsi="Times New Roman" w:cs="Times New Roman"/>
              <w:noProof/>
              <w:sz w:val="24"/>
              <w:szCs w:val="24"/>
            </w:rPr>
          </w:pPr>
          <w:hyperlink w:anchor="_Toc100663335" w:history="1">
            <w:r w:rsidR="00391A5D" w:rsidRPr="00391A5D">
              <w:rPr>
                <w:rStyle w:val="Hyperlink"/>
                <w:rFonts w:ascii="Times New Roman" w:hAnsi="Times New Roman" w:cs="Times New Roman"/>
                <w:noProof/>
                <w:sz w:val="24"/>
                <w:szCs w:val="24"/>
              </w:rPr>
              <w:t>Discussion</w:t>
            </w:r>
            <w:r w:rsidR="00391A5D" w:rsidRPr="00391A5D">
              <w:rPr>
                <w:rFonts w:ascii="Times New Roman" w:hAnsi="Times New Roman" w:cs="Times New Roman"/>
                <w:noProof/>
                <w:webHidden/>
                <w:sz w:val="24"/>
                <w:szCs w:val="24"/>
              </w:rPr>
              <w:tab/>
            </w:r>
            <w:r w:rsidR="00391A5D" w:rsidRPr="00391A5D">
              <w:rPr>
                <w:rFonts w:ascii="Times New Roman" w:hAnsi="Times New Roman" w:cs="Times New Roman"/>
                <w:noProof/>
                <w:webHidden/>
                <w:sz w:val="24"/>
                <w:szCs w:val="24"/>
              </w:rPr>
              <w:fldChar w:fldCharType="begin"/>
            </w:r>
            <w:r w:rsidR="00391A5D" w:rsidRPr="00391A5D">
              <w:rPr>
                <w:rFonts w:ascii="Times New Roman" w:hAnsi="Times New Roman" w:cs="Times New Roman"/>
                <w:noProof/>
                <w:webHidden/>
                <w:sz w:val="24"/>
                <w:szCs w:val="24"/>
              </w:rPr>
              <w:instrText xml:space="preserve"> PAGEREF _Toc100663335 \h </w:instrText>
            </w:r>
            <w:r w:rsidR="00391A5D" w:rsidRPr="00391A5D">
              <w:rPr>
                <w:rFonts w:ascii="Times New Roman" w:hAnsi="Times New Roman" w:cs="Times New Roman"/>
                <w:noProof/>
                <w:webHidden/>
                <w:sz w:val="24"/>
                <w:szCs w:val="24"/>
              </w:rPr>
            </w:r>
            <w:r w:rsidR="00391A5D" w:rsidRPr="00391A5D">
              <w:rPr>
                <w:rFonts w:ascii="Times New Roman" w:hAnsi="Times New Roman" w:cs="Times New Roman"/>
                <w:noProof/>
                <w:webHidden/>
                <w:sz w:val="24"/>
                <w:szCs w:val="24"/>
              </w:rPr>
              <w:fldChar w:fldCharType="separate"/>
            </w:r>
            <w:r w:rsidR="00391A5D" w:rsidRPr="00391A5D">
              <w:rPr>
                <w:rFonts w:ascii="Times New Roman" w:hAnsi="Times New Roman" w:cs="Times New Roman"/>
                <w:noProof/>
                <w:webHidden/>
                <w:sz w:val="24"/>
                <w:szCs w:val="24"/>
              </w:rPr>
              <w:t>3</w:t>
            </w:r>
            <w:r w:rsidR="00391A5D" w:rsidRPr="00391A5D">
              <w:rPr>
                <w:rFonts w:ascii="Times New Roman" w:hAnsi="Times New Roman" w:cs="Times New Roman"/>
                <w:noProof/>
                <w:webHidden/>
                <w:sz w:val="24"/>
                <w:szCs w:val="24"/>
              </w:rPr>
              <w:fldChar w:fldCharType="end"/>
            </w:r>
          </w:hyperlink>
        </w:p>
        <w:p w14:paraId="5F53B1EB" w14:textId="77777777" w:rsidR="00391A5D" w:rsidRPr="00391A5D" w:rsidRDefault="008E2DB4" w:rsidP="00391A5D">
          <w:pPr>
            <w:pStyle w:val="TOC1"/>
            <w:tabs>
              <w:tab w:val="right" w:leader="dot" w:pos="9016"/>
            </w:tabs>
            <w:spacing w:line="360" w:lineRule="auto"/>
            <w:rPr>
              <w:rFonts w:ascii="Times New Roman" w:hAnsi="Times New Roman" w:cs="Times New Roman"/>
              <w:noProof/>
              <w:sz w:val="24"/>
              <w:szCs w:val="24"/>
            </w:rPr>
          </w:pPr>
          <w:hyperlink w:anchor="_Toc100663336" w:history="1">
            <w:r w:rsidR="00391A5D" w:rsidRPr="00391A5D">
              <w:rPr>
                <w:rStyle w:val="Hyperlink"/>
                <w:rFonts w:ascii="Times New Roman" w:hAnsi="Times New Roman" w:cs="Times New Roman"/>
                <w:noProof/>
                <w:sz w:val="24"/>
                <w:szCs w:val="24"/>
              </w:rPr>
              <w:t>Conclusion</w:t>
            </w:r>
            <w:r w:rsidR="00391A5D" w:rsidRPr="00391A5D">
              <w:rPr>
                <w:rFonts w:ascii="Times New Roman" w:hAnsi="Times New Roman" w:cs="Times New Roman"/>
                <w:noProof/>
                <w:webHidden/>
                <w:sz w:val="24"/>
                <w:szCs w:val="24"/>
              </w:rPr>
              <w:tab/>
            </w:r>
            <w:r w:rsidR="00391A5D" w:rsidRPr="00391A5D">
              <w:rPr>
                <w:rFonts w:ascii="Times New Roman" w:hAnsi="Times New Roman" w:cs="Times New Roman"/>
                <w:noProof/>
                <w:webHidden/>
                <w:sz w:val="24"/>
                <w:szCs w:val="24"/>
              </w:rPr>
              <w:fldChar w:fldCharType="begin"/>
            </w:r>
            <w:r w:rsidR="00391A5D" w:rsidRPr="00391A5D">
              <w:rPr>
                <w:rFonts w:ascii="Times New Roman" w:hAnsi="Times New Roman" w:cs="Times New Roman"/>
                <w:noProof/>
                <w:webHidden/>
                <w:sz w:val="24"/>
                <w:szCs w:val="24"/>
              </w:rPr>
              <w:instrText xml:space="preserve"> PAGEREF _Toc100663336 \h </w:instrText>
            </w:r>
            <w:r w:rsidR="00391A5D" w:rsidRPr="00391A5D">
              <w:rPr>
                <w:rFonts w:ascii="Times New Roman" w:hAnsi="Times New Roman" w:cs="Times New Roman"/>
                <w:noProof/>
                <w:webHidden/>
                <w:sz w:val="24"/>
                <w:szCs w:val="24"/>
              </w:rPr>
            </w:r>
            <w:r w:rsidR="00391A5D" w:rsidRPr="00391A5D">
              <w:rPr>
                <w:rFonts w:ascii="Times New Roman" w:hAnsi="Times New Roman" w:cs="Times New Roman"/>
                <w:noProof/>
                <w:webHidden/>
                <w:sz w:val="24"/>
                <w:szCs w:val="24"/>
              </w:rPr>
              <w:fldChar w:fldCharType="separate"/>
            </w:r>
            <w:r w:rsidR="00391A5D" w:rsidRPr="00391A5D">
              <w:rPr>
                <w:rFonts w:ascii="Times New Roman" w:hAnsi="Times New Roman" w:cs="Times New Roman"/>
                <w:noProof/>
                <w:webHidden/>
                <w:sz w:val="24"/>
                <w:szCs w:val="24"/>
              </w:rPr>
              <w:t>7</w:t>
            </w:r>
            <w:r w:rsidR="00391A5D" w:rsidRPr="00391A5D">
              <w:rPr>
                <w:rFonts w:ascii="Times New Roman" w:hAnsi="Times New Roman" w:cs="Times New Roman"/>
                <w:noProof/>
                <w:webHidden/>
                <w:sz w:val="24"/>
                <w:szCs w:val="24"/>
              </w:rPr>
              <w:fldChar w:fldCharType="end"/>
            </w:r>
          </w:hyperlink>
        </w:p>
        <w:p w14:paraId="28DD7238" w14:textId="77777777" w:rsidR="00391A5D" w:rsidRPr="00391A5D" w:rsidRDefault="008E2DB4" w:rsidP="00391A5D">
          <w:pPr>
            <w:pStyle w:val="TOC1"/>
            <w:tabs>
              <w:tab w:val="right" w:leader="dot" w:pos="9016"/>
            </w:tabs>
            <w:spacing w:line="360" w:lineRule="auto"/>
            <w:rPr>
              <w:rFonts w:ascii="Times New Roman" w:hAnsi="Times New Roman" w:cs="Times New Roman"/>
              <w:noProof/>
              <w:sz w:val="24"/>
              <w:szCs w:val="24"/>
            </w:rPr>
          </w:pPr>
          <w:hyperlink w:anchor="_Toc100663337" w:history="1">
            <w:r w:rsidR="00391A5D" w:rsidRPr="00391A5D">
              <w:rPr>
                <w:rStyle w:val="Hyperlink"/>
                <w:rFonts w:ascii="Times New Roman" w:hAnsi="Times New Roman" w:cs="Times New Roman"/>
                <w:noProof/>
                <w:sz w:val="24"/>
                <w:szCs w:val="24"/>
              </w:rPr>
              <w:t>References</w:t>
            </w:r>
            <w:r w:rsidR="00391A5D" w:rsidRPr="00391A5D">
              <w:rPr>
                <w:rFonts w:ascii="Times New Roman" w:hAnsi="Times New Roman" w:cs="Times New Roman"/>
                <w:noProof/>
                <w:webHidden/>
                <w:sz w:val="24"/>
                <w:szCs w:val="24"/>
              </w:rPr>
              <w:tab/>
            </w:r>
            <w:r w:rsidR="00391A5D" w:rsidRPr="00391A5D">
              <w:rPr>
                <w:rFonts w:ascii="Times New Roman" w:hAnsi="Times New Roman" w:cs="Times New Roman"/>
                <w:noProof/>
                <w:webHidden/>
                <w:sz w:val="24"/>
                <w:szCs w:val="24"/>
              </w:rPr>
              <w:fldChar w:fldCharType="begin"/>
            </w:r>
            <w:r w:rsidR="00391A5D" w:rsidRPr="00391A5D">
              <w:rPr>
                <w:rFonts w:ascii="Times New Roman" w:hAnsi="Times New Roman" w:cs="Times New Roman"/>
                <w:noProof/>
                <w:webHidden/>
                <w:sz w:val="24"/>
                <w:szCs w:val="24"/>
              </w:rPr>
              <w:instrText xml:space="preserve"> PAGEREF _Toc100663337 \h </w:instrText>
            </w:r>
            <w:r w:rsidR="00391A5D" w:rsidRPr="00391A5D">
              <w:rPr>
                <w:rFonts w:ascii="Times New Roman" w:hAnsi="Times New Roman" w:cs="Times New Roman"/>
                <w:noProof/>
                <w:webHidden/>
                <w:sz w:val="24"/>
                <w:szCs w:val="24"/>
              </w:rPr>
            </w:r>
            <w:r w:rsidR="00391A5D" w:rsidRPr="00391A5D">
              <w:rPr>
                <w:rFonts w:ascii="Times New Roman" w:hAnsi="Times New Roman" w:cs="Times New Roman"/>
                <w:noProof/>
                <w:webHidden/>
                <w:sz w:val="24"/>
                <w:szCs w:val="24"/>
              </w:rPr>
              <w:fldChar w:fldCharType="separate"/>
            </w:r>
            <w:r w:rsidR="00391A5D" w:rsidRPr="00391A5D">
              <w:rPr>
                <w:rFonts w:ascii="Times New Roman" w:hAnsi="Times New Roman" w:cs="Times New Roman"/>
                <w:noProof/>
                <w:webHidden/>
                <w:sz w:val="24"/>
                <w:szCs w:val="24"/>
              </w:rPr>
              <w:t>8</w:t>
            </w:r>
            <w:r w:rsidR="00391A5D" w:rsidRPr="00391A5D">
              <w:rPr>
                <w:rFonts w:ascii="Times New Roman" w:hAnsi="Times New Roman" w:cs="Times New Roman"/>
                <w:noProof/>
                <w:webHidden/>
                <w:sz w:val="24"/>
                <w:szCs w:val="24"/>
              </w:rPr>
              <w:fldChar w:fldCharType="end"/>
            </w:r>
          </w:hyperlink>
        </w:p>
        <w:p w14:paraId="52738CC2" w14:textId="77777777" w:rsidR="00391A5D" w:rsidRDefault="00391A5D">
          <w:r>
            <w:rPr>
              <w:b/>
              <w:bCs/>
              <w:noProof/>
            </w:rPr>
            <w:fldChar w:fldCharType="end"/>
          </w:r>
        </w:p>
      </w:sdtContent>
    </w:sdt>
    <w:p w14:paraId="35EBD415"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3333E8CB"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6976924E"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04D79D05"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5EAF84C2"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0E84EC4F"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1C6A4068"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3335A7FB"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2C7A05A0"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6036A2DD"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2B12ED06"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101BD8DF"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175BA6C0"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3218CF05"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7CCAC04A"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093FD00C"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701D04E5"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2451A94C"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6BD895DC"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6EF9FD2C"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077282B0"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4F0C5D99"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286F913F"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5B23EF7B" w14:textId="77777777" w:rsidR="00391A5D" w:rsidRPr="00391A5D" w:rsidRDefault="00391A5D" w:rsidP="00391A5D">
      <w:pPr>
        <w:pStyle w:val="NormalWeb"/>
        <w:spacing w:before="0" w:beforeAutospacing="0" w:after="0" w:afterAutospacing="0" w:line="360" w:lineRule="auto"/>
        <w:jc w:val="both"/>
        <w:rPr>
          <w:rStyle w:val="Strong"/>
          <w:color w:val="0E101A"/>
          <w:lang w:val="en-GB"/>
        </w:rPr>
      </w:pPr>
    </w:p>
    <w:p w14:paraId="0CA73A79" w14:textId="77777777" w:rsidR="00391A5D" w:rsidRPr="00391A5D" w:rsidRDefault="00391A5D" w:rsidP="00391A5D">
      <w:pPr>
        <w:pStyle w:val="Heading1"/>
      </w:pPr>
      <w:bookmarkStart w:id="0" w:name="_Toc100663334"/>
      <w:r w:rsidRPr="00391A5D">
        <w:rPr>
          <w:rStyle w:val="Strong"/>
          <w:b/>
          <w:bCs/>
        </w:rPr>
        <w:lastRenderedPageBreak/>
        <w:t>Introduction</w:t>
      </w:r>
      <w:bookmarkEnd w:id="0"/>
    </w:p>
    <w:p w14:paraId="067ADFF2" w14:textId="77777777" w:rsidR="00391A5D" w:rsidRPr="00391A5D" w:rsidRDefault="00391A5D" w:rsidP="00391A5D">
      <w:pPr>
        <w:pStyle w:val="NormalWeb"/>
        <w:spacing w:before="0" w:beforeAutospacing="0" w:after="0" w:afterAutospacing="0" w:line="360" w:lineRule="auto"/>
        <w:jc w:val="both"/>
        <w:rPr>
          <w:color w:val="0E101A"/>
          <w:lang w:val="en-GB"/>
        </w:rPr>
      </w:pPr>
    </w:p>
    <w:p w14:paraId="32EDEBEE"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The study mainly focuses on and deals with the importance of community engagement in the U.K. Community engagement is essential in the society as it improves the interpersonal skills and collaborative skills and abilities by which the individual can interact and communicate freely based on their choice with each other people living in the same community in the society. Community engagement can be beneficial for the individuals as it mainly focuses on maintaining active participation and involvement in the organization, which can be impactful to develop the welfare of the community. </w:t>
      </w:r>
    </w:p>
    <w:p w14:paraId="6C80D8F5"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As a practitioner, it is important to focus on and encourage community engagement in the society in the U.K. as it develops decision-making functions and effective planning that enhance creative thinking and generate new and innovative ideas. Moreover, with the help of community engagement, active participation and engagement can bring a productive output for community development (Mughal </w:t>
      </w:r>
      <w:r w:rsidRPr="00391A5D">
        <w:rPr>
          <w:rStyle w:val="Emphasis"/>
          <w:color w:val="0E101A"/>
          <w:lang w:val="en-GB"/>
        </w:rPr>
        <w:t>et al., </w:t>
      </w:r>
      <w:r w:rsidRPr="00391A5D">
        <w:rPr>
          <w:color w:val="0E101A"/>
          <w:lang w:val="en-GB"/>
        </w:rPr>
        <w:t>2022). Moreover, community engagement can also be effective as it tends to engage more people by emphasizing strong communication skills and collaborative practices that enhance and ensure a better practice to develop a community in the coming days. The study aims to focus on community engagement in the U.K., which can improve well-being and enhance the community to be more engaged. </w:t>
      </w:r>
    </w:p>
    <w:p w14:paraId="2610247E" w14:textId="77777777" w:rsidR="00391A5D" w:rsidRPr="00391A5D" w:rsidRDefault="00391A5D" w:rsidP="00391A5D">
      <w:pPr>
        <w:pStyle w:val="NormalWeb"/>
        <w:spacing w:before="0" w:beforeAutospacing="0" w:after="0" w:afterAutospacing="0" w:line="360" w:lineRule="auto"/>
        <w:jc w:val="both"/>
        <w:rPr>
          <w:color w:val="0E101A"/>
          <w:lang w:val="en-GB"/>
        </w:rPr>
      </w:pPr>
    </w:p>
    <w:p w14:paraId="5454C86B" w14:textId="77777777" w:rsidR="00391A5D" w:rsidRPr="00391A5D" w:rsidRDefault="00391A5D" w:rsidP="00391A5D">
      <w:pPr>
        <w:pStyle w:val="NormalWeb"/>
        <w:spacing w:before="0" w:beforeAutospacing="0" w:after="0" w:afterAutospacing="0" w:line="360" w:lineRule="auto"/>
        <w:jc w:val="both"/>
        <w:rPr>
          <w:color w:val="0E101A"/>
          <w:lang w:val="en-GB"/>
        </w:rPr>
      </w:pPr>
    </w:p>
    <w:p w14:paraId="5399981F" w14:textId="77777777" w:rsidR="00391A5D" w:rsidRPr="00391A5D" w:rsidRDefault="00391A5D" w:rsidP="00391A5D">
      <w:pPr>
        <w:pStyle w:val="Heading1"/>
      </w:pPr>
      <w:bookmarkStart w:id="1" w:name="_Toc100663335"/>
      <w:r w:rsidRPr="00391A5D">
        <w:rPr>
          <w:rStyle w:val="Strong"/>
          <w:b/>
          <w:bCs/>
        </w:rPr>
        <w:t>Discussion</w:t>
      </w:r>
      <w:bookmarkEnd w:id="1"/>
    </w:p>
    <w:p w14:paraId="466DC2A4" w14:textId="77777777" w:rsidR="00391A5D" w:rsidRPr="00391A5D" w:rsidRDefault="00391A5D" w:rsidP="00391A5D">
      <w:pPr>
        <w:pStyle w:val="NormalWeb"/>
        <w:spacing w:before="0" w:beforeAutospacing="0" w:after="0" w:afterAutospacing="0" w:line="360" w:lineRule="auto"/>
        <w:jc w:val="both"/>
        <w:rPr>
          <w:color w:val="0E101A"/>
          <w:lang w:val="en-GB"/>
        </w:rPr>
      </w:pPr>
    </w:p>
    <w:p w14:paraId="7BD0DE33"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 xml:space="preserve">To develop the society, community engagement is one of the strongest weapons, which is essential to be anticipated and ensures work in the most collaborative performances. It develops communication skills and abilities and interpersonal skills, which can be effective for every member of society to make a strong impact and strengthen the community. Focusing on community engagement in the U.K. can be considered to be one of the best practices as it enhances human interference and values for the social activities that can be effective to maintain a positive relationship among all the members of the community or the society (Morse, 2018). One more feature of focusing on community engagement is that it can be beneficial and impactful for every member of the citizens to gain the skills and knowledge and improve their problem-solving abilities. Moreover, it has also been identified that community engagement improves maintaining a positive relationship in the society and </w:t>
      </w:r>
      <w:r w:rsidRPr="00391A5D">
        <w:rPr>
          <w:color w:val="0E101A"/>
          <w:lang w:val="en-GB"/>
        </w:rPr>
        <w:lastRenderedPageBreak/>
        <w:t>reduces all sorts of conflicts and issues that the individual have to face in the society, such as discrimination, lack of recreational facilities, insecurity, criminal or illegal activities, social deprivation and many more. The people of the U.K. are focused on enhancing community engagement with every person based on gender, race, colour, creed, or people from different cultural backgrounds (</w:t>
      </w:r>
      <w:proofErr w:type="spellStart"/>
      <w:r w:rsidRPr="00391A5D">
        <w:rPr>
          <w:color w:val="0E101A"/>
          <w:lang w:val="en-GB"/>
        </w:rPr>
        <w:t>Oanh</w:t>
      </w:r>
      <w:proofErr w:type="spellEnd"/>
      <w:r w:rsidRPr="00391A5D">
        <w:rPr>
          <w:color w:val="0E101A"/>
          <w:lang w:val="en-GB"/>
        </w:rPr>
        <w:t>, 2020). It is essential to maintain and build a positive relationship with every individual living in a community without biases and discrimination, which can be effective to improve performance. All the people need to give and provide the same opportunities to the different groups of people so that the individual might feel their existence in their society and as a result, the people can come out from the negative approaches such as isolation or depression. Community engagement in the community, as far as the U.K. is concerned, is much more strengthened and effective as they have been successful in providing them equal opportunities to every member in the community and respecting the individual, which can be beneficial for the community as well as help the individuals to enhance active participation in different activities and channelize its performance more efficiently (</w:t>
      </w:r>
      <w:proofErr w:type="spellStart"/>
      <w:r w:rsidRPr="00391A5D">
        <w:rPr>
          <w:color w:val="0E101A"/>
          <w:lang w:val="en-GB"/>
        </w:rPr>
        <w:t>Polat</w:t>
      </w:r>
      <w:proofErr w:type="spellEnd"/>
      <w:r w:rsidRPr="00391A5D">
        <w:rPr>
          <w:color w:val="0E101A"/>
          <w:lang w:val="en-GB"/>
        </w:rPr>
        <w:t xml:space="preserve"> and TÜMER YILDIZ, 2019). Moreover, by focusing on the effective community engagement in, the community foster to enhance better communication and tends to increase developed interpersonal skills and communication skills that can provide opportunities to enhance strong and unique decision-making functions and abilities during the time of the need, which can develop the well-being and to maintain a standard and improved performances for the society. </w:t>
      </w:r>
    </w:p>
    <w:p w14:paraId="16E93574"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Moreover, a strong community engagement in the different parts of the U.K. can be beneficial for both the children and the adults as the people can together focus and strengthen their recreational activities, which leads to enhancing the creative thinking and generating new ideas; as a result, it brings the opportunities to engage in the different recreational activities that can be more vital for the children to make and to focus on the active engagement in the particular fields, and thus enhance a healthy lifestyle and reduces all sorts of stress, anxieties, loneliness, mind-related problems and so on (</w:t>
      </w:r>
      <w:proofErr w:type="spellStart"/>
      <w:r w:rsidRPr="00391A5D">
        <w:rPr>
          <w:color w:val="0E101A"/>
          <w:lang w:val="en-GB"/>
        </w:rPr>
        <w:t>Witton</w:t>
      </w:r>
      <w:proofErr w:type="spellEnd"/>
      <w:r w:rsidRPr="00391A5D">
        <w:rPr>
          <w:color w:val="0E101A"/>
          <w:lang w:val="en-GB"/>
        </w:rPr>
        <w:t xml:space="preserve"> and </w:t>
      </w:r>
      <w:proofErr w:type="spellStart"/>
      <w:r w:rsidRPr="00391A5D">
        <w:rPr>
          <w:color w:val="0E101A"/>
          <w:lang w:val="en-GB"/>
        </w:rPr>
        <w:t>Paisi</w:t>
      </w:r>
      <w:proofErr w:type="spellEnd"/>
      <w:r w:rsidRPr="00391A5D">
        <w:rPr>
          <w:color w:val="0E101A"/>
          <w:lang w:val="en-GB"/>
        </w:rPr>
        <w:t>, 2022). </w:t>
      </w:r>
    </w:p>
    <w:p w14:paraId="0BB45E6A"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 xml:space="preserve">Furthermore, a strong engagement in the community by the different people can enhance to maintain a high reputation and standard in the community, which can help to reduce criminal activities, illegal practices, as the individual people of the community together are more powerful, sufficient legal steps can be taken against the people who are doing injustice, and unlawful activities and hence it maintains a safety towards the community. The girls and women will be much safer in day-at-night as a strong community engagement can take a strong step towards the crime and illegal activities like rape, other injustice activities and so </w:t>
      </w:r>
      <w:r w:rsidRPr="00391A5D">
        <w:rPr>
          <w:color w:val="0E101A"/>
          <w:lang w:val="en-GB"/>
        </w:rPr>
        <w:lastRenderedPageBreak/>
        <w:t xml:space="preserve">on; in other words focusing on the community engagement in the U.K. enhance the chances and opportunities to protect the individuals from the different unlawful and illegal practices such as theft, rape, and crime and so on (Reynolds and </w:t>
      </w:r>
      <w:proofErr w:type="spellStart"/>
      <w:r w:rsidRPr="00391A5D">
        <w:rPr>
          <w:color w:val="0E101A"/>
          <w:lang w:val="en-GB"/>
        </w:rPr>
        <w:t>Sariola</w:t>
      </w:r>
      <w:proofErr w:type="spellEnd"/>
      <w:r w:rsidRPr="00391A5D">
        <w:rPr>
          <w:color w:val="0E101A"/>
          <w:lang w:val="en-GB"/>
        </w:rPr>
        <w:t>, 2018). In the U.K., community engagement can be said as a good practice where many people can develop and acquire a large number of knowledge and skills through better communication and interaction skills, which can also play a vital role during the time of training. It can be recognized as individual development and organizational development to maintain a more productive output. Moreover, focusing on community engagement can be essential as it helps to maintain a sustainable relationship in the organization of the society with every individual who is a citizen and the members of the community (</w:t>
      </w:r>
      <w:proofErr w:type="spellStart"/>
      <w:r w:rsidRPr="00391A5D">
        <w:rPr>
          <w:color w:val="0E101A"/>
          <w:lang w:val="en-GB"/>
        </w:rPr>
        <w:t>Vleminck</w:t>
      </w:r>
      <w:proofErr w:type="spellEnd"/>
      <w:r w:rsidRPr="00391A5D">
        <w:rPr>
          <w:color w:val="0E101A"/>
          <w:lang w:val="en-GB"/>
        </w:rPr>
        <w:t> </w:t>
      </w:r>
      <w:r w:rsidRPr="00391A5D">
        <w:rPr>
          <w:rStyle w:val="Emphasis"/>
          <w:color w:val="0E101A"/>
          <w:lang w:val="en-GB"/>
        </w:rPr>
        <w:t>et al.</w:t>
      </w:r>
      <w:r w:rsidRPr="00391A5D">
        <w:rPr>
          <w:color w:val="0E101A"/>
          <w:lang w:val="en-GB"/>
        </w:rPr>
        <w:t> 2022).</w:t>
      </w:r>
    </w:p>
    <w:p w14:paraId="2196AF9F"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Furthermore, community engagement can be effective for the inclusion of the individuals who have got the physical and mental disabilities; focusing on an effective community engagement can be ideal as it will work as a helping hand for those needy and incapable individuals who are not able to work and perform on their own. It will enhance the scope of others' interference, which can effectively increase its performance in a much better way. Community engagement is more useful as it leads to the ability to work together, which can enhance the scope of decision-making functions and abilities that can be effective to generate creative thinking and innovative ideas, which can be beneficial for the individual stakeholders to deliver their performances in a more suitable way as well as organizational development in the U.K. (</w:t>
      </w:r>
      <w:proofErr w:type="spellStart"/>
      <w:r w:rsidRPr="00391A5D">
        <w:rPr>
          <w:color w:val="0E101A"/>
          <w:lang w:val="en-GB"/>
        </w:rPr>
        <w:t>Fancourt</w:t>
      </w:r>
      <w:proofErr w:type="spellEnd"/>
      <w:r w:rsidRPr="00391A5D">
        <w:rPr>
          <w:color w:val="0E101A"/>
          <w:lang w:val="en-GB"/>
        </w:rPr>
        <w:t> </w:t>
      </w:r>
      <w:r w:rsidRPr="00391A5D">
        <w:rPr>
          <w:rStyle w:val="Emphasis"/>
          <w:color w:val="0E101A"/>
          <w:lang w:val="en-GB"/>
        </w:rPr>
        <w:t>et al.</w:t>
      </w:r>
      <w:r w:rsidRPr="00391A5D">
        <w:rPr>
          <w:color w:val="0E101A"/>
          <w:lang w:val="en-GB"/>
        </w:rPr>
        <w:t> 2021). </w:t>
      </w:r>
    </w:p>
    <w:p w14:paraId="2CDC398F"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 xml:space="preserve">The rise of social media platforms is one of the latest innovations and technologies which can be effectively implemented that stand a strong position as its main objective is to anticipate social engagement. In the time of the pandemic, where there is a protocol to ban travelling a person or moving from one place to another, the rise of social media platforms such as Facebook, Instagram, WhatsApp, and other application can be impactful for the person to connect in every place and in every time as per the individual's choice. It also can be effective as it reduces costs and saves time efficiently. The rise of social media platforms in the </w:t>
      </w:r>
      <w:proofErr w:type="spellStart"/>
      <w:proofErr w:type="gramStart"/>
      <w:r w:rsidRPr="00391A5D">
        <w:rPr>
          <w:color w:val="0E101A"/>
          <w:lang w:val="en-GB"/>
        </w:rPr>
        <w:t>Uk</w:t>
      </w:r>
      <w:proofErr w:type="spellEnd"/>
      <w:proofErr w:type="gramEnd"/>
      <w:r w:rsidRPr="00391A5D">
        <w:rPr>
          <w:color w:val="0E101A"/>
          <w:lang w:val="en-GB"/>
        </w:rPr>
        <w:t xml:space="preserve"> can be recognized as the online-engagement in the community, as it helps to focus on the communication skills and to develop the collaborative skills and interpersonal skills with the people who stay in the far offs and the different parts of the community (Trehan¹, Kemp and Glover, 2020). Social media platforms also tend to enhance the active engagement, which increases the scope of attachment and connection to the different people belonging from the different parts of the world, which can be beneficial for the individuals to perform a sense of engagement and generate collaborative approaches to the diverse regions of the community. </w:t>
      </w:r>
      <w:r w:rsidRPr="00391A5D">
        <w:rPr>
          <w:color w:val="0E101A"/>
          <w:lang w:val="en-GB"/>
        </w:rPr>
        <w:lastRenderedPageBreak/>
        <w:t>With the bits of help of different platforms of the social media, the individual can develop strong and effective communication skills and interaction skills, which can develop interpersonal skills and enhance a positive relationships between both the person; as a result, it can be effective to develop and maintain a good and positive engagement in the community as it also increases mutual trust, respect, faith and enhance a positive relationship. </w:t>
      </w:r>
    </w:p>
    <w:p w14:paraId="1798F1C7"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Besides the above factors, the U.K. is the country that generally has a high focus on community development. For that, they persist in community participation, which can be of different activities. Focusing on community engagement can be effective for individuals as it increases the scope of valuing diversity in the community. Valuing diversities can be effective for the community and the organization's perspectives, as it generally goes against any sorts of discrimination and provides the same opportunities for everyone living in the U.K., whether the individuals belong from their host nation or the foreigners. Every person should be a citizen of the U.K., and there should be no discrimination or differentiation based on race, culture, gender, ethnicity, and so on (Mackay, Thackeray and Dick, 2020). Therefore, it can be said that focusing on and valuing diversities can promote an active engagement in the community where different groups of people should get equal opportunities. It particularly promotes better and more effective communication skills and also increases the chances of acquiring more effective decision-making abilities that can lead to the individual's development as well as organizational growth and development in the community. Enhancing diversities and focusing on multicultural people can be effective as it helps the different people gather knowledge and experiences of different types of languages, skills, and abilities can be a source to develop the community's standards and improve its well-being. It develops the value to maintain a positive relationship among all the members of the community (Morse, 2018). </w:t>
      </w:r>
    </w:p>
    <w:p w14:paraId="61801610"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 xml:space="preserve">The rise of community engagement plays a significant role in the U.K., as it increases collaboration performances and learning abilities and enhances the person to be more cooperative and collaborative, which can be effective for the individual's development to maintain unique decision-making functions and abilities. Likewise, community engagement helps to develop a positive relationship among the diverse group of people belonging to the same community and reduces all sorts of complexities and conflicts which an individual might face in the community. Focusing on the community engagement practices in the U.K. can promote the opportunities as it builds trust, faith, and a positive relationship. Every member can participate in different recreational activities that can be effective for them and reduce the person to stay in boredom being isolated or lonely. Moreover, people from </w:t>
      </w:r>
      <w:r w:rsidRPr="00391A5D">
        <w:rPr>
          <w:color w:val="0E101A"/>
          <w:lang w:val="en-GB"/>
        </w:rPr>
        <w:lastRenderedPageBreak/>
        <w:t>multicultural backgrounds can get an advantage to develop their inclusion learning and education by focusing on community engagement in the community. As it fosters collaboration and better communication and interaction skills, the individual will tend to be more open-minded and free and can be effective for the child who has got the mental and physical disabilities to gain knowledge and improve learning in the community (Rodrigues </w:t>
      </w:r>
      <w:r w:rsidRPr="00391A5D">
        <w:rPr>
          <w:rStyle w:val="Emphasis"/>
          <w:color w:val="0E101A"/>
          <w:lang w:val="en-GB"/>
        </w:rPr>
        <w:t>et al.</w:t>
      </w:r>
      <w:r w:rsidRPr="00391A5D">
        <w:rPr>
          <w:color w:val="0E101A"/>
          <w:lang w:val="en-GB"/>
        </w:rPr>
        <w:t> 2020). </w:t>
      </w:r>
    </w:p>
    <w:p w14:paraId="09DB5B8D"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The U.K. is the country to emphasize and focus on the community engagement practitioner as it is in charge of creating and implementing community engagement activities that encourage community participation in SSI's work. The job is also in charge of managing connections with community partners, stakeholders in the volunteers, industry, community groups, leaders and others. Moreover, a community engagement practitioner plays an important role in developing engagement in society by promoting active and full participation in the community. </w:t>
      </w:r>
    </w:p>
    <w:p w14:paraId="3F53EDBD" w14:textId="77777777" w:rsidR="00391A5D" w:rsidRPr="00391A5D" w:rsidRDefault="00391A5D" w:rsidP="00391A5D">
      <w:pPr>
        <w:pStyle w:val="NormalWeb"/>
        <w:spacing w:before="0" w:beforeAutospacing="0" w:after="0" w:afterAutospacing="0" w:line="360" w:lineRule="auto"/>
        <w:jc w:val="both"/>
        <w:rPr>
          <w:color w:val="0E101A"/>
          <w:lang w:val="en-GB"/>
        </w:rPr>
      </w:pPr>
    </w:p>
    <w:p w14:paraId="11D44A5F" w14:textId="77777777" w:rsidR="00391A5D" w:rsidRPr="00391A5D" w:rsidRDefault="00391A5D" w:rsidP="00391A5D">
      <w:pPr>
        <w:pStyle w:val="Heading1"/>
      </w:pPr>
      <w:bookmarkStart w:id="2" w:name="_Toc100663336"/>
      <w:r w:rsidRPr="00391A5D">
        <w:rPr>
          <w:rStyle w:val="Strong"/>
          <w:b/>
          <w:bCs/>
        </w:rPr>
        <w:t>Conclusion</w:t>
      </w:r>
      <w:bookmarkEnd w:id="2"/>
    </w:p>
    <w:p w14:paraId="1835E8C5" w14:textId="77777777" w:rsidR="00391A5D" w:rsidRPr="00391A5D" w:rsidRDefault="00391A5D" w:rsidP="00391A5D">
      <w:pPr>
        <w:pStyle w:val="NormalWeb"/>
        <w:spacing w:before="0" w:beforeAutospacing="0" w:after="0" w:afterAutospacing="0" w:line="360" w:lineRule="auto"/>
        <w:jc w:val="both"/>
        <w:rPr>
          <w:color w:val="0E101A"/>
          <w:lang w:val="en-GB"/>
        </w:rPr>
      </w:pPr>
    </w:p>
    <w:p w14:paraId="672F8144" w14:textId="77777777" w:rsidR="00391A5D" w:rsidRPr="00391A5D" w:rsidRDefault="00391A5D" w:rsidP="00391A5D">
      <w:pPr>
        <w:pStyle w:val="NormalWeb"/>
        <w:spacing w:before="0" w:beforeAutospacing="0" w:after="0" w:afterAutospacing="0" w:line="360" w:lineRule="auto"/>
        <w:jc w:val="both"/>
        <w:rPr>
          <w:color w:val="0E101A"/>
          <w:lang w:val="en-GB"/>
        </w:rPr>
      </w:pPr>
      <w:r w:rsidRPr="00391A5D">
        <w:rPr>
          <w:color w:val="0E101A"/>
          <w:lang w:val="en-GB"/>
        </w:rPr>
        <w:t>From the above discussion, the main focus of the study is to develop community engagement in the parts of the U.K., which can be effective as it maintains a positive relationship in the society and fosters a productive performance and output that can be effective for the individuals to develop the community and to improve their well-being. Community engagement also possesses the decision-making functions and promotes other opportunities such as possessing better and effective communication and interactions and developing interpersonal skills and abilities that can be beneficial for the individual's development as well as organizational development in the U.K. </w:t>
      </w:r>
    </w:p>
    <w:p w14:paraId="247EF448" w14:textId="77777777" w:rsidR="00391A5D" w:rsidRPr="00391A5D" w:rsidRDefault="00391A5D" w:rsidP="00391A5D">
      <w:pPr>
        <w:pStyle w:val="NormalWeb"/>
        <w:spacing w:before="0" w:beforeAutospacing="0" w:after="0" w:afterAutospacing="0" w:line="360" w:lineRule="auto"/>
        <w:jc w:val="both"/>
        <w:rPr>
          <w:color w:val="0E101A"/>
          <w:lang w:val="en-GB"/>
        </w:rPr>
      </w:pPr>
    </w:p>
    <w:p w14:paraId="356E3B2F" w14:textId="77777777" w:rsidR="00391A5D" w:rsidRPr="00391A5D" w:rsidRDefault="00391A5D" w:rsidP="00391A5D">
      <w:pPr>
        <w:pStyle w:val="NormalWeb"/>
        <w:spacing w:before="0" w:beforeAutospacing="0" w:after="0" w:afterAutospacing="0" w:line="360" w:lineRule="auto"/>
        <w:jc w:val="both"/>
        <w:rPr>
          <w:color w:val="0E101A"/>
          <w:lang w:val="en-GB"/>
        </w:rPr>
      </w:pPr>
    </w:p>
    <w:p w14:paraId="60E1496C"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3DCA9BC9" w14:textId="77777777" w:rsidR="00391A5D" w:rsidRDefault="00391A5D" w:rsidP="00391A5D">
      <w:pPr>
        <w:pStyle w:val="NormalWeb"/>
        <w:spacing w:before="0" w:beforeAutospacing="0" w:after="0" w:afterAutospacing="0" w:line="360" w:lineRule="auto"/>
        <w:jc w:val="both"/>
        <w:rPr>
          <w:rStyle w:val="Strong"/>
          <w:color w:val="0E101A"/>
          <w:lang w:val="en-GB"/>
        </w:rPr>
      </w:pPr>
    </w:p>
    <w:p w14:paraId="20C748E9" w14:textId="77777777" w:rsidR="00391A5D" w:rsidRDefault="00391A5D" w:rsidP="003E5456">
      <w:pPr>
        <w:rPr>
          <w:rStyle w:val="Strong"/>
          <w:b w:val="0"/>
          <w:bCs w:val="0"/>
        </w:rPr>
      </w:pPr>
      <w:bookmarkStart w:id="3" w:name="_Toc100663337"/>
    </w:p>
    <w:p w14:paraId="0FD5D716" w14:textId="77777777" w:rsidR="003E5456" w:rsidRDefault="003E5456">
      <w:pPr>
        <w:rPr>
          <w:rStyle w:val="Strong"/>
          <w:rFonts w:ascii="Times New Roman" w:eastAsiaTheme="majorEastAsia" w:hAnsi="Times New Roman" w:cstheme="majorBidi"/>
          <w:sz w:val="28"/>
          <w:szCs w:val="28"/>
        </w:rPr>
      </w:pPr>
      <w:r>
        <w:rPr>
          <w:rStyle w:val="Strong"/>
          <w:b w:val="0"/>
          <w:bCs w:val="0"/>
        </w:rPr>
        <w:br w:type="page"/>
      </w:r>
    </w:p>
    <w:p w14:paraId="1844D2C9" w14:textId="3EAD0CEE" w:rsidR="00391A5D" w:rsidRPr="00391A5D" w:rsidRDefault="00391A5D" w:rsidP="00391A5D">
      <w:pPr>
        <w:pStyle w:val="Heading1"/>
      </w:pPr>
      <w:r w:rsidRPr="00391A5D">
        <w:rPr>
          <w:rStyle w:val="Strong"/>
          <w:b/>
          <w:bCs/>
        </w:rPr>
        <w:lastRenderedPageBreak/>
        <w:t>References</w:t>
      </w:r>
      <w:bookmarkEnd w:id="3"/>
    </w:p>
    <w:p w14:paraId="23572F14" w14:textId="77777777" w:rsidR="00391A5D" w:rsidRPr="00391A5D" w:rsidRDefault="00391A5D" w:rsidP="00391A5D">
      <w:pPr>
        <w:pStyle w:val="NormalWeb"/>
        <w:spacing w:before="0" w:beforeAutospacing="0" w:after="0" w:afterAutospacing="0" w:line="360" w:lineRule="auto"/>
        <w:jc w:val="both"/>
        <w:rPr>
          <w:color w:val="0E101A"/>
          <w:lang w:val="en-GB"/>
        </w:rPr>
      </w:pPr>
    </w:p>
    <w:p w14:paraId="09331A76"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bookmarkStart w:id="4" w:name="_GoBack"/>
      <w:proofErr w:type="spellStart"/>
      <w:r w:rsidRPr="00391A5D">
        <w:rPr>
          <w:color w:val="0E101A"/>
          <w:lang w:val="en-GB"/>
        </w:rPr>
        <w:t>Fancourt</w:t>
      </w:r>
      <w:proofErr w:type="spellEnd"/>
      <w:r w:rsidRPr="00391A5D">
        <w:rPr>
          <w:color w:val="0E101A"/>
          <w:lang w:val="en-GB"/>
        </w:rPr>
        <w:t xml:space="preserve">, D., </w:t>
      </w:r>
      <w:proofErr w:type="spellStart"/>
      <w:r w:rsidRPr="00391A5D">
        <w:rPr>
          <w:color w:val="0E101A"/>
          <w:lang w:val="en-GB"/>
        </w:rPr>
        <w:t>Bhui</w:t>
      </w:r>
      <w:proofErr w:type="spellEnd"/>
      <w:r w:rsidRPr="00391A5D">
        <w:rPr>
          <w:color w:val="0E101A"/>
          <w:lang w:val="en-GB"/>
        </w:rPr>
        <w:t xml:space="preserve">, K., Chatterjee, H., Crawford, P., </w:t>
      </w:r>
      <w:proofErr w:type="spellStart"/>
      <w:r w:rsidRPr="00391A5D">
        <w:rPr>
          <w:color w:val="0E101A"/>
          <w:lang w:val="en-GB"/>
        </w:rPr>
        <w:t>Crossick</w:t>
      </w:r>
      <w:proofErr w:type="spellEnd"/>
      <w:r w:rsidRPr="00391A5D">
        <w:rPr>
          <w:color w:val="0E101A"/>
          <w:lang w:val="en-GB"/>
        </w:rPr>
        <w:t xml:space="preserve">, G., </w:t>
      </w:r>
      <w:proofErr w:type="spellStart"/>
      <w:r w:rsidRPr="00391A5D">
        <w:rPr>
          <w:color w:val="0E101A"/>
          <w:lang w:val="en-GB"/>
        </w:rPr>
        <w:t>DeNora</w:t>
      </w:r>
      <w:proofErr w:type="spellEnd"/>
      <w:r w:rsidRPr="00391A5D">
        <w:rPr>
          <w:color w:val="0E101A"/>
          <w:lang w:val="en-GB"/>
        </w:rPr>
        <w:t>, T. and South, J., 2021. Social, cultural and community engagement and mental health: cross-disciplinary, co-produced research agenda. </w:t>
      </w:r>
      <w:proofErr w:type="spellStart"/>
      <w:r w:rsidRPr="00391A5D">
        <w:rPr>
          <w:rStyle w:val="Emphasis"/>
          <w:color w:val="0E101A"/>
          <w:lang w:val="en-GB"/>
        </w:rPr>
        <w:t>BJPsych</w:t>
      </w:r>
      <w:proofErr w:type="spellEnd"/>
      <w:r w:rsidRPr="00391A5D">
        <w:rPr>
          <w:rStyle w:val="Emphasis"/>
          <w:color w:val="0E101A"/>
          <w:lang w:val="en-GB"/>
        </w:rPr>
        <w:t xml:space="preserve"> Open</w:t>
      </w:r>
      <w:r w:rsidRPr="00391A5D">
        <w:rPr>
          <w:color w:val="0E101A"/>
          <w:lang w:val="en-GB"/>
        </w:rPr>
        <w:t>, </w:t>
      </w:r>
      <w:r w:rsidRPr="00391A5D">
        <w:rPr>
          <w:rStyle w:val="Emphasis"/>
          <w:color w:val="0E101A"/>
          <w:lang w:val="en-GB"/>
        </w:rPr>
        <w:t>7</w:t>
      </w:r>
      <w:r w:rsidRPr="00391A5D">
        <w:rPr>
          <w:color w:val="0E101A"/>
          <w:lang w:val="en-GB"/>
        </w:rPr>
        <w:t>(1). Available at: </w:t>
      </w:r>
      <w:hyperlink r:id="rId7" w:tgtFrame="_blank" w:history="1">
        <w:r w:rsidRPr="00391A5D">
          <w:rPr>
            <w:rStyle w:val="Hyperlink"/>
            <w:color w:val="4A6EE0"/>
            <w:lang w:val="en-GB"/>
          </w:rPr>
          <w:t>https://www.cambridge.org/core/services/aop-cambridge-core/content/view/D3FAA940B69A957F4A252B4863A07C9B/S2056472420001337a.pdf/social-cultural-and-community-engagement-and-mental-health-cross-disciplinary-co-produced-research-agenda.pdf</w:t>
        </w:r>
      </w:hyperlink>
      <w:r w:rsidRPr="00391A5D">
        <w:rPr>
          <w:color w:val="0E101A"/>
          <w:lang w:val="en-GB"/>
        </w:rPr>
        <w:t>  [Accessed on 12 April 2022]</w:t>
      </w:r>
    </w:p>
    <w:p w14:paraId="088AC6EF"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r w:rsidRPr="00391A5D">
        <w:rPr>
          <w:color w:val="0E101A"/>
          <w:lang w:val="en-GB"/>
        </w:rPr>
        <w:t>Mackay, E., Thackeray, S. and Dick, J., 2020. Cumbrian lakes: community engagement. Stakeholder meeting 3 November 2020. Available at: </w:t>
      </w:r>
      <w:hyperlink r:id="rId8" w:tgtFrame="_blank" w:history="1">
        <w:r w:rsidRPr="00391A5D">
          <w:rPr>
            <w:rStyle w:val="Hyperlink"/>
            <w:color w:val="4A6EE0"/>
            <w:lang w:val="en-GB"/>
          </w:rPr>
          <w:t>http://nora.nerc.ac.uk/id/eprint/530271/1/N530271CR.pdf</w:t>
        </w:r>
      </w:hyperlink>
      <w:r w:rsidRPr="00391A5D">
        <w:rPr>
          <w:color w:val="0E101A"/>
          <w:lang w:val="en-GB"/>
        </w:rPr>
        <w:t>   [Accessed on 12 April 2022]</w:t>
      </w:r>
    </w:p>
    <w:p w14:paraId="4EFE7CCA"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r w:rsidRPr="00391A5D">
        <w:rPr>
          <w:color w:val="0E101A"/>
          <w:lang w:val="en-GB"/>
        </w:rPr>
        <w:t>Morse, N., 2018. Patterns of accountability: An organizational approach to community engagement in museums. Available at: </w:t>
      </w:r>
      <w:hyperlink r:id="rId9" w:tgtFrame="_blank" w:history="1">
        <w:r w:rsidRPr="00391A5D">
          <w:rPr>
            <w:rStyle w:val="Hyperlink"/>
            <w:color w:val="4A6EE0"/>
            <w:lang w:val="en-GB"/>
          </w:rPr>
          <w:t>https://leicester.figshare.com/articles/journal_contribution/Patterns_of_accountability_an_organizational_approach_to_community_engagement_in_museums/10246457/files/18497810.pdf</w:t>
        </w:r>
      </w:hyperlink>
      <w:r w:rsidRPr="00391A5D">
        <w:rPr>
          <w:color w:val="0E101A"/>
          <w:lang w:val="en-GB"/>
        </w:rPr>
        <w:t> [Accessed on 12 April 2022]</w:t>
      </w:r>
    </w:p>
    <w:p w14:paraId="1406338B"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r w:rsidRPr="00391A5D">
        <w:rPr>
          <w:color w:val="0E101A"/>
          <w:lang w:val="en-GB"/>
        </w:rPr>
        <w:t>Mughal, R., Thomson, L.J., Daykin, N. and Chatterjee, H.J., 2022. Rapid Evidence Review of Community Engagement and Resources in the U.K. during the COVID-19 Pandemic: How Can Community Assets Redress Health Inequities</w:t>
      </w:r>
      <w:proofErr w:type="gramStart"/>
      <w:r w:rsidRPr="00391A5D">
        <w:rPr>
          <w:color w:val="0E101A"/>
          <w:lang w:val="en-GB"/>
        </w:rPr>
        <w:t>?.</w:t>
      </w:r>
      <w:proofErr w:type="gramEnd"/>
      <w:r w:rsidRPr="00391A5D">
        <w:rPr>
          <w:color w:val="0E101A"/>
          <w:lang w:val="en-GB"/>
        </w:rPr>
        <w:t> </w:t>
      </w:r>
      <w:r w:rsidRPr="00391A5D">
        <w:rPr>
          <w:rStyle w:val="Emphasis"/>
          <w:color w:val="0E101A"/>
          <w:lang w:val="en-GB"/>
        </w:rPr>
        <w:t>International Journal of Environmental Research and Public Health</w:t>
      </w:r>
      <w:r w:rsidRPr="00391A5D">
        <w:rPr>
          <w:color w:val="0E101A"/>
          <w:lang w:val="en-GB"/>
        </w:rPr>
        <w:t>, </w:t>
      </w:r>
      <w:r w:rsidRPr="00391A5D">
        <w:rPr>
          <w:rStyle w:val="Emphasis"/>
          <w:color w:val="0E101A"/>
          <w:lang w:val="en-GB"/>
        </w:rPr>
        <w:t>19</w:t>
      </w:r>
      <w:r w:rsidRPr="00391A5D">
        <w:rPr>
          <w:color w:val="0E101A"/>
          <w:lang w:val="en-GB"/>
        </w:rPr>
        <w:t>(7), p.4086. Available at: </w:t>
      </w:r>
      <w:hyperlink r:id="rId10" w:tgtFrame="_blank" w:history="1">
        <w:r w:rsidRPr="00391A5D">
          <w:rPr>
            <w:rStyle w:val="Hyperlink"/>
            <w:color w:val="4A6EE0"/>
            <w:lang w:val="en-GB"/>
          </w:rPr>
          <w:t>https://www.mdpi.com/1660-4601/19/7/4086/pdf</w:t>
        </w:r>
      </w:hyperlink>
      <w:r w:rsidRPr="00391A5D">
        <w:rPr>
          <w:color w:val="0E101A"/>
          <w:lang w:val="en-GB"/>
        </w:rPr>
        <w:t> [Accessed on 12 April 2022]</w:t>
      </w:r>
    </w:p>
    <w:p w14:paraId="4CF40D06"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proofErr w:type="spellStart"/>
      <w:r w:rsidRPr="00391A5D">
        <w:rPr>
          <w:color w:val="0E101A"/>
          <w:lang w:val="en-GB"/>
        </w:rPr>
        <w:t>Oanh</w:t>
      </w:r>
      <w:proofErr w:type="spellEnd"/>
      <w:r w:rsidRPr="00391A5D">
        <w:rPr>
          <w:color w:val="0E101A"/>
          <w:lang w:val="en-GB"/>
        </w:rPr>
        <w:t>, C.T., 2020. The implementation of community engagement in public service delivery in the U.K. and policy implication to Vietnam. </w:t>
      </w:r>
      <w:r w:rsidRPr="00391A5D">
        <w:rPr>
          <w:rStyle w:val="Emphasis"/>
          <w:color w:val="0E101A"/>
          <w:lang w:val="en-GB"/>
        </w:rPr>
        <w:t>VNU Journal of Foreign Studies</w:t>
      </w:r>
      <w:r w:rsidRPr="00391A5D">
        <w:rPr>
          <w:color w:val="0E101A"/>
          <w:lang w:val="en-GB"/>
        </w:rPr>
        <w:t>, </w:t>
      </w:r>
      <w:r w:rsidRPr="00391A5D">
        <w:rPr>
          <w:rStyle w:val="Emphasis"/>
          <w:color w:val="0E101A"/>
          <w:lang w:val="en-GB"/>
        </w:rPr>
        <w:t>36</w:t>
      </w:r>
      <w:r w:rsidRPr="00391A5D">
        <w:rPr>
          <w:color w:val="0E101A"/>
          <w:lang w:val="en-GB"/>
        </w:rPr>
        <w:t>(3). Available at: </w:t>
      </w:r>
      <w:hyperlink r:id="rId11" w:tgtFrame="_blank" w:history="1">
        <w:r w:rsidRPr="00391A5D">
          <w:rPr>
            <w:rStyle w:val="Hyperlink"/>
            <w:color w:val="4A6EE0"/>
            <w:lang w:val="en-GB"/>
          </w:rPr>
          <w:t>https://jfs.ulis.vnu.edu.vn/index.php/fs/article/download/4561/4137</w:t>
        </w:r>
      </w:hyperlink>
      <w:r w:rsidRPr="00391A5D">
        <w:rPr>
          <w:color w:val="0E101A"/>
          <w:lang w:val="en-GB"/>
        </w:rPr>
        <w:t> [Accessed on 12 April 2022]</w:t>
      </w:r>
    </w:p>
    <w:p w14:paraId="49A47B7E"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proofErr w:type="spellStart"/>
      <w:r w:rsidRPr="00391A5D">
        <w:rPr>
          <w:color w:val="0E101A"/>
          <w:lang w:val="en-GB"/>
        </w:rPr>
        <w:t>Polat</w:t>
      </w:r>
      <w:proofErr w:type="spellEnd"/>
      <w:r w:rsidRPr="00391A5D">
        <w:rPr>
          <w:color w:val="0E101A"/>
          <w:lang w:val="en-GB"/>
        </w:rPr>
        <w:t>, S.İ.B.E.L. and TÜMER YILDIZ, H.Ö., 2019. Community engagement in developing urban design guidance for heritage sites: The case of Bursa, Turkey. </w:t>
      </w:r>
      <w:proofErr w:type="spellStart"/>
      <w:r w:rsidRPr="00391A5D">
        <w:rPr>
          <w:rStyle w:val="Emphasis"/>
          <w:color w:val="0E101A"/>
          <w:lang w:val="en-GB"/>
        </w:rPr>
        <w:t>Urbani</w:t>
      </w:r>
      <w:proofErr w:type="spellEnd"/>
      <w:r w:rsidRPr="00391A5D">
        <w:rPr>
          <w:rStyle w:val="Emphasis"/>
          <w:color w:val="0E101A"/>
          <w:lang w:val="en-GB"/>
        </w:rPr>
        <w:t xml:space="preserve"> </w:t>
      </w:r>
      <w:proofErr w:type="spellStart"/>
      <w:r w:rsidRPr="00391A5D">
        <w:rPr>
          <w:rStyle w:val="Emphasis"/>
          <w:color w:val="0E101A"/>
          <w:lang w:val="en-GB"/>
        </w:rPr>
        <w:t>izziv</w:t>
      </w:r>
      <w:proofErr w:type="spellEnd"/>
      <w:r w:rsidRPr="00391A5D">
        <w:rPr>
          <w:color w:val="0E101A"/>
          <w:lang w:val="en-GB"/>
        </w:rPr>
        <w:t>, </w:t>
      </w:r>
      <w:r w:rsidRPr="00391A5D">
        <w:rPr>
          <w:rStyle w:val="Emphasis"/>
          <w:color w:val="0E101A"/>
          <w:lang w:val="en-GB"/>
        </w:rPr>
        <w:t>30</w:t>
      </w:r>
      <w:r w:rsidRPr="00391A5D">
        <w:rPr>
          <w:color w:val="0E101A"/>
          <w:lang w:val="en-GB"/>
        </w:rPr>
        <w:t>(2). Available at: </w:t>
      </w:r>
      <w:hyperlink r:id="rId12" w:tgtFrame="_blank" w:history="1">
        <w:r w:rsidRPr="00391A5D">
          <w:rPr>
            <w:rStyle w:val="Hyperlink"/>
            <w:color w:val="4A6EE0"/>
            <w:lang w:val="en-GB"/>
          </w:rPr>
          <w:t>https://www.jstor.org/stable/pdf/26843923.pdf</w:t>
        </w:r>
      </w:hyperlink>
      <w:r w:rsidRPr="00391A5D">
        <w:rPr>
          <w:color w:val="0E101A"/>
          <w:lang w:val="en-GB"/>
        </w:rPr>
        <w:t>  [Accessed on 12 April 2022]</w:t>
      </w:r>
    </w:p>
    <w:p w14:paraId="46226238"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r w:rsidRPr="00391A5D">
        <w:rPr>
          <w:color w:val="0E101A"/>
          <w:lang w:val="en-GB"/>
        </w:rPr>
        <w:t xml:space="preserve">Reynolds, L. and </w:t>
      </w:r>
      <w:proofErr w:type="spellStart"/>
      <w:r w:rsidRPr="00391A5D">
        <w:rPr>
          <w:color w:val="0E101A"/>
          <w:lang w:val="en-GB"/>
        </w:rPr>
        <w:t>Sariola</w:t>
      </w:r>
      <w:proofErr w:type="spellEnd"/>
      <w:r w:rsidRPr="00391A5D">
        <w:rPr>
          <w:color w:val="0E101A"/>
          <w:lang w:val="en-GB"/>
        </w:rPr>
        <w:t>, S., 2018. The ethics and politics of community engagement in global health research. </w:t>
      </w:r>
      <w:r w:rsidRPr="00391A5D">
        <w:rPr>
          <w:rStyle w:val="Emphasis"/>
          <w:color w:val="0E101A"/>
          <w:lang w:val="en-GB"/>
        </w:rPr>
        <w:t>Critical Public Health</w:t>
      </w:r>
      <w:r w:rsidRPr="00391A5D">
        <w:rPr>
          <w:color w:val="0E101A"/>
          <w:lang w:val="en-GB"/>
        </w:rPr>
        <w:t>, </w:t>
      </w:r>
      <w:r w:rsidRPr="00391A5D">
        <w:rPr>
          <w:rStyle w:val="Emphasis"/>
          <w:color w:val="0E101A"/>
          <w:lang w:val="en-GB"/>
        </w:rPr>
        <w:t>28</w:t>
      </w:r>
      <w:r w:rsidRPr="00391A5D">
        <w:rPr>
          <w:color w:val="0E101A"/>
          <w:lang w:val="en-GB"/>
        </w:rPr>
        <w:t xml:space="preserve">(3), pp.257-268. Available </w:t>
      </w:r>
      <w:r w:rsidRPr="00391A5D">
        <w:rPr>
          <w:color w:val="0E101A"/>
          <w:lang w:val="en-GB"/>
        </w:rPr>
        <w:lastRenderedPageBreak/>
        <w:t>at: </w:t>
      </w:r>
      <w:hyperlink r:id="rId13" w:tgtFrame="_blank" w:history="1">
        <w:r w:rsidRPr="00391A5D">
          <w:rPr>
            <w:rStyle w:val="Hyperlink"/>
            <w:color w:val="4A6EE0"/>
            <w:lang w:val="en-GB"/>
          </w:rPr>
          <w:t>https://www.tandfonline.com/doi/full/10.1080/09581596.2018.1449598</w:t>
        </w:r>
      </w:hyperlink>
      <w:r w:rsidRPr="00391A5D">
        <w:rPr>
          <w:color w:val="0E101A"/>
          <w:lang w:val="en-GB"/>
        </w:rPr>
        <w:t>  [Accessed on 12 April 2022]</w:t>
      </w:r>
    </w:p>
    <w:p w14:paraId="301EE931"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r w:rsidRPr="00391A5D">
        <w:rPr>
          <w:color w:val="0E101A"/>
          <w:lang w:val="en-GB"/>
        </w:rPr>
        <w:t xml:space="preserve">Rodrigues, L., </w:t>
      </w:r>
      <w:proofErr w:type="spellStart"/>
      <w:r w:rsidRPr="00391A5D">
        <w:rPr>
          <w:color w:val="0E101A"/>
          <w:lang w:val="en-GB"/>
        </w:rPr>
        <w:t>Gillott</w:t>
      </w:r>
      <w:proofErr w:type="spellEnd"/>
      <w:r w:rsidRPr="00391A5D">
        <w:rPr>
          <w:color w:val="0E101A"/>
          <w:lang w:val="en-GB"/>
        </w:rPr>
        <w:t>, M., Waldron, J., Cameron, L., Tupelo, R., Shipman, R., Ebbs, N. and Bradshaw-Smith, C., 2020. User engagement in community energy schemes: A case study at the Trent Basin in Nottingham, UK. </w:t>
      </w:r>
      <w:r w:rsidRPr="00391A5D">
        <w:rPr>
          <w:rStyle w:val="Emphasis"/>
          <w:color w:val="0E101A"/>
          <w:lang w:val="en-GB"/>
        </w:rPr>
        <w:t>Sustainable Cities and Society</w:t>
      </w:r>
      <w:r w:rsidRPr="00391A5D">
        <w:rPr>
          <w:color w:val="0E101A"/>
          <w:lang w:val="en-GB"/>
        </w:rPr>
        <w:t>, </w:t>
      </w:r>
      <w:r w:rsidRPr="00391A5D">
        <w:rPr>
          <w:rStyle w:val="Emphasis"/>
          <w:color w:val="0E101A"/>
          <w:lang w:val="en-GB"/>
        </w:rPr>
        <w:t>61</w:t>
      </w:r>
      <w:r w:rsidRPr="00391A5D">
        <w:rPr>
          <w:color w:val="0E101A"/>
          <w:lang w:val="en-GB"/>
        </w:rPr>
        <w:t>, p.102187. Available at: </w:t>
      </w:r>
      <w:hyperlink r:id="rId14" w:tgtFrame="_blank" w:history="1">
        <w:r w:rsidRPr="00391A5D">
          <w:rPr>
            <w:rStyle w:val="Hyperlink"/>
            <w:color w:val="4A6EE0"/>
            <w:lang w:val="en-GB"/>
          </w:rPr>
          <w:t>https://nottingham-repository.worktribe.com/OutputFile/4325796</w:t>
        </w:r>
      </w:hyperlink>
      <w:r w:rsidRPr="00391A5D">
        <w:rPr>
          <w:color w:val="0E101A"/>
          <w:lang w:val="en-GB"/>
        </w:rPr>
        <w:t> [Accessed on 12 April 2022]</w:t>
      </w:r>
    </w:p>
    <w:p w14:paraId="2CE4D764"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r w:rsidRPr="00391A5D">
        <w:rPr>
          <w:color w:val="0E101A"/>
          <w:lang w:val="en-GB"/>
        </w:rPr>
        <w:t>Trehan¹, K., Kemp, M. and Glover, J., 2020. Family Business and Community Engagement. Available at: </w:t>
      </w:r>
      <w:hyperlink r:id="rId15" w:tgtFrame="_blank" w:history="1">
        <w:r w:rsidRPr="00391A5D">
          <w:rPr>
            <w:rStyle w:val="Hyperlink"/>
            <w:color w:val="4A6EE0"/>
            <w:lang w:val="en-GB"/>
          </w:rPr>
          <w:t>https://www.ifb.org.uk/media/4380/family-businesses-and-community-engagement-ifbrf-briefing.pdf</w:t>
        </w:r>
      </w:hyperlink>
      <w:r w:rsidRPr="00391A5D">
        <w:rPr>
          <w:color w:val="0E101A"/>
          <w:lang w:val="en-GB"/>
        </w:rPr>
        <w:t>  [Accessed on 12 April 2022]</w:t>
      </w:r>
    </w:p>
    <w:p w14:paraId="6227E1F4"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proofErr w:type="spellStart"/>
      <w:r w:rsidRPr="00391A5D">
        <w:rPr>
          <w:color w:val="0E101A"/>
          <w:lang w:val="en-GB"/>
        </w:rPr>
        <w:t>Vleminck</w:t>
      </w:r>
      <w:proofErr w:type="spellEnd"/>
      <w:r w:rsidRPr="00391A5D">
        <w:rPr>
          <w:color w:val="0E101A"/>
          <w:lang w:val="en-GB"/>
        </w:rPr>
        <w:t xml:space="preserve">, A.D., Paul, S., </w:t>
      </w:r>
      <w:proofErr w:type="spellStart"/>
      <w:r w:rsidRPr="00391A5D">
        <w:rPr>
          <w:color w:val="0E101A"/>
          <w:lang w:val="en-GB"/>
        </w:rPr>
        <w:t>Reinius</w:t>
      </w:r>
      <w:proofErr w:type="spellEnd"/>
      <w:r w:rsidRPr="00391A5D">
        <w:rPr>
          <w:color w:val="0E101A"/>
          <w:lang w:val="en-GB"/>
        </w:rPr>
        <w:t xml:space="preserve">, M., </w:t>
      </w:r>
      <w:proofErr w:type="spellStart"/>
      <w:r w:rsidRPr="00391A5D">
        <w:rPr>
          <w:color w:val="0E101A"/>
          <w:lang w:val="en-GB"/>
        </w:rPr>
        <w:t>Sallnow</w:t>
      </w:r>
      <w:proofErr w:type="spellEnd"/>
      <w:r w:rsidRPr="00391A5D">
        <w:rPr>
          <w:color w:val="0E101A"/>
          <w:lang w:val="en-GB"/>
        </w:rPr>
        <w:t xml:space="preserve">, L., </w:t>
      </w:r>
      <w:proofErr w:type="spellStart"/>
      <w:r w:rsidRPr="00391A5D">
        <w:rPr>
          <w:color w:val="0E101A"/>
          <w:lang w:val="en-GB"/>
        </w:rPr>
        <w:t>Tishelman</w:t>
      </w:r>
      <w:proofErr w:type="spellEnd"/>
      <w:r w:rsidRPr="00391A5D">
        <w:rPr>
          <w:color w:val="0E101A"/>
          <w:lang w:val="en-GB"/>
        </w:rPr>
        <w:t>, C. and Cohen, J., 2022. Engagement of specialized palliative care services with the general public: A population-level survey in three European countries. </w:t>
      </w:r>
      <w:r w:rsidRPr="00391A5D">
        <w:rPr>
          <w:rStyle w:val="Emphasis"/>
          <w:color w:val="0E101A"/>
          <w:lang w:val="en-GB"/>
        </w:rPr>
        <w:t>Palliative Medicine</w:t>
      </w:r>
      <w:r w:rsidRPr="00391A5D">
        <w:rPr>
          <w:color w:val="0E101A"/>
          <w:lang w:val="en-GB"/>
        </w:rPr>
        <w:t>, p.02692163221079546. Available at: </w:t>
      </w:r>
      <w:hyperlink r:id="rId16" w:tgtFrame="_blank" w:history="1">
        <w:r w:rsidRPr="00391A5D">
          <w:rPr>
            <w:rStyle w:val="Hyperlink"/>
            <w:color w:val="4A6EE0"/>
            <w:lang w:val="en-GB"/>
          </w:rPr>
          <w:t>https://strathprints.strath.ac.uk/79893/1/De_Vleminck_etal_PM_2022_Engagement_of_specialized_palliative_care_services_with_the_general_public.pdf</w:t>
        </w:r>
      </w:hyperlink>
      <w:r w:rsidRPr="00391A5D">
        <w:rPr>
          <w:color w:val="0E101A"/>
          <w:lang w:val="en-GB"/>
        </w:rPr>
        <w:t> [Accessed on 12 April 2022]</w:t>
      </w:r>
    </w:p>
    <w:p w14:paraId="2F144A8C" w14:textId="77777777" w:rsidR="003E5456" w:rsidRPr="00391A5D" w:rsidRDefault="003E5456" w:rsidP="003E5456">
      <w:pPr>
        <w:pStyle w:val="NormalWeb"/>
        <w:spacing w:before="0" w:beforeAutospacing="0" w:after="0" w:afterAutospacing="0" w:line="360" w:lineRule="auto"/>
        <w:ind w:left="720" w:hanging="720"/>
        <w:jc w:val="both"/>
        <w:rPr>
          <w:color w:val="0E101A"/>
          <w:lang w:val="en-GB"/>
        </w:rPr>
      </w:pPr>
      <w:r w:rsidRPr="00391A5D">
        <w:rPr>
          <w:color w:val="0E101A"/>
          <w:lang w:val="en-GB"/>
        </w:rPr>
        <w:t xml:space="preserve">Witton, R. and </w:t>
      </w:r>
      <w:proofErr w:type="spellStart"/>
      <w:r w:rsidRPr="00391A5D">
        <w:rPr>
          <w:color w:val="0E101A"/>
          <w:lang w:val="en-GB"/>
        </w:rPr>
        <w:t>Parisi</w:t>
      </w:r>
      <w:proofErr w:type="spellEnd"/>
      <w:r w:rsidRPr="00391A5D">
        <w:rPr>
          <w:color w:val="0E101A"/>
          <w:lang w:val="en-GB"/>
        </w:rPr>
        <w:t>, M., 2022. The benefits of an innovative community engagement model in dental undergraduate education. </w:t>
      </w:r>
      <w:r w:rsidRPr="00391A5D">
        <w:rPr>
          <w:rStyle w:val="Emphasis"/>
          <w:color w:val="0E101A"/>
          <w:lang w:val="en-GB"/>
        </w:rPr>
        <w:t>Education for Primary Care</w:t>
      </w:r>
      <w:r w:rsidRPr="00391A5D">
        <w:rPr>
          <w:color w:val="0E101A"/>
          <w:lang w:val="en-GB"/>
        </w:rPr>
        <w:t>, </w:t>
      </w:r>
      <w:r w:rsidRPr="00391A5D">
        <w:rPr>
          <w:rStyle w:val="Emphasis"/>
          <w:color w:val="0E101A"/>
          <w:lang w:val="en-GB"/>
        </w:rPr>
        <w:t>33</w:t>
      </w:r>
      <w:r w:rsidRPr="00391A5D">
        <w:rPr>
          <w:color w:val="0E101A"/>
          <w:lang w:val="en-GB"/>
        </w:rPr>
        <w:t>(1), pp.41-45. Available at: </w:t>
      </w:r>
      <w:hyperlink r:id="rId17" w:tgtFrame="_blank" w:history="1">
        <w:r w:rsidRPr="00391A5D">
          <w:rPr>
            <w:rStyle w:val="Hyperlink"/>
            <w:color w:val="4A6EE0"/>
            <w:lang w:val="en-GB"/>
          </w:rPr>
          <w:t>https://www.tandfonline.com/doi/pdf/10.1080/14739879.2021.1947160</w:t>
        </w:r>
      </w:hyperlink>
      <w:r w:rsidRPr="00391A5D">
        <w:rPr>
          <w:color w:val="0E101A"/>
          <w:lang w:val="en-GB"/>
        </w:rPr>
        <w:t> [Accessed on 12 April 2022]</w:t>
      </w:r>
      <w:bookmarkEnd w:id="4"/>
    </w:p>
    <w:sectPr w:rsidR="003E5456" w:rsidRPr="00391A5D" w:rsidSect="00391A5D">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3B276C" w14:textId="77777777" w:rsidR="008E2DB4" w:rsidRDefault="008E2DB4" w:rsidP="00391A5D">
      <w:pPr>
        <w:spacing w:after="0" w:line="240" w:lineRule="auto"/>
      </w:pPr>
      <w:r>
        <w:separator/>
      </w:r>
    </w:p>
  </w:endnote>
  <w:endnote w:type="continuationSeparator" w:id="0">
    <w:p w14:paraId="751A43F7" w14:textId="77777777" w:rsidR="008E2DB4" w:rsidRDefault="008E2DB4" w:rsidP="00391A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54020588"/>
      <w:docPartObj>
        <w:docPartGallery w:val="Page Numbers (Bottom of Page)"/>
        <w:docPartUnique/>
      </w:docPartObj>
    </w:sdtPr>
    <w:sdtEndPr/>
    <w:sdtContent>
      <w:sdt>
        <w:sdtPr>
          <w:id w:val="860082579"/>
          <w:docPartObj>
            <w:docPartGallery w:val="Page Numbers (Top of Page)"/>
            <w:docPartUnique/>
          </w:docPartObj>
        </w:sdtPr>
        <w:sdtEndPr/>
        <w:sdtContent>
          <w:p w14:paraId="3AD68BB4" w14:textId="77777777" w:rsidR="00391A5D" w:rsidRDefault="00391A5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E5456">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E5456">
              <w:rPr>
                <w:b/>
                <w:bCs/>
                <w:noProof/>
              </w:rPr>
              <w:t>9</w:t>
            </w:r>
            <w:r>
              <w:rPr>
                <w:b/>
                <w:bCs/>
                <w:sz w:val="24"/>
                <w:szCs w:val="24"/>
              </w:rPr>
              <w:fldChar w:fldCharType="end"/>
            </w:r>
          </w:p>
        </w:sdtContent>
      </w:sdt>
    </w:sdtContent>
  </w:sdt>
  <w:p w14:paraId="53BA59DF" w14:textId="77777777" w:rsidR="00391A5D" w:rsidRDefault="00391A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F43F41" w14:textId="77777777" w:rsidR="008E2DB4" w:rsidRDefault="008E2DB4" w:rsidP="00391A5D">
      <w:pPr>
        <w:spacing w:after="0" w:line="240" w:lineRule="auto"/>
      </w:pPr>
      <w:r>
        <w:separator/>
      </w:r>
    </w:p>
  </w:footnote>
  <w:footnote w:type="continuationSeparator" w:id="0">
    <w:p w14:paraId="685A12A1" w14:textId="77777777" w:rsidR="008E2DB4" w:rsidRDefault="008E2DB4" w:rsidP="00391A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1A5D"/>
    <w:rsid w:val="00074B19"/>
    <w:rsid w:val="00391A5D"/>
    <w:rsid w:val="003E5456"/>
    <w:rsid w:val="00533062"/>
    <w:rsid w:val="005A612B"/>
    <w:rsid w:val="007577F1"/>
    <w:rsid w:val="00771492"/>
    <w:rsid w:val="008E2DB4"/>
    <w:rsid w:val="008F778F"/>
    <w:rsid w:val="00AD42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B92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91A5D"/>
    <w:pPr>
      <w:keepNext/>
      <w:keepLines/>
      <w:spacing w:before="480" w:after="0"/>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91A5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391A5D"/>
    <w:rPr>
      <w:b/>
      <w:bCs/>
    </w:rPr>
  </w:style>
  <w:style w:type="character" w:styleId="Emphasis">
    <w:name w:val="Emphasis"/>
    <w:basedOn w:val="DefaultParagraphFont"/>
    <w:uiPriority w:val="20"/>
    <w:qFormat/>
    <w:rsid w:val="00391A5D"/>
    <w:rPr>
      <w:i/>
      <w:iCs/>
    </w:rPr>
  </w:style>
  <w:style w:type="character" w:styleId="Hyperlink">
    <w:name w:val="Hyperlink"/>
    <w:basedOn w:val="DefaultParagraphFont"/>
    <w:uiPriority w:val="99"/>
    <w:unhideWhenUsed/>
    <w:rsid w:val="00391A5D"/>
    <w:rPr>
      <w:color w:val="0000FF"/>
      <w:u w:val="single"/>
    </w:rPr>
  </w:style>
  <w:style w:type="paragraph" w:styleId="Header">
    <w:name w:val="header"/>
    <w:basedOn w:val="Normal"/>
    <w:link w:val="HeaderChar"/>
    <w:uiPriority w:val="99"/>
    <w:unhideWhenUsed/>
    <w:rsid w:val="00391A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A5D"/>
  </w:style>
  <w:style w:type="paragraph" w:styleId="Footer">
    <w:name w:val="footer"/>
    <w:basedOn w:val="Normal"/>
    <w:link w:val="FooterChar"/>
    <w:uiPriority w:val="99"/>
    <w:unhideWhenUsed/>
    <w:rsid w:val="00391A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A5D"/>
  </w:style>
  <w:style w:type="character" w:customStyle="1" w:styleId="Heading1Char">
    <w:name w:val="Heading 1 Char"/>
    <w:basedOn w:val="DefaultParagraphFont"/>
    <w:link w:val="Heading1"/>
    <w:uiPriority w:val="9"/>
    <w:rsid w:val="00391A5D"/>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391A5D"/>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391A5D"/>
    <w:pPr>
      <w:spacing w:after="100"/>
    </w:pPr>
  </w:style>
  <w:style w:type="paragraph" w:styleId="BalloonText">
    <w:name w:val="Balloon Text"/>
    <w:basedOn w:val="Normal"/>
    <w:link w:val="BalloonTextChar"/>
    <w:uiPriority w:val="99"/>
    <w:semiHidden/>
    <w:unhideWhenUsed/>
    <w:rsid w:val="00391A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1A5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81161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ora.nerc.ac.uk/id/eprint/530271/1/N530271CR.pdf" TargetMode="External"/><Relationship Id="rId13" Type="http://schemas.openxmlformats.org/officeDocument/2006/relationships/hyperlink" Target="https://www.tandfonline.com/doi/full/10.1080/09581596.2018.1449598"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ambridge.org/core/services/aop-cambridge-core/content/view/D3FAA940B69A957F4A252B4863A07C9B/S2056472420001337a.pdf/social-cultural-and-community-engagement-and-mental-health-cross-disciplinary-co-produced-research-agenda.pdf" TargetMode="External"/><Relationship Id="rId12" Type="http://schemas.openxmlformats.org/officeDocument/2006/relationships/hyperlink" Target="https://www.jstor.org/stable/pdf/26843923.pdf" TargetMode="External"/><Relationship Id="rId17" Type="http://schemas.openxmlformats.org/officeDocument/2006/relationships/hyperlink" Target="https://www.tandfonline.com/doi/pdf/10.1080/14739879.2021.1947160" TargetMode="External"/><Relationship Id="rId2" Type="http://schemas.openxmlformats.org/officeDocument/2006/relationships/styles" Target="styles.xml"/><Relationship Id="rId16" Type="http://schemas.openxmlformats.org/officeDocument/2006/relationships/hyperlink" Target="https://strathprints.strath.ac.uk/79893/1/De_Vleminck_etal_PM_2022_Engagement_of_specialized_palliative_care_services_with_the_general_public.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fs.ulis.vnu.edu.vn/index.php/fs/article/download/4561/4137" TargetMode="External"/><Relationship Id="rId5" Type="http://schemas.openxmlformats.org/officeDocument/2006/relationships/footnotes" Target="footnotes.xml"/><Relationship Id="rId15" Type="http://schemas.openxmlformats.org/officeDocument/2006/relationships/hyperlink" Target="https://www.ifb.org.uk/media/4380/family-businesses-and-community-engagement-ifbrf-briefing.pdf" TargetMode="External"/><Relationship Id="rId10" Type="http://schemas.openxmlformats.org/officeDocument/2006/relationships/hyperlink" Target="https://www.mdpi.com/1660-4601/19/7/4086/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eicester.figshare.com/articles/journal_contribution/Patterns_of_accountability_an_organizational_approach_to_community_engagement_in_museums/10246457/files/18497810.pdf" TargetMode="External"/><Relationship Id="rId14" Type="http://schemas.openxmlformats.org/officeDocument/2006/relationships/hyperlink" Target="https://nottingham-repository.worktribe.com/OutputFile/43257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1A7BF30B-390F-4BDA-A1D4-FE05A97FA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2763</Words>
  <Characters>15751</Characters>
  <Application>Microsoft Office Word</Application>
  <DocSecurity>0</DocSecurity>
  <Lines>131</Lines>
  <Paragraphs>36</Paragraphs>
  <ScaleCrop>false</ScaleCrop>
  <Company/>
  <LinksUpToDate>false</LinksUpToDate>
  <CharactersWithSpaces>18478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2022-04-14T05:17:00Z</dcterms:created>
  <dcterms:modified xsi:type="dcterms:W3CDTF">2022-04-14T05:18:00Z</dcterms:modified>
</cp:coreProperties>
</file>