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F6B116" w14:textId="6ED2CC4B" w:rsidR="00C56698" w:rsidRPr="005A2668" w:rsidRDefault="00C56698" w:rsidP="00C56698">
      <w:pPr>
        <w:jc w:val="center"/>
        <w:rPr>
          <w:rFonts w:ascii="Arial" w:hAnsi="Arial" w:cs="Arial"/>
          <w:szCs w:val="24"/>
        </w:rPr>
      </w:pPr>
      <w:r w:rsidRPr="005A2668">
        <w:rPr>
          <w:rFonts w:ascii="Arial" w:hAnsi="Arial" w:cs="Arial"/>
          <w:noProof/>
          <w:szCs w:val="24"/>
        </w:rPr>
        <w:drawing>
          <wp:inline distT="0" distB="0" distL="0" distR="0" wp14:anchorId="1F39E21B" wp14:editId="0AA3DC6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7F481D2" w14:textId="77777777" w:rsidR="00C56698" w:rsidRPr="005A2668" w:rsidRDefault="00C56698" w:rsidP="00C56698">
      <w:pPr>
        <w:jc w:val="center"/>
        <w:rPr>
          <w:rFonts w:ascii="Arial" w:hAnsi="Arial" w:cs="Arial"/>
          <w:szCs w:val="24"/>
        </w:rPr>
      </w:pPr>
    </w:p>
    <w:p w14:paraId="1A250D30" w14:textId="776C7D9E" w:rsidR="00C56698" w:rsidRPr="005A2668" w:rsidRDefault="00C56698" w:rsidP="00C56698">
      <w:pPr>
        <w:jc w:val="center"/>
        <w:rPr>
          <w:rFonts w:ascii="Arial" w:hAnsi="Arial" w:cs="Arial"/>
          <w:b/>
          <w:bCs/>
          <w:szCs w:val="24"/>
        </w:rPr>
      </w:pPr>
      <w:r w:rsidRPr="005A2668">
        <w:rPr>
          <w:rFonts w:ascii="Arial" w:hAnsi="Arial" w:cs="Arial"/>
          <w:b/>
          <w:bCs/>
          <w:szCs w:val="24"/>
        </w:rPr>
        <w:t>Student Name:</w:t>
      </w:r>
      <w:r w:rsidR="009545BA">
        <w:rPr>
          <w:rFonts w:ascii="Arial" w:hAnsi="Arial" w:cs="Arial"/>
          <w:b/>
          <w:bCs/>
          <w:szCs w:val="24"/>
        </w:rPr>
        <w:t xml:space="preserve"> </w:t>
      </w:r>
      <w:proofErr w:type="spellStart"/>
      <w:r w:rsidR="009545BA">
        <w:rPr>
          <w:rFonts w:ascii="Arial" w:hAnsi="Arial" w:cs="Arial"/>
          <w:b/>
          <w:bCs/>
          <w:szCs w:val="24"/>
        </w:rPr>
        <w:t>Hetviben</w:t>
      </w:r>
      <w:proofErr w:type="spellEnd"/>
      <w:r w:rsidR="009545BA">
        <w:rPr>
          <w:rFonts w:ascii="Arial" w:hAnsi="Arial" w:cs="Arial"/>
          <w:b/>
          <w:bCs/>
          <w:szCs w:val="24"/>
        </w:rPr>
        <w:t xml:space="preserve"> </w:t>
      </w:r>
      <w:proofErr w:type="spellStart"/>
      <w:r w:rsidR="009545BA">
        <w:rPr>
          <w:rFonts w:ascii="Arial" w:hAnsi="Arial" w:cs="Arial"/>
          <w:b/>
          <w:bCs/>
          <w:szCs w:val="24"/>
        </w:rPr>
        <w:t>Pravinbhai</w:t>
      </w:r>
      <w:proofErr w:type="spellEnd"/>
      <w:r w:rsidR="009545BA">
        <w:rPr>
          <w:rFonts w:ascii="Arial" w:hAnsi="Arial" w:cs="Arial"/>
          <w:b/>
          <w:bCs/>
          <w:szCs w:val="24"/>
        </w:rPr>
        <w:t xml:space="preserve"> </w:t>
      </w:r>
      <w:proofErr w:type="spellStart"/>
      <w:r w:rsidR="009545BA">
        <w:rPr>
          <w:rFonts w:ascii="Arial" w:hAnsi="Arial" w:cs="Arial"/>
          <w:b/>
          <w:bCs/>
          <w:szCs w:val="24"/>
        </w:rPr>
        <w:t>Paradiya</w:t>
      </w:r>
      <w:proofErr w:type="spellEnd"/>
    </w:p>
    <w:p w14:paraId="1A77B13F" w14:textId="77777777" w:rsidR="00C56698" w:rsidRPr="005A2668" w:rsidRDefault="00C56698" w:rsidP="00C56698">
      <w:pPr>
        <w:jc w:val="center"/>
        <w:rPr>
          <w:rFonts w:ascii="Arial" w:hAnsi="Arial" w:cs="Arial"/>
          <w:b/>
          <w:bCs/>
          <w:szCs w:val="24"/>
        </w:rPr>
      </w:pPr>
    </w:p>
    <w:p w14:paraId="7CD78A4F" w14:textId="4461960B" w:rsidR="00C56698" w:rsidRPr="005A2668" w:rsidRDefault="00C56698" w:rsidP="00C56698">
      <w:pPr>
        <w:jc w:val="center"/>
        <w:rPr>
          <w:rFonts w:ascii="Arial" w:hAnsi="Arial" w:cs="Arial"/>
          <w:b/>
          <w:bCs/>
          <w:szCs w:val="24"/>
        </w:rPr>
      </w:pPr>
      <w:r w:rsidRPr="005A2668">
        <w:rPr>
          <w:rFonts w:ascii="Arial" w:hAnsi="Arial" w:cs="Arial"/>
          <w:b/>
          <w:bCs/>
          <w:szCs w:val="24"/>
        </w:rPr>
        <w:t>Student ID:</w:t>
      </w:r>
      <w:r w:rsidR="009545BA">
        <w:rPr>
          <w:rFonts w:ascii="Arial" w:hAnsi="Arial" w:cs="Arial"/>
          <w:b/>
          <w:bCs/>
          <w:szCs w:val="24"/>
        </w:rPr>
        <w:t xml:space="preserve"> 2505236</w:t>
      </w:r>
    </w:p>
    <w:p w14:paraId="73E20363" w14:textId="77777777" w:rsidR="00C56698" w:rsidRPr="005A2668" w:rsidRDefault="00C56698" w:rsidP="00C56698">
      <w:pPr>
        <w:jc w:val="center"/>
        <w:rPr>
          <w:rFonts w:ascii="Arial" w:hAnsi="Arial" w:cs="Arial"/>
          <w:szCs w:val="24"/>
        </w:rPr>
      </w:pPr>
    </w:p>
    <w:p w14:paraId="40A8F58F" w14:textId="07DB9DD6" w:rsidR="00C56698" w:rsidRPr="009545BA" w:rsidRDefault="009545BA" w:rsidP="00C56698">
      <w:pPr>
        <w:jc w:val="center"/>
        <w:rPr>
          <w:rFonts w:ascii="Arial" w:hAnsi="Arial" w:cs="Arial"/>
          <w:b/>
          <w:bCs/>
          <w:szCs w:val="24"/>
        </w:rPr>
      </w:pPr>
      <w:r w:rsidRPr="009545BA">
        <w:rPr>
          <w:rFonts w:ascii="Arial" w:hAnsi="Arial" w:cs="Arial"/>
          <w:b/>
          <w:bCs/>
          <w:szCs w:val="24"/>
        </w:rPr>
        <w:t>Assessment-1</w:t>
      </w:r>
    </w:p>
    <w:p w14:paraId="2CE14DE3" w14:textId="77777777" w:rsidR="00C56698" w:rsidRPr="005A2668" w:rsidRDefault="00C56698" w:rsidP="00C56698">
      <w:pPr>
        <w:jc w:val="center"/>
        <w:rPr>
          <w:rFonts w:ascii="Arial" w:hAnsi="Arial" w:cs="Arial"/>
          <w:b/>
          <w:bCs/>
          <w:szCs w:val="24"/>
        </w:rPr>
      </w:pPr>
      <w:r w:rsidRPr="005A2668">
        <w:rPr>
          <w:rFonts w:ascii="Arial" w:hAnsi="Arial" w:cs="Arial"/>
          <w:b/>
          <w:bCs/>
          <w:szCs w:val="24"/>
        </w:rPr>
        <w:t>Module Name: Marketing Management</w:t>
      </w:r>
    </w:p>
    <w:p w14:paraId="5A75B642" w14:textId="77777777" w:rsidR="00C56698" w:rsidRPr="005A2668" w:rsidRDefault="00C56698" w:rsidP="00C56698">
      <w:pPr>
        <w:jc w:val="center"/>
        <w:rPr>
          <w:rFonts w:ascii="Arial" w:hAnsi="Arial" w:cs="Arial"/>
          <w:b/>
          <w:bCs/>
          <w:szCs w:val="24"/>
        </w:rPr>
      </w:pPr>
    </w:p>
    <w:p w14:paraId="70DDF60A" w14:textId="77777777" w:rsidR="00C56698" w:rsidRPr="005A2668" w:rsidRDefault="00C56698" w:rsidP="00C56698">
      <w:pPr>
        <w:jc w:val="center"/>
        <w:rPr>
          <w:rFonts w:ascii="Arial" w:hAnsi="Arial" w:cs="Arial"/>
          <w:b/>
          <w:bCs/>
          <w:szCs w:val="24"/>
        </w:rPr>
      </w:pPr>
      <w:r w:rsidRPr="005A2668">
        <w:rPr>
          <w:rFonts w:ascii="Arial" w:hAnsi="Arial" w:cs="Arial"/>
          <w:b/>
          <w:bCs/>
          <w:szCs w:val="24"/>
        </w:rPr>
        <w:t>Module Code: LCMB7024</w:t>
      </w:r>
    </w:p>
    <w:p w14:paraId="136C4E7A" w14:textId="77777777" w:rsidR="00C56698" w:rsidRPr="005A2668" w:rsidRDefault="00C56698" w:rsidP="00C56698">
      <w:pPr>
        <w:jc w:val="center"/>
        <w:rPr>
          <w:rFonts w:ascii="Arial" w:hAnsi="Arial" w:cs="Arial"/>
          <w:b/>
          <w:bCs/>
          <w:szCs w:val="24"/>
        </w:rPr>
      </w:pPr>
    </w:p>
    <w:p w14:paraId="15EF384D" w14:textId="77777777" w:rsidR="009545BA" w:rsidRPr="009545BA" w:rsidRDefault="00C56698" w:rsidP="009545BA">
      <w:pPr>
        <w:jc w:val="center"/>
        <w:rPr>
          <w:rFonts w:ascii="Arial" w:hAnsi="Arial" w:cs="Arial"/>
          <w:b/>
          <w:bCs/>
          <w:szCs w:val="24"/>
        </w:rPr>
      </w:pPr>
      <w:r w:rsidRPr="005A2668">
        <w:rPr>
          <w:rFonts w:ascii="Arial" w:hAnsi="Arial" w:cs="Arial"/>
          <w:b/>
          <w:bCs/>
          <w:szCs w:val="24"/>
        </w:rPr>
        <w:t>Lecturer’s Name:</w:t>
      </w:r>
      <w:r w:rsidR="009545BA">
        <w:rPr>
          <w:rFonts w:ascii="Arial" w:hAnsi="Arial" w:cs="Arial"/>
          <w:b/>
          <w:bCs/>
          <w:szCs w:val="24"/>
        </w:rPr>
        <w:t xml:space="preserve"> </w:t>
      </w:r>
      <w:r w:rsidR="009545BA" w:rsidRPr="009545BA">
        <w:rPr>
          <w:rFonts w:ascii="Arial" w:hAnsi="Arial" w:cs="Arial"/>
          <w:b/>
          <w:bCs/>
          <w:szCs w:val="24"/>
        </w:rPr>
        <w:t xml:space="preserve">Dr Laila </w:t>
      </w:r>
      <w:proofErr w:type="spellStart"/>
      <w:r w:rsidR="009545BA" w:rsidRPr="009545BA">
        <w:rPr>
          <w:rFonts w:ascii="Arial" w:hAnsi="Arial" w:cs="Arial"/>
          <w:b/>
          <w:bCs/>
          <w:szCs w:val="24"/>
        </w:rPr>
        <w:t>Maazouz</w:t>
      </w:r>
      <w:proofErr w:type="spellEnd"/>
    </w:p>
    <w:p w14:paraId="24B58842" w14:textId="154FA736" w:rsidR="00C56698" w:rsidRPr="005A2668" w:rsidRDefault="00C56698" w:rsidP="00C56698">
      <w:pPr>
        <w:jc w:val="center"/>
        <w:rPr>
          <w:rFonts w:ascii="Arial" w:hAnsi="Arial" w:cs="Arial"/>
          <w:b/>
          <w:bCs/>
          <w:szCs w:val="24"/>
        </w:rPr>
      </w:pPr>
    </w:p>
    <w:p w14:paraId="190CDFE9" w14:textId="5F9A1955" w:rsidR="00C56698" w:rsidRPr="005A2668" w:rsidRDefault="00C56698" w:rsidP="00C56698">
      <w:pPr>
        <w:jc w:val="center"/>
        <w:rPr>
          <w:rFonts w:ascii="Arial" w:hAnsi="Arial" w:cs="Arial"/>
          <w:b/>
          <w:bCs/>
          <w:szCs w:val="24"/>
        </w:rPr>
      </w:pPr>
      <w:r w:rsidRPr="005A2668">
        <w:rPr>
          <w:rFonts w:ascii="Arial" w:hAnsi="Arial" w:cs="Arial"/>
          <w:b/>
          <w:bCs/>
          <w:szCs w:val="24"/>
        </w:rPr>
        <w:t>Work Count:</w:t>
      </w:r>
      <w:r w:rsidR="009545BA">
        <w:rPr>
          <w:rFonts w:ascii="Arial" w:hAnsi="Arial" w:cs="Arial"/>
          <w:b/>
          <w:bCs/>
          <w:szCs w:val="24"/>
        </w:rPr>
        <w:t xml:space="preserve"> 2699</w:t>
      </w:r>
    </w:p>
    <w:p w14:paraId="5260068A" w14:textId="77777777" w:rsidR="00C56698" w:rsidRPr="005A2668" w:rsidRDefault="00C56698" w:rsidP="00C56698">
      <w:pPr>
        <w:jc w:val="center"/>
        <w:rPr>
          <w:rFonts w:ascii="Arial" w:hAnsi="Arial" w:cs="Arial"/>
          <w:b/>
          <w:bCs/>
          <w:szCs w:val="24"/>
        </w:rPr>
      </w:pPr>
    </w:p>
    <w:p w14:paraId="7FF17873" w14:textId="77777777" w:rsidR="00C56698" w:rsidRPr="005A2668" w:rsidRDefault="00C56698" w:rsidP="00C56698">
      <w:pPr>
        <w:jc w:val="center"/>
        <w:rPr>
          <w:rFonts w:ascii="Arial" w:hAnsi="Arial" w:cs="Arial"/>
          <w:b/>
          <w:bCs/>
          <w:szCs w:val="24"/>
        </w:rPr>
      </w:pPr>
    </w:p>
    <w:p w14:paraId="1DF69C67" w14:textId="77777777" w:rsidR="00C56698" w:rsidRPr="005A2668" w:rsidRDefault="00C56698" w:rsidP="00C56698">
      <w:pPr>
        <w:jc w:val="center"/>
        <w:rPr>
          <w:rFonts w:ascii="Arial" w:hAnsi="Arial" w:cs="Arial"/>
          <w:b/>
          <w:bCs/>
          <w:szCs w:val="24"/>
        </w:rPr>
      </w:pPr>
      <w:r w:rsidRPr="005A2668">
        <w:rPr>
          <w:rFonts w:ascii="Arial" w:hAnsi="Arial" w:cs="Arial"/>
          <w:b/>
          <w:bCs/>
          <w:szCs w:val="24"/>
        </w:rPr>
        <w:t>Term 1</w:t>
      </w:r>
    </w:p>
    <w:p w14:paraId="41D6DDBB" w14:textId="77777777" w:rsidR="00883D5A" w:rsidRPr="005A2668" w:rsidRDefault="00883D5A">
      <w:pPr>
        <w:spacing w:line="259" w:lineRule="auto"/>
        <w:rPr>
          <w:rFonts w:ascii="Arial" w:hAnsi="Arial" w:cs="Arial"/>
          <w:szCs w:val="24"/>
        </w:rPr>
      </w:pPr>
      <w:r w:rsidRPr="005A2668">
        <w:rPr>
          <w:rFonts w:ascii="Arial" w:hAnsi="Arial" w:cs="Arial"/>
          <w:szCs w:val="24"/>
        </w:rPr>
        <w:br w:type="page"/>
      </w:r>
    </w:p>
    <w:sdt>
      <w:sdtPr>
        <w:rPr>
          <w:rFonts w:ascii="Arial" w:eastAsiaTheme="minorHAnsi" w:hAnsi="Arial" w:cs="Arial"/>
          <w:b/>
          <w:bCs/>
          <w:color w:val="auto"/>
          <w:sz w:val="24"/>
          <w:szCs w:val="24"/>
          <w:lang w:val="en-IN"/>
        </w:rPr>
        <w:id w:val="348227794"/>
        <w:docPartObj>
          <w:docPartGallery w:val="Table of Contents"/>
          <w:docPartUnique/>
        </w:docPartObj>
      </w:sdtPr>
      <w:sdtEndPr>
        <w:rPr>
          <w:noProof/>
        </w:rPr>
      </w:sdtEndPr>
      <w:sdtContent>
        <w:p w14:paraId="1EA5A9C4" w14:textId="42BC6016" w:rsidR="00883D5A" w:rsidRPr="005A2668" w:rsidRDefault="00883D5A">
          <w:pPr>
            <w:pStyle w:val="TOCHeading"/>
            <w:rPr>
              <w:rFonts w:ascii="Arial" w:hAnsi="Arial" w:cs="Arial"/>
              <w:b/>
              <w:bCs/>
              <w:color w:val="auto"/>
              <w:sz w:val="24"/>
              <w:szCs w:val="24"/>
            </w:rPr>
          </w:pPr>
          <w:r w:rsidRPr="005A2668">
            <w:rPr>
              <w:rFonts w:ascii="Arial" w:hAnsi="Arial" w:cs="Arial"/>
              <w:b/>
              <w:bCs/>
              <w:color w:val="auto"/>
              <w:sz w:val="24"/>
              <w:szCs w:val="24"/>
            </w:rPr>
            <w:t>Table of Contents</w:t>
          </w:r>
        </w:p>
        <w:p w14:paraId="287A6462" w14:textId="5C5D6CFE" w:rsidR="00883D5A" w:rsidRPr="005A2668" w:rsidRDefault="00883D5A" w:rsidP="00883D5A">
          <w:pPr>
            <w:pStyle w:val="TOC1"/>
            <w:rPr>
              <w:szCs w:val="24"/>
            </w:rPr>
          </w:pPr>
          <w:r w:rsidRPr="005A2668">
            <w:rPr>
              <w:szCs w:val="24"/>
            </w:rPr>
            <w:fldChar w:fldCharType="begin"/>
          </w:r>
          <w:r w:rsidRPr="005A2668">
            <w:rPr>
              <w:szCs w:val="24"/>
            </w:rPr>
            <w:instrText xml:space="preserve"> TOC \o "1-3" \h \z \u </w:instrText>
          </w:r>
          <w:r w:rsidRPr="005A2668">
            <w:rPr>
              <w:szCs w:val="24"/>
            </w:rPr>
            <w:fldChar w:fldCharType="separate"/>
          </w:r>
          <w:hyperlink w:anchor="_Toc213403559" w:history="1">
            <w:r w:rsidRPr="005A2668">
              <w:rPr>
                <w:rStyle w:val="Hyperlink"/>
                <w:color w:val="auto"/>
                <w:szCs w:val="24"/>
              </w:rPr>
              <w:t>1. Introduction</w:t>
            </w:r>
            <w:r w:rsidRPr="005A2668">
              <w:rPr>
                <w:webHidden/>
                <w:szCs w:val="24"/>
              </w:rPr>
              <w:tab/>
            </w:r>
            <w:r w:rsidRPr="005A2668">
              <w:rPr>
                <w:webHidden/>
                <w:szCs w:val="24"/>
              </w:rPr>
              <w:fldChar w:fldCharType="begin"/>
            </w:r>
            <w:r w:rsidRPr="005A2668">
              <w:rPr>
                <w:webHidden/>
                <w:szCs w:val="24"/>
              </w:rPr>
              <w:instrText xml:space="preserve"> PAGEREF _Toc213403559 \h </w:instrText>
            </w:r>
            <w:r w:rsidRPr="005A2668">
              <w:rPr>
                <w:webHidden/>
                <w:szCs w:val="24"/>
              </w:rPr>
            </w:r>
            <w:r w:rsidRPr="005A2668">
              <w:rPr>
                <w:webHidden/>
                <w:szCs w:val="24"/>
              </w:rPr>
              <w:fldChar w:fldCharType="separate"/>
            </w:r>
            <w:r w:rsidRPr="005A2668">
              <w:rPr>
                <w:webHidden/>
                <w:szCs w:val="24"/>
              </w:rPr>
              <w:t>3</w:t>
            </w:r>
            <w:r w:rsidRPr="005A2668">
              <w:rPr>
                <w:webHidden/>
                <w:szCs w:val="24"/>
              </w:rPr>
              <w:fldChar w:fldCharType="end"/>
            </w:r>
          </w:hyperlink>
        </w:p>
        <w:p w14:paraId="7A69BDBE" w14:textId="21784922" w:rsidR="00883D5A" w:rsidRPr="005A2668" w:rsidRDefault="002E6E27" w:rsidP="00883D5A">
          <w:pPr>
            <w:pStyle w:val="TOC1"/>
            <w:rPr>
              <w:szCs w:val="24"/>
            </w:rPr>
          </w:pPr>
          <w:hyperlink w:anchor="_Toc213403560" w:history="1">
            <w:r w:rsidR="00883D5A" w:rsidRPr="005A2668">
              <w:rPr>
                <w:rStyle w:val="Hyperlink"/>
                <w:color w:val="auto"/>
                <w:szCs w:val="24"/>
              </w:rPr>
              <w:t>2. Task 1: Critical Analysis of the Macro Marketing Environment</w:t>
            </w:r>
            <w:r w:rsidR="00883D5A" w:rsidRPr="005A2668">
              <w:rPr>
                <w:webHidden/>
                <w:szCs w:val="24"/>
              </w:rPr>
              <w:tab/>
            </w:r>
            <w:r w:rsidR="00883D5A" w:rsidRPr="005A2668">
              <w:rPr>
                <w:webHidden/>
                <w:szCs w:val="24"/>
              </w:rPr>
              <w:fldChar w:fldCharType="begin"/>
            </w:r>
            <w:r w:rsidR="00883D5A" w:rsidRPr="005A2668">
              <w:rPr>
                <w:webHidden/>
                <w:szCs w:val="24"/>
              </w:rPr>
              <w:instrText xml:space="preserve"> PAGEREF _Toc213403560 \h </w:instrText>
            </w:r>
            <w:r w:rsidR="00883D5A" w:rsidRPr="005A2668">
              <w:rPr>
                <w:webHidden/>
                <w:szCs w:val="24"/>
              </w:rPr>
            </w:r>
            <w:r w:rsidR="00883D5A" w:rsidRPr="005A2668">
              <w:rPr>
                <w:webHidden/>
                <w:szCs w:val="24"/>
              </w:rPr>
              <w:fldChar w:fldCharType="separate"/>
            </w:r>
            <w:r w:rsidR="00883D5A" w:rsidRPr="005A2668">
              <w:rPr>
                <w:webHidden/>
                <w:szCs w:val="24"/>
              </w:rPr>
              <w:t>4</w:t>
            </w:r>
            <w:r w:rsidR="00883D5A" w:rsidRPr="005A2668">
              <w:rPr>
                <w:webHidden/>
                <w:szCs w:val="24"/>
              </w:rPr>
              <w:fldChar w:fldCharType="end"/>
            </w:r>
          </w:hyperlink>
        </w:p>
        <w:p w14:paraId="45A1206D" w14:textId="2634ABFA" w:rsidR="00883D5A" w:rsidRPr="005A2668" w:rsidRDefault="002E6E27">
          <w:pPr>
            <w:pStyle w:val="TOC2"/>
            <w:tabs>
              <w:tab w:val="right" w:leader="dot" w:pos="9016"/>
            </w:tabs>
            <w:rPr>
              <w:rFonts w:ascii="Arial" w:hAnsi="Arial" w:cs="Arial"/>
              <w:noProof/>
              <w:szCs w:val="24"/>
            </w:rPr>
          </w:pPr>
          <w:hyperlink w:anchor="_Toc213403561" w:history="1">
            <w:r w:rsidR="00883D5A" w:rsidRPr="005A2668">
              <w:rPr>
                <w:rStyle w:val="Hyperlink"/>
                <w:rFonts w:ascii="Arial" w:hAnsi="Arial" w:cs="Arial"/>
                <w:noProof/>
                <w:color w:val="auto"/>
                <w:szCs w:val="24"/>
              </w:rPr>
              <w:t>2.1 Overview of the Macro Marketing Environment</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_Toc213403561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4</w:t>
            </w:r>
            <w:r w:rsidR="00883D5A" w:rsidRPr="005A2668">
              <w:rPr>
                <w:rFonts w:ascii="Arial" w:hAnsi="Arial" w:cs="Arial"/>
                <w:noProof/>
                <w:webHidden/>
                <w:szCs w:val="24"/>
              </w:rPr>
              <w:fldChar w:fldCharType="end"/>
            </w:r>
          </w:hyperlink>
        </w:p>
        <w:p w14:paraId="5165DFEC" w14:textId="6668ABCB" w:rsidR="00883D5A" w:rsidRPr="005A2668" w:rsidRDefault="002E6E27">
          <w:pPr>
            <w:pStyle w:val="TOC2"/>
            <w:tabs>
              <w:tab w:val="right" w:leader="dot" w:pos="9016"/>
            </w:tabs>
            <w:rPr>
              <w:rFonts w:ascii="Arial" w:hAnsi="Arial" w:cs="Arial"/>
              <w:noProof/>
              <w:szCs w:val="24"/>
            </w:rPr>
          </w:pPr>
          <w:hyperlink w:anchor="_Toc213403562" w:history="1">
            <w:r w:rsidR="00883D5A" w:rsidRPr="005A2668">
              <w:rPr>
                <w:rStyle w:val="Hyperlink"/>
                <w:rFonts w:ascii="Arial" w:hAnsi="Arial" w:cs="Arial"/>
                <w:noProof/>
                <w:color w:val="auto"/>
                <w:szCs w:val="24"/>
              </w:rPr>
              <w:t>2.2 Selection of Two External Macro Marketing Actors</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_Toc213403562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4</w:t>
            </w:r>
            <w:r w:rsidR="00883D5A" w:rsidRPr="005A2668">
              <w:rPr>
                <w:rFonts w:ascii="Arial" w:hAnsi="Arial" w:cs="Arial"/>
                <w:noProof/>
                <w:webHidden/>
                <w:szCs w:val="24"/>
              </w:rPr>
              <w:fldChar w:fldCharType="end"/>
            </w:r>
          </w:hyperlink>
        </w:p>
        <w:p w14:paraId="4C4C30E8" w14:textId="2F0720CC" w:rsidR="00883D5A" w:rsidRPr="005A2668" w:rsidRDefault="002E6E27">
          <w:pPr>
            <w:pStyle w:val="TOC3"/>
            <w:tabs>
              <w:tab w:val="right" w:leader="dot" w:pos="9016"/>
            </w:tabs>
            <w:rPr>
              <w:rFonts w:ascii="Arial" w:hAnsi="Arial" w:cs="Arial"/>
              <w:noProof/>
              <w:szCs w:val="24"/>
            </w:rPr>
          </w:pPr>
          <w:hyperlink w:anchor="_Toc213403563" w:history="1">
            <w:r w:rsidR="00883D5A" w:rsidRPr="005A2668">
              <w:rPr>
                <w:rStyle w:val="Hyperlink"/>
                <w:rFonts w:ascii="Arial" w:hAnsi="Arial" w:cs="Arial"/>
                <w:noProof/>
                <w:color w:val="auto"/>
                <w:szCs w:val="24"/>
              </w:rPr>
              <w:t>Actor 1: Technological Environment</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_Toc213403563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5</w:t>
            </w:r>
            <w:r w:rsidR="00883D5A" w:rsidRPr="005A2668">
              <w:rPr>
                <w:rFonts w:ascii="Arial" w:hAnsi="Arial" w:cs="Arial"/>
                <w:noProof/>
                <w:webHidden/>
                <w:szCs w:val="24"/>
              </w:rPr>
              <w:fldChar w:fldCharType="end"/>
            </w:r>
          </w:hyperlink>
        </w:p>
        <w:p w14:paraId="21FD1BC2" w14:textId="7756E5E2" w:rsidR="00883D5A" w:rsidRPr="005A2668" w:rsidRDefault="002E6E27">
          <w:pPr>
            <w:pStyle w:val="TOC3"/>
            <w:tabs>
              <w:tab w:val="right" w:leader="dot" w:pos="9016"/>
            </w:tabs>
            <w:rPr>
              <w:rFonts w:ascii="Arial" w:hAnsi="Arial" w:cs="Arial"/>
              <w:noProof/>
              <w:szCs w:val="24"/>
            </w:rPr>
          </w:pPr>
          <w:hyperlink w:anchor="_Toc213403564" w:history="1">
            <w:r w:rsidR="00883D5A" w:rsidRPr="005A2668">
              <w:rPr>
                <w:rStyle w:val="Hyperlink"/>
                <w:rFonts w:ascii="Arial" w:hAnsi="Arial" w:cs="Arial"/>
                <w:noProof/>
                <w:color w:val="auto"/>
                <w:szCs w:val="24"/>
              </w:rPr>
              <w:t>Actor 2: Social Environment</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_Toc213403564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5</w:t>
            </w:r>
            <w:r w:rsidR="00883D5A" w:rsidRPr="005A2668">
              <w:rPr>
                <w:rFonts w:ascii="Arial" w:hAnsi="Arial" w:cs="Arial"/>
                <w:noProof/>
                <w:webHidden/>
                <w:szCs w:val="24"/>
              </w:rPr>
              <w:fldChar w:fldCharType="end"/>
            </w:r>
          </w:hyperlink>
        </w:p>
        <w:p w14:paraId="061EB566" w14:textId="235E4C1B" w:rsidR="00883D5A" w:rsidRPr="005A2668" w:rsidRDefault="002E6E27">
          <w:pPr>
            <w:pStyle w:val="TOC2"/>
            <w:tabs>
              <w:tab w:val="right" w:leader="dot" w:pos="9016"/>
            </w:tabs>
            <w:rPr>
              <w:rFonts w:ascii="Arial" w:hAnsi="Arial" w:cs="Arial"/>
              <w:noProof/>
              <w:szCs w:val="24"/>
            </w:rPr>
          </w:pPr>
          <w:hyperlink w:anchor="_Toc213403565" w:history="1">
            <w:r w:rsidR="00883D5A" w:rsidRPr="005A2668">
              <w:rPr>
                <w:rStyle w:val="Hyperlink"/>
                <w:rFonts w:ascii="Arial" w:hAnsi="Arial" w:cs="Arial"/>
                <w:noProof/>
                <w:color w:val="auto"/>
                <w:szCs w:val="24"/>
              </w:rPr>
              <w:t>2.3 Critical Analysis of Each Actor</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_Toc213403565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6</w:t>
            </w:r>
            <w:r w:rsidR="00883D5A" w:rsidRPr="005A2668">
              <w:rPr>
                <w:rFonts w:ascii="Arial" w:hAnsi="Arial" w:cs="Arial"/>
                <w:noProof/>
                <w:webHidden/>
                <w:szCs w:val="24"/>
              </w:rPr>
              <w:fldChar w:fldCharType="end"/>
            </w:r>
          </w:hyperlink>
        </w:p>
        <w:p w14:paraId="6321CE50" w14:textId="05591DED" w:rsidR="00883D5A" w:rsidRPr="005A2668" w:rsidRDefault="002E6E27">
          <w:pPr>
            <w:pStyle w:val="TOC3"/>
            <w:tabs>
              <w:tab w:val="right" w:leader="dot" w:pos="9016"/>
            </w:tabs>
            <w:rPr>
              <w:rFonts w:ascii="Arial" w:hAnsi="Arial" w:cs="Arial"/>
              <w:noProof/>
              <w:szCs w:val="24"/>
            </w:rPr>
          </w:pPr>
          <w:hyperlink w:anchor="_Toc213403566" w:history="1">
            <w:r w:rsidR="00883D5A" w:rsidRPr="005A2668">
              <w:rPr>
                <w:rStyle w:val="Hyperlink"/>
                <w:rFonts w:ascii="Arial" w:hAnsi="Arial" w:cs="Arial"/>
                <w:noProof/>
                <w:color w:val="auto"/>
                <w:szCs w:val="24"/>
              </w:rPr>
              <w:t>2.3.1 Actor 1 — Technological Environment</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_Toc213403566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6</w:t>
            </w:r>
            <w:r w:rsidR="00883D5A" w:rsidRPr="005A2668">
              <w:rPr>
                <w:rFonts w:ascii="Arial" w:hAnsi="Arial" w:cs="Arial"/>
                <w:noProof/>
                <w:webHidden/>
                <w:szCs w:val="24"/>
              </w:rPr>
              <w:fldChar w:fldCharType="end"/>
            </w:r>
          </w:hyperlink>
        </w:p>
        <w:p w14:paraId="22F4BF1C" w14:textId="441A9A1C" w:rsidR="00883D5A" w:rsidRPr="005A2668" w:rsidRDefault="002E6E27">
          <w:pPr>
            <w:pStyle w:val="TOC3"/>
            <w:tabs>
              <w:tab w:val="right" w:leader="dot" w:pos="9016"/>
            </w:tabs>
            <w:rPr>
              <w:rFonts w:ascii="Arial" w:hAnsi="Arial" w:cs="Arial"/>
              <w:noProof/>
              <w:szCs w:val="24"/>
            </w:rPr>
          </w:pPr>
          <w:hyperlink w:anchor="_Toc213403567" w:history="1">
            <w:r w:rsidR="00883D5A" w:rsidRPr="005A2668">
              <w:rPr>
                <w:rStyle w:val="Hyperlink"/>
                <w:rFonts w:ascii="Arial" w:hAnsi="Arial" w:cs="Arial"/>
                <w:noProof/>
                <w:color w:val="auto"/>
                <w:szCs w:val="24"/>
              </w:rPr>
              <w:t>2.3.2 Actor 2 — Social Environment</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_Toc213403567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7</w:t>
            </w:r>
            <w:r w:rsidR="00883D5A" w:rsidRPr="005A2668">
              <w:rPr>
                <w:rFonts w:ascii="Arial" w:hAnsi="Arial" w:cs="Arial"/>
                <w:noProof/>
                <w:webHidden/>
                <w:szCs w:val="24"/>
              </w:rPr>
              <w:fldChar w:fldCharType="end"/>
            </w:r>
          </w:hyperlink>
        </w:p>
        <w:p w14:paraId="22546C2A" w14:textId="79BB54D9" w:rsidR="00883D5A" w:rsidRPr="005A2668" w:rsidRDefault="002E6E27" w:rsidP="00883D5A">
          <w:pPr>
            <w:pStyle w:val="TOC1"/>
            <w:rPr>
              <w:szCs w:val="24"/>
            </w:rPr>
          </w:pPr>
          <w:hyperlink w:anchor="_Toc213403568" w:history="1">
            <w:r w:rsidR="00883D5A" w:rsidRPr="005A2668">
              <w:rPr>
                <w:rStyle w:val="Hyperlink"/>
                <w:color w:val="auto"/>
                <w:szCs w:val="24"/>
              </w:rPr>
              <w:t>3. Task 2: Strategic Responses of Pioneering and Follower Organisations</w:t>
            </w:r>
            <w:r w:rsidR="00883D5A" w:rsidRPr="005A2668">
              <w:rPr>
                <w:webHidden/>
                <w:szCs w:val="24"/>
              </w:rPr>
              <w:tab/>
            </w:r>
            <w:r w:rsidR="00883D5A" w:rsidRPr="005A2668">
              <w:rPr>
                <w:webHidden/>
                <w:szCs w:val="24"/>
              </w:rPr>
              <w:fldChar w:fldCharType="begin"/>
            </w:r>
            <w:r w:rsidR="00883D5A" w:rsidRPr="005A2668">
              <w:rPr>
                <w:webHidden/>
                <w:szCs w:val="24"/>
              </w:rPr>
              <w:instrText xml:space="preserve"> PAGEREF _Toc213403568 \h </w:instrText>
            </w:r>
            <w:r w:rsidR="00883D5A" w:rsidRPr="005A2668">
              <w:rPr>
                <w:webHidden/>
                <w:szCs w:val="24"/>
              </w:rPr>
            </w:r>
            <w:r w:rsidR="00883D5A" w:rsidRPr="005A2668">
              <w:rPr>
                <w:webHidden/>
                <w:szCs w:val="24"/>
              </w:rPr>
              <w:fldChar w:fldCharType="separate"/>
            </w:r>
            <w:r w:rsidR="00883D5A" w:rsidRPr="005A2668">
              <w:rPr>
                <w:webHidden/>
                <w:szCs w:val="24"/>
              </w:rPr>
              <w:t>8</w:t>
            </w:r>
            <w:r w:rsidR="00883D5A" w:rsidRPr="005A2668">
              <w:rPr>
                <w:webHidden/>
                <w:szCs w:val="24"/>
              </w:rPr>
              <w:fldChar w:fldCharType="end"/>
            </w:r>
          </w:hyperlink>
        </w:p>
        <w:p w14:paraId="1BC65CAE" w14:textId="45CB19EB" w:rsidR="00883D5A" w:rsidRPr="005A2668" w:rsidRDefault="002E6E27">
          <w:pPr>
            <w:pStyle w:val="TOC2"/>
            <w:tabs>
              <w:tab w:val="right" w:leader="dot" w:pos="9016"/>
            </w:tabs>
            <w:rPr>
              <w:rFonts w:ascii="Arial" w:hAnsi="Arial" w:cs="Arial"/>
              <w:noProof/>
              <w:szCs w:val="24"/>
            </w:rPr>
          </w:pPr>
          <w:hyperlink w:anchor="_Toc213403569" w:history="1">
            <w:r w:rsidR="00883D5A" w:rsidRPr="005A2668">
              <w:rPr>
                <w:rStyle w:val="Hyperlink"/>
                <w:rFonts w:ascii="Arial" w:hAnsi="Arial" w:cs="Arial"/>
                <w:noProof/>
                <w:color w:val="auto"/>
                <w:szCs w:val="24"/>
              </w:rPr>
              <w:t>3.1 Pioneering Organisations’ Strategic Responses</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_Toc213403569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8</w:t>
            </w:r>
            <w:r w:rsidR="00883D5A" w:rsidRPr="005A2668">
              <w:rPr>
                <w:rFonts w:ascii="Arial" w:hAnsi="Arial" w:cs="Arial"/>
                <w:noProof/>
                <w:webHidden/>
                <w:szCs w:val="24"/>
              </w:rPr>
              <w:fldChar w:fldCharType="end"/>
            </w:r>
          </w:hyperlink>
        </w:p>
        <w:p w14:paraId="23DE3563" w14:textId="02D758F9" w:rsidR="00883D5A" w:rsidRPr="005A2668" w:rsidRDefault="002E6E27">
          <w:pPr>
            <w:pStyle w:val="TOC2"/>
            <w:tabs>
              <w:tab w:val="right" w:leader="dot" w:pos="9016"/>
            </w:tabs>
            <w:rPr>
              <w:rFonts w:ascii="Arial" w:hAnsi="Arial" w:cs="Arial"/>
              <w:noProof/>
              <w:szCs w:val="24"/>
            </w:rPr>
          </w:pPr>
          <w:hyperlink w:anchor="_Toc213403570" w:history="1">
            <w:r w:rsidR="00883D5A" w:rsidRPr="005A2668">
              <w:rPr>
                <w:rStyle w:val="Hyperlink"/>
                <w:rFonts w:ascii="Arial" w:hAnsi="Arial" w:cs="Arial"/>
                <w:noProof/>
                <w:color w:val="auto"/>
                <w:szCs w:val="24"/>
              </w:rPr>
              <w:t>3.2 Follower Organisations’ Strategic Responses</w:t>
            </w:r>
            <w:r w:rsidR="00883D5A" w:rsidRPr="005A2668">
              <w:rPr>
                <w:rFonts w:ascii="Arial" w:hAnsi="Arial" w:cs="Arial"/>
                <w:noProof/>
                <w:webHidden/>
                <w:szCs w:val="24"/>
              </w:rPr>
              <w:tab/>
            </w:r>
            <w:r w:rsidR="00883D5A" w:rsidRPr="005A2668">
              <w:rPr>
                <w:rFonts w:ascii="Arial" w:hAnsi="Arial" w:cs="Arial"/>
                <w:noProof/>
                <w:webHidden/>
                <w:szCs w:val="24"/>
              </w:rPr>
              <w:fldChar w:fldCharType="begin"/>
            </w:r>
            <w:r w:rsidR="00883D5A" w:rsidRPr="005A2668">
              <w:rPr>
                <w:rFonts w:ascii="Arial" w:hAnsi="Arial" w:cs="Arial"/>
                <w:noProof/>
                <w:webHidden/>
                <w:szCs w:val="24"/>
              </w:rPr>
              <w:instrText xml:space="preserve"> PAGEREF _Toc213403570 \h </w:instrText>
            </w:r>
            <w:r w:rsidR="00883D5A" w:rsidRPr="005A2668">
              <w:rPr>
                <w:rFonts w:ascii="Arial" w:hAnsi="Arial" w:cs="Arial"/>
                <w:noProof/>
                <w:webHidden/>
                <w:szCs w:val="24"/>
              </w:rPr>
            </w:r>
            <w:r w:rsidR="00883D5A" w:rsidRPr="005A2668">
              <w:rPr>
                <w:rFonts w:ascii="Arial" w:hAnsi="Arial" w:cs="Arial"/>
                <w:noProof/>
                <w:webHidden/>
                <w:szCs w:val="24"/>
              </w:rPr>
              <w:fldChar w:fldCharType="separate"/>
            </w:r>
            <w:r w:rsidR="00883D5A" w:rsidRPr="005A2668">
              <w:rPr>
                <w:rFonts w:ascii="Arial" w:hAnsi="Arial" w:cs="Arial"/>
                <w:noProof/>
                <w:webHidden/>
                <w:szCs w:val="24"/>
              </w:rPr>
              <w:t>11</w:t>
            </w:r>
            <w:r w:rsidR="00883D5A" w:rsidRPr="005A2668">
              <w:rPr>
                <w:rFonts w:ascii="Arial" w:hAnsi="Arial" w:cs="Arial"/>
                <w:noProof/>
                <w:webHidden/>
                <w:szCs w:val="24"/>
              </w:rPr>
              <w:fldChar w:fldCharType="end"/>
            </w:r>
          </w:hyperlink>
        </w:p>
        <w:p w14:paraId="1EB2D6F5" w14:textId="4A101805" w:rsidR="00883D5A" w:rsidRPr="005A2668" w:rsidRDefault="002E6E27" w:rsidP="00883D5A">
          <w:pPr>
            <w:pStyle w:val="TOC1"/>
            <w:rPr>
              <w:szCs w:val="24"/>
            </w:rPr>
          </w:pPr>
          <w:hyperlink w:anchor="_Toc213403571" w:history="1">
            <w:r w:rsidR="00883D5A" w:rsidRPr="005A2668">
              <w:rPr>
                <w:rStyle w:val="Hyperlink"/>
                <w:color w:val="auto"/>
                <w:szCs w:val="24"/>
              </w:rPr>
              <w:t>4. Conclusion</w:t>
            </w:r>
            <w:r w:rsidR="00883D5A" w:rsidRPr="005A2668">
              <w:rPr>
                <w:webHidden/>
                <w:szCs w:val="24"/>
              </w:rPr>
              <w:tab/>
            </w:r>
            <w:r w:rsidR="00883D5A" w:rsidRPr="005A2668">
              <w:rPr>
                <w:webHidden/>
                <w:szCs w:val="24"/>
              </w:rPr>
              <w:fldChar w:fldCharType="begin"/>
            </w:r>
            <w:r w:rsidR="00883D5A" w:rsidRPr="005A2668">
              <w:rPr>
                <w:webHidden/>
                <w:szCs w:val="24"/>
              </w:rPr>
              <w:instrText xml:space="preserve"> PAGEREF _Toc213403571 \h </w:instrText>
            </w:r>
            <w:r w:rsidR="00883D5A" w:rsidRPr="005A2668">
              <w:rPr>
                <w:webHidden/>
                <w:szCs w:val="24"/>
              </w:rPr>
            </w:r>
            <w:r w:rsidR="00883D5A" w:rsidRPr="005A2668">
              <w:rPr>
                <w:webHidden/>
                <w:szCs w:val="24"/>
              </w:rPr>
              <w:fldChar w:fldCharType="separate"/>
            </w:r>
            <w:r w:rsidR="00883D5A" w:rsidRPr="005A2668">
              <w:rPr>
                <w:webHidden/>
                <w:szCs w:val="24"/>
              </w:rPr>
              <w:t>13</w:t>
            </w:r>
            <w:r w:rsidR="00883D5A" w:rsidRPr="005A2668">
              <w:rPr>
                <w:webHidden/>
                <w:szCs w:val="24"/>
              </w:rPr>
              <w:fldChar w:fldCharType="end"/>
            </w:r>
          </w:hyperlink>
        </w:p>
        <w:p w14:paraId="4DED2D20" w14:textId="669A0F82" w:rsidR="00883D5A" w:rsidRPr="005A2668" w:rsidRDefault="002E6E27" w:rsidP="00883D5A">
          <w:pPr>
            <w:pStyle w:val="TOC1"/>
            <w:rPr>
              <w:szCs w:val="24"/>
            </w:rPr>
          </w:pPr>
          <w:hyperlink w:anchor="_Toc213403572" w:history="1">
            <w:r w:rsidR="00883D5A" w:rsidRPr="005A2668">
              <w:rPr>
                <w:rStyle w:val="Hyperlink"/>
                <w:b w:val="0"/>
                <w:bCs w:val="0"/>
                <w:color w:val="auto"/>
                <w:szCs w:val="24"/>
              </w:rPr>
              <w:t>5. References</w:t>
            </w:r>
            <w:r w:rsidR="00883D5A" w:rsidRPr="005A2668">
              <w:rPr>
                <w:webHidden/>
                <w:szCs w:val="24"/>
              </w:rPr>
              <w:tab/>
            </w:r>
            <w:r w:rsidR="00883D5A" w:rsidRPr="005A2668">
              <w:rPr>
                <w:webHidden/>
                <w:szCs w:val="24"/>
              </w:rPr>
              <w:fldChar w:fldCharType="begin"/>
            </w:r>
            <w:r w:rsidR="00883D5A" w:rsidRPr="005A2668">
              <w:rPr>
                <w:webHidden/>
                <w:szCs w:val="24"/>
              </w:rPr>
              <w:instrText xml:space="preserve"> PAGEREF _Toc213403572 \h </w:instrText>
            </w:r>
            <w:r w:rsidR="00883D5A" w:rsidRPr="005A2668">
              <w:rPr>
                <w:webHidden/>
                <w:szCs w:val="24"/>
              </w:rPr>
            </w:r>
            <w:r w:rsidR="00883D5A" w:rsidRPr="005A2668">
              <w:rPr>
                <w:webHidden/>
                <w:szCs w:val="24"/>
              </w:rPr>
              <w:fldChar w:fldCharType="separate"/>
            </w:r>
            <w:r w:rsidR="00883D5A" w:rsidRPr="005A2668">
              <w:rPr>
                <w:webHidden/>
                <w:szCs w:val="24"/>
              </w:rPr>
              <w:t>15</w:t>
            </w:r>
            <w:r w:rsidR="00883D5A" w:rsidRPr="005A2668">
              <w:rPr>
                <w:webHidden/>
                <w:szCs w:val="24"/>
              </w:rPr>
              <w:fldChar w:fldCharType="end"/>
            </w:r>
          </w:hyperlink>
        </w:p>
        <w:p w14:paraId="546E8F21" w14:textId="3F51DDF2" w:rsidR="00883D5A" w:rsidRPr="005A2668" w:rsidRDefault="00883D5A">
          <w:pPr>
            <w:rPr>
              <w:rFonts w:ascii="Arial" w:hAnsi="Arial" w:cs="Arial"/>
              <w:szCs w:val="24"/>
            </w:rPr>
          </w:pPr>
          <w:r w:rsidRPr="005A2668">
            <w:rPr>
              <w:rFonts w:ascii="Arial" w:hAnsi="Arial" w:cs="Arial"/>
              <w:b/>
              <w:bCs/>
              <w:noProof/>
              <w:szCs w:val="24"/>
            </w:rPr>
            <w:fldChar w:fldCharType="end"/>
          </w:r>
        </w:p>
      </w:sdtContent>
    </w:sdt>
    <w:p w14:paraId="52321026" w14:textId="4CA06F33" w:rsidR="003D7B0C" w:rsidRPr="005A2668" w:rsidRDefault="003D7B0C" w:rsidP="00C56698">
      <w:pPr>
        <w:rPr>
          <w:rFonts w:ascii="Arial" w:hAnsi="Arial" w:cs="Arial"/>
          <w:b/>
          <w:bCs/>
          <w:szCs w:val="24"/>
        </w:rPr>
      </w:pPr>
      <w:r w:rsidRPr="005A2668">
        <w:rPr>
          <w:rFonts w:ascii="Arial" w:hAnsi="Arial" w:cs="Arial"/>
          <w:szCs w:val="24"/>
        </w:rPr>
        <w:br w:type="page"/>
      </w:r>
    </w:p>
    <w:p w14:paraId="1F6948B6" w14:textId="08416DB5" w:rsidR="003D7B0C" w:rsidRPr="005A2668" w:rsidRDefault="00E35CCB" w:rsidP="00573CED">
      <w:pPr>
        <w:pStyle w:val="Heading1"/>
        <w:jc w:val="both"/>
        <w:rPr>
          <w:rFonts w:ascii="Arial" w:hAnsi="Arial" w:cs="Arial"/>
          <w:color w:val="auto"/>
          <w:sz w:val="24"/>
          <w:szCs w:val="24"/>
        </w:rPr>
      </w:pPr>
      <w:bookmarkStart w:id="0" w:name="_Toc213403559"/>
      <w:r w:rsidRPr="005A2668">
        <w:rPr>
          <w:rFonts w:ascii="Arial" w:hAnsi="Arial" w:cs="Arial"/>
          <w:color w:val="auto"/>
          <w:sz w:val="24"/>
          <w:szCs w:val="24"/>
        </w:rPr>
        <w:lastRenderedPageBreak/>
        <w:t>1. Introduction</w:t>
      </w:r>
      <w:bookmarkEnd w:id="0"/>
    </w:p>
    <w:p w14:paraId="1F4FA59F" w14:textId="77777777" w:rsidR="0055507C" w:rsidRPr="005A2668" w:rsidRDefault="0055507C" w:rsidP="00573CED">
      <w:pPr>
        <w:jc w:val="both"/>
        <w:rPr>
          <w:rFonts w:ascii="Arial" w:hAnsi="Arial" w:cs="Arial"/>
          <w:b/>
          <w:bCs/>
          <w:szCs w:val="24"/>
        </w:rPr>
      </w:pPr>
      <w:r w:rsidRPr="005A2668">
        <w:rPr>
          <w:rFonts w:ascii="Arial" w:hAnsi="Arial" w:cs="Arial"/>
          <w:b/>
          <w:bCs/>
          <w:szCs w:val="24"/>
        </w:rPr>
        <w:t>Purpose and focus of the report</w:t>
      </w:r>
    </w:p>
    <w:p w14:paraId="4D918619" w14:textId="70FAD7A6" w:rsidR="0055507C" w:rsidRPr="005A2668" w:rsidRDefault="00BA27FA" w:rsidP="00573CED">
      <w:pPr>
        <w:jc w:val="both"/>
        <w:rPr>
          <w:rFonts w:ascii="Arial" w:hAnsi="Arial" w:cs="Arial"/>
          <w:szCs w:val="24"/>
        </w:rPr>
      </w:pPr>
      <w:r w:rsidRPr="005A2668">
        <w:rPr>
          <w:rFonts w:ascii="Arial" w:hAnsi="Arial" w:cs="Arial"/>
          <w:szCs w:val="24"/>
        </w:rPr>
        <w:t>Competition requires strategic marketing managers to anticipate, assess, and adjust to operational environment changes. Researchers study how macro marketing influences industry leaders and followers' strategic marketing decisions</w:t>
      </w:r>
      <w:r w:rsidR="00C96D85" w:rsidRPr="005A2668">
        <w:rPr>
          <w:rFonts w:ascii="Arial" w:hAnsi="Arial" w:cs="Arial"/>
          <w:szCs w:val="24"/>
        </w:rPr>
        <w:t xml:space="preserve"> (</w:t>
      </w:r>
      <w:proofErr w:type="spellStart"/>
      <w:r w:rsidR="00C96D85" w:rsidRPr="005A2668">
        <w:rPr>
          <w:rFonts w:ascii="Arial" w:hAnsi="Arial" w:cs="Arial"/>
          <w:szCs w:val="24"/>
        </w:rPr>
        <w:t>Özturan</w:t>
      </w:r>
      <w:proofErr w:type="spellEnd"/>
      <w:r w:rsidR="00273ABB" w:rsidRPr="005A2668">
        <w:rPr>
          <w:rFonts w:ascii="Arial" w:hAnsi="Arial" w:cs="Arial"/>
          <w:szCs w:val="24"/>
        </w:rPr>
        <w:t xml:space="preserve"> et al.</w:t>
      </w:r>
      <w:r w:rsidR="00C96D85" w:rsidRPr="005A2668">
        <w:rPr>
          <w:rFonts w:ascii="Arial" w:hAnsi="Arial" w:cs="Arial"/>
          <w:szCs w:val="24"/>
        </w:rPr>
        <w:t>, 2023)</w:t>
      </w:r>
      <w:r w:rsidRPr="005A2668">
        <w:rPr>
          <w:rFonts w:ascii="Arial" w:hAnsi="Arial" w:cs="Arial"/>
          <w:szCs w:val="24"/>
        </w:rPr>
        <w:t xml:space="preserve">. </w:t>
      </w:r>
      <w:r w:rsidR="0055507C" w:rsidRPr="005A2668">
        <w:rPr>
          <w:rFonts w:ascii="Arial" w:hAnsi="Arial" w:cs="Arial"/>
          <w:szCs w:val="24"/>
        </w:rPr>
        <w:t xml:space="preserve">Pioneers and followers may face chances and challenges from macro-environmental variables, according to the research. Pioneers can gain from early market domination and technological leadership, but unpredictability, expensive R&amp;D expenses, and unexpected customer responses are hazards. Pioneer experiences can let followers enter the market inexpensively and decrease risk, but brand loyalty may be an issue. </w:t>
      </w:r>
    </w:p>
    <w:p w14:paraId="62D255E8" w14:textId="77777777" w:rsidR="0055507C" w:rsidRPr="005A2668" w:rsidRDefault="0055507C" w:rsidP="00573CED">
      <w:pPr>
        <w:jc w:val="both"/>
        <w:rPr>
          <w:rFonts w:ascii="Arial" w:hAnsi="Arial" w:cs="Arial"/>
          <w:b/>
          <w:bCs/>
          <w:szCs w:val="24"/>
        </w:rPr>
      </w:pPr>
      <w:r w:rsidRPr="005A2668">
        <w:rPr>
          <w:rFonts w:ascii="Arial" w:hAnsi="Arial" w:cs="Arial"/>
          <w:b/>
          <w:bCs/>
          <w:szCs w:val="24"/>
        </w:rPr>
        <w:t>Importance of macro-environmental analysis</w:t>
      </w:r>
    </w:p>
    <w:p w14:paraId="3A36838B" w14:textId="790B938C" w:rsidR="0055507C" w:rsidRPr="005A2668" w:rsidRDefault="0055507C" w:rsidP="00573CED">
      <w:pPr>
        <w:jc w:val="both"/>
        <w:rPr>
          <w:rFonts w:ascii="Arial" w:hAnsi="Arial" w:cs="Arial"/>
          <w:szCs w:val="24"/>
        </w:rPr>
      </w:pPr>
      <w:r w:rsidRPr="005A2668">
        <w:rPr>
          <w:rFonts w:ascii="Arial" w:hAnsi="Arial" w:cs="Arial"/>
          <w:szCs w:val="24"/>
        </w:rPr>
        <w:t>Market context is assessed via environmental scanning in strategic marketing management. Political, economic, social, technical, environmental, and legal issues beyond the firm's control effect market behaviour, consumer requirements, resource availability, and industry dynamics. Analysing these elements helps companies find opportunities like technology breakthroughs or consumer value shifts and prevent risks like regulatory changes or disruptive technologies</w:t>
      </w:r>
      <w:r w:rsidR="008A29E6" w:rsidRPr="005A2668">
        <w:rPr>
          <w:rFonts w:ascii="Arial" w:hAnsi="Arial" w:cs="Arial"/>
          <w:szCs w:val="24"/>
        </w:rPr>
        <w:t xml:space="preserve"> (KPMG, 2024)</w:t>
      </w:r>
      <w:r w:rsidRPr="005A2668">
        <w:rPr>
          <w:rFonts w:ascii="Arial" w:hAnsi="Arial" w:cs="Arial"/>
          <w:szCs w:val="24"/>
        </w:rPr>
        <w:t xml:space="preserve">. Research helps pioneers choose investments, timing invention, and set industry standards. Strategic adaptation allows followers modify competitive posture, target overlooked markets, and copy or enhance pioneer discoveries at reduced cost. </w:t>
      </w:r>
    </w:p>
    <w:p w14:paraId="5861324D" w14:textId="77777777" w:rsidR="0055507C" w:rsidRPr="005A2668" w:rsidRDefault="0055507C" w:rsidP="00573CED">
      <w:pPr>
        <w:jc w:val="both"/>
        <w:rPr>
          <w:rFonts w:ascii="Arial" w:hAnsi="Arial" w:cs="Arial"/>
          <w:b/>
          <w:bCs/>
          <w:szCs w:val="24"/>
        </w:rPr>
      </w:pPr>
      <w:r w:rsidRPr="005A2668">
        <w:rPr>
          <w:rFonts w:ascii="Arial" w:hAnsi="Arial" w:cs="Arial"/>
          <w:b/>
          <w:bCs/>
          <w:szCs w:val="24"/>
        </w:rPr>
        <w:t>Scope and structure of the report</w:t>
      </w:r>
    </w:p>
    <w:p w14:paraId="3EE982E7" w14:textId="3CCDD42F" w:rsidR="0055507C" w:rsidRPr="005A2668" w:rsidRDefault="0055507C" w:rsidP="00573CED">
      <w:pPr>
        <w:jc w:val="both"/>
        <w:rPr>
          <w:rFonts w:ascii="Arial" w:hAnsi="Arial" w:cs="Arial"/>
          <w:szCs w:val="24"/>
        </w:rPr>
      </w:pPr>
      <w:r w:rsidRPr="005A2668">
        <w:rPr>
          <w:rFonts w:ascii="Arial" w:hAnsi="Arial" w:cs="Arial"/>
          <w:szCs w:val="24"/>
        </w:rPr>
        <w:t>Both technology and sociocultural macro marketing players are used to analyse these concerns. As digital revolution and cultural, demographic, and lifestyle changes shift consumer expectations, these players are influential across sectors. The report framework has two basic tasks. Task 1 examines how technological and social developments impact industry leaders and followers. Task 2 uses the Ansoff Growth Matrix and Porter's Generic Strategies to study how companies survive environmental unpredictability. The study highlights the need of environmental scanning and strategy adaptation for competitive advantage.</w:t>
      </w:r>
    </w:p>
    <w:p w14:paraId="3F2203CE" w14:textId="24D03A64" w:rsidR="00E35CCB" w:rsidRPr="005A2668" w:rsidRDefault="00E35CCB" w:rsidP="00573CED">
      <w:pPr>
        <w:pStyle w:val="Heading1"/>
        <w:jc w:val="both"/>
        <w:rPr>
          <w:rFonts w:ascii="Arial" w:hAnsi="Arial" w:cs="Arial"/>
          <w:color w:val="auto"/>
          <w:sz w:val="24"/>
          <w:szCs w:val="24"/>
        </w:rPr>
      </w:pPr>
      <w:bookmarkStart w:id="1" w:name="_Toc213403560"/>
      <w:r w:rsidRPr="005A2668">
        <w:rPr>
          <w:rFonts w:ascii="Arial" w:hAnsi="Arial" w:cs="Arial"/>
          <w:color w:val="auto"/>
          <w:sz w:val="24"/>
          <w:szCs w:val="24"/>
        </w:rPr>
        <w:lastRenderedPageBreak/>
        <w:t>2. Task 1: Critical Analysis of the Macro Marketing Environment</w:t>
      </w:r>
      <w:bookmarkEnd w:id="1"/>
    </w:p>
    <w:p w14:paraId="0CAE926C" w14:textId="77777777" w:rsidR="006627E3" w:rsidRPr="005A2668" w:rsidRDefault="006627E3" w:rsidP="00573CED">
      <w:pPr>
        <w:pStyle w:val="Heading2"/>
        <w:jc w:val="both"/>
        <w:rPr>
          <w:rFonts w:ascii="Arial" w:hAnsi="Arial" w:cs="Arial"/>
          <w:color w:val="auto"/>
          <w:sz w:val="24"/>
          <w:szCs w:val="24"/>
        </w:rPr>
      </w:pPr>
      <w:bookmarkStart w:id="2" w:name="_Toc213403561"/>
      <w:r w:rsidRPr="005A2668">
        <w:rPr>
          <w:rFonts w:ascii="Arial" w:hAnsi="Arial" w:cs="Arial"/>
          <w:color w:val="auto"/>
          <w:sz w:val="24"/>
          <w:szCs w:val="24"/>
        </w:rPr>
        <w:t>2.1 Overview of the Macro Marketing Environment</w:t>
      </w:r>
      <w:bookmarkEnd w:id="2"/>
      <w:r w:rsidRPr="005A2668">
        <w:rPr>
          <w:rFonts w:ascii="Arial" w:hAnsi="Arial" w:cs="Arial"/>
          <w:color w:val="auto"/>
          <w:sz w:val="24"/>
          <w:szCs w:val="24"/>
        </w:rPr>
        <w:t xml:space="preserve"> </w:t>
      </w:r>
    </w:p>
    <w:p w14:paraId="2033F541" w14:textId="6569F85F" w:rsidR="006627E3" w:rsidRPr="005A2668" w:rsidRDefault="006627E3" w:rsidP="00573CED">
      <w:pPr>
        <w:jc w:val="both"/>
        <w:rPr>
          <w:rFonts w:ascii="Arial" w:hAnsi="Arial" w:cs="Arial"/>
          <w:szCs w:val="24"/>
        </w:rPr>
      </w:pPr>
      <w:r w:rsidRPr="005A2668">
        <w:rPr>
          <w:rFonts w:ascii="Arial" w:hAnsi="Arial" w:cs="Arial"/>
          <w:szCs w:val="24"/>
        </w:rPr>
        <w:t>External factors influence a firm's strategy, performance, and value generation in the macro marketing environment. Micro environment comprises suppliers, distributors, and customers, but macro environment includes uncontrollable variables that impact business climate. PESTEL, which separates external influences into Political, Economic, Social, Technological, Environmental, and Legal domains, is often used to analyse the macro environment. Political stability, trade agreements, and public policy impact market access and operations</w:t>
      </w:r>
      <w:r w:rsidR="00E8673D" w:rsidRPr="005A2668">
        <w:rPr>
          <w:rFonts w:ascii="Arial" w:hAnsi="Arial" w:cs="Arial"/>
          <w:szCs w:val="24"/>
        </w:rPr>
        <w:t xml:space="preserve"> (Abuseridze, 2021)</w:t>
      </w:r>
      <w:r w:rsidRPr="005A2668">
        <w:rPr>
          <w:rFonts w:ascii="Arial" w:hAnsi="Arial" w:cs="Arial"/>
          <w:szCs w:val="24"/>
        </w:rPr>
        <w:t>. Interest rates, income, and inflation effect consumer spending and business investment. Demographical, cultural, and lifestyle factors influence consumer behaviour and segmentation. Technology accelerates innovation, industry change, and product and marketing channel acceleration. Climate change and sustainability impact business and sourcing conduct. Finally, regulations, consumer protection laws, and industry standards affect market access, product safety, and promotion</w:t>
      </w:r>
      <w:r w:rsidR="00311993" w:rsidRPr="005A2668">
        <w:rPr>
          <w:rFonts w:ascii="Arial" w:hAnsi="Arial" w:cs="Arial"/>
          <w:szCs w:val="24"/>
        </w:rPr>
        <w:t xml:space="preserve"> (World Economic Magazine, 2024)</w:t>
      </w:r>
      <w:r w:rsidRPr="005A2668">
        <w:rPr>
          <w:rFonts w:ascii="Arial" w:hAnsi="Arial" w:cs="Arial"/>
          <w:szCs w:val="24"/>
        </w:rPr>
        <w:t>.</w:t>
      </w:r>
    </w:p>
    <w:p w14:paraId="0454850D" w14:textId="1A07C542" w:rsidR="006627E3" w:rsidRPr="005A2668" w:rsidRDefault="006627E3" w:rsidP="00573CED">
      <w:pPr>
        <w:jc w:val="both"/>
        <w:rPr>
          <w:rFonts w:ascii="Arial" w:hAnsi="Arial" w:cs="Arial"/>
          <w:szCs w:val="24"/>
        </w:rPr>
      </w:pPr>
      <w:r w:rsidRPr="005A2668">
        <w:rPr>
          <w:rFonts w:ascii="Arial" w:hAnsi="Arial" w:cs="Arial"/>
          <w:szCs w:val="24"/>
        </w:rPr>
        <w:t>Pioneers and followers react differently to macro-environmental changes. Pioneering companies are more subject to uncertainty due to untested technologies and unpredictable client responses. Continuous environmental monitoring helps pioneers spot possibilities, forecast disruption, and justify R&amp;D</w:t>
      </w:r>
      <w:r w:rsidR="009C61AA" w:rsidRPr="005A2668">
        <w:rPr>
          <w:rFonts w:ascii="Arial" w:hAnsi="Arial" w:cs="Arial"/>
          <w:szCs w:val="24"/>
        </w:rPr>
        <w:t xml:space="preserve"> (Kumar et al., 2021)</w:t>
      </w:r>
      <w:r w:rsidRPr="005A2668">
        <w:rPr>
          <w:rFonts w:ascii="Arial" w:hAnsi="Arial" w:cs="Arial"/>
          <w:szCs w:val="24"/>
        </w:rPr>
        <w:t>. Market responses and pioneer outcomes benefit followers. Followers are more susceptible to pioneers' competitive pressures like brand loyalty and technology leadership; therefore, they must monitor environmental changes to find gaps and differentiation chances. Pioneers employ macro-environmental knowledge to lead innovation, market shaping, and first-mover advantage. It allows followers to position for cost savings, product improvement, or niche targeting</w:t>
      </w:r>
      <w:r w:rsidR="009C61AA" w:rsidRPr="005A2668">
        <w:rPr>
          <w:rFonts w:ascii="Arial" w:hAnsi="Arial" w:cs="Arial"/>
          <w:szCs w:val="24"/>
        </w:rPr>
        <w:t xml:space="preserve"> (Mohammed, 2023)</w:t>
      </w:r>
      <w:r w:rsidRPr="005A2668">
        <w:rPr>
          <w:rFonts w:ascii="Arial" w:hAnsi="Arial" w:cs="Arial"/>
          <w:szCs w:val="24"/>
        </w:rPr>
        <w:t xml:space="preserve">. </w:t>
      </w:r>
    </w:p>
    <w:p w14:paraId="3980ED4F" w14:textId="77777777" w:rsidR="006627E3" w:rsidRPr="005A2668" w:rsidRDefault="006627E3" w:rsidP="00573CED">
      <w:pPr>
        <w:pStyle w:val="Heading2"/>
        <w:jc w:val="both"/>
        <w:rPr>
          <w:rFonts w:ascii="Arial" w:hAnsi="Arial" w:cs="Arial"/>
          <w:color w:val="auto"/>
          <w:sz w:val="24"/>
          <w:szCs w:val="24"/>
        </w:rPr>
      </w:pPr>
      <w:bookmarkStart w:id="3" w:name="_Toc213403562"/>
      <w:r w:rsidRPr="005A2668">
        <w:rPr>
          <w:rFonts w:ascii="Arial" w:hAnsi="Arial" w:cs="Arial"/>
          <w:color w:val="auto"/>
          <w:sz w:val="24"/>
          <w:szCs w:val="24"/>
        </w:rPr>
        <w:t>2.2 Selection of Two External Macro Marketing Actors</w:t>
      </w:r>
      <w:bookmarkEnd w:id="3"/>
    </w:p>
    <w:p w14:paraId="221CC246" w14:textId="77777777" w:rsidR="006627E3" w:rsidRPr="005A2668" w:rsidRDefault="006627E3" w:rsidP="00573CED">
      <w:pPr>
        <w:jc w:val="both"/>
        <w:rPr>
          <w:rFonts w:ascii="Arial" w:hAnsi="Arial" w:cs="Arial"/>
          <w:szCs w:val="24"/>
        </w:rPr>
      </w:pPr>
      <w:r w:rsidRPr="005A2668">
        <w:rPr>
          <w:rFonts w:ascii="Arial" w:hAnsi="Arial" w:cs="Arial"/>
          <w:szCs w:val="24"/>
        </w:rPr>
        <w:t xml:space="preserve">External macro marketing forces affect organisational strategy. Technical and social circumstances are studied because they quickly affect industrial structures, consumer behaviour, and strategic marketing reactions. </w:t>
      </w:r>
    </w:p>
    <w:p w14:paraId="4455B159" w14:textId="77777777" w:rsidR="006627E3" w:rsidRPr="005A2668" w:rsidRDefault="006627E3" w:rsidP="00573CED">
      <w:pPr>
        <w:pStyle w:val="Heading3"/>
        <w:rPr>
          <w:rFonts w:ascii="Arial" w:hAnsi="Arial" w:cs="Arial"/>
          <w:color w:val="auto"/>
          <w:sz w:val="24"/>
        </w:rPr>
      </w:pPr>
      <w:bookmarkStart w:id="4" w:name="_Toc213403563"/>
      <w:r w:rsidRPr="005A2668">
        <w:rPr>
          <w:rFonts w:ascii="Arial" w:hAnsi="Arial" w:cs="Arial"/>
          <w:color w:val="auto"/>
          <w:sz w:val="24"/>
        </w:rPr>
        <w:t>Actor 1: Technological Environment</w:t>
      </w:r>
      <w:bookmarkEnd w:id="4"/>
    </w:p>
    <w:p w14:paraId="26818CD5" w14:textId="57667C78" w:rsidR="006627E3" w:rsidRPr="005A2668" w:rsidRDefault="006627E3" w:rsidP="00573CED">
      <w:pPr>
        <w:jc w:val="both"/>
        <w:rPr>
          <w:rFonts w:ascii="Arial" w:hAnsi="Arial" w:cs="Arial"/>
          <w:szCs w:val="24"/>
        </w:rPr>
      </w:pPr>
      <w:r w:rsidRPr="005A2668">
        <w:rPr>
          <w:rFonts w:ascii="Arial" w:hAnsi="Arial" w:cs="Arial"/>
          <w:szCs w:val="24"/>
        </w:rPr>
        <w:t xml:space="preserve">Digital technologies, automation, AI, data analytics, and platforms influence product creation, production, and delivery. Digitalisation and Industry 4.0 linked smart systems </w:t>
      </w:r>
      <w:r w:rsidRPr="005A2668">
        <w:rPr>
          <w:rFonts w:ascii="Arial" w:hAnsi="Arial" w:cs="Arial"/>
          <w:szCs w:val="24"/>
        </w:rPr>
        <w:lastRenderedPageBreak/>
        <w:t>are speeding innovation and changing marketing strategy across sectors</w:t>
      </w:r>
      <w:r w:rsidR="00840EC1" w:rsidRPr="005A2668">
        <w:rPr>
          <w:rFonts w:ascii="Arial" w:hAnsi="Arial" w:cs="Arial"/>
          <w:szCs w:val="24"/>
        </w:rPr>
        <w:t xml:space="preserve"> (Muhammad</w:t>
      </w:r>
      <w:r w:rsidR="0028527D" w:rsidRPr="005A2668">
        <w:rPr>
          <w:rFonts w:ascii="Arial" w:hAnsi="Arial" w:cs="Arial"/>
          <w:szCs w:val="24"/>
        </w:rPr>
        <w:t xml:space="preserve"> et al.</w:t>
      </w:r>
      <w:r w:rsidR="00840EC1" w:rsidRPr="005A2668">
        <w:rPr>
          <w:rFonts w:ascii="Arial" w:hAnsi="Arial" w:cs="Arial"/>
          <w:szCs w:val="24"/>
        </w:rPr>
        <w:t>, 2023)</w:t>
      </w:r>
      <w:r w:rsidRPr="005A2668">
        <w:rPr>
          <w:rFonts w:ascii="Arial" w:hAnsi="Arial" w:cs="Arial"/>
          <w:szCs w:val="24"/>
        </w:rPr>
        <w:t>. E-commerce, AR, VR, and AI-driven customisation transform customer contact by allowing businesses to collect real-time data, customise services, and optimise operations. As companies employ AI to improve productivity, predict demand, and personalise marketing, global AI investment has surged. As e-commerce increases, technology becomes more crucial, especially after COVID-19. Industry research shows that digital accessibility and client buying behaviours are driving online retail sales</w:t>
      </w:r>
      <w:r w:rsidR="0084039E" w:rsidRPr="005A2668">
        <w:rPr>
          <w:rFonts w:ascii="Arial" w:hAnsi="Arial" w:cs="Arial"/>
          <w:szCs w:val="24"/>
        </w:rPr>
        <w:t xml:space="preserve"> (Salamah, 2024)</w:t>
      </w:r>
      <w:r w:rsidRPr="005A2668">
        <w:rPr>
          <w:rFonts w:ascii="Arial" w:hAnsi="Arial" w:cs="Arial"/>
          <w:szCs w:val="24"/>
        </w:rPr>
        <w:t xml:space="preserve">. </w:t>
      </w:r>
    </w:p>
    <w:p w14:paraId="530497A0" w14:textId="54D0BCC9" w:rsidR="006627E3" w:rsidRPr="005A2668" w:rsidRDefault="005B67F7" w:rsidP="00573CED">
      <w:pPr>
        <w:jc w:val="both"/>
        <w:rPr>
          <w:rFonts w:ascii="Arial" w:hAnsi="Arial" w:cs="Arial"/>
          <w:szCs w:val="24"/>
        </w:rPr>
      </w:pPr>
      <w:r w:rsidRPr="005A2668">
        <w:rPr>
          <w:rFonts w:ascii="Arial" w:hAnsi="Arial" w:cs="Arial"/>
          <w:szCs w:val="24"/>
        </w:rPr>
        <w:t xml:space="preserve">Technology affects product and innovation development. Competitive organisations must update goods fast, add smart features, and maintain digital touchpoints. </w:t>
      </w:r>
      <w:r w:rsidR="006627E3" w:rsidRPr="005A2668">
        <w:rPr>
          <w:rFonts w:ascii="Arial" w:hAnsi="Arial" w:cs="Arial"/>
          <w:szCs w:val="24"/>
        </w:rPr>
        <w:t xml:space="preserve">To keep up with automotive, electronics, and retail innovation, companies must invest in R&amp;D. Subscription services, platform ecosystems, and digital marketplaces challenge traditional competitors thanks to technology. </w:t>
      </w:r>
      <w:r w:rsidR="00892EA2" w:rsidRPr="005A2668">
        <w:rPr>
          <w:rFonts w:ascii="Arial" w:hAnsi="Arial" w:cs="Arial"/>
          <w:szCs w:val="24"/>
        </w:rPr>
        <w:t>Digital transformation gives marketers omnichannel communication, data-driven targeting, and tailored value</w:t>
      </w:r>
      <w:r w:rsidR="006D56C0" w:rsidRPr="005A2668">
        <w:rPr>
          <w:rFonts w:ascii="Arial" w:hAnsi="Arial" w:cs="Arial"/>
          <w:szCs w:val="24"/>
        </w:rPr>
        <w:t xml:space="preserve"> (Wilson</w:t>
      </w:r>
      <w:r w:rsidR="00D83CD8" w:rsidRPr="005A2668">
        <w:rPr>
          <w:rFonts w:ascii="Arial" w:hAnsi="Arial" w:cs="Arial"/>
          <w:szCs w:val="24"/>
        </w:rPr>
        <w:t xml:space="preserve"> et al.</w:t>
      </w:r>
      <w:r w:rsidR="006D56C0" w:rsidRPr="005A2668">
        <w:rPr>
          <w:rFonts w:ascii="Arial" w:hAnsi="Arial" w:cs="Arial"/>
          <w:szCs w:val="24"/>
        </w:rPr>
        <w:t>, 2024)</w:t>
      </w:r>
      <w:r w:rsidR="00892EA2" w:rsidRPr="005A2668">
        <w:rPr>
          <w:rFonts w:ascii="Arial" w:hAnsi="Arial" w:cs="Arial"/>
          <w:szCs w:val="24"/>
        </w:rPr>
        <w:t>. AI-powered solutions track consumer behaviour, create predictive models, and personalise content, enhancing customer satisfaction and cutting acquisition costs.</w:t>
      </w:r>
    </w:p>
    <w:p w14:paraId="7239C391" w14:textId="77777777" w:rsidR="006627E3" w:rsidRPr="005A2668" w:rsidRDefault="006627E3" w:rsidP="00573CED">
      <w:pPr>
        <w:pStyle w:val="Heading3"/>
        <w:rPr>
          <w:rFonts w:ascii="Arial" w:hAnsi="Arial" w:cs="Arial"/>
          <w:color w:val="auto"/>
          <w:sz w:val="24"/>
        </w:rPr>
      </w:pPr>
      <w:bookmarkStart w:id="5" w:name="_Toc213403564"/>
      <w:r w:rsidRPr="005A2668">
        <w:rPr>
          <w:rFonts w:ascii="Arial" w:hAnsi="Arial" w:cs="Arial"/>
          <w:color w:val="auto"/>
          <w:sz w:val="24"/>
        </w:rPr>
        <w:t>Actor 2: Social Environment</w:t>
      </w:r>
      <w:bookmarkEnd w:id="5"/>
    </w:p>
    <w:p w14:paraId="2D1087D7" w14:textId="28B0E9A0" w:rsidR="006627E3" w:rsidRPr="005A2668" w:rsidRDefault="00C10D80" w:rsidP="00573CED">
      <w:pPr>
        <w:jc w:val="both"/>
        <w:rPr>
          <w:rFonts w:ascii="Arial" w:hAnsi="Arial" w:cs="Arial"/>
          <w:szCs w:val="24"/>
        </w:rPr>
      </w:pPr>
      <w:r w:rsidRPr="005A2668">
        <w:rPr>
          <w:rFonts w:ascii="Arial" w:hAnsi="Arial" w:cs="Arial"/>
          <w:szCs w:val="24"/>
        </w:rPr>
        <w:t xml:space="preserve">Demographics, culture, lifestyle, and values influence business decisions and customer expectations. Industry buys more for ethics, health, and sustainability. Transparent, eco-friendly, and socially responsible companies are growing. Gen Z and millennials want socially responsible companies that share their beliefs. </w:t>
      </w:r>
      <w:r w:rsidR="006627E3" w:rsidRPr="005A2668">
        <w:rPr>
          <w:rFonts w:ascii="Arial" w:hAnsi="Arial" w:cs="Arial"/>
          <w:szCs w:val="24"/>
        </w:rPr>
        <w:t>Digital connectivity, remote working, and experience-oriented consuming add to market demand</w:t>
      </w:r>
      <w:r w:rsidR="000354A6" w:rsidRPr="005A2668">
        <w:rPr>
          <w:rFonts w:ascii="Arial" w:hAnsi="Arial" w:cs="Arial"/>
          <w:szCs w:val="24"/>
        </w:rPr>
        <w:t xml:space="preserve"> (Battisti</w:t>
      </w:r>
      <w:r w:rsidR="00F80332" w:rsidRPr="005A2668">
        <w:rPr>
          <w:rFonts w:ascii="Arial" w:hAnsi="Arial" w:cs="Arial"/>
          <w:szCs w:val="24"/>
        </w:rPr>
        <w:t xml:space="preserve"> et al.</w:t>
      </w:r>
      <w:r w:rsidR="000354A6" w:rsidRPr="005A2668">
        <w:rPr>
          <w:rFonts w:ascii="Arial" w:hAnsi="Arial" w:cs="Arial"/>
          <w:szCs w:val="24"/>
        </w:rPr>
        <w:t>, 2022)</w:t>
      </w:r>
      <w:r w:rsidR="006627E3" w:rsidRPr="005A2668">
        <w:rPr>
          <w:rFonts w:ascii="Arial" w:hAnsi="Arial" w:cs="Arial"/>
          <w:szCs w:val="24"/>
        </w:rPr>
        <w:t xml:space="preserve">. Digital workout programs, plant-based food options, and second-hand fashion platforms have risen as buyers prioritise health and sustainability. </w:t>
      </w:r>
    </w:p>
    <w:p w14:paraId="6E3807D0" w14:textId="193EFCB8" w:rsidR="006627E3" w:rsidRPr="005A2668" w:rsidRDefault="006627E3" w:rsidP="00573CED">
      <w:pPr>
        <w:jc w:val="both"/>
        <w:rPr>
          <w:rFonts w:ascii="Arial" w:hAnsi="Arial" w:cs="Arial"/>
          <w:szCs w:val="24"/>
        </w:rPr>
      </w:pPr>
      <w:r w:rsidRPr="005A2668">
        <w:rPr>
          <w:rFonts w:ascii="Arial" w:hAnsi="Arial" w:cs="Arial"/>
          <w:szCs w:val="24"/>
        </w:rPr>
        <w:t>The social context affects brand communication. Company marketing must reflect ethics, diversity, and culture. Consumers may now hold companies accountable and co-create social media narratives. Social considerations need organisations to be transparent and engaged in public debates. Consumer research demonstrates a growing need for individuality and community</w:t>
      </w:r>
      <w:r w:rsidR="00576C58" w:rsidRPr="005A2668">
        <w:rPr>
          <w:rFonts w:ascii="Arial" w:hAnsi="Arial" w:cs="Arial"/>
          <w:szCs w:val="24"/>
        </w:rPr>
        <w:t xml:space="preserve"> (Sansome</w:t>
      </w:r>
      <w:r w:rsidR="00AE548F" w:rsidRPr="005A2668">
        <w:rPr>
          <w:rFonts w:ascii="Arial" w:hAnsi="Arial" w:cs="Arial"/>
          <w:szCs w:val="24"/>
        </w:rPr>
        <w:t xml:space="preserve"> et al.</w:t>
      </w:r>
      <w:r w:rsidR="00576C58" w:rsidRPr="005A2668">
        <w:rPr>
          <w:rFonts w:ascii="Arial" w:hAnsi="Arial" w:cs="Arial"/>
          <w:szCs w:val="24"/>
        </w:rPr>
        <w:t>, 2025)</w:t>
      </w:r>
      <w:r w:rsidRPr="005A2668">
        <w:rPr>
          <w:rFonts w:ascii="Arial" w:hAnsi="Arial" w:cs="Arial"/>
          <w:szCs w:val="24"/>
        </w:rPr>
        <w:t xml:space="preserve">. Genuine interactions and adapting to cultural trends like diversity and circular consumption </w:t>
      </w:r>
      <w:r w:rsidRPr="005A2668">
        <w:rPr>
          <w:rFonts w:ascii="Arial" w:hAnsi="Arial" w:cs="Arial"/>
          <w:szCs w:val="24"/>
        </w:rPr>
        <w:lastRenderedPageBreak/>
        <w:t xml:space="preserve">promote brand loyalty and equity. Technological and social variables substantially influence organisational decision-making. </w:t>
      </w:r>
    </w:p>
    <w:p w14:paraId="7690A60E" w14:textId="77777777" w:rsidR="006627E3" w:rsidRPr="005A2668" w:rsidRDefault="006627E3" w:rsidP="00573CED">
      <w:pPr>
        <w:pStyle w:val="Heading2"/>
        <w:jc w:val="both"/>
        <w:rPr>
          <w:rFonts w:ascii="Arial" w:hAnsi="Arial" w:cs="Arial"/>
          <w:color w:val="auto"/>
          <w:sz w:val="24"/>
          <w:szCs w:val="24"/>
        </w:rPr>
      </w:pPr>
      <w:bookmarkStart w:id="6" w:name="_Toc213403565"/>
      <w:r w:rsidRPr="005A2668">
        <w:rPr>
          <w:rFonts w:ascii="Arial" w:hAnsi="Arial" w:cs="Arial"/>
          <w:color w:val="auto"/>
          <w:sz w:val="24"/>
          <w:szCs w:val="24"/>
        </w:rPr>
        <w:t>2.3 Critical Analysis of Each Actor</w:t>
      </w:r>
      <w:bookmarkEnd w:id="6"/>
    </w:p>
    <w:p w14:paraId="263F4BB7" w14:textId="77777777" w:rsidR="006627E3" w:rsidRPr="005A2668" w:rsidRDefault="006627E3" w:rsidP="00573CED">
      <w:pPr>
        <w:pStyle w:val="Heading3"/>
        <w:rPr>
          <w:rFonts w:ascii="Arial" w:hAnsi="Arial" w:cs="Arial"/>
          <w:color w:val="auto"/>
          <w:sz w:val="24"/>
        </w:rPr>
      </w:pPr>
      <w:bookmarkStart w:id="7" w:name="_Toc213403566"/>
      <w:r w:rsidRPr="005A2668">
        <w:rPr>
          <w:rFonts w:ascii="Arial" w:hAnsi="Arial" w:cs="Arial"/>
          <w:color w:val="auto"/>
          <w:sz w:val="24"/>
        </w:rPr>
        <w:t>2.3.1 Actor 1 — Technological Environment</w:t>
      </w:r>
      <w:bookmarkEnd w:id="7"/>
    </w:p>
    <w:p w14:paraId="65488338"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 for Pioneers</w:t>
      </w:r>
    </w:p>
    <w:p w14:paraId="7D61091C" w14:textId="77777777" w:rsidR="00851CC1" w:rsidRPr="00851CC1" w:rsidRDefault="00851CC1" w:rsidP="00851CC1">
      <w:pPr>
        <w:jc w:val="both"/>
        <w:rPr>
          <w:rFonts w:ascii="Arial" w:hAnsi="Arial" w:cs="Arial"/>
          <w:szCs w:val="24"/>
        </w:rPr>
      </w:pPr>
      <w:r w:rsidRPr="00851CC1">
        <w:rPr>
          <w:rFonts w:ascii="Arial" w:hAnsi="Arial" w:cs="Arial"/>
          <w:szCs w:val="24"/>
        </w:rPr>
        <w:t>Technological advances may benefit pioneers. Automation, AI, and digital platforms may develop new markets and goods. Data analytics, smart targeting, and omnichannel interaction may boost pioneers' efficiency, customer satisfaction, and loyalty (Lazaris et al., 2021).</w:t>
      </w:r>
    </w:p>
    <w:p w14:paraId="68AD2F51"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 for Pioneers</w:t>
      </w:r>
    </w:p>
    <w:p w14:paraId="32E6572B" w14:textId="77777777" w:rsidR="00E61EA5" w:rsidRPr="00E61EA5" w:rsidRDefault="00E61EA5" w:rsidP="00E61EA5">
      <w:pPr>
        <w:jc w:val="both"/>
        <w:rPr>
          <w:rFonts w:ascii="Arial" w:hAnsi="Arial" w:cs="Arial"/>
          <w:szCs w:val="24"/>
        </w:rPr>
      </w:pPr>
      <w:r w:rsidRPr="00E61EA5">
        <w:rPr>
          <w:rFonts w:ascii="Arial" w:hAnsi="Arial" w:cs="Arial"/>
          <w:szCs w:val="24"/>
        </w:rPr>
        <w:t>Innovation in IT faces several issues. Age-related system and product updates and repairs are necessary. The company's huge R&amp;D costs may fail if consumers don't buy the product at launch. Early adopters have growth, regulation, and customer engagement issues.</w:t>
      </w:r>
    </w:p>
    <w:p w14:paraId="47D59650"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 for Followers</w:t>
      </w:r>
    </w:p>
    <w:p w14:paraId="0EE81491" w14:textId="1E8DE61B" w:rsidR="00C5720F" w:rsidRPr="005A2668" w:rsidRDefault="00E61EA5" w:rsidP="00C5720F">
      <w:pPr>
        <w:jc w:val="both"/>
        <w:rPr>
          <w:rFonts w:ascii="Arial" w:hAnsi="Arial" w:cs="Arial"/>
          <w:szCs w:val="24"/>
        </w:rPr>
      </w:pPr>
      <w:r w:rsidRPr="00E61EA5">
        <w:rPr>
          <w:rFonts w:ascii="Arial" w:hAnsi="Arial" w:cs="Arial"/>
          <w:szCs w:val="24"/>
        </w:rPr>
        <w:t>Financial and operational risk are reduced by copycat technologies. Their services enable inventors test ideas without spending money.</w:t>
      </w:r>
      <w:r>
        <w:rPr>
          <w:rFonts w:ascii="Arial" w:hAnsi="Arial" w:cs="Arial"/>
          <w:szCs w:val="24"/>
        </w:rPr>
        <w:t xml:space="preserve"> </w:t>
      </w:r>
      <w:r w:rsidR="00C5720F" w:rsidRPr="005A2668">
        <w:rPr>
          <w:rFonts w:ascii="Arial" w:hAnsi="Arial" w:cs="Arial"/>
          <w:szCs w:val="24"/>
        </w:rPr>
        <w:t>Followers enhance goods, provide cheaper alternatives, and target disadvantaged regions by learning from pioneer failures</w:t>
      </w:r>
      <w:r w:rsidR="00C330BA" w:rsidRPr="005A2668">
        <w:rPr>
          <w:rFonts w:ascii="Arial" w:hAnsi="Arial" w:cs="Arial"/>
          <w:szCs w:val="24"/>
        </w:rPr>
        <w:t xml:space="preserve"> (</w:t>
      </w:r>
      <w:proofErr w:type="spellStart"/>
      <w:r w:rsidR="00C330BA" w:rsidRPr="005A2668">
        <w:rPr>
          <w:rFonts w:ascii="Arial" w:hAnsi="Arial" w:cs="Arial"/>
          <w:szCs w:val="24"/>
        </w:rPr>
        <w:t>Bocken</w:t>
      </w:r>
      <w:proofErr w:type="spellEnd"/>
      <w:r w:rsidR="007D44B9" w:rsidRPr="005A2668">
        <w:rPr>
          <w:rFonts w:ascii="Arial" w:hAnsi="Arial" w:cs="Arial"/>
          <w:szCs w:val="24"/>
        </w:rPr>
        <w:t xml:space="preserve"> et al.</w:t>
      </w:r>
      <w:r w:rsidR="00C330BA" w:rsidRPr="005A2668">
        <w:rPr>
          <w:rFonts w:ascii="Arial" w:hAnsi="Arial" w:cs="Arial"/>
          <w:szCs w:val="24"/>
        </w:rPr>
        <w:t>, 2022)</w:t>
      </w:r>
      <w:r w:rsidR="00C5720F" w:rsidRPr="005A2668">
        <w:rPr>
          <w:rFonts w:ascii="Arial" w:hAnsi="Arial" w:cs="Arial"/>
          <w:szCs w:val="24"/>
        </w:rPr>
        <w:t>. A flexible strategy keeps them competitive without expensive R&amp;D.</w:t>
      </w:r>
    </w:p>
    <w:p w14:paraId="218FA8EE"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 for Followers</w:t>
      </w:r>
    </w:p>
    <w:p w14:paraId="72D0EBE6" w14:textId="7A0EFA08" w:rsidR="00C5720F" w:rsidRPr="005A2668" w:rsidRDefault="00C5720F" w:rsidP="00C5720F">
      <w:pPr>
        <w:jc w:val="both"/>
        <w:rPr>
          <w:rFonts w:ascii="Arial" w:hAnsi="Arial" w:cs="Arial"/>
          <w:szCs w:val="24"/>
        </w:rPr>
      </w:pPr>
      <w:r w:rsidRPr="005A2668">
        <w:rPr>
          <w:rFonts w:ascii="Arial" w:hAnsi="Arial" w:cs="Arial"/>
          <w:szCs w:val="24"/>
        </w:rPr>
        <w:t>Followers lack uniqueness and market standardisation despite decreased risk. Pioneers frequently set customer expectations and loyalty, making followers secondary. Their dependency on existing technology renders them vulnerable to fast changes or pioneer-controlled platforms</w:t>
      </w:r>
      <w:r w:rsidR="00FE28CD" w:rsidRPr="005A2668">
        <w:rPr>
          <w:rFonts w:ascii="Arial" w:hAnsi="Arial" w:cs="Arial"/>
          <w:szCs w:val="24"/>
        </w:rPr>
        <w:t xml:space="preserve"> (Ringberg</w:t>
      </w:r>
      <w:r w:rsidR="00BC006A" w:rsidRPr="005A2668">
        <w:rPr>
          <w:rFonts w:ascii="Arial" w:hAnsi="Arial" w:cs="Arial"/>
          <w:szCs w:val="24"/>
        </w:rPr>
        <w:t xml:space="preserve"> et al.</w:t>
      </w:r>
      <w:r w:rsidR="00FE28CD" w:rsidRPr="005A2668">
        <w:rPr>
          <w:rFonts w:ascii="Arial" w:hAnsi="Arial" w:cs="Arial"/>
          <w:szCs w:val="24"/>
        </w:rPr>
        <w:t>, 2019)</w:t>
      </w:r>
      <w:r w:rsidRPr="005A2668">
        <w:rPr>
          <w:rFonts w:ascii="Arial" w:hAnsi="Arial" w:cs="Arial"/>
          <w:szCs w:val="24"/>
        </w:rPr>
        <w:t>.</w:t>
      </w:r>
    </w:p>
    <w:p w14:paraId="6E7CAAA7" w14:textId="77777777" w:rsidR="006627E3" w:rsidRPr="005A2668" w:rsidRDefault="006627E3" w:rsidP="00573CED">
      <w:pPr>
        <w:jc w:val="both"/>
        <w:rPr>
          <w:rFonts w:ascii="Arial" w:hAnsi="Arial" w:cs="Arial"/>
          <w:b/>
          <w:bCs/>
          <w:szCs w:val="24"/>
        </w:rPr>
      </w:pPr>
      <w:r w:rsidRPr="005A2668">
        <w:rPr>
          <w:rFonts w:ascii="Arial" w:hAnsi="Arial" w:cs="Arial"/>
          <w:b/>
          <w:bCs/>
          <w:szCs w:val="24"/>
        </w:rPr>
        <w:t>Strategic Implications</w:t>
      </w:r>
    </w:p>
    <w:p w14:paraId="396DA0B5" w14:textId="77777777" w:rsidR="00C5720F" w:rsidRPr="005A2668" w:rsidRDefault="00C5720F" w:rsidP="00C5720F">
      <w:pPr>
        <w:jc w:val="both"/>
        <w:rPr>
          <w:rFonts w:ascii="Arial" w:hAnsi="Arial" w:cs="Arial"/>
          <w:szCs w:val="24"/>
        </w:rPr>
      </w:pPr>
      <w:r w:rsidRPr="005A2668">
        <w:rPr>
          <w:rFonts w:ascii="Arial" w:hAnsi="Arial" w:cs="Arial"/>
          <w:szCs w:val="24"/>
        </w:rPr>
        <w:t>Competitiveness needs quick decisions, upskilling, and data-driven marketing. Challengers and followers require digital innovation.</w:t>
      </w:r>
    </w:p>
    <w:tbl>
      <w:tblPr>
        <w:tblStyle w:val="TableGrid"/>
        <w:tblW w:w="0" w:type="auto"/>
        <w:tblLook w:val="04A0" w:firstRow="1" w:lastRow="0" w:firstColumn="1" w:lastColumn="0" w:noHBand="0" w:noVBand="1"/>
      </w:tblPr>
      <w:tblGrid>
        <w:gridCol w:w="1413"/>
        <w:gridCol w:w="3827"/>
        <w:gridCol w:w="3776"/>
      </w:tblGrid>
      <w:tr w:rsidR="00883D5A" w:rsidRPr="005A2668" w14:paraId="465E9577" w14:textId="77777777" w:rsidTr="00B811E2">
        <w:tc>
          <w:tcPr>
            <w:tcW w:w="1413" w:type="dxa"/>
          </w:tcPr>
          <w:p w14:paraId="3B011373" w14:textId="77777777" w:rsidR="006627E3" w:rsidRPr="005A2668" w:rsidRDefault="006627E3" w:rsidP="00573CED">
            <w:pPr>
              <w:jc w:val="both"/>
              <w:rPr>
                <w:rFonts w:ascii="Arial" w:hAnsi="Arial" w:cs="Arial"/>
                <w:b/>
                <w:bCs/>
                <w:szCs w:val="24"/>
              </w:rPr>
            </w:pPr>
            <w:r w:rsidRPr="005A2668">
              <w:rPr>
                <w:rFonts w:ascii="Arial" w:hAnsi="Arial" w:cs="Arial"/>
                <w:b/>
                <w:bCs/>
                <w:szCs w:val="24"/>
              </w:rPr>
              <w:t>Position</w:t>
            </w:r>
          </w:p>
        </w:tc>
        <w:tc>
          <w:tcPr>
            <w:tcW w:w="3827" w:type="dxa"/>
          </w:tcPr>
          <w:p w14:paraId="3353E910"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w:t>
            </w:r>
          </w:p>
        </w:tc>
        <w:tc>
          <w:tcPr>
            <w:tcW w:w="3776" w:type="dxa"/>
          </w:tcPr>
          <w:p w14:paraId="3520CCD3"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w:t>
            </w:r>
          </w:p>
        </w:tc>
      </w:tr>
      <w:tr w:rsidR="00883D5A" w:rsidRPr="005A2668" w14:paraId="16352B5D" w14:textId="77777777" w:rsidTr="00B811E2">
        <w:tc>
          <w:tcPr>
            <w:tcW w:w="1413" w:type="dxa"/>
          </w:tcPr>
          <w:p w14:paraId="3598D5C4" w14:textId="77777777" w:rsidR="006627E3" w:rsidRPr="005A2668" w:rsidRDefault="006627E3" w:rsidP="00573CED">
            <w:pPr>
              <w:jc w:val="both"/>
              <w:rPr>
                <w:rFonts w:ascii="Arial" w:hAnsi="Arial" w:cs="Arial"/>
                <w:szCs w:val="24"/>
              </w:rPr>
            </w:pPr>
            <w:r w:rsidRPr="005A2668">
              <w:rPr>
                <w:rFonts w:ascii="Arial" w:hAnsi="Arial" w:cs="Arial"/>
                <w:szCs w:val="24"/>
              </w:rPr>
              <w:lastRenderedPageBreak/>
              <w:t>Pioneers</w:t>
            </w:r>
          </w:p>
        </w:tc>
        <w:tc>
          <w:tcPr>
            <w:tcW w:w="3827" w:type="dxa"/>
          </w:tcPr>
          <w:p w14:paraId="434D8A62" w14:textId="77777777" w:rsidR="006627E3" w:rsidRPr="005A2668" w:rsidRDefault="006627E3" w:rsidP="00573CED">
            <w:pPr>
              <w:jc w:val="both"/>
              <w:rPr>
                <w:rFonts w:ascii="Arial" w:hAnsi="Arial" w:cs="Arial"/>
                <w:szCs w:val="24"/>
              </w:rPr>
            </w:pPr>
            <w:r w:rsidRPr="005A2668">
              <w:rPr>
                <w:rFonts w:ascii="Arial" w:hAnsi="Arial" w:cs="Arial"/>
                <w:szCs w:val="24"/>
              </w:rPr>
              <w:t>Innovation leadership; patents; AI-driven efficiency</w:t>
            </w:r>
          </w:p>
        </w:tc>
        <w:tc>
          <w:tcPr>
            <w:tcW w:w="3776" w:type="dxa"/>
          </w:tcPr>
          <w:p w14:paraId="10C2A4B3" w14:textId="77777777" w:rsidR="006627E3" w:rsidRPr="005A2668" w:rsidRDefault="006627E3" w:rsidP="00573CED">
            <w:pPr>
              <w:jc w:val="both"/>
              <w:rPr>
                <w:rFonts w:ascii="Arial" w:hAnsi="Arial" w:cs="Arial"/>
                <w:szCs w:val="24"/>
              </w:rPr>
            </w:pPr>
            <w:r w:rsidRPr="005A2668">
              <w:rPr>
                <w:rFonts w:ascii="Arial" w:hAnsi="Arial" w:cs="Arial"/>
                <w:szCs w:val="24"/>
              </w:rPr>
              <w:t>High R&amp;D costs; risk of obsolescence</w:t>
            </w:r>
          </w:p>
        </w:tc>
      </w:tr>
      <w:tr w:rsidR="00883D5A" w:rsidRPr="005A2668" w14:paraId="1B56230A" w14:textId="77777777" w:rsidTr="00B811E2">
        <w:tc>
          <w:tcPr>
            <w:tcW w:w="1413" w:type="dxa"/>
          </w:tcPr>
          <w:p w14:paraId="10CD5B71" w14:textId="77777777" w:rsidR="006627E3" w:rsidRPr="005A2668" w:rsidRDefault="006627E3" w:rsidP="00573CED">
            <w:pPr>
              <w:jc w:val="both"/>
              <w:rPr>
                <w:rFonts w:ascii="Arial" w:hAnsi="Arial" w:cs="Arial"/>
                <w:szCs w:val="24"/>
              </w:rPr>
            </w:pPr>
            <w:r w:rsidRPr="005A2668">
              <w:rPr>
                <w:rFonts w:ascii="Arial" w:hAnsi="Arial" w:cs="Arial"/>
                <w:szCs w:val="24"/>
              </w:rPr>
              <w:t>Followers</w:t>
            </w:r>
          </w:p>
        </w:tc>
        <w:tc>
          <w:tcPr>
            <w:tcW w:w="3827" w:type="dxa"/>
          </w:tcPr>
          <w:p w14:paraId="3139AA8F" w14:textId="77777777" w:rsidR="006627E3" w:rsidRPr="005A2668" w:rsidRDefault="006627E3" w:rsidP="00573CED">
            <w:pPr>
              <w:jc w:val="both"/>
              <w:rPr>
                <w:rFonts w:ascii="Arial" w:hAnsi="Arial" w:cs="Arial"/>
                <w:szCs w:val="24"/>
              </w:rPr>
            </w:pPr>
            <w:r w:rsidRPr="005A2668">
              <w:rPr>
                <w:rFonts w:ascii="Arial" w:hAnsi="Arial" w:cs="Arial"/>
                <w:szCs w:val="24"/>
              </w:rPr>
              <w:t>Reduced innovation cost; fast adaptation</w:t>
            </w:r>
          </w:p>
        </w:tc>
        <w:tc>
          <w:tcPr>
            <w:tcW w:w="3776" w:type="dxa"/>
          </w:tcPr>
          <w:p w14:paraId="0C5105BF" w14:textId="77777777" w:rsidR="006627E3" w:rsidRPr="005A2668" w:rsidRDefault="006627E3" w:rsidP="00573CED">
            <w:pPr>
              <w:jc w:val="both"/>
              <w:rPr>
                <w:rFonts w:ascii="Arial" w:hAnsi="Arial" w:cs="Arial"/>
                <w:szCs w:val="24"/>
              </w:rPr>
            </w:pPr>
            <w:r w:rsidRPr="005A2668">
              <w:rPr>
                <w:rFonts w:ascii="Arial" w:hAnsi="Arial" w:cs="Arial"/>
                <w:szCs w:val="24"/>
              </w:rPr>
              <w:t>Weak differentiation; dependence on pioneers</w:t>
            </w:r>
          </w:p>
        </w:tc>
      </w:tr>
    </w:tbl>
    <w:p w14:paraId="528B0861" w14:textId="77777777" w:rsidR="006627E3" w:rsidRPr="005A2668" w:rsidRDefault="006627E3" w:rsidP="00573CED">
      <w:pPr>
        <w:jc w:val="both"/>
        <w:rPr>
          <w:rFonts w:ascii="Arial" w:hAnsi="Arial" w:cs="Arial"/>
          <w:szCs w:val="24"/>
        </w:rPr>
      </w:pPr>
    </w:p>
    <w:p w14:paraId="3ACD5199" w14:textId="77777777" w:rsidR="006627E3" w:rsidRPr="005A2668" w:rsidRDefault="006627E3" w:rsidP="00573CED">
      <w:pPr>
        <w:jc w:val="both"/>
        <w:rPr>
          <w:rFonts w:ascii="Arial" w:hAnsi="Arial" w:cs="Arial"/>
          <w:b/>
          <w:bCs/>
          <w:szCs w:val="24"/>
        </w:rPr>
      </w:pPr>
      <w:r w:rsidRPr="005A2668">
        <w:rPr>
          <w:rFonts w:ascii="Arial" w:hAnsi="Arial" w:cs="Arial"/>
          <w:b/>
          <w:bCs/>
          <w:szCs w:val="24"/>
        </w:rPr>
        <w:t>Industry Examples</w:t>
      </w:r>
    </w:p>
    <w:p w14:paraId="71C024AF" w14:textId="7BE81E17" w:rsidR="006627E3" w:rsidRPr="005A2668" w:rsidRDefault="00F366E5" w:rsidP="00573CED">
      <w:pPr>
        <w:jc w:val="both"/>
        <w:rPr>
          <w:rFonts w:ascii="Arial" w:hAnsi="Arial" w:cs="Arial"/>
          <w:szCs w:val="24"/>
        </w:rPr>
      </w:pPr>
      <w:r w:rsidRPr="005A2668">
        <w:rPr>
          <w:rFonts w:ascii="Arial" w:hAnsi="Arial" w:cs="Arial"/>
          <w:szCs w:val="24"/>
        </w:rPr>
        <w:t>Tesla led electric car battery and autonomous system innovation worldwide. To cut expenses, BYD and traditional automakers utilised comparable technology. Apple defined smartphone design standards, while Samsung improved pioneer technology and entered mid-range markets</w:t>
      </w:r>
      <w:r w:rsidR="0087054E" w:rsidRPr="005A2668">
        <w:rPr>
          <w:rFonts w:ascii="Arial" w:hAnsi="Arial" w:cs="Arial"/>
          <w:szCs w:val="24"/>
        </w:rPr>
        <w:t xml:space="preserve"> (Medium, 2025)</w:t>
      </w:r>
      <w:r w:rsidR="006627E3" w:rsidRPr="005A2668">
        <w:rPr>
          <w:rFonts w:ascii="Arial" w:hAnsi="Arial" w:cs="Arial"/>
          <w:szCs w:val="24"/>
        </w:rPr>
        <w:t>.</w:t>
      </w:r>
    </w:p>
    <w:p w14:paraId="734C4010" w14:textId="77777777" w:rsidR="006627E3" w:rsidRPr="005A2668" w:rsidRDefault="006627E3" w:rsidP="00573CED">
      <w:pPr>
        <w:pStyle w:val="Heading3"/>
        <w:rPr>
          <w:rFonts w:ascii="Arial" w:hAnsi="Arial" w:cs="Arial"/>
          <w:color w:val="auto"/>
          <w:sz w:val="24"/>
        </w:rPr>
      </w:pPr>
      <w:bookmarkStart w:id="8" w:name="_Toc213403567"/>
      <w:r w:rsidRPr="005A2668">
        <w:rPr>
          <w:rFonts w:ascii="Arial" w:hAnsi="Arial" w:cs="Arial"/>
          <w:color w:val="auto"/>
          <w:sz w:val="24"/>
        </w:rPr>
        <w:t>2.3.2 Actor 2 — Social Environment</w:t>
      </w:r>
      <w:bookmarkEnd w:id="8"/>
    </w:p>
    <w:p w14:paraId="4F4294A1"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 for Pioneers</w:t>
      </w:r>
    </w:p>
    <w:p w14:paraId="7FC179FA" w14:textId="02FF5E55" w:rsidR="00B248E9" w:rsidRPr="005A2668" w:rsidRDefault="00B248E9" w:rsidP="00B248E9">
      <w:pPr>
        <w:jc w:val="both"/>
        <w:rPr>
          <w:rFonts w:ascii="Arial" w:hAnsi="Arial" w:cs="Arial"/>
          <w:szCs w:val="24"/>
        </w:rPr>
      </w:pPr>
      <w:r w:rsidRPr="005A2668">
        <w:rPr>
          <w:rFonts w:ascii="Arial" w:hAnsi="Arial" w:cs="Arial"/>
          <w:szCs w:val="24"/>
        </w:rPr>
        <w:t>Social transformation helps pioneers notice sustainability, ethical production, and health awareness before they spread. They can affect values-based marketing and culture. Early implementation of ethical business concepts may boost brand equity and mission-aligned clients</w:t>
      </w:r>
      <w:r w:rsidR="00112033" w:rsidRPr="005A2668">
        <w:rPr>
          <w:rFonts w:ascii="Arial" w:hAnsi="Arial" w:cs="Arial"/>
          <w:szCs w:val="24"/>
        </w:rPr>
        <w:t xml:space="preserve"> (Mallik &amp; Aithal, 2024)</w:t>
      </w:r>
      <w:r w:rsidRPr="005A2668">
        <w:rPr>
          <w:rFonts w:ascii="Arial" w:hAnsi="Arial" w:cs="Arial"/>
          <w:szCs w:val="24"/>
        </w:rPr>
        <w:t>.</w:t>
      </w:r>
    </w:p>
    <w:p w14:paraId="46E8C340"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 for Pioneers</w:t>
      </w:r>
    </w:p>
    <w:p w14:paraId="33F66998" w14:textId="77777777" w:rsidR="00B248E9" w:rsidRPr="005A2668" w:rsidRDefault="00B248E9" w:rsidP="00B248E9">
      <w:pPr>
        <w:jc w:val="both"/>
        <w:rPr>
          <w:rFonts w:ascii="Arial" w:hAnsi="Arial" w:cs="Arial"/>
          <w:szCs w:val="24"/>
        </w:rPr>
      </w:pPr>
      <w:r w:rsidRPr="005A2668">
        <w:rPr>
          <w:rFonts w:ascii="Arial" w:hAnsi="Arial" w:cs="Arial"/>
          <w:szCs w:val="24"/>
        </w:rPr>
        <w:t>Pioneers risk misinterpreting social trends, misaligning offers, and squandering money. Costly and dangerous new value or behaviour market education. Pioneers may weaken their brands by failing to adapt to customer changes.</w:t>
      </w:r>
    </w:p>
    <w:p w14:paraId="4A92968F"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 for Followers</w:t>
      </w:r>
    </w:p>
    <w:p w14:paraId="263A6F8B" w14:textId="15A078FD" w:rsidR="00B248E9" w:rsidRPr="005A2668" w:rsidRDefault="00B248E9" w:rsidP="00B248E9">
      <w:pPr>
        <w:jc w:val="both"/>
        <w:rPr>
          <w:rFonts w:ascii="Arial" w:hAnsi="Arial" w:cs="Arial"/>
          <w:szCs w:val="24"/>
        </w:rPr>
      </w:pPr>
      <w:r w:rsidRPr="005A2668">
        <w:rPr>
          <w:rFonts w:ascii="Arial" w:hAnsi="Arial" w:cs="Arial"/>
          <w:szCs w:val="24"/>
        </w:rPr>
        <w:t>Real demand cuts market learning costs. Benchmarking pioneers helps followers improve their services, meet their needs, and attract price-conscious customers</w:t>
      </w:r>
      <w:r w:rsidR="003A01D9" w:rsidRPr="005A2668">
        <w:rPr>
          <w:rFonts w:ascii="Arial" w:hAnsi="Arial" w:cs="Arial"/>
          <w:szCs w:val="24"/>
        </w:rPr>
        <w:t xml:space="preserve"> (Rahman, 2024)</w:t>
      </w:r>
      <w:r w:rsidRPr="005A2668">
        <w:rPr>
          <w:rFonts w:ascii="Arial" w:hAnsi="Arial" w:cs="Arial"/>
          <w:szCs w:val="24"/>
        </w:rPr>
        <w:t>. This approach lets marketing messages evolve.</w:t>
      </w:r>
    </w:p>
    <w:p w14:paraId="3DE49DB6"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 for Followers</w:t>
      </w:r>
    </w:p>
    <w:p w14:paraId="1AA10809" w14:textId="77777777" w:rsidR="00B248E9" w:rsidRPr="005A2668" w:rsidRDefault="00B248E9" w:rsidP="00B248E9">
      <w:pPr>
        <w:jc w:val="both"/>
        <w:rPr>
          <w:rFonts w:ascii="Arial" w:hAnsi="Arial" w:cs="Arial"/>
          <w:szCs w:val="24"/>
        </w:rPr>
      </w:pPr>
      <w:r w:rsidRPr="005A2668">
        <w:rPr>
          <w:rFonts w:ascii="Arial" w:hAnsi="Arial" w:cs="Arial"/>
          <w:szCs w:val="24"/>
        </w:rPr>
        <w:t>Late replies that look reactive lose reputation and importance. Socially driven marketplaces can lead to low loyalty and inconsistent brand positioning from followers unable to discriminate.</w:t>
      </w:r>
    </w:p>
    <w:p w14:paraId="6D51B881" w14:textId="77777777" w:rsidR="006627E3" w:rsidRPr="005A2668" w:rsidRDefault="006627E3" w:rsidP="00573CED">
      <w:pPr>
        <w:jc w:val="both"/>
        <w:rPr>
          <w:rFonts w:ascii="Arial" w:hAnsi="Arial" w:cs="Arial"/>
          <w:b/>
          <w:bCs/>
          <w:szCs w:val="24"/>
        </w:rPr>
      </w:pPr>
      <w:r w:rsidRPr="005A2668">
        <w:rPr>
          <w:rFonts w:ascii="Arial" w:hAnsi="Arial" w:cs="Arial"/>
          <w:b/>
          <w:bCs/>
          <w:szCs w:val="24"/>
        </w:rPr>
        <w:t>Strategic Implications</w:t>
      </w:r>
    </w:p>
    <w:p w14:paraId="71C65773" w14:textId="4F52889F" w:rsidR="00B248E9" w:rsidRPr="005A2668" w:rsidRDefault="00B248E9" w:rsidP="00B248E9">
      <w:pPr>
        <w:jc w:val="both"/>
        <w:rPr>
          <w:rFonts w:ascii="Arial" w:hAnsi="Arial" w:cs="Arial"/>
          <w:szCs w:val="24"/>
        </w:rPr>
      </w:pPr>
      <w:r w:rsidRPr="005A2668">
        <w:rPr>
          <w:rFonts w:ascii="Arial" w:hAnsi="Arial" w:cs="Arial"/>
          <w:szCs w:val="24"/>
        </w:rPr>
        <w:lastRenderedPageBreak/>
        <w:t>Culture demands consumer-centric innovation, brand repositioning, and localised marketing. Stakeholder engagement and segmentation ensure long-term success</w:t>
      </w:r>
      <w:r w:rsidR="003A01D9" w:rsidRPr="005A2668">
        <w:rPr>
          <w:rFonts w:ascii="Arial" w:hAnsi="Arial" w:cs="Arial"/>
          <w:szCs w:val="24"/>
        </w:rPr>
        <w:t xml:space="preserve"> (Rua &amp; Santos, 2022)</w:t>
      </w:r>
      <w:r w:rsidRPr="005A2668">
        <w:rPr>
          <w:rFonts w:ascii="Arial" w:hAnsi="Arial" w:cs="Arial"/>
          <w:szCs w:val="24"/>
        </w:rPr>
        <w:t>.</w:t>
      </w:r>
    </w:p>
    <w:tbl>
      <w:tblPr>
        <w:tblStyle w:val="TableGrid"/>
        <w:tblW w:w="0" w:type="auto"/>
        <w:tblLook w:val="04A0" w:firstRow="1" w:lastRow="0" w:firstColumn="1" w:lastColumn="0" w:noHBand="0" w:noVBand="1"/>
      </w:tblPr>
      <w:tblGrid>
        <w:gridCol w:w="1413"/>
        <w:gridCol w:w="3969"/>
        <w:gridCol w:w="3634"/>
      </w:tblGrid>
      <w:tr w:rsidR="00883D5A" w:rsidRPr="005A2668" w14:paraId="3FCDA2B1" w14:textId="77777777" w:rsidTr="00B811E2">
        <w:tc>
          <w:tcPr>
            <w:tcW w:w="1413" w:type="dxa"/>
          </w:tcPr>
          <w:p w14:paraId="34DAF202" w14:textId="77777777" w:rsidR="006627E3" w:rsidRPr="005A2668" w:rsidRDefault="006627E3" w:rsidP="00573CED">
            <w:pPr>
              <w:jc w:val="both"/>
              <w:rPr>
                <w:rFonts w:ascii="Arial" w:hAnsi="Arial" w:cs="Arial"/>
                <w:b/>
                <w:bCs/>
                <w:szCs w:val="24"/>
              </w:rPr>
            </w:pPr>
            <w:r w:rsidRPr="005A2668">
              <w:rPr>
                <w:rFonts w:ascii="Arial" w:hAnsi="Arial" w:cs="Arial"/>
                <w:b/>
                <w:bCs/>
                <w:szCs w:val="24"/>
              </w:rPr>
              <w:t>Position</w:t>
            </w:r>
          </w:p>
        </w:tc>
        <w:tc>
          <w:tcPr>
            <w:tcW w:w="3969" w:type="dxa"/>
          </w:tcPr>
          <w:p w14:paraId="4E831403" w14:textId="77777777" w:rsidR="006627E3" w:rsidRPr="005A2668" w:rsidRDefault="006627E3" w:rsidP="00573CED">
            <w:pPr>
              <w:jc w:val="both"/>
              <w:rPr>
                <w:rFonts w:ascii="Arial" w:hAnsi="Arial" w:cs="Arial"/>
                <w:b/>
                <w:bCs/>
                <w:szCs w:val="24"/>
              </w:rPr>
            </w:pPr>
            <w:r w:rsidRPr="005A2668">
              <w:rPr>
                <w:rFonts w:ascii="Arial" w:hAnsi="Arial" w:cs="Arial"/>
                <w:b/>
                <w:bCs/>
                <w:szCs w:val="24"/>
              </w:rPr>
              <w:t>Opportunities</w:t>
            </w:r>
          </w:p>
        </w:tc>
        <w:tc>
          <w:tcPr>
            <w:tcW w:w="3634" w:type="dxa"/>
          </w:tcPr>
          <w:p w14:paraId="15A39667" w14:textId="77777777" w:rsidR="006627E3" w:rsidRPr="005A2668" w:rsidRDefault="006627E3" w:rsidP="00573CED">
            <w:pPr>
              <w:jc w:val="both"/>
              <w:rPr>
                <w:rFonts w:ascii="Arial" w:hAnsi="Arial" w:cs="Arial"/>
                <w:b/>
                <w:bCs/>
                <w:szCs w:val="24"/>
              </w:rPr>
            </w:pPr>
            <w:r w:rsidRPr="005A2668">
              <w:rPr>
                <w:rFonts w:ascii="Arial" w:hAnsi="Arial" w:cs="Arial"/>
                <w:b/>
                <w:bCs/>
                <w:szCs w:val="24"/>
              </w:rPr>
              <w:t>Threats</w:t>
            </w:r>
          </w:p>
        </w:tc>
      </w:tr>
      <w:tr w:rsidR="00883D5A" w:rsidRPr="005A2668" w14:paraId="1924FD83" w14:textId="77777777" w:rsidTr="00B811E2">
        <w:tc>
          <w:tcPr>
            <w:tcW w:w="1413" w:type="dxa"/>
          </w:tcPr>
          <w:p w14:paraId="4EE73FC2" w14:textId="77777777" w:rsidR="006627E3" w:rsidRPr="005A2668" w:rsidRDefault="006627E3" w:rsidP="00573CED">
            <w:pPr>
              <w:jc w:val="both"/>
              <w:rPr>
                <w:rFonts w:ascii="Arial" w:hAnsi="Arial" w:cs="Arial"/>
                <w:b/>
                <w:bCs/>
                <w:szCs w:val="24"/>
              </w:rPr>
            </w:pPr>
            <w:r w:rsidRPr="005A2668">
              <w:rPr>
                <w:rFonts w:ascii="Arial" w:hAnsi="Arial" w:cs="Arial"/>
                <w:b/>
                <w:bCs/>
                <w:szCs w:val="24"/>
              </w:rPr>
              <w:t>Pioneers</w:t>
            </w:r>
          </w:p>
        </w:tc>
        <w:tc>
          <w:tcPr>
            <w:tcW w:w="3969" w:type="dxa"/>
          </w:tcPr>
          <w:p w14:paraId="1885DF0E" w14:textId="77777777" w:rsidR="006627E3" w:rsidRPr="005A2668" w:rsidRDefault="006627E3" w:rsidP="00573CED">
            <w:pPr>
              <w:jc w:val="both"/>
              <w:rPr>
                <w:rFonts w:ascii="Arial" w:hAnsi="Arial" w:cs="Arial"/>
                <w:szCs w:val="24"/>
              </w:rPr>
            </w:pPr>
            <w:r w:rsidRPr="005A2668">
              <w:rPr>
                <w:rFonts w:ascii="Arial" w:hAnsi="Arial" w:cs="Arial"/>
                <w:szCs w:val="24"/>
              </w:rPr>
              <w:t>Shape value-based markets; build loyalty</w:t>
            </w:r>
          </w:p>
        </w:tc>
        <w:tc>
          <w:tcPr>
            <w:tcW w:w="3634" w:type="dxa"/>
          </w:tcPr>
          <w:p w14:paraId="62CACCF0" w14:textId="77777777" w:rsidR="006627E3" w:rsidRPr="005A2668" w:rsidRDefault="006627E3" w:rsidP="00573CED">
            <w:pPr>
              <w:jc w:val="both"/>
              <w:rPr>
                <w:rFonts w:ascii="Arial" w:hAnsi="Arial" w:cs="Arial"/>
                <w:szCs w:val="24"/>
              </w:rPr>
            </w:pPr>
            <w:r w:rsidRPr="005A2668">
              <w:rPr>
                <w:rFonts w:ascii="Arial" w:hAnsi="Arial" w:cs="Arial"/>
                <w:szCs w:val="24"/>
              </w:rPr>
              <w:t>Misreading trends; education costs</w:t>
            </w:r>
          </w:p>
        </w:tc>
      </w:tr>
      <w:tr w:rsidR="00883D5A" w:rsidRPr="005A2668" w14:paraId="0170B799" w14:textId="77777777" w:rsidTr="00B811E2">
        <w:tc>
          <w:tcPr>
            <w:tcW w:w="1413" w:type="dxa"/>
          </w:tcPr>
          <w:p w14:paraId="3B1E5AC4" w14:textId="77777777" w:rsidR="006627E3" w:rsidRPr="005A2668" w:rsidRDefault="006627E3" w:rsidP="00573CED">
            <w:pPr>
              <w:jc w:val="both"/>
              <w:rPr>
                <w:rFonts w:ascii="Arial" w:hAnsi="Arial" w:cs="Arial"/>
                <w:b/>
                <w:bCs/>
                <w:szCs w:val="24"/>
              </w:rPr>
            </w:pPr>
            <w:r w:rsidRPr="005A2668">
              <w:rPr>
                <w:rFonts w:ascii="Arial" w:hAnsi="Arial" w:cs="Arial"/>
                <w:b/>
                <w:bCs/>
                <w:szCs w:val="24"/>
              </w:rPr>
              <w:t>Followers</w:t>
            </w:r>
          </w:p>
        </w:tc>
        <w:tc>
          <w:tcPr>
            <w:tcW w:w="3969" w:type="dxa"/>
          </w:tcPr>
          <w:p w14:paraId="168CD252" w14:textId="77777777" w:rsidR="006627E3" w:rsidRPr="005A2668" w:rsidRDefault="006627E3" w:rsidP="00573CED">
            <w:pPr>
              <w:jc w:val="both"/>
              <w:rPr>
                <w:rFonts w:ascii="Arial" w:hAnsi="Arial" w:cs="Arial"/>
                <w:szCs w:val="24"/>
              </w:rPr>
            </w:pPr>
            <w:r w:rsidRPr="005A2668">
              <w:rPr>
                <w:rFonts w:ascii="Arial" w:hAnsi="Arial" w:cs="Arial"/>
                <w:szCs w:val="24"/>
              </w:rPr>
              <w:t>Validated demand; targeted entry</w:t>
            </w:r>
          </w:p>
        </w:tc>
        <w:tc>
          <w:tcPr>
            <w:tcW w:w="3634" w:type="dxa"/>
          </w:tcPr>
          <w:p w14:paraId="336D4159" w14:textId="77777777" w:rsidR="006627E3" w:rsidRPr="005A2668" w:rsidRDefault="006627E3" w:rsidP="00573CED">
            <w:pPr>
              <w:jc w:val="both"/>
              <w:rPr>
                <w:rFonts w:ascii="Arial" w:hAnsi="Arial" w:cs="Arial"/>
                <w:szCs w:val="24"/>
              </w:rPr>
            </w:pPr>
            <w:r w:rsidRPr="005A2668">
              <w:rPr>
                <w:rFonts w:ascii="Arial" w:hAnsi="Arial" w:cs="Arial"/>
                <w:szCs w:val="24"/>
              </w:rPr>
              <w:t>Reactive positioning; weak authenticity</w:t>
            </w:r>
          </w:p>
        </w:tc>
      </w:tr>
    </w:tbl>
    <w:p w14:paraId="1F7BFFEA" w14:textId="77777777" w:rsidR="006627E3" w:rsidRPr="005A2668" w:rsidRDefault="006627E3" w:rsidP="00573CED">
      <w:pPr>
        <w:jc w:val="both"/>
        <w:rPr>
          <w:rFonts w:ascii="Arial" w:hAnsi="Arial" w:cs="Arial"/>
          <w:b/>
          <w:bCs/>
          <w:szCs w:val="24"/>
        </w:rPr>
      </w:pPr>
      <w:r w:rsidRPr="005A2668">
        <w:rPr>
          <w:rFonts w:ascii="Arial" w:hAnsi="Arial" w:cs="Arial"/>
          <w:b/>
          <w:bCs/>
          <w:szCs w:val="24"/>
        </w:rPr>
        <w:t>Industry Examples</w:t>
      </w:r>
    </w:p>
    <w:p w14:paraId="33BA49D0" w14:textId="1C58B2BA" w:rsidR="006627E3" w:rsidRPr="005A2668" w:rsidRDefault="009707A7" w:rsidP="00573CED">
      <w:pPr>
        <w:jc w:val="both"/>
        <w:rPr>
          <w:rFonts w:ascii="Arial" w:hAnsi="Arial" w:cs="Arial"/>
          <w:szCs w:val="24"/>
        </w:rPr>
      </w:pPr>
      <w:r w:rsidRPr="005A2668">
        <w:rPr>
          <w:rFonts w:ascii="Arial" w:hAnsi="Arial" w:cs="Arial"/>
          <w:szCs w:val="24"/>
        </w:rPr>
        <w:t>Nestlé expanded similar offers when Beyond Meat pioneered plant-based protein storytelling. Patagonia promoted ethical sourcing and circular consumption in sustainable fashion, whereas H&amp;M imitated to attract value-seekers</w:t>
      </w:r>
      <w:r w:rsidR="008E6146" w:rsidRPr="005A2668">
        <w:rPr>
          <w:rFonts w:ascii="Arial" w:hAnsi="Arial" w:cs="Arial"/>
          <w:szCs w:val="24"/>
        </w:rPr>
        <w:t xml:space="preserve"> (O’Rourke &amp; Strand, 2017)</w:t>
      </w:r>
      <w:r w:rsidR="006627E3" w:rsidRPr="005A2668">
        <w:rPr>
          <w:rFonts w:ascii="Arial" w:hAnsi="Arial" w:cs="Arial"/>
          <w:szCs w:val="24"/>
        </w:rPr>
        <w:t>.</w:t>
      </w:r>
    </w:p>
    <w:p w14:paraId="09BBA375" w14:textId="425AE6B1" w:rsidR="00E35CCB" w:rsidRPr="005A2668" w:rsidRDefault="00E35CCB" w:rsidP="00573CED">
      <w:pPr>
        <w:pStyle w:val="Heading1"/>
        <w:jc w:val="both"/>
        <w:rPr>
          <w:rFonts w:ascii="Arial" w:hAnsi="Arial" w:cs="Arial"/>
          <w:color w:val="auto"/>
          <w:sz w:val="24"/>
          <w:szCs w:val="24"/>
        </w:rPr>
      </w:pPr>
      <w:bookmarkStart w:id="9" w:name="_Toc213403568"/>
      <w:r w:rsidRPr="005A2668">
        <w:rPr>
          <w:rFonts w:ascii="Arial" w:hAnsi="Arial" w:cs="Arial"/>
          <w:color w:val="auto"/>
          <w:sz w:val="24"/>
          <w:szCs w:val="24"/>
        </w:rPr>
        <w:t>3. Task 2: Strategic Responses of Pioneering and Follower Organisations</w:t>
      </w:r>
      <w:bookmarkEnd w:id="9"/>
    </w:p>
    <w:p w14:paraId="55278544" w14:textId="77777777" w:rsidR="009E05DA" w:rsidRPr="005A2668" w:rsidRDefault="009E05DA" w:rsidP="009E05DA">
      <w:pPr>
        <w:pStyle w:val="Heading2"/>
        <w:jc w:val="both"/>
        <w:rPr>
          <w:rFonts w:ascii="Arial" w:hAnsi="Arial" w:cs="Arial"/>
          <w:color w:val="auto"/>
          <w:sz w:val="24"/>
          <w:szCs w:val="24"/>
        </w:rPr>
      </w:pPr>
      <w:bookmarkStart w:id="10" w:name="_Toc213403569"/>
      <w:r w:rsidRPr="005A2668">
        <w:rPr>
          <w:rFonts w:ascii="Arial" w:hAnsi="Arial" w:cs="Arial"/>
          <w:color w:val="auto"/>
          <w:sz w:val="24"/>
          <w:szCs w:val="24"/>
        </w:rPr>
        <w:t>3.1 Pioneering Organisations’ Strategic Responses</w:t>
      </w:r>
      <w:bookmarkEnd w:id="10"/>
    </w:p>
    <w:p w14:paraId="6830758A" w14:textId="77777777" w:rsidR="009E05DA" w:rsidRPr="005A2668" w:rsidRDefault="009E05DA" w:rsidP="009E05DA">
      <w:pPr>
        <w:jc w:val="both"/>
        <w:rPr>
          <w:rFonts w:ascii="Arial" w:hAnsi="Arial" w:cs="Arial"/>
          <w:b/>
          <w:bCs/>
          <w:szCs w:val="24"/>
        </w:rPr>
      </w:pPr>
      <w:r w:rsidRPr="005A2668">
        <w:rPr>
          <w:rFonts w:ascii="Arial" w:hAnsi="Arial" w:cs="Arial"/>
          <w:b/>
          <w:bCs/>
          <w:szCs w:val="24"/>
        </w:rPr>
        <w:t>Use of Ansoff Growth Matrix</w:t>
      </w:r>
    </w:p>
    <w:p w14:paraId="261A284B" w14:textId="595CE33C" w:rsidR="009E05DA" w:rsidRPr="005A2668" w:rsidRDefault="009C642B" w:rsidP="009E05DA">
      <w:pPr>
        <w:jc w:val="both"/>
        <w:rPr>
          <w:rFonts w:ascii="Arial" w:hAnsi="Arial" w:cs="Arial"/>
          <w:szCs w:val="24"/>
        </w:rPr>
      </w:pPr>
      <w:r w:rsidRPr="005A2668">
        <w:rPr>
          <w:rFonts w:ascii="Arial" w:hAnsi="Arial" w:cs="Arial"/>
          <w:szCs w:val="24"/>
        </w:rPr>
        <w:t>Ansoff development Matrix helps innovators assess product and market potential. This strategy gives pioneers an edge via risk-taking, inventiveness, and market leadership. Market penetration, product creation, market growth, and diversification assessments may help pioneering enterprises capitalise on new technical and sociological changes while staying competitive</w:t>
      </w:r>
      <w:r w:rsidR="00D26F45" w:rsidRPr="005A2668">
        <w:rPr>
          <w:rFonts w:ascii="Arial" w:hAnsi="Arial" w:cs="Arial"/>
          <w:szCs w:val="24"/>
        </w:rPr>
        <w:t xml:space="preserve"> (</w:t>
      </w:r>
      <w:proofErr w:type="spellStart"/>
      <w:r w:rsidR="00D26F45" w:rsidRPr="005A2668">
        <w:rPr>
          <w:rFonts w:ascii="Arial" w:hAnsi="Arial" w:cs="Arial"/>
          <w:szCs w:val="24"/>
        </w:rPr>
        <w:t>Arte</w:t>
      </w:r>
      <w:proofErr w:type="spellEnd"/>
      <w:r w:rsidR="00D26F45" w:rsidRPr="005A2668">
        <w:rPr>
          <w:rFonts w:ascii="Arial" w:hAnsi="Arial" w:cs="Arial"/>
          <w:szCs w:val="24"/>
        </w:rPr>
        <w:t xml:space="preserve"> &amp; </w:t>
      </w:r>
      <w:proofErr w:type="spellStart"/>
      <w:r w:rsidR="00D26F45" w:rsidRPr="005A2668">
        <w:rPr>
          <w:rFonts w:ascii="Arial" w:hAnsi="Arial" w:cs="Arial"/>
          <w:szCs w:val="24"/>
        </w:rPr>
        <w:t>Larimo</w:t>
      </w:r>
      <w:proofErr w:type="spellEnd"/>
      <w:r w:rsidR="00D26F45" w:rsidRPr="005A2668">
        <w:rPr>
          <w:rFonts w:ascii="Arial" w:hAnsi="Arial" w:cs="Arial"/>
          <w:szCs w:val="24"/>
        </w:rPr>
        <w:t>, 2021)</w:t>
      </w:r>
      <w:r w:rsidR="009E05DA" w:rsidRPr="005A2668">
        <w:rPr>
          <w:rFonts w:ascii="Arial" w:hAnsi="Arial" w:cs="Arial"/>
          <w:szCs w:val="24"/>
        </w:rPr>
        <w:t>.</w:t>
      </w:r>
    </w:p>
    <w:tbl>
      <w:tblPr>
        <w:tblStyle w:val="TableGrid"/>
        <w:tblW w:w="0" w:type="auto"/>
        <w:tblLook w:val="04A0" w:firstRow="1" w:lastRow="0" w:firstColumn="1" w:lastColumn="0" w:noHBand="0" w:noVBand="1"/>
      </w:tblPr>
      <w:tblGrid>
        <w:gridCol w:w="2122"/>
        <w:gridCol w:w="6894"/>
      </w:tblGrid>
      <w:tr w:rsidR="00883D5A" w:rsidRPr="005A2668" w14:paraId="5F87E538" w14:textId="77777777" w:rsidTr="006D3A3C">
        <w:tc>
          <w:tcPr>
            <w:tcW w:w="2122" w:type="dxa"/>
          </w:tcPr>
          <w:p w14:paraId="54889412" w14:textId="77777777" w:rsidR="009E05DA" w:rsidRPr="005A2668" w:rsidRDefault="009E05DA" w:rsidP="006D3A3C">
            <w:pPr>
              <w:jc w:val="both"/>
              <w:rPr>
                <w:rFonts w:ascii="Arial" w:hAnsi="Arial" w:cs="Arial"/>
                <w:b/>
                <w:bCs/>
                <w:szCs w:val="24"/>
              </w:rPr>
            </w:pPr>
            <w:r w:rsidRPr="005A2668">
              <w:rPr>
                <w:rFonts w:ascii="Arial" w:hAnsi="Arial" w:cs="Arial"/>
                <w:b/>
                <w:bCs/>
                <w:szCs w:val="24"/>
              </w:rPr>
              <w:t>Ansoff Strategy</w:t>
            </w:r>
          </w:p>
        </w:tc>
        <w:tc>
          <w:tcPr>
            <w:tcW w:w="6894" w:type="dxa"/>
          </w:tcPr>
          <w:p w14:paraId="16A553AE" w14:textId="77777777" w:rsidR="009E05DA" w:rsidRPr="005A2668" w:rsidRDefault="009E05DA" w:rsidP="006D3A3C">
            <w:pPr>
              <w:jc w:val="both"/>
              <w:rPr>
                <w:rFonts w:ascii="Arial" w:hAnsi="Arial" w:cs="Arial"/>
                <w:b/>
                <w:bCs/>
                <w:szCs w:val="24"/>
              </w:rPr>
            </w:pPr>
            <w:r w:rsidRPr="005A2668">
              <w:rPr>
                <w:rFonts w:ascii="Arial" w:hAnsi="Arial" w:cs="Arial"/>
                <w:b/>
                <w:bCs/>
                <w:szCs w:val="24"/>
              </w:rPr>
              <w:t>Application for Pioneers</w:t>
            </w:r>
          </w:p>
        </w:tc>
      </w:tr>
      <w:tr w:rsidR="00883D5A" w:rsidRPr="005A2668" w14:paraId="18E6F921" w14:textId="77777777" w:rsidTr="006D3A3C">
        <w:tc>
          <w:tcPr>
            <w:tcW w:w="2122" w:type="dxa"/>
          </w:tcPr>
          <w:p w14:paraId="7B717938" w14:textId="77777777" w:rsidR="009E05DA" w:rsidRPr="005A2668" w:rsidRDefault="009E05DA" w:rsidP="006D3A3C">
            <w:pPr>
              <w:jc w:val="both"/>
              <w:rPr>
                <w:rFonts w:ascii="Arial" w:hAnsi="Arial" w:cs="Arial"/>
                <w:b/>
                <w:bCs/>
                <w:szCs w:val="24"/>
              </w:rPr>
            </w:pPr>
            <w:r w:rsidRPr="005A2668">
              <w:rPr>
                <w:rFonts w:ascii="Arial" w:hAnsi="Arial" w:cs="Arial"/>
                <w:b/>
                <w:bCs/>
                <w:szCs w:val="24"/>
              </w:rPr>
              <w:t>Market Penetration</w:t>
            </w:r>
          </w:p>
        </w:tc>
        <w:tc>
          <w:tcPr>
            <w:tcW w:w="6894" w:type="dxa"/>
          </w:tcPr>
          <w:p w14:paraId="4B445E6B" w14:textId="77777777" w:rsidR="009E05DA" w:rsidRPr="005A2668" w:rsidRDefault="009E05DA" w:rsidP="006D3A3C">
            <w:pPr>
              <w:jc w:val="both"/>
              <w:rPr>
                <w:rFonts w:ascii="Arial" w:hAnsi="Arial" w:cs="Arial"/>
                <w:szCs w:val="24"/>
              </w:rPr>
            </w:pPr>
            <w:r w:rsidRPr="005A2668">
              <w:rPr>
                <w:rFonts w:ascii="Arial" w:hAnsi="Arial" w:cs="Arial"/>
                <w:szCs w:val="24"/>
              </w:rPr>
              <w:t>Build brand supremacy via quality, customer experience, and loyalty programs to increase market share. For example, Apple strengthens its iPhone ecosystem to preserve supremacy.</w:t>
            </w:r>
          </w:p>
        </w:tc>
      </w:tr>
      <w:tr w:rsidR="00883D5A" w:rsidRPr="005A2668" w14:paraId="597F6D0E" w14:textId="77777777" w:rsidTr="006D3A3C">
        <w:tc>
          <w:tcPr>
            <w:tcW w:w="2122" w:type="dxa"/>
          </w:tcPr>
          <w:p w14:paraId="6FF01AB0" w14:textId="77777777" w:rsidR="009E05DA" w:rsidRPr="005A2668" w:rsidRDefault="009E05DA" w:rsidP="006D3A3C">
            <w:pPr>
              <w:jc w:val="both"/>
              <w:rPr>
                <w:rFonts w:ascii="Arial" w:hAnsi="Arial" w:cs="Arial"/>
                <w:b/>
                <w:bCs/>
                <w:szCs w:val="24"/>
              </w:rPr>
            </w:pPr>
            <w:r w:rsidRPr="005A2668">
              <w:rPr>
                <w:rFonts w:ascii="Arial" w:hAnsi="Arial" w:cs="Arial"/>
                <w:b/>
                <w:bCs/>
                <w:szCs w:val="24"/>
              </w:rPr>
              <w:t>Product Development</w:t>
            </w:r>
          </w:p>
        </w:tc>
        <w:tc>
          <w:tcPr>
            <w:tcW w:w="6894" w:type="dxa"/>
          </w:tcPr>
          <w:p w14:paraId="693CB883" w14:textId="77777777" w:rsidR="009E05DA" w:rsidRPr="005A2668" w:rsidRDefault="009E05DA" w:rsidP="006D3A3C">
            <w:pPr>
              <w:jc w:val="both"/>
              <w:rPr>
                <w:rFonts w:ascii="Arial" w:hAnsi="Arial" w:cs="Arial"/>
                <w:szCs w:val="24"/>
              </w:rPr>
            </w:pPr>
            <w:r w:rsidRPr="005A2668">
              <w:rPr>
                <w:rFonts w:ascii="Arial" w:hAnsi="Arial" w:cs="Arial"/>
                <w:szCs w:val="24"/>
              </w:rPr>
              <w:t>Spend substantially in R&amp;D to generate industry-changing goods. Tesla develops autonomous driving and battery technology.</w:t>
            </w:r>
          </w:p>
        </w:tc>
      </w:tr>
      <w:tr w:rsidR="00883D5A" w:rsidRPr="005A2668" w14:paraId="6274F218" w14:textId="77777777" w:rsidTr="006D3A3C">
        <w:tc>
          <w:tcPr>
            <w:tcW w:w="2122" w:type="dxa"/>
          </w:tcPr>
          <w:p w14:paraId="08878868" w14:textId="77777777" w:rsidR="009E05DA" w:rsidRPr="005A2668" w:rsidRDefault="009E05DA" w:rsidP="006D3A3C">
            <w:pPr>
              <w:jc w:val="both"/>
              <w:rPr>
                <w:rFonts w:ascii="Arial" w:hAnsi="Arial" w:cs="Arial"/>
                <w:b/>
                <w:bCs/>
                <w:szCs w:val="24"/>
              </w:rPr>
            </w:pPr>
            <w:r w:rsidRPr="005A2668">
              <w:rPr>
                <w:rFonts w:ascii="Arial" w:hAnsi="Arial" w:cs="Arial"/>
                <w:b/>
                <w:bCs/>
                <w:szCs w:val="24"/>
              </w:rPr>
              <w:t>Market Development</w:t>
            </w:r>
          </w:p>
        </w:tc>
        <w:tc>
          <w:tcPr>
            <w:tcW w:w="6894" w:type="dxa"/>
          </w:tcPr>
          <w:p w14:paraId="5288BAD9" w14:textId="2E65ACD4" w:rsidR="009E05DA" w:rsidRPr="005A2668" w:rsidRDefault="009E05DA" w:rsidP="006D3A3C">
            <w:pPr>
              <w:jc w:val="both"/>
              <w:rPr>
                <w:rFonts w:ascii="Arial" w:hAnsi="Arial" w:cs="Arial"/>
                <w:szCs w:val="24"/>
              </w:rPr>
            </w:pPr>
            <w:r w:rsidRPr="005A2668">
              <w:rPr>
                <w:rFonts w:ascii="Arial" w:hAnsi="Arial" w:cs="Arial"/>
                <w:szCs w:val="24"/>
              </w:rPr>
              <w:t>Expand into new demographics or geographies to get customers. Beyond Meat attracting health-conscious people abroad</w:t>
            </w:r>
            <w:r w:rsidR="00820272" w:rsidRPr="005A2668">
              <w:rPr>
                <w:rFonts w:ascii="Arial" w:hAnsi="Arial" w:cs="Arial"/>
                <w:szCs w:val="24"/>
              </w:rPr>
              <w:t xml:space="preserve"> (Laine, 2023)</w:t>
            </w:r>
            <w:r w:rsidRPr="005A2668">
              <w:rPr>
                <w:rFonts w:ascii="Arial" w:hAnsi="Arial" w:cs="Arial"/>
                <w:szCs w:val="24"/>
              </w:rPr>
              <w:t>.</w:t>
            </w:r>
          </w:p>
        </w:tc>
      </w:tr>
      <w:tr w:rsidR="00883D5A" w:rsidRPr="005A2668" w14:paraId="4AEA42D0" w14:textId="77777777" w:rsidTr="006D3A3C">
        <w:tc>
          <w:tcPr>
            <w:tcW w:w="2122" w:type="dxa"/>
          </w:tcPr>
          <w:p w14:paraId="3B7865B3" w14:textId="77777777" w:rsidR="009E05DA" w:rsidRPr="005A2668" w:rsidRDefault="009E05DA" w:rsidP="006D3A3C">
            <w:pPr>
              <w:jc w:val="both"/>
              <w:rPr>
                <w:rFonts w:ascii="Arial" w:hAnsi="Arial" w:cs="Arial"/>
                <w:b/>
                <w:bCs/>
                <w:szCs w:val="24"/>
              </w:rPr>
            </w:pPr>
            <w:r w:rsidRPr="005A2668">
              <w:rPr>
                <w:rFonts w:ascii="Arial" w:hAnsi="Arial" w:cs="Arial"/>
                <w:b/>
                <w:bCs/>
                <w:szCs w:val="24"/>
              </w:rPr>
              <w:lastRenderedPageBreak/>
              <w:t>Diversification</w:t>
            </w:r>
          </w:p>
        </w:tc>
        <w:tc>
          <w:tcPr>
            <w:tcW w:w="6894" w:type="dxa"/>
          </w:tcPr>
          <w:p w14:paraId="14E25BD9" w14:textId="77777777" w:rsidR="009E05DA" w:rsidRPr="005A2668" w:rsidRDefault="009E05DA" w:rsidP="006D3A3C">
            <w:pPr>
              <w:jc w:val="both"/>
              <w:rPr>
                <w:rFonts w:ascii="Arial" w:hAnsi="Arial" w:cs="Arial"/>
                <w:szCs w:val="24"/>
              </w:rPr>
            </w:pPr>
            <w:r w:rsidRPr="005A2668">
              <w:rPr>
                <w:rFonts w:ascii="Arial" w:hAnsi="Arial" w:cs="Arial"/>
                <w:szCs w:val="24"/>
              </w:rPr>
              <w:t>Explore complementary technology or business concepts. For instance, Apple's wearable tech and Apple Pay and TV+.</w:t>
            </w:r>
          </w:p>
        </w:tc>
      </w:tr>
    </w:tbl>
    <w:p w14:paraId="1811FB22" w14:textId="77777777" w:rsidR="009E05DA" w:rsidRPr="005A2668" w:rsidRDefault="009E05DA" w:rsidP="009E05DA">
      <w:pPr>
        <w:jc w:val="both"/>
        <w:rPr>
          <w:rFonts w:ascii="Arial" w:hAnsi="Arial" w:cs="Arial"/>
          <w:szCs w:val="24"/>
        </w:rPr>
      </w:pPr>
    </w:p>
    <w:p w14:paraId="04DC0B77" w14:textId="77777777" w:rsidR="009E05DA" w:rsidRPr="005A2668" w:rsidRDefault="009E05DA" w:rsidP="009E05DA">
      <w:pPr>
        <w:jc w:val="both"/>
        <w:rPr>
          <w:rFonts w:ascii="Arial" w:hAnsi="Arial" w:cs="Arial"/>
          <w:b/>
          <w:bCs/>
          <w:szCs w:val="24"/>
        </w:rPr>
      </w:pPr>
      <w:r w:rsidRPr="005A2668">
        <w:rPr>
          <w:rFonts w:ascii="Arial" w:hAnsi="Arial" w:cs="Arial"/>
          <w:b/>
          <w:bCs/>
          <w:szCs w:val="24"/>
        </w:rPr>
        <w:t>Use of Porter’s Generic Strategies</w:t>
      </w:r>
    </w:p>
    <w:p w14:paraId="08B08BFB" w14:textId="1AE25C20" w:rsidR="009E05DA" w:rsidRPr="005A2668" w:rsidRDefault="009E05DA" w:rsidP="009E05DA">
      <w:pPr>
        <w:jc w:val="both"/>
        <w:rPr>
          <w:rFonts w:ascii="Arial" w:hAnsi="Arial" w:cs="Arial"/>
          <w:szCs w:val="24"/>
        </w:rPr>
      </w:pPr>
      <w:r w:rsidRPr="005A2668">
        <w:rPr>
          <w:rFonts w:ascii="Arial" w:hAnsi="Arial" w:cs="Arial"/>
          <w:szCs w:val="24"/>
        </w:rPr>
        <w:t>Pioneering companies use distinctiveness to gain and maintain competitive advantage in dynamic marketplaces. These enterprises may charge premium prices and build brand loyalty by delivering distinctive, technologically sophisticated, or experience-driven products and services that are hard to reproduce. Pioneers may create customer expectations, set industry norms, and lead in fast changing areas using this strategy. When introducing disruptive innovations, customer education helps customers comprehend the benefits and encourages adoption. Tesla educates potential buyers about electric vehicle performance, sustainability, and long-term cost savings, while Beyond Meat emphasises plant-based protein's environmental and health benefits to change consumption habits</w:t>
      </w:r>
      <w:r w:rsidR="001B7C5D" w:rsidRPr="005A2668">
        <w:rPr>
          <w:rFonts w:ascii="Arial" w:hAnsi="Arial" w:cs="Arial"/>
          <w:szCs w:val="24"/>
        </w:rPr>
        <w:t xml:space="preserve"> (</w:t>
      </w:r>
      <w:proofErr w:type="spellStart"/>
      <w:r w:rsidR="001B7C5D" w:rsidRPr="005A2668">
        <w:rPr>
          <w:rFonts w:ascii="Arial" w:hAnsi="Arial" w:cs="Arial"/>
          <w:szCs w:val="24"/>
        </w:rPr>
        <w:t>Maradin</w:t>
      </w:r>
      <w:proofErr w:type="spellEnd"/>
      <w:r w:rsidR="001B7C5D" w:rsidRPr="005A2668">
        <w:rPr>
          <w:rFonts w:ascii="Arial" w:hAnsi="Arial" w:cs="Arial"/>
          <w:szCs w:val="24"/>
        </w:rPr>
        <w:t>, 2022)</w:t>
      </w:r>
      <w:r w:rsidRPr="005A2668">
        <w:rPr>
          <w:rFonts w:ascii="Arial" w:hAnsi="Arial" w:cs="Arial"/>
          <w:szCs w:val="24"/>
        </w:rPr>
        <w:t xml:space="preserve">. </w:t>
      </w:r>
    </w:p>
    <w:p w14:paraId="77F6D50D" w14:textId="77777777" w:rsidR="009E05DA" w:rsidRPr="005A2668" w:rsidRDefault="009E05DA" w:rsidP="009E05DA">
      <w:pPr>
        <w:jc w:val="both"/>
        <w:rPr>
          <w:rFonts w:ascii="Arial" w:hAnsi="Arial" w:cs="Arial"/>
          <w:b/>
          <w:bCs/>
          <w:szCs w:val="24"/>
        </w:rPr>
      </w:pPr>
      <w:r w:rsidRPr="005A2668">
        <w:rPr>
          <w:rFonts w:ascii="Arial" w:hAnsi="Arial" w:cs="Arial"/>
          <w:b/>
          <w:bCs/>
          <w:szCs w:val="24"/>
        </w:rPr>
        <w:t>Strategic Responses to Technology</w:t>
      </w:r>
    </w:p>
    <w:p w14:paraId="53584EC1" w14:textId="77777777" w:rsidR="009E05DA" w:rsidRPr="005A2668" w:rsidRDefault="009E05DA" w:rsidP="009E05DA">
      <w:pPr>
        <w:jc w:val="both"/>
        <w:rPr>
          <w:rFonts w:ascii="Arial" w:hAnsi="Arial" w:cs="Arial"/>
          <w:szCs w:val="24"/>
        </w:rPr>
      </w:pPr>
      <w:r w:rsidRPr="005A2668">
        <w:rPr>
          <w:rFonts w:ascii="Arial" w:hAnsi="Arial" w:cs="Arial"/>
          <w:szCs w:val="24"/>
        </w:rPr>
        <w:t>Innovative firms use new technologies to remain ahead. Early AI, automation, digital platforms, and data analytics help operations, marketing, and customer demand prediction. Strategic responses are included as:</w:t>
      </w:r>
    </w:p>
    <w:p w14:paraId="7DD225D7" w14:textId="5422E960" w:rsidR="009E05DA" w:rsidRPr="005A2668" w:rsidRDefault="009E05DA" w:rsidP="009E05DA">
      <w:pPr>
        <w:pStyle w:val="ListParagraph"/>
        <w:numPr>
          <w:ilvl w:val="0"/>
          <w:numId w:val="1"/>
        </w:numPr>
        <w:jc w:val="both"/>
        <w:rPr>
          <w:rFonts w:ascii="Arial" w:hAnsi="Arial" w:cs="Arial"/>
          <w:szCs w:val="24"/>
        </w:rPr>
      </w:pPr>
      <w:r w:rsidRPr="005A2668">
        <w:rPr>
          <w:rFonts w:ascii="Arial" w:hAnsi="Arial" w:cs="Arial"/>
          <w:b/>
          <w:bCs/>
          <w:szCs w:val="24"/>
        </w:rPr>
        <w:t>Ecosystem building</w:t>
      </w:r>
      <w:r w:rsidRPr="005A2668">
        <w:rPr>
          <w:rFonts w:ascii="Arial" w:hAnsi="Arial" w:cs="Arial"/>
          <w:szCs w:val="24"/>
        </w:rPr>
        <w:t>: Complementary products and services to boost market share and increase consumer switching costs</w:t>
      </w:r>
      <w:r w:rsidR="001D7D01" w:rsidRPr="005A2668">
        <w:rPr>
          <w:rFonts w:ascii="Arial" w:hAnsi="Arial" w:cs="Arial"/>
          <w:szCs w:val="24"/>
        </w:rPr>
        <w:t xml:space="preserve"> (Ren</w:t>
      </w:r>
      <w:r w:rsidR="00166827" w:rsidRPr="005A2668">
        <w:rPr>
          <w:rFonts w:ascii="Arial" w:hAnsi="Arial" w:cs="Arial"/>
          <w:szCs w:val="24"/>
        </w:rPr>
        <w:t xml:space="preserve"> et al.</w:t>
      </w:r>
      <w:r w:rsidR="001D7D01" w:rsidRPr="005A2668">
        <w:rPr>
          <w:rFonts w:ascii="Arial" w:hAnsi="Arial" w:cs="Arial"/>
          <w:szCs w:val="24"/>
        </w:rPr>
        <w:t>, 2020)</w:t>
      </w:r>
      <w:r w:rsidRPr="005A2668">
        <w:rPr>
          <w:rFonts w:ascii="Arial" w:hAnsi="Arial" w:cs="Arial"/>
          <w:szCs w:val="24"/>
        </w:rPr>
        <w:t>.</w:t>
      </w:r>
    </w:p>
    <w:p w14:paraId="0202A03F" w14:textId="46C47181" w:rsidR="009E05DA" w:rsidRPr="005A2668" w:rsidRDefault="009E05DA" w:rsidP="004A019C">
      <w:pPr>
        <w:pStyle w:val="ListParagraph"/>
        <w:numPr>
          <w:ilvl w:val="0"/>
          <w:numId w:val="1"/>
        </w:numPr>
        <w:jc w:val="both"/>
        <w:rPr>
          <w:rFonts w:ascii="Arial" w:hAnsi="Arial" w:cs="Arial"/>
          <w:szCs w:val="24"/>
        </w:rPr>
      </w:pPr>
      <w:r w:rsidRPr="005A2668">
        <w:rPr>
          <w:rFonts w:ascii="Arial" w:hAnsi="Arial" w:cs="Arial"/>
          <w:b/>
          <w:bCs/>
          <w:szCs w:val="24"/>
        </w:rPr>
        <w:t>Strategic alliances</w:t>
      </w:r>
      <w:r w:rsidRPr="005A2668">
        <w:rPr>
          <w:rFonts w:ascii="Arial" w:hAnsi="Arial" w:cs="Arial"/>
          <w:szCs w:val="24"/>
        </w:rPr>
        <w:t xml:space="preserve">: </w:t>
      </w:r>
      <w:r w:rsidR="004A019C" w:rsidRPr="005A2668">
        <w:rPr>
          <w:rFonts w:ascii="Arial" w:hAnsi="Arial" w:cs="Arial"/>
          <w:szCs w:val="24"/>
        </w:rPr>
        <w:t>Technology, supplier, and academic institution partnership to develop and exchange resources.</w:t>
      </w:r>
    </w:p>
    <w:p w14:paraId="39CA3D2C" w14:textId="153BC4DD" w:rsidR="009E05DA" w:rsidRPr="005A2668" w:rsidRDefault="009E05DA" w:rsidP="004A019C">
      <w:pPr>
        <w:pStyle w:val="ListParagraph"/>
        <w:numPr>
          <w:ilvl w:val="0"/>
          <w:numId w:val="1"/>
        </w:numPr>
        <w:jc w:val="both"/>
        <w:rPr>
          <w:rFonts w:ascii="Arial" w:hAnsi="Arial" w:cs="Arial"/>
          <w:szCs w:val="24"/>
        </w:rPr>
      </w:pPr>
      <w:r w:rsidRPr="005A2668">
        <w:rPr>
          <w:rFonts w:ascii="Arial" w:hAnsi="Arial" w:cs="Arial"/>
          <w:b/>
          <w:bCs/>
          <w:szCs w:val="24"/>
        </w:rPr>
        <w:t>Patent protection</w:t>
      </w:r>
      <w:r w:rsidRPr="005A2668">
        <w:rPr>
          <w:rFonts w:ascii="Arial" w:hAnsi="Arial" w:cs="Arial"/>
          <w:szCs w:val="24"/>
        </w:rPr>
        <w:t xml:space="preserve">: </w:t>
      </w:r>
      <w:r w:rsidR="004A019C" w:rsidRPr="005A2668">
        <w:rPr>
          <w:rFonts w:ascii="Arial" w:hAnsi="Arial" w:cs="Arial"/>
          <w:szCs w:val="24"/>
        </w:rPr>
        <w:t>Protection of proprietary ideas prevents copying and sets industry norms.</w:t>
      </w:r>
    </w:p>
    <w:p w14:paraId="1E9981E1" w14:textId="08D2834B" w:rsidR="009E05DA" w:rsidRPr="005A2668" w:rsidRDefault="009E05DA" w:rsidP="00B77914">
      <w:pPr>
        <w:pStyle w:val="ListParagraph"/>
        <w:numPr>
          <w:ilvl w:val="0"/>
          <w:numId w:val="1"/>
        </w:numPr>
        <w:jc w:val="both"/>
        <w:rPr>
          <w:rFonts w:ascii="Arial" w:hAnsi="Arial" w:cs="Arial"/>
          <w:szCs w:val="24"/>
        </w:rPr>
      </w:pPr>
      <w:r w:rsidRPr="005A2668">
        <w:rPr>
          <w:rFonts w:ascii="Arial" w:hAnsi="Arial" w:cs="Arial"/>
          <w:b/>
          <w:bCs/>
          <w:szCs w:val="24"/>
        </w:rPr>
        <w:t>Platform strategies</w:t>
      </w:r>
      <w:r w:rsidRPr="005A2668">
        <w:rPr>
          <w:rFonts w:ascii="Arial" w:hAnsi="Arial" w:cs="Arial"/>
          <w:szCs w:val="24"/>
        </w:rPr>
        <w:t xml:space="preserve">: </w:t>
      </w:r>
      <w:r w:rsidR="004A019C" w:rsidRPr="005A2668">
        <w:rPr>
          <w:rFonts w:ascii="Arial" w:hAnsi="Arial" w:cs="Arial"/>
          <w:szCs w:val="24"/>
        </w:rPr>
        <w:t>Participating</w:t>
      </w:r>
      <w:r w:rsidR="00B77914" w:rsidRPr="005A2668">
        <w:rPr>
          <w:rFonts w:ascii="Arial" w:hAnsi="Arial" w:cs="Arial"/>
          <w:szCs w:val="24"/>
        </w:rPr>
        <w:t xml:space="preserve"> several </w:t>
      </w:r>
      <w:r w:rsidR="004A019C" w:rsidRPr="005A2668">
        <w:rPr>
          <w:rFonts w:ascii="Arial" w:hAnsi="Arial" w:cs="Arial"/>
          <w:szCs w:val="24"/>
        </w:rPr>
        <w:t>contributions</w:t>
      </w:r>
      <w:r w:rsidR="00B77914" w:rsidRPr="005A2668">
        <w:rPr>
          <w:rFonts w:ascii="Arial" w:hAnsi="Arial" w:cs="Arial"/>
          <w:szCs w:val="24"/>
        </w:rPr>
        <w:t xml:space="preserve"> and </w:t>
      </w:r>
      <w:r w:rsidR="00602E04" w:rsidRPr="005A2668">
        <w:rPr>
          <w:rFonts w:ascii="Arial" w:hAnsi="Arial" w:cs="Arial"/>
          <w:szCs w:val="24"/>
        </w:rPr>
        <w:t>regulatory</w:t>
      </w:r>
      <w:r w:rsidR="00B77914" w:rsidRPr="005A2668">
        <w:rPr>
          <w:rFonts w:ascii="Arial" w:hAnsi="Arial" w:cs="Arial"/>
          <w:szCs w:val="24"/>
        </w:rPr>
        <w:t xml:space="preserve"> technology with proprietary software or operating systems </w:t>
      </w:r>
      <w:r w:rsidR="00E5624A" w:rsidRPr="005A2668">
        <w:rPr>
          <w:rFonts w:ascii="Arial" w:hAnsi="Arial" w:cs="Arial"/>
          <w:szCs w:val="24"/>
        </w:rPr>
        <w:t>(Abuseridze, 2021)</w:t>
      </w:r>
      <w:r w:rsidRPr="005A2668">
        <w:rPr>
          <w:rFonts w:ascii="Arial" w:hAnsi="Arial" w:cs="Arial"/>
          <w:szCs w:val="24"/>
        </w:rPr>
        <w:t>.</w:t>
      </w:r>
    </w:p>
    <w:p w14:paraId="02184466" w14:textId="77777777" w:rsidR="009E05DA" w:rsidRPr="005A2668" w:rsidRDefault="009E05DA" w:rsidP="009E05DA">
      <w:pPr>
        <w:jc w:val="both"/>
        <w:rPr>
          <w:rFonts w:ascii="Arial" w:hAnsi="Arial" w:cs="Arial"/>
          <w:szCs w:val="24"/>
        </w:rPr>
      </w:pPr>
      <w:r w:rsidRPr="005A2668">
        <w:rPr>
          <w:rFonts w:ascii="Arial" w:hAnsi="Arial" w:cs="Arial"/>
          <w:szCs w:val="24"/>
        </w:rPr>
        <w:t xml:space="preserve">Apple's seamless, integrated ecosystem of devices, software, and services encourages loyalty and makes transferring expensive, trapping people into its platform. Apple enhances value and brand favour by integrating hardware, OS, and apps. Tesla leads with battery technology and OTA software updates. </w:t>
      </w:r>
    </w:p>
    <w:p w14:paraId="78049E3F" w14:textId="77777777" w:rsidR="009E05DA" w:rsidRPr="005A2668" w:rsidRDefault="009E05DA" w:rsidP="009E05DA">
      <w:pPr>
        <w:jc w:val="both"/>
        <w:rPr>
          <w:rFonts w:ascii="Arial" w:hAnsi="Arial" w:cs="Arial"/>
          <w:b/>
          <w:bCs/>
          <w:szCs w:val="24"/>
        </w:rPr>
      </w:pPr>
      <w:r w:rsidRPr="005A2668">
        <w:rPr>
          <w:rFonts w:ascii="Arial" w:hAnsi="Arial" w:cs="Arial"/>
          <w:b/>
          <w:bCs/>
          <w:szCs w:val="24"/>
        </w:rPr>
        <w:t>Strategic Responses to Social Change</w:t>
      </w:r>
    </w:p>
    <w:p w14:paraId="47323251" w14:textId="2EE82C3E" w:rsidR="000A3384" w:rsidRPr="005A2668" w:rsidRDefault="0052055B" w:rsidP="009E05DA">
      <w:pPr>
        <w:jc w:val="both"/>
        <w:rPr>
          <w:rFonts w:ascii="Arial" w:hAnsi="Arial" w:cs="Arial"/>
          <w:szCs w:val="24"/>
        </w:rPr>
      </w:pPr>
      <w:r w:rsidRPr="0052055B">
        <w:rPr>
          <w:rFonts w:ascii="Arial" w:hAnsi="Arial" w:cs="Arial"/>
          <w:szCs w:val="24"/>
        </w:rPr>
        <w:lastRenderedPageBreak/>
        <w:t>Marketing must accommodate ethical consumerism, environmental awareness, and lifestyle changes. Pioneers reply</w:t>
      </w:r>
      <w:r w:rsidRPr="005A2668">
        <w:rPr>
          <w:rFonts w:ascii="Arial" w:hAnsi="Arial" w:cs="Arial"/>
          <w:szCs w:val="24"/>
        </w:rPr>
        <w:t xml:space="preserve"> is shown in below</w:t>
      </w:r>
      <w:r w:rsidR="000A3384" w:rsidRPr="005A2668">
        <w:rPr>
          <w:rFonts w:ascii="Arial" w:hAnsi="Arial" w:cs="Arial"/>
          <w:szCs w:val="24"/>
        </w:rPr>
        <w:t>:</w:t>
      </w:r>
    </w:p>
    <w:tbl>
      <w:tblPr>
        <w:tblStyle w:val="TableGrid"/>
        <w:tblW w:w="0" w:type="auto"/>
        <w:tblLook w:val="04A0" w:firstRow="1" w:lastRow="0" w:firstColumn="1" w:lastColumn="0" w:noHBand="0" w:noVBand="1"/>
      </w:tblPr>
      <w:tblGrid>
        <w:gridCol w:w="2122"/>
        <w:gridCol w:w="6894"/>
      </w:tblGrid>
      <w:tr w:rsidR="005A2668" w:rsidRPr="005A2668" w14:paraId="6F994604" w14:textId="77777777" w:rsidTr="006D3A3C">
        <w:tc>
          <w:tcPr>
            <w:tcW w:w="2122" w:type="dxa"/>
          </w:tcPr>
          <w:p w14:paraId="4A32B969" w14:textId="77777777" w:rsidR="005A2668" w:rsidRPr="005A2668" w:rsidRDefault="005A2668" w:rsidP="005A2668">
            <w:pPr>
              <w:jc w:val="both"/>
              <w:rPr>
                <w:rFonts w:ascii="Arial" w:hAnsi="Arial" w:cs="Arial"/>
                <w:b/>
                <w:bCs/>
                <w:szCs w:val="24"/>
              </w:rPr>
            </w:pPr>
            <w:r w:rsidRPr="005A2668">
              <w:rPr>
                <w:rFonts w:ascii="Arial" w:hAnsi="Arial" w:cs="Arial"/>
                <w:b/>
                <w:bCs/>
                <w:szCs w:val="24"/>
              </w:rPr>
              <w:t xml:space="preserve">Values-based marketing: </w:t>
            </w:r>
          </w:p>
        </w:tc>
        <w:tc>
          <w:tcPr>
            <w:tcW w:w="6894" w:type="dxa"/>
          </w:tcPr>
          <w:p w14:paraId="16FFD4F4" w14:textId="4C7AA8A3" w:rsidR="005A2668" w:rsidRPr="005A2668" w:rsidRDefault="005A2668" w:rsidP="005A2668">
            <w:pPr>
              <w:jc w:val="both"/>
              <w:rPr>
                <w:rFonts w:ascii="Arial" w:hAnsi="Arial" w:cs="Arial"/>
                <w:szCs w:val="24"/>
              </w:rPr>
            </w:pPr>
            <w:r w:rsidRPr="005A2668">
              <w:rPr>
                <w:rFonts w:ascii="Arial" w:hAnsi="Arial" w:cs="Arial"/>
              </w:rPr>
              <w:t>Brand storylines should address ethics, social, and environment to attract purpose-driven customers.</w:t>
            </w:r>
          </w:p>
        </w:tc>
      </w:tr>
      <w:tr w:rsidR="005A2668" w:rsidRPr="005A2668" w14:paraId="40EA0E40" w14:textId="77777777" w:rsidTr="006D3A3C">
        <w:tc>
          <w:tcPr>
            <w:tcW w:w="2122" w:type="dxa"/>
          </w:tcPr>
          <w:p w14:paraId="661FFC30" w14:textId="77777777" w:rsidR="005A2668" w:rsidRPr="005A2668" w:rsidRDefault="005A2668" w:rsidP="005A2668">
            <w:pPr>
              <w:jc w:val="both"/>
              <w:rPr>
                <w:rFonts w:ascii="Arial" w:hAnsi="Arial" w:cs="Arial"/>
                <w:b/>
                <w:bCs/>
                <w:szCs w:val="24"/>
              </w:rPr>
            </w:pPr>
            <w:r w:rsidRPr="005A2668">
              <w:rPr>
                <w:rFonts w:ascii="Arial" w:hAnsi="Arial" w:cs="Arial"/>
                <w:b/>
                <w:bCs/>
                <w:szCs w:val="24"/>
              </w:rPr>
              <w:t xml:space="preserve">CSR integration: </w:t>
            </w:r>
          </w:p>
        </w:tc>
        <w:tc>
          <w:tcPr>
            <w:tcW w:w="6894" w:type="dxa"/>
          </w:tcPr>
          <w:p w14:paraId="741ABDA3" w14:textId="6AE2A1AA" w:rsidR="005A2668" w:rsidRPr="00532F2A" w:rsidRDefault="00DB48D8" w:rsidP="005A2668">
            <w:pPr>
              <w:jc w:val="both"/>
              <w:rPr>
                <w:rFonts w:ascii="Arial" w:hAnsi="Arial" w:cs="Arial"/>
              </w:rPr>
            </w:pPr>
            <w:r w:rsidRPr="00DB48D8">
              <w:rPr>
                <w:rFonts w:ascii="Arial" w:hAnsi="Arial" w:cs="Arial"/>
              </w:rPr>
              <w:t>Large corporations' CSR aims to improve diversity (Laine, 2023).</w:t>
            </w:r>
          </w:p>
        </w:tc>
      </w:tr>
      <w:tr w:rsidR="005A2668" w:rsidRPr="005A2668" w14:paraId="6F82F184" w14:textId="77777777" w:rsidTr="006D3A3C">
        <w:tc>
          <w:tcPr>
            <w:tcW w:w="2122" w:type="dxa"/>
          </w:tcPr>
          <w:p w14:paraId="6E3186C9" w14:textId="77777777" w:rsidR="005A2668" w:rsidRPr="005A2668" w:rsidRDefault="005A2668" w:rsidP="005A2668">
            <w:pPr>
              <w:jc w:val="both"/>
              <w:rPr>
                <w:rFonts w:ascii="Arial" w:hAnsi="Arial" w:cs="Arial"/>
                <w:b/>
                <w:bCs/>
                <w:szCs w:val="24"/>
              </w:rPr>
            </w:pPr>
            <w:r w:rsidRPr="005A2668">
              <w:rPr>
                <w:rFonts w:ascii="Arial" w:hAnsi="Arial" w:cs="Arial"/>
                <w:b/>
                <w:bCs/>
                <w:szCs w:val="24"/>
              </w:rPr>
              <w:t xml:space="preserve">Transparent communication: </w:t>
            </w:r>
          </w:p>
        </w:tc>
        <w:tc>
          <w:tcPr>
            <w:tcW w:w="6894" w:type="dxa"/>
          </w:tcPr>
          <w:p w14:paraId="12880877" w14:textId="77777777" w:rsidR="00DB48D8" w:rsidRPr="00DB48D8" w:rsidRDefault="00DB48D8" w:rsidP="00DB48D8">
            <w:pPr>
              <w:jc w:val="both"/>
              <w:rPr>
                <w:rFonts w:ascii="Arial" w:hAnsi="Arial" w:cs="Arial"/>
              </w:rPr>
            </w:pPr>
            <w:r w:rsidRPr="00DB48D8">
              <w:rPr>
                <w:rFonts w:ascii="Arial" w:hAnsi="Arial" w:cs="Arial"/>
              </w:rPr>
              <w:t>Manufacturing, spending, and outcomes promote optimism.</w:t>
            </w:r>
          </w:p>
          <w:p w14:paraId="7D0CCF8B" w14:textId="3951CF3C" w:rsidR="005A2668" w:rsidRPr="00532F2A" w:rsidRDefault="005A2668" w:rsidP="005A2668">
            <w:pPr>
              <w:jc w:val="both"/>
              <w:rPr>
                <w:rFonts w:ascii="Arial" w:hAnsi="Arial" w:cs="Arial"/>
              </w:rPr>
            </w:pPr>
          </w:p>
        </w:tc>
      </w:tr>
      <w:tr w:rsidR="005A2668" w:rsidRPr="005A2668" w14:paraId="3C55C7D7" w14:textId="77777777" w:rsidTr="006D3A3C">
        <w:tc>
          <w:tcPr>
            <w:tcW w:w="2122" w:type="dxa"/>
          </w:tcPr>
          <w:p w14:paraId="0D78560F" w14:textId="77777777" w:rsidR="005A2668" w:rsidRPr="005A2668" w:rsidRDefault="005A2668" w:rsidP="005A2668">
            <w:pPr>
              <w:jc w:val="both"/>
              <w:rPr>
                <w:rFonts w:ascii="Arial" w:hAnsi="Arial" w:cs="Arial"/>
                <w:b/>
                <w:bCs/>
                <w:szCs w:val="24"/>
              </w:rPr>
            </w:pPr>
            <w:r w:rsidRPr="005A2668">
              <w:rPr>
                <w:rFonts w:ascii="Arial" w:hAnsi="Arial" w:cs="Arial"/>
                <w:b/>
                <w:bCs/>
                <w:szCs w:val="24"/>
              </w:rPr>
              <w:t xml:space="preserve">Rapid product adaptation: </w:t>
            </w:r>
          </w:p>
        </w:tc>
        <w:tc>
          <w:tcPr>
            <w:tcW w:w="6894" w:type="dxa"/>
          </w:tcPr>
          <w:p w14:paraId="5C8A2FBA" w14:textId="5C0C7571" w:rsidR="005A2668" w:rsidRPr="00532F2A" w:rsidRDefault="00667BDF" w:rsidP="005A2668">
            <w:pPr>
              <w:jc w:val="both"/>
              <w:rPr>
                <w:rFonts w:ascii="Arial" w:hAnsi="Arial" w:cs="Arial"/>
              </w:rPr>
            </w:pPr>
            <w:r w:rsidRPr="00667BDF">
              <w:rPr>
                <w:rFonts w:ascii="Arial" w:hAnsi="Arial" w:cs="Arial"/>
              </w:rPr>
              <w:t>Product adaptability to healthy food, eco-friendly packaging, and conserving energy innovations.</w:t>
            </w:r>
          </w:p>
        </w:tc>
      </w:tr>
    </w:tbl>
    <w:p w14:paraId="41E051B5" w14:textId="77777777" w:rsidR="009E05DA" w:rsidRPr="005A2668" w:rsidRDefault="009E05DA" w:rsidP="009E05DA">
      <w:pPr>
        <w:jc w:val="both"/>
        <w:rPr>
          <w:rFonts w:ascii="Arial" w:hAnsi="Arial" w:cs="Arial"/>
          <w:szCs w:val="24"/>
        </w:rPr>
      </w:pPr>
    </w:p>
    <w:p w14:paraId="55AB54FC" w14:textId="3B58FA7D" w:rsidR="009E05DA" w:rsidRPr="005A2668" w:rsidRDefault="00DF431B" w:rsidP="009E05DA">
      <w:pPr>
        <w:jc w:val="both"/>
        <w:rPr>
          <w:rFonts w:ascii="Arial" w:hAnsi="Arial" w:cs="Arial"/>
          <w:szCs w:val="24"/>
        </w:rPr>
      </w:pPr>
      <w:r w:rsidRPr="00DF431B">
        <w:rPr>
          <w:rFonts w:ascii="Arial" w:hAnsi="Arial" w:cs="Arial"/>
          <w:szCs w:val="24"/>
        </w:rPr>
        <w:t>Patagonia set the standard for ethical sourcing, durable design, and supply chain transparency in clothing. Eco-conscious clients trust and support the brand, enhancing market leadership.</w:t>
      </w:r>
      <w:r>
        <w:rPr>
          <w:rFonts w:ascii="Arial" w:hAnsi="Arial" w:cs="Arial"/>
          <w:szCs w:val="24"/>
        </w:rPr>
        <w:t xml:space="preserve"> </w:t>
      </w:r>
      <w:r w:rsidR="007211E3" w:rsidRPr="005A2668">
        <w:rPr>
          <w:rFonts w:ascii="Arial" w:hAnsi="Arial" w:cs="Arial"/>
          <w:szCs w:val="24"/>
        </w:rPr>
        <w:t>Beyond Meat dominates vegan protein supplies</w:t>
      </w:r>
      <w:r w:rsidR="0049114B" w:rsidRPr="005A2668">
        <w:rPr>
          <w:rFonts w:ascii="Arial" w:hAnsi="Arial" w:cs="Arial"/>
          <w:szCs w:val="24"/>
        </w:rPr>
        <w:t xml:space="preserve"> (Mallik &amp; Aithal, 2024)</w:t>
      </w:r>
      <w:r w:rsidR="007211E3" w:rsidRPr="005A2668">
        <w:rPr>
          <w:rFonts w:ascii="Arial" w:hAnsi="Arial" w:cs="Arial"/>
          <w:szCs w:val="24"/>
        </w:rPr>
        <w:t>.</w:t>
      </w:r>
    </w:p>
    <w:p w14:paraId="28E82549" w14:textId="77777777" w:rsidR="009E05DA" w:rsidRPr="005A2668" w:rsidRDefault="009E05DA" w:rsidP="009E05DA">
      <w:pPr>
        <w:jc w:val="both"/>
        <w:rPr>
          <w:rFonts w:ascii="Arial" w:hAnsi="Arial" w:cs="Arial"/>
          <w:b/>
          <w:bCs/>
          <w:szCs w:val="24"/>
        </w:rPr>
      </w:pPr>
      <w:r w:rsidRPr="005A2668">
        <w:rPr>
          <w:rFonts w:ascii="Arial" w:hAnsi="Arial" w:cs="Arial"/>
          <w:b/>
          <w:bCs/>
          <w:szCs w:val="24"/>
        </w:rPr>
        <w:t>Supporting Industry Examples</w:t>
      </w:r>
    </w:p>
    <w:p w14:paraId="16F87742" w14:textId="6AEEF98B" w:rsidR="006F7E68" w:rsidRPr="005A2668" w:rsidRDefault="006F7E68" w:rsidP="009E05DA">
      <w:pPr>
        <w:jc w:val="both"/>
        <w:rPr>
          <w:rFonts w:ascii="Arial" w:hAnsi="Arial" w:cs="Arial"/>
          <w:szCs w:val="24"/>
        </w:rPr>
      </w:pPr>
      <w:r w:rsidRPr="005A2668">
        <w:rPr>
          <w:rFonts w:ascii="Arial" w:hAnsi="Arial" w:cs="Arial"/>
          <w:szCs w:val="24"/>
        </w:rPr>
        <w:t>Ansoff's strategic ideas, distinct emphasis, and proactive technological and social flexibility help pioneering enterprises create market expectations and industry norms.</w:t>
      </w:r>
    </w:p>
    <w:p w14:paraId="12E75CEC" w14:textId="54702BDA" w:rsidR="009E05DA" w:rsidRPr="005A2668" w:rsidRDefault="009E05DA" w:rsidP="006F7E68">
      <w:pPr>
        <w:pStyle w:val="ListParagraph"/>
        <w:numPr>
          <w:ilvl w:val="0"/>
          <w:numId w:val="2"/>
        </w:numPr>
        <w:jc w:val="both"/>
        <w:rPr>
          <w:rFonts w:ascii="Arial" w:hAnsi="Arial" w:cs="Arial"/>
          <w:szCs w:val="24"/>
        </w:rPr>
      </w:pPr>
      <w:r w:rsidRPr="005A2668">
        <w:rPr>
          <w:rFonts w:ascii="Arial" w:hAnsi="Arial" w:cs="Arial"/>
          <w:b/>
          <w:bCs/>
          <w:szCs w:val="24"/>
        </w:rPr>
        <w:t>Tesla (EV tech):</w:t>
      </w:r>
      <w:r w:rsidRPr="005A2668">
        <w:rPr>
          <w:rFonts w:ascii="Arial" w:hAnsi="Arial" w:cs="Arial"/>
          <w:szCs w:val="24"/>
        </w:rPr>
        <w:t xml:space="preserve"> </w:t>
      </w:r>
      <w:r w:rsidR="006F7E68" w:rsidRPr="005A2668">
        <w:rPr>
          <w:rFonts w:ascii="Arial" w:hAnsi="Arial" w:cs="Arial"/>
          <w:szCs w:val="24"/>
        </w:rPr>
        <w:t>Distinctive, developing, and diversifying electric car, autonomous system, and battery developer.</w:t>
      </w:r>
    </w:p>
    <w:p w14:paraId="50E48527" w14:textId="77777777" w:rsidR="009E05DA" w:rsidRPr="005A2668" w:rsidRDefault="009E05DA" w:rsidP="009E05DA">
      <w:pPr>
        <w:pStyle w:val="ListParagraph"/>
        <w:numPr>
          <w:ilvl w:val="0"/>
          <w:numId w:val="2"/>
        </w:numPr>
        <w:jc w:val="both"/>
        <w:rPr>
          <w:rFonts w:ascii="Arial" w:hAnsi="Arial" w:cs="Arial"/>
          <w:szCs w:val="24"/>
        </w:rPr>
      </w:pPr>
      <w:r w:rsidRPr="005A2668">
        <w:rPr>
          <w:rFonts w:ascii="Arial" w:hAnsi="Arial" w:cs="Arial"/>
          <w:b/>
          <w:bCs/>
          <w:szCs w:val="24"/>
        </w:rPr>
        <w:t>Apple (Innovation &amp; Ecosystem):</w:t>
      </w:r>
      <w:r w:rsidRPr="005A2668">
        <w:rPr>
          <w:rFonts w:ascii="Arial" w:hAnsi="Arial" w:cs="Arial"/>
          <w:szCs w:val="24"/>
        </w:rPr>
        <w:t xml:space="preserve"> Significant R&amp;D fosters product creation and diversity; design, integration, and premium price distinguish.</w:t>
      </w:r>
    </w:p>
    <w:p w14:paraId="69D50494" w14:textId="77777777" w:rsidR="009E05DA" w:rsidRPr="005A2668" w:rsidRDefault="009E05DA" w:rsidP="009E05DA">
      <w:pPr>
        <w:pStyle w:val="ListParagraph"/>
        <w:numPr>
          <w:ilvl w:val="0"/>
          <w:numId w:val="2"/>
        </w:numPr>
        <w:jc w:val="both"/>
        <w:rPr>
          <w:rFonts w:ascii="Arial" w:hAnsi="Arial" w:cs="Arial"/>
          <w:szCs w:val="24"/>
        </w:rPr>
      </w:pPr>
      <w:r w:rsidRPr="005A2668">
        <w:rPr>
          <w:rFonts w:ascii="Arial" w:hAnsi="Arial" w:cs="Arial"/>
          <w:b/>
          <w:bCs/>
          <w:szCs w:val="24"/>
        </w:rPr>
        <w:t>Beyond Meat (Plant-based foods):</w:t>
      </w:r>
      <w:r w:rsidRPr="005A2668">
        <w:rPr>
          <w:rFonts w:ascii="Arial" w:hAnsi="Arial" w:cs="Arial"/>
          <w:szCs w:val="24"/>
        </w:rPr>
        <w:t xml:space="preserve"> Established alternative protein business; values-driven marketing complements health-conscious and sustainable consumer trends.</w:t>
      </w:r>
    </w:p>
    <w:p w14:paraId="2C1D92AF" w14:textId="7F6B6042" w:rsidR="009E05DA" w:rsidRPr="005A2668" w:rsidRDefault="009E05DA" w:rsidP="009E05DA">
      <w:pPr>
        <w:pStyle w:val="ListParagraph"/>
        <w:numPr>
          <w:ilvl w:val="0"/>
          <w:numId w:val="2"/>
        </w:numPr>
        <w:jc w:val="both"/>
        <w:rPr>
          <w:rFonts w:ascii="Arial" w:hAnsi="Arial" w:cs="Arial"/>
          <w:szCs w:val="24"/>
        </w:rPr>
      </w:pPr>
      <w:r w:rsidRPr="005A2668">
        <w:rPr>
          <w:rFonts w:ascii="Arial" w:hAnsi="Arial" w:cs="Arial"/>
          <w:b/>
          <w:bCs/>
          <w:szCs w:val="24"/>
        </w:rPr>
        <w:t>Patagonia (Sustainable Fashion):</w:t>
      </w:r>
      <w:r w:rsidRPr="005A2668">
        <w:rPr>
          <w:rFonts w:ascii="Arial" w:hAnsi="Arial" w:cs="Arial"/>
          <w:szCs w:val="24"/>
        </w:rPr>
        <w:t xml:space="preserve"> Promotes ethical sourcing, CSR, and environmental advocacy; brand mission and customer trust differentiator</w:t>
      </w:r>
      <w:r w:rsidR="000C50C2" w:rsidRPr="005A2668">
        <w:rPr>
          <w:rFonts w:ascii="Arial" w:hAnsi="Arial" w:cs="Arial"/>
          <w:szCs w:val="24"/>
        </w:rPr>
        <w:t xml:space="preserve"> (O’Rourke &amp; Strand, 2017)</w:t>
      </w:r>
      <w:r w:rsidRPr="005A2668">
        <w:rPr>
          <w:rFonts w:ascii="Arial" w:hAnsi="Arial" w:cs="Arial"/>
          <w:szCs w:val="24"/>
        </w:rPr>
        <w:t>.</w:t>
      </w:r>
      <w:r w:rsidR="000C50C2" w:rsidRPr="005A2668">
        <w:rPr>
          <w:rFonts w:ascii="Arial" w:hAnsi="Arial" w:cs="Arial"/>
          <w:szCs w:val="24"/>
        </w:rPr>
        <w:t xml:space="preserve"> </w:t>
      </w:r>
    </w:p>
    <w:p w14:paraId="05911327" w14:textId="77777777" w:rsidR="009E05DA" w:rsidRPr="005A2668" w:rsidRDefault="009E05DA" w:rsidP="009E05DA">
      <w:pPr>
        <w:pStyle w:val="Heading2"/>
        <w:jc w:val="both"/>
        <w:rPr>
          <w:rFonts w:ascii="Arial" w:hAnsi="Arial" w:cs="Arial"/>
          <w:color w:val="auto"/>
          <w:sz w:val="24"/>
          <w:szCs w:val="24"/>
        </w:rPr>
      </w:pPr>
      <w:bookmarkStart w:id="11" w:name="_Toc213403570"/>
      <w:r w:rsidRPr="005A2668">
        <w:rPr>
          <w:rFonts w:ascii="Arial" w:hAnsi="Arial" w:cs="Arial"/>
          <w:color w:val="auto"/>
          <w:sz w:val="24"/>
          <w:szCs w:val="24"/>
        </w:rPr>
        <w:t>3.2 Follower Organisations’ Strategic Responses</w:t>
      </w:r>
      <w:bookmarkEnd w:id="11"/>
      <w:r w:rsidRPr="005A2668">
        <w:rPr>
          <w:rFonts w:ascii="Arial" w:hAnsi="Arial" w:cs="Arial"/>
          <w:color w:val="auto"/>
          <w:sz w:val="24"/>
          <w:szCs w:val="24"/>
        </w:rPr>
        <w:t xml:space="preserve"> </w:t>
      </w:r>
    </w:p>
    <w:p w14:paraId="29986EE6" w14:textId="77777777" w:rsidR="009E05DA" w:rsidRPr="005A2668" w:rsidRDefault="009E05DA" w:rsidP="009E05DA">
      <w:pPr>
        <w:jc w:val="both"/>
        <w:rPr>
          <w:rFonts w:ascii="Arial" w:hAnsi="Arial" w:cs="Arial"/>
          <w:b/>
          <w:bCs/>
          <w:szCs w:val="24"/>
        </w:rPr>
      </w:pPr>
      <w:r w:rsidRPr="005A2668">
        <w:rPr>
          <w:rFonts w:ascii="Arial" w:hAnsi="Arial" w:cs="Arial"/>
          <w:b/>
          <w:bCs/>
          <w:szCs w:val="24"/>
        </w:rPr>
        <w:t>Use of Ansoff Growth Matrix</w:t>
      </w:r>
    </w:p>
    <w:p w14:paraId="57E33C14" w14:textId="54ED3337" w:rsidR="009E05DA" w:rsidRPr="005A2668" w:rsidRDefault="009E05DA" w:rsidP="009E05DA">
      <w:pPr>
        <w:jc w:val="both"/>
        <w:rPr>
          <w:rFonts w:ascii="Arial" w:hAnsi="Arial" w:cs="Arial"/>
          <w:szCs w:val="24"/>
        </w:rPr>
      </w:pPr>
      <w:r w:rsidRPr="005A2668">
        <w:rPr>
          <w:rFonts w:ascii="Arial" w:hAnsi="Arial" w:cs="Arial"/>
          <w:szCs w:val="24"/>
        </w:rPr>
        <w:lastRenderedPageBreak/>
        <w:t>Adaptability and gradual innovation allow followers compete and take less risk than pioneers. The Ansoff Growth Matrix helps followers uncover opportunities in existing and new products and sectors to strategically respond to technological and societal changes while lowering uncertainty. Followers value cost-effective methods, incremental product improvements, and selective market growth above high-risk innovation</w:t>
      </w:r>
      <w:r w:rsidR="00AF4A4A" w:rsidRPr="005A2668">
        <w:rPr>
          <w:rFonts w:ascii="Arial" w:hAnsi="Arial" w:cs="Arial"/>
          <w:szCs w:val="24"/>
        </w:rPr>
        <w:t xml:space="preserve"> (Laine, 2023)</w:t>
      </w:r>
      <w:r w:rsidRPr="005A2668">
        <w:rPr>
          <w:rFonts w:ascii="Arial" w:hAnsi="Arial" w:cs="Arial"/>
          <w:szCs w:val="24"/>
        </w:rPr>
        <w:t>.</w:t>
      </w:r>
    </w:p>
    <w:tbl>
      <w:tblPr>
        <w:tblStyle w:val="TableGrid"/>
        <w:tblW w:w="0" w:type="auto"/>
        <w:tblLook w:val="04A0" w:firstRow="1" w:lastRow="0" w:firstColumn="1" w:lastColumn="0" w:noHBand="0" w:noVBand="1"/>
      </w:tblPr>
      <w:tblGrid>
        <w:gridCol w:w="2405"/>
        <w:gridCol w:w="6611"/>
      </w:tblGrid>
      <w:tr w:rsidR="00883D5A" w:rsidRPr="005A2668" w14:paraId="3FA039F5" w14:textId="77777777" w:rsidTr="006D3A3C">
        <w:tc>
          <w:tcPr>
            <w:tcW w:w="2405" w:type="dxa"/>
          </w:tcPr>
          <w:p w14:paraId="4384B2E4" w14:textId="77777777" w:rsidR="009E05DA" w:rsidRPr="005A2668" w:rsidRDefault="009E05DA" w:rsidP="006D3A3C">
            <w:pPr>
              <w:jc w:val="both"/>
              <w:rPr>
                <w:rFonts w:ascii="Arial" w:hAnsi="Arial" w:cs="Arial"/>
                <w:b/>
                <w:bCs/>
                <w:szCs w:val="24"/>
              </w:rPr>
            </w:pPr>
            <w:r w:rsidRPr="005A2668">
              <w:rPr>
                <w:rFonts w:ascii="Arial" w:hAnsi="Arial" w:cs="Arial"/>
                <w:b/>
                <w:bCs/>
                <w:szCs w:val="24"/>
              </w:rPr>
              <w:t>Ansoff Strategy</w:t>
            </w:r>
          </w:p>
        </w:tc>
        <w:tc>
          <w:tcPr>
            <w:tcW w:w="6611" w:type="dxa"/>
          </w:tcPr>
          <w:p w14:paraId="54CFB6AF" w14:textId="77777777" w:rsidR="009E05DA" w:rsidRPr="005A2668" w:rsidRDefault="009E05DA" w:rsidP="006D3A3C">
            <w:pPr>
              <w:jc w:val="both"/>
              <w:rPr>
                <w:rFonts w:ascii="Arial" w:hAnsi="Arial" w:cs="Arial"/>
                <w:b/>
                <w:bCs/>
                <w:szCs w:val="24"/>
              </w:rPr>
            </w:pPr>
            <w:r w:rsidRPr="005A2668">
              <w:rPr>
                <w:rFonts w:ascii="Arial" w:hAnsi="Arial" w:cs="Arial"/>
                <w:b/>
                <w:bCs/>
                <w:szCs w:val="24"/>
              </w:rPr>
              <w:t>Application for Followers</w:t>
            </w:r>
          </w:p>
        </w:tc>
      </w:tr>
      <w:tr w:rsidR="00883D5A" w:rsidRPr="005A2668" w14:paraId="6542B9C9" w14:textId="77777777" w:rsidTr="006D3A3C">
        <w:tc>
          <w:tcPr>
            <w:tcW w:w="2405" w:type="dxa"/>
          </w:tcPr>
          <w:p w14:paraId="00DC3271" w14:textId="77777777" w:rsidR="009E05DA" w:rsidRPr="005A2668" w:rsidRDefault="009E05DA" w:rsidP="006D3A3C">
            <w:pPr>
              <w:jc w:val="both"/>
              <w:rPr>
                <w:rFonts w:ascii="Arial" w:hAnsi="Arial" w:cs="Arial"/>
                <w:b/>
                <w:bCs/>
                <w:szCs w:val="24"/>
              </w:rPr>
            </w:pPr>
            <w:r w:rsidRPr="005A2668">
              <w:rPr>
                <w:rFonts w:ascii="Arial" w:hAnsi="Arial" w:cs="Arial"/>
                <w:b/>
                <w:bCs/>
                <w:szCs w:val="24"/>
              </w:rPr>
              <w:t>Market Penetration</w:t>
            </w:r>
          </w:p>
        </w:tc>
        <w:tc>
          <w:tcPr>
            <w:tcW w:w="6611" w:type="dxa"/>
          </w:tcPr>
          <w:p w14:paraId="1A87C2A3" w14:textId="77777777" w:rsidR="009E05DA" w:rsidRPr="005A2668" w:rsidRDefault="009E05DA" w:rsidP="006D3A3C">
            <w:pPr>
              <w:jc w:val="both"/>
              <w:rPr>
                <w:rFonts w:ascii="Arial" w:hAnsi="Arial" w:cs="Arial"/>
                <w:szCs w:val="24"/>
              </w:rPr>
            </w:pPr>
            <w:r w:rsidRPr="005A2668">
              <w:rPr>
                <w:rFonts w:ascii="Arial" w:hAnsi="Arial" w:cs="Arial"/>
                <w:szCs w:val="24"/>
              </w:rPr>
              <w:t>Marketing, distribution, and cost-effective positioning may increase market share without revolutionary innovations. Examples: Samsung priced existing devices competitively.</w:t>
            </w:r>
          </w:p>
        </w:tc>
      </w:tr>
      <w:tr w:rsidR="00883D5A" w:rsidRPr="005A2668" w14:paraId="1D277B5C" w14:textId="77777777" w:rsidTr="006D3A3C">
        <w:tc>
          <w:tcPr>
            <w:tcW w:w="2405" w:type="dxa"/>
          </w:tcPr>
          <w:p w14:paraId="4BDE3FCE" w14:textId="77777777" w:rsidR="009E05DA" w:rsidRPr="005A2668" w:rsidRDefault="009E05DA" w:rsidP="006D3A3C">
            <w:pPr>
              <w:jc w:val="both"/>
              <w:rPr>
                <w:rFonts w:ascii="Arial" w:hAnsi="Arial" w:cs="Arial"/>
                <w:b/>
                <w:bCs/>
                <w:szCs w:val="24"/>
              </w:rPr>
            </w:pPr>
            <w:r w:rsidRPr="005A2668">
              <w:rPr>
                <w:rFonts w:ascii="Arial" w:hAnsi="Arial" w:cs="Arial"/>
                <w:b/>
                <w:bCs/>
                <w:szCs w:val="24"/>
              </w:rPr>
              <w:t>Product Development</w:t>
            </w:r>
          </w:p>
        </w:tc>
        <w:tc>
          <w:tcPr>
            <w:tcW w:w="6611" w:type="dxa"/>
          </w:tcPr>
          <w:p w14:paraId="284293A9" w14:textId="4DD75ECB" w:rsidR="009E05DA" w:rsidRPr="005A2668" w:rsidRDefault="009E05DA" w:rsidP="006D3A3C">
            <w:pPr>
              <w:jc w:val="both"/>
              <w:rPr>
                <w:rFonts w:ascii="Arial" w:hAnsi="Arial" w:cs="Arial"/>
                <w:szCs w:val="24"/>
              </w:rPr>
            </w:pPr>
            <w:r w:rsidRPr="005A2668">
              <w:rPr>
                <w:rFonts w:ascii="Arial" w:hAnsi="Arial" w:cs="Arial"/>
                <w:szCs w:val="24"/>
              </w:rPr>
              <w:t>Improve pioneer discoveries with established technology to reduce R&amp;D costs and time-to-market. BYD implementing Tesla-inspired EVs regionally</w:t>
            </w:r>
            <w:r w:rsidR="00AF4A4A" w:rsidRPr="005A2668">
              <w:rPr>
                <w:rFonts w:ascii="Arial" w:hAnsi="Arial" w:cs="Arial"/>
                <w:szCs w:val="24"/>
              </w:rPr>
              <w:t xml:space="preserve"> (Sansome</w:t>
            </w:r>
            <w:r w:rsidR="00AB0569" w:rsidRPr="005A2668">
              <w:rPr>
                <w:rFonts w:ascii="Arial" w:hAnsi="Arial" w:cs="Arial"/>
                <w:szCs w:val="24"/>
              </w:rPr>
              <w:t xml:space="preserve"> et al.</w:t>
            </w:r>
            <w:r w:rsidR="00AF4A4A" w:rsidRPr="005A2668">
              <w:rPr>
                <w:rFonts w:ascii="Arial" w:hAnsi="Arial" w:cs="Arial"/>
                <w:szCs w:val="24"/>
              </w:rPr>
              <w:t>, 2025)</w:t>
            </w:r>
            <w:r w:rsidRPr="005A2668">
              <w:rPr>
                <w:rFonts w:ascii="Arial" w:hAnsi="Arial" w:cs="Arial"/>
                <w:szCs w:val="24"/>
              </w:rPr>
              <w:t>.</w:t>
            </w:r>
          </w:p>
        </w:tc>
      </w:tr>
      <w:tr w:rsidR="00883D5A" w:rsidRPr="005A2668" w14:paraId="0A3DFD75" w14:textId="77777777" w:rsidTr="006D3A3C">
        <w:tc>
          <w:tcPr>
            <w:tcW w:w="2405" w:type="dxa"/>
          </w:tcPr>
          <w:p w14:paraId="0EB43E69" w14:textId="77777777" w:rsidR="009E05DA" w:rsidRPr="005A2668" w:rsidRDefault="009E05DA" w:rsidP="006D3A3C">
            <w:pPr>
              <w:jc w:val="both"/>
              <w:rPr>
                <w:rFonts w:ascii="Arial" w:hAnsi="Arial" w:cs="Arial"/>
                <w:b/>
                <w:bCs/>
                <w:szCs w:val="24"/>
              </w:rPr>
            </w:pPr>
            <w:r w:rsidRPr="005A2668">
              <w:rPr>
                <w:rFonts w:ascii="Arial" w:hAnsi="Arial" w:cs="Arial"/>
                <w:b/>
                <w:bCs/>
                <w:szCs w:val="24"/>
              </w:rPr>
              <w:t>Market Development</w:t>
            </w:r>
          </w:p>
        </w:tc>
        <w:tc>
          <w:tcPr>
            <w:tcW w:w="6611" w:type="dxa"/>
          </w:tcPr>
          <w:p w14:paraId="33CAE849" w14:textId="77777777" w:rsidR="009E05DA" w:rsidRPr="005A2668" w:rsidRDefault="009E05DA" w:rsidP="006D3A3C">
            <w:pPr>
              <w:jc w:val="both"/>
              <w:rPr>
                <w:rFonts w:ascii="Arial" w:hAnsi="Arial" w:cs="Arial"/>
                <w:szCs w:val="24"/>
              </w:rPr>
            </w:pPr>
            <w:r w:rsidRPr="005A2668">
              <w:rPr>
                <w:rFonts w:ascii="Arial" w:hAnsi="Arial" w:cs="Arial"/>
                <w:szCs w:val="24"/>
              </w:rPr>
              <w:t>Reduce risk by introducing cheap copies of known products into new markets or underdeveloped sectors based on demonstrated demand. Xiaomi is giving developing nations cheap smartphones.</w:t>
            </w:r>
          </w:p>
        </w:tc>
      </w:tr>
      <w:tr w:rsidR="009E05DA" w:rsidRPr="005A2668" w14:paraId="61640ED3" w14:textId="77777777" w:rsidTr="006D3A3C">
        <w:tc>
          <w:tcPr>
            <w:tcW w:w="2405" w:type="dxa"/>
          </w:tcPr>
          <w:p w14:paraId="0731292E" w14:textId="77777777" w:rsidR="009E05DA" w:rsidRPr="005A2668" w:rsidRDefault="009E05DA" w:rsidP="006D3A3C">
            <w:pPr>
              <w:jc w:val="both"/>
              <w:rPr>
                <w:rFonts w:ascii="Arial" w:hAnsi="Arial" w:cs="Arial"/>
                <w:b/>
                <w:bCs/>
                <w:szCs w:val="24"/>
              </w:rPr>
            </w:pPr>
            <w:r w:rsidRPr="005A2668">
              <w:rPr>
                <w:rFonts w:ascii="Arial" w:hAnsi="Arial" w:cs="Arial"/>
                <w:b/>
                <w:bCs/>
                <w:szCs w:val="24"/>
              </w:rPr>
              <w:t>Diversification</w:t>
            </w:r>
          </w:p>
        </w:tc>
        <w:tc>
          <w:tcPr>
            <w:tcW w:w="6611" w:type="dxa"/>
          </w:tcPr>
          <w:p w14:paraId="04057B9E" w14:textId="77777777" w:rsidR="009E05DA" w:rsidRPr="005A2668" w:rsidRDefault="009E05DA" w:rsidP="006D3A3C">
            <w:pPr>
              <w:jc w:val="both"/>
              <w:rPr>
                <w:rFonts w:ascii="Arial" w:hAnsi="Arial" w:cs="Arial"/>
                <w:szCs w:val="24"/>
              </w:rPr>
            </w:pPr>
            <w:r w:rsidRPr="005A2668">
              <w:rPr>
                <w:rFonts w:ascii="Arial" w:hAnsi="Arial" w:cs="Arial"/>
                <w:szCs w:val="24"/>
              </w:rPr>
              <w:t>Pioneer experimentation can guide risk-controlled development into other product sectors or business strategies. Zara's ecological fashion lines follow Patagonia's market trends.</w:t>
            </w:r>
          </w:p>
        </w:tc>
      </w:tr>
    </w:tbl>
    <w:p w14:paraId="569997DB" w14:textId="77777777" w:rsidR="009E05DA" w:rsidRPr="005A2668" w:rsidRDefault="009E05DA" w:rsidP="009E05DA">
      <w:pPr>
        <w:jc w:val="both"/>
        <w:rPr>
          <w:rFonts w:ascii="Arial" w:hAnsi="Arial" w:cs="Arial"/>
          <w:szCs w:val="24"/>
        </w:rPr>
      </w:pPr>
    </w:p>
    <w:p w14:paraId="5D639947" w14:textId="77777777" w:rsidR="009E05DA" w:rsidRPr="005A2668" w:rsidRDefault="009E05DA" w:rsidP="009E05DA">
      <w:pPr>
        <w:jc w:val="both"/>
        <w:rPr>
          <w:rFonts w:ascii="Arial" w:hAnsi="Arial" w:cs="Arial"/>
          <w:b/>
          <w:bCs/>
          <w:szCs w:val="24"/>
        </w:rPr>
      </w:pPr>
      <w:r w:rsidRPr="005A2668">
        <w:rPr>
          <w:rFonts w:ascii="Arial" w:hAnsi="Arial" w:cs="Arial"/>
          <w:b/>
          <w:bCs/>
          <w:szCs w:val="24"/>
        </w:rPr>
        <w:t>Use of Porter’s Generic Strategies</w:t>
      </w:r>
    </w:p>
    <w:p w14:paraId="50FC2823" w14:textId="5E7E677A" w:rsidR="009E05DA" w:rsidRPr="005A2668" w:rsidRDefault="009E05DA" w:rsidP="009E05DA">
      <w:pPr>
        <w:jc w:val="both"/>
        <w:rPr>
          <w:rFonts w:ascii="Arial" w:hAnsi="Arial" w:cs="Arial"/>
          <w:szCs w:val="24"/>
        </w:rPr>
      </w:pPr>
      <w:r w:rsidRPr="005A2668">
        <w:rPr>
          <w:rFonts w:ascii="Arial" w:hAnsi="Arial" w:cs="Arial"/>
          <w:szCs w:val="24"/>
        </w:rPr>
        <w:t>Cost Leadership and Focus help followers compete. Cost Leadership improves operational efficiency, decreases production costs, and competes on price for price-sensitive consumers. Focus tactics target pioneers overlooked demographics, regional markets, and niches. By focussing on well-defined industries, followers may avoid direct competition with early movers and maintain profitability</w:t>
      </w:r>
      <w:r w:rsidR="007C06A3" w:rsidRPr="005A2668">
        <w:rPr>
          <w:rFonts w:ascii="Arial" w:hAnsi="Arial" w:cs="Arial"/>
          <w:szCs w:val="24"/>
        </w:rPr>
        <w:t xml:space="preserve"> (World Economic Magazine, 2024)</w:t>
      </w:r>
      <w:r w:rsidRPr="005A2668">
        <w:rPr>
          <w:rFonts w:ascii="Arial" w:hAnsi="Arial" w:cs="Arial"/>
          <w:szCs w:val="24"/>
        </w:rPr>
        <w:t>. This method uses market information and environmental adaptation to control risk and profit. Samsung and Xiaomi have taken market share from early innovators without R&amp;D investments by using cheaper manufacturing and supply networks.</w:t>
      </w:r>
    </w:p>
    <w:p w14:paraId="749C9D67" w14:textId="77777777" w:rsidR="009E05DA" w:rsidRPr="005A2668" w:rsidRDefault="009E05DA" w:rsidP="009E05DA">
      <w:pPr>
        <w:jc w:val="both"/>
        <w:rPr>
          <w:rFonts w:ascii="Arial" w:hAnsi="Arial" w:cs="Arial"/>
          <w:b/>
          <w:bCs/>
          <w:szCs w:val="24"/>
        </w:rPr>
      </w:pPr>
      <w:r w:rsidRPr="005A2668">
        <w:rPr>
          <w:rFonts w:ascii="Arial" w:hAnsi="Arial" w:cs="Arial"/>
          <w:b/>
          <w:bCs/>
          <w:szCs w:val="24"/>
        </w:rPr>
        <w:lastRenderedPageBreak/>
        <w:t>Strategic Responses to Technology</w:t>
      </w:r>
    </w:p>
    <w:p w14:paraId="45158AF8" w14:textId="5CA65437" w:rsidR="0003208E" w:rsidRPr="005A2668" w:rsidRDefault="0003208E" w:rsidP="009E05DA">
      <w:pPr>
        <w:jc w:val="both"/>
        <w:rPr>
          <w:rFonts w:ascii="Arial" w:hAnsi="Arial" w:cs="Arial"/>
          <w:szCs w:val="24"/>
        </w:rPr>
      </w:pPr>
      <w:r w:rsidRPr="005A2668">
        <w:rPr>
          <w:rFonts w:ascii="Arial" w:hAnsi="Arial" w:cs="Arial"/>
          <w:szCs w:val="24"/>
        </w:rPr>
        <w:t>The following businesses quickly adapt to technology using established and scalable strategies. Many followers avoid experimental technologies:</w:t>
      </w:r>
    </w:p>
    <w:p w14:paraId="199261B1" w14:textId="77777777" w:rsidR="0003208E" w:rsidRPr="005A2668" w:rsidRDefault="0003208E" w:rsidP="0003208E">
      <w:pPr>
        <w:jc w:val="both"/>
        <w:rPr>
          <w:rFonts w:ascii="Arial" w:hAnsi="Arial" w:cs="Arial"/>
          <w:szCs w:val="24"/>
        </w:rPr>
      </w:pPr>
      <w:r w:rsidRPr="005A2668">
        <w:rPr>
          <w:rFonts w:ascii="Arial" w:hAnsi="Arial" w:cs="Arial"/>
          <w:szCs w:val="24"/>
        </w:rPr>
        <w:t xml:space="preserve">Utilise pioneering digital platforms, AI, and automation. </w:t>
      </w:r>
    </w:p>
    <w:p w14:paraId="0016CE56" w14:textId="141C37B9" w:rsidR="0003208E" w:rsidRPr="005A2668" w:rsidRDefault="0003208E" w:rsidP="0003208E">
      <w:pPr>
        <w:jc w:val="both"/>
        <w:rPr>
          <w:rFonts w:ascii="Arial" w:hAnsi="Arial" w:cs="Arial"/>
          <w:szCs w:val="24"/>
        </w:rPr>
      </w:pPr>
      <w:r w:rsidRPr="005A2668">
        <w:rPr>
          <w:rFonts w:ascii="Arial" w:hAnsi="Arial" w:cs="Arial"/>
          <w:szCs w:val="24"/>
        </w:rPr>
        <w:t>Invest in reverse engineering or gradual product enhancements.</w:t>
      </w:r>
    </w:p>
    <w:p w14:paraId="6C9B3113" w14:textId="7BF1A368" w:rsidR="0003208E" w:rsidRPr="005A2668" w:rsidRDefault="0003208E" w:rsidP="0003208E">
      <w:pPr>
        <w:jc w:val="both"/>
        <w:rPr>
          <w:rFonts w:ascii="Arial" w:hAnsi="Arial" w:cs="Arial"/>
          <w:szCs w:val="24"/>
        </w:rPr>
      </w:pPr>
      <w:r w:rsidRPr="005A2668">
        <w:rPr>
          <w:rFonts w:ascii="Arial" w:hAnsi="Arial" w:cs="Arial"/>
          <w:szCs w:val="24"/>
        </w:rPr>
        <w:t>E-commerce and digital marketing may engage consumers.</w:t>
      </w:r>
    </w:p>
    <w:p w14:paraId="569081BC" w14:textId="77777777" w:rsidR="0003208E" w:rsidRPr="005A2668" w:rsidRDefault="0003208E" w:rsidP="0003208E">
      <w:pPr>
        <w:jc w:val="both"/>
        <w:rPr>
          <w:rFonts w:ascii="Arial" w:hAnsi="Arial" w:cs="Arial"/>
          <w:szCs w:val="24"/>
        </w:rPr>
      </w:pPr>
      <w:r w:rsidRPr="005A2668">
        <w:rPr>
          <w:rFonts w:ascii="Arial" w:hAnsi="Arial" w:cs="Arial"/>
          <w:szCs w:val="24"/>
        </w:rPr>
        <w:t>Samsung has improved Apple-inspired smartphone features for local market demands, while BYD adjusted Tesla's EV technology for cost-effective manufacture and regional application. Innovative leadership is costly and risky, yet these strategies allow followers compete (Rua &amp; Santos, 2022).</w:t>
      </w:r>
    </w:p>
    <w:p w14:paraId="0E80435B" w14:textId="77777777" w:rsidR="009E05DA" w:rsidRPr="005A2668" w:rsidRDefault="009E05DA" w:rsidP="009E05DA">
      <w:pPr>
        <w:jc w:val="both"/>
        <w:rPr>
          <w:rFonts w:ascii="Arial" w:hAnsi="Arial" w:cs="Arial"/>
          <w:b/>
          <w:bCs/>
          <w:szCs w:val="24"/>
        </w:rPr>
      </w:pPr>
      <w:r w:rsidRPr="005A2668">
        <w:rPr>
          <w:rFonts w:ascii="Arial" w:hAnsi="Arial" w:cs="Arial"/>
          <w:b/>
          <w:bCs/>
          <w:szCs w:val="24"/>
        </w:rPr>
        <w:t>Strategic Responses to Social Change</w:t>
      </w:r>
    </w:p>
    <w:p w14:paraId="6BD66BE7" w14:textId="670743E3" w:rsidR="009B7198" w:rsidRPr="005A2668" w:rsidRDefault="009B7198" w:rsidP="009E05DA">
      <w:pPr>
        <w:jc w:val="both"/>
        <w:rPr>
          <w:rFonts w:ascii="Arial" w:hAnsi="Arial" w:cs="Arial"/>
          <w:szCs w:val="24"/>
        </w:rPr>
      </w:pPr>
      <w:r w:rsidRPr="005A2668">
        <w:rPr>
          <w:rFonts w:ascii="Arial" w:hAnsi="Arial" w:cs="Arial"/>
          <w:szCs w:val="24"/>
        </w:rPr>
        <w:t>Pioneers motivate others to follow and adapt to social trends. Strategy examples:</w:t>
      </w:r>
    </w:p>
    <w:p w14:paraId="3B092496" w14:textId="77777777" w:rsidR="006365E2" w:rsidRPr="005A2668" w:rsidRDefault="009E05DA" w:rsidP="006365E2">
      <w:pPr>
        <w:pStyle w:val="ListParagraph"/>
        <w:numPr>
          <w:ilvl w:val="0"/>
          <w:numId w:val="4"/>
        </w:numPr>
        <w:jc w:val="both"/>
        <w:rPr>
          <w:rFonts w:ascii="Arial" w:hAnsi="Arial" w:cs="Arial"/>
          <w:szCs w:val="24"/>
        </w:rPr>
      </w:pPr>
      <w:r w:rsidRPr="005A2668">
        <w:rPr>
          <w:rFonts w:ascii="Arial" w:hAnsi="Arial" w:cs="Arial"/>
          <w:b/>
          <w:bCs/>
          <w:szCs w:val="24"/>
        </w:rPr>
        <w:t>Sustainability messaging</w:t>
      </w:r>
      <w:r w:rsidRPr="005A2668">
        <w:rPr>
          <w:rFonts w:ascii="Arial" w:hAnsi="Arial" w:cs="Arial"/>
          <w:szCs w:val="24"/>
        </w:rPr>
        <w:t xml:space="preserve">: </w:t>
      </w:r>
      <w:r w:rsidR="006365E2" w:rsidRPr="005A2668">
        <w:rPr>
          <w:rFonts w:ascii="Arial" w:hAnsi="Arial" w:cs="Arial"/>
          <w:szCs w:val="24"/>
        </w:rPr>
        <w:t>New environmentally friendly or ethical goods fulfilled market demand.</w:t>
      </w:r>
    </w:p>
    <w:p w14:paraId="45312B6E" w14:textId="56F0A727" w:rsidR="009E05DA" w:rsidRPr="003750EE" w:rsidRDefault="009E05DA" w:rsidP="003750EE">
      <w:pPr>
        <w:pStyle w:val="ListParagraph"/>
        <w:numPr>
          <w:ilvl w:val="0"/>
          <w:numId w:val="4"/>
        </w:numPr>
        <w:jc w:val="both"/>
        <w:rPr>
          <w:rFonts w:ascii="Arial" w:hAnsi="Arial" w:cs="Arial"/>
          <w:szCs w:val="24"/>
        </w:rPr>
      </w:pPr>
      <w:r w:rsidRPr="005A2668">
        <w:rPr>
          <w:rFonts w:ascii="Arial" w:hAnsi="Arial" w:cs="Arial"/>
          <w:b/>
          <w:bCs/>
          <w:szCs w:val="24"/>
        </w:rPr>
        <w:t>Affordable trend-aligned products</w:t>
      </w:r>
      <w:r w:rsidRPr="005A2668">
        <w:rPr>
          <w:rFonts w:ascii="Arial" w:hAnsi="Arial" w:cs="Arial"/>
          <w:szCs w:val="24"/>
        </w:rPr>
        <w:t xml:space="preserve">: </w:t>
      </w:r>
      <w:r w:rsidR="003750EE" w:rsidRPr="003750EE">
        <w:rPr>
          <w:rFonts w:ascii="Arial" w:hAnsi="Arial" w:cs="Arial"/>
          <w:szCs w:val="24"/>
        </w:rPr>
        <w:t>Discounting pioneer premiums to attract socially concerned people who cannot pay them.</w:t>
      </w:r>
    </w:p>
    <w:p w14:paraId="0A5BEF69" w14:textId="2AC97562" w:rsidR="009E05DA" w:rsidRPr="003750EE" w:rsidRDefault="009E05DA" w:rsidP="003750EE">
      <w:pPr>
        <w:pStyle w:val="ListParagraph"/>
        <w:numPr>
          <w:ilvl w:val="0"/>
          <w:numId w:val="4"/>
        </w:numPr>
        <w:jc w:val="both"/>
        <w:rPr>
          <w:rFonts w:ascii="Arial" w:hAnsi="Arial" w:cs="Arial"/>
          <w:szCs w:val="24"/>
        </w:rPr>
      </w:pPr>
      <w:r w:rsidRPr="005A2668">
        <w:rPr>
          <w:rFonts w:ascii="Arial" w:hAnsi="Arial" w:cs="Arial"/>
          <w:b/>
          <w:bCs/>
          <w:szCs w:val="24"/>
        </w:rPr>
        <w:t>Localised marketing</w:t>
      </w:r>
      <w:r w:rsidRPr="005A2668">
        <w:rPr>
          <w:rFonts w:ascii="Arial" w:hAnsi="Arial" w:cs="Arial"/>
          <w:szCs w:val="24"/>
        </w:rPr>
        <w:t xml:space="preserve">: </w:t>
      </w:r>
      <w:r w:rsidR="003750EE" w:rsidRPr="003750EE">
        <w:rPr>
          <w:rFonts w:ascii="Arial" w:hAnsi="Arial" w:cs="Arial"/>
          <w:szCs w:val="24"/>
        </w:rPr>
        <w:t>Customising adverts to cultural, ethnic, or regional preferences using social trends (Rahman, 2024).</w:t>
      </w:r>
    </w:p>
    <w:p w14:paraId="03FC3776" w14:textId="4F3A5ABF" w:rsidR="009E05DA" w:rsidRPr="005A2668" w:rsidRDefault="009E05DA" w:rsidP="009E05DA">
      <w:pPr>
        <w:jc w:val="both"/>
        <w:rPr>
          <w:rFonts w:ascii="Arial" w:hAnsi="Arial" w:cs="Arial"/>
          <w:szCs w:val="24"/>
        </w:rPr>
      </w:pPr>
      <w:r w:rsidRPr="005A2668">
        <w:rPr>
          <w:rFonts w:ascii="Arial" w:hAnsi="Arial" w:cs="Arial"/>
          <w:szCs w:val="24"/>
        </w:rPr>
        <w:t xml:space="preserve">For example, </w:t>
      </w:r>
      <w:r w:rsidR="003750EE" w:rsidRPr="003750EE">
        <w:rPr>
          <w:rFonts w:ascii="Arial" w:hAnsi="Arial" w:cs="Arial"/>
          <w:szCs w:val="24"/>
        </w:rPr>
        <w:t xml:space="preserve">Zara created eco-friendly apparel after Patagonia's demand, while </w:t>
      </w:r>
      <w:r w:rsidR="00206EF6" w:rsidRPr="00206EF6">
        <w:rPr>
          <w:rFonts w:ascii="Arial" w:hAnsi="Arial" w:cs="Arial"/>
          <w:szCs w:val="24"/>
        </w:rPr>
        <w:t>Samsung addressed specific segments with inspired by Apple design and network services.</w:t>
      </w:r>
    </w:p>
    <w:p w14:paraId="7DE852B3" w14:textId="77777777" w:rsidR="009E05DA" w:rsidRPr="005A2668" w:rsidRDefault="009E05DA" w:rsidP="009E05DA">
      <w:pPr>
        <w:jc w:val="both"/>
        <w:rPr>
          <w:rFonts w:ascii="Arial" w:hAnsi="Arial" w:cs="Arial"/>
          <w:b/>
          <w:bCs/>
          <w:szCs w:val="24"/>
        </w:rPr>
      </w:pPr>
      <w:r w:rsidRPr="005A2668">
        <w:rPr>
          <w:rFonts w:ascii="Arial" w:hAnsi="Arial" w:cs="Arial"/>
          <w:b/>
          <w:bCs/>
          <w:szCs w:val="24"/>
        </w:rPr>
        <w:t>Supporting Industry Examples</w:t>
      </w:r>
    </w:p>
    <w:p w14:paraId="1DCAAF8E" w14:textId="0DBF9653" w:rsidR="00B07F27" w:rsidRPr="005A2668" w:rsidRDefault="0084710B" w:rsidP="009E05DA">
      <w:pPr>
        <w:jc w:val="both"/>
        <w:rPr>
          <w:rFonts w:ascii="Arial" w:hAnsi="Arial" w:cs="Arial"/>
          <w:szCs w:val="24"/>
        </w:rPr>
      </w:pPr>
      <w:r w:rsidRPr="0084710B">
        <w:rPr>
          <w:rFonts w:ascii="Arial" w:hAnsi="Arial" w:cs="Arial"/>
          <w:szCs w:val="24"/>
        </w:rPr>
        <w:t>Follower companies can thrive alongside innovative companies by minimising risk, incorporating established approaches, and meeting unmet or price-sensitive customer needs using Ansoff Matrix, Porter's methods, and adjusting to the changing environment</w:t>
      </w:r>
      <w:r w:rsidR="00B07F27" w:rsidRPr="005A2668">
        <w:rPr>
          <w:rFonts w:ascii="Arial" w:hAnsi="Arial" w:cs="Arial"/>
          <w:szCs w:val="24"/>
        </w:rPr>
        <w:t>.</w:t>
      </w:r>
    </w:p>
    <w:p w14:paraId="6FC9127E" w14:textId="4B726A04" w:rsidR="009E05DA" w:rsidRPr="00502F0A" w:rsidRDefault="009E05DA" w:rsidP="00502F0A">
      <w:pPr>
        <w:pStyle w:val="ListParagraph"/>
        <w:numPr>
          <w:ilvl w:val="0"/>
          <w:numId w:val="5"/>
        </w:numPr>
        <w:jc w:val="both"/>
        <w:rPr>
          <w:rFonts w:ascii="Arial" w:hAnsi="Arial" w:cs="Arial"/>
          <w:szCs w:val="24"/>
        </w:rPr>
      </w:pPr>
      <w:r w:rsidRPr="005A2668">
        <w:rPr>
          <w:rFonts w:ascii="Arial" w:hAnsi="Arial" w:cs="Arial"/>
          <w:b/>
          <w:bCs/>
          <w:szCs w:val="24"/>
        </w:rPr>
        <w:t>BYD after Tesla</w:t>
      </w:r>
      <w:r w:rsidRPr="005A2668">
        <w:rPr>
          <w:rFonts w:ascii="Arial" w:hAnsi="Arial" w:cs="Arial"/>
          <w:szCs w:val="24"/>
        </w:rPr>
        <w:t xml:space="preserve">: </w:t>
      </w:r>
      <w:r w:rsidR="00502F0A" w:rsidRPr="00502F0A">
        <w:rPr>
          <w:rFonts w:ascii="Arial" w:hAnsi="Arial" w:cs="Arial"/>
          <w:szCs w:val="24"/>
        </w:rPr>
        <w:t>Increased production using EV machinery and supplied cheap emerging market cars</w:t>
      </w:r>
      <w:r w:rsidR="00614FEF" w:rsidRPr="00502F0A">
        <w:rPr>
          <w:rFonts w:ascii="Arial" w:hAnsi="Arial" w:cs="Arial"/>
          <w:szCs w:val="24"/>
        </w:rPr>
        <w:t>.</w:t>
      </w:r>
    </w:p>
    <w:p w14:paraId="03A24F22" w14:textId="77777777" w:rsidR="0073559B" w:rsidRPr="0073559B" w:rsidRDefault="009E05DA" w:rsidP="0073559B">
      <w:pPr>
        <w:pStyle w:val="ListParagraph"/>
        <w:numPr>
          <w:ilvl w:val="0"/>
          <w:numId w:val="5"/>
        </w:numPr>
        <w:jc w:val="both"/>
        <w:rPr>
          <w:rFonts w:ascii="Arial" w:hAnsi="Arial" w:cs="Arial"/>
          <w:szCs w:val="24"/>
        </w:rPr>
      </w:pPr>
      <w:r w:rsidRPr="0073559B">
        <w:rPr>
          <w:rFonts w:ascii="Arial" w:hAnsi="Arial" w:cs="Arial"/>
          <w:b/>
          <w:bCs/>
          <w:szCs w:val="24"/>
        </w:rPr>
        <w:lastRenderedPageBreak/>
        <w:t>Zara following sustainable fashion trends</w:t>
      </w:r>
      <w:r w:rsidRPr="0073559B">
        <w:rPr>
          <w:rFonts w:ascii="Arial" w:hAnsi="Arial" w:cs="Arial"/>
          <w:szCs w:val="24"/>
        </w:rPr>
        <w:t xml:space="preserve">: </w:t>
      </w:r>
      <w:r w:rsidR="0073559B" w:rsidRPr="0073559B">
        <w:rPr>
          <w:rFonts w:ascii="Arial" w:hAnsi="Arial" w:cs="Arial"/>
          <w:szCs w:val="24"/>
        </w:rPr>
        <w:t>Patagonia's eco-friendly farming and business are affected by market changes (O'Rourke &amp; Strand, 2017).</w:t>
      </w:r>
    </w:p>
    <w:p w14:paraId="460551FF" w14:textId="3AF0CF82" w:rsidR="009E05DA" w:rsidRPr="00802E4C" w:rsidRDefault="009E05DA" w:rsidP="00802E4C">
      <w:pPr>
        <w:pStyle w:val="ListParagraph"/>
        <w:numPr>
          <w:ilvl w:val="0"/>
          <w:numId w:val="5"/>
        </w:numPr>
        <w:jc w:val="both"/>
        <w:rPr>
          <w:rFonts w:ascii="Arial" w:hAnsi="Arial" w:cs="Arial"/>
          <w:szCs w:val="24"/>
        </w:rPr>
      </w:pPr>
      <w:r w:rsidRPr="0073559B">
        <w:rPr>
          <w:rFonts w:ascii="Arial" w:hAnsi="Arial" w:cs="Arial"/>
          <w:b/>
          <w:bCs/>
          <w:szCs w:val="24"/>
        </w:rPr>
        <w:t>Samsung following Apple tech advances</w:t>
      </w:r>
      <w:r w:rsidRPr="0073559B">
        <w:rPr>
          <w:rFonts w:ascii="Arial" w:hAnsi="Arial" w:cs="Arial"/>
          <w:szCs w:val="24"/>
        </w:rPr>
        <w:t xml:space="preserve">: </w:t>
      </w:r>
      <w:r w:rsidR="00802E4C" w:rsidRPr="00802E4C">
        <w:rPr>
          <w:rFonts w:ascii="Arial" w:hAnsi="Arial" w:cs="Arial"/>
          <w:szCs w:val="24"/>
        </w:rPr>
        <w:t>Market expansion, improved design, applications, and ecosystem connectivity</w:t>
      </w:r>
      <w:r w:rsidRPr="00802E4C">
        <w:rPr>
          <w:rFonts w:ascii="Arial" w:hAnsi="Arial" w:cs="Arial"/>
          <w:szCs w:val="24"/>
        </w:rPr>
        <w:t>.</w:t>
      </w:r>
    </w:p>
    <w:p w14:paraId="10A3F48A" w14:textId="4EB19808" w:rsidR="00E35CCB" w:rsidRPr="005A2668" w:rsidRDefault="00E35CCB" w:rsidP="00573CED">
      <w:pPr>
        <w:pStyle w:val="Heading1"/>
        <w:jc w:val="both"/>
        <w:rPr>
          <w:rFonts w:ascii="Arial" w:hAnsi="Arial" w:cs="Arial"/>
          <w:color w:val="auto"/>
          <w:sz w:val="24"/>
          <w:szCs w:val="24"/>
        </w:rPr>
      </w:pPr>
      <w:bookmarkStart w:id="12" w:name="_Toc213403571"/>
      <w:r w:rsidRPr="005A2668">
        <w:rPr>
          <w:rFonts w:ascii="Arial" w:hAnsi="Arial" w:cs="Arial"/>
          <w:color w:val="auto"/>
          <w:sz w:val="24"/>
          <w:szCs w:val="24"/>
        </w:rPr>
        <w:t>4. Conclusion</w:t>
      </w:r>
      <w:bookmarkEnd w:id="12"/>
    </w:p>
    <w:p w14:paraId="740E2279" w14:textId="11CC7B1E" w:rsidR="00A83B52" w:rsidRPr="005A2668" w:rsidRDefault="00A83B52" w:rsidP="003137FF">
      <w:pPr>
        <w:jc w:val="both"/>
        <w:rPr>
          <w:rFonts w:ascii="Arial" w:hAnsi="Arial" w:cs="Arial"/>
          <w:szCs w:val="24"/>
        </w:rPr>
      </w:pPr>
      <w:r w:rsidRPr="005A2668">
        <w:rPr>
          <w:rFonts w:ascii="Arial" w:hAnsi="Arial" w:cs="Arial"/>
          <w:szCs w:val="24"/>
        </w:rPr>
        <w:t>Research shows macro-environmental elements influence strategic marketing decisions. PESTEL study highlighted how political, economic, social, technical, environmental, and legal aspects affect industry dynamics, consumer behaviour, and organisational performance. Technological and social environments were explored due to their significant and quickly changing influence on enterprises. Innovation, marketing, and efficiency have increased with AI, automation, and digital platforms. Consumer expectations and brand interactions are evolving due to sustainability, ethical shopping, and lifestyle changes. Monitoring these macro factors helps companies find opportunities, manage risks, and adapt marketing to market changes. Innovative and follower businesses react differently to external environmental changes, according to their findings. Pioneers may pioneer industries, concepts, and values-driven marketing. Challenges include high R&amp;D expenses, market instability, and quick technological obsolescence.</w:t>
      </w:r>
    </w:p>
    <w:p w14:paraId="6E5B14F8" w14:textId="14A5856F" w:rsidR="00504630" w:rsidRPr="00A024B6" w:rsidRDefault="00A83B52" w:rsidP="00A024B6">
      <w:pPr>
        <w:jc w:val="both"/>
        <w:rPr>
          <w:rFonts w:ascii="Arial" w:hAnsi="Arial" w:cs="Arial"/>
          <w:szCs w:val="24"/>
        </w:rPr>
      </w:pPr>
      <w:r w:rsidRPr="005A2668">
        <w:rPr>
          <w:rFonts w:ascii="Arial" w:hAnsi="Arial" w:cs="Arial"/>
          <w:szCs w:val="24"/>
        </w:rPr>
        <w:t>Followers decrease risk, save money, and adapt goods and marketing to demand by using pioneers' experiences and proven ideas. Fans struggle with uniqueness and secondary brand positioning, but their adaptable strategies give flexibility, incremental innovation, and targeted market penetration. Task 2 emphasised both groups' methods. Pioneers innovate, grow, and establish brand loyalty using Ansoff's Growth Matrix and Porter's differentiation methods, while followers use cost leadership, focus tactics, and gradual adaptation to compete in changing settings. Results emphasise environmental scanning and strategy adaptation. Companies may modify product, market, and marketing strategies by monitoring technology and society. Pioneers and followers must use data, consumer intelligence, and trend analysis to stay relevant. To anticipate change, exploit opportunities, and manage risks in the fast-changing macro marketing environment, organisations must embrace a learning-oriented approach and upgrade their skills, business models, and marketing strategies.</w:t>
      </w:r>
    </w:p>
    <w:p w14:paraId="072F9567" w14:textId="36978877" w:rsidR="00E35CCB" w:rsidRPr="005A2668" w:rsidRDefault="00E35CCB" w:rsidP="00573CED">
      <w:pPr>
        <w:pStyle w:val="Heading1"/>
        <w:jc w:val="both"/>
        <w:rPr>
          <w:rFonts w:ascii="Arial" w:hAnsi="Arial" w:cs="Arial"/>
          <w:color w:val="auto"/>
          <w:sz w:val="24"/>
          <w:szCs w:val="24"/>
        </w:rPr>
      </w:pPr>
      <w:bookmarkStart w:id="13" w:name="_Toc213403572"/>
      <w:r w:rsidRPr="005A2668">
        <w:rPr>
          <w:rFonts w:ascii="Arial" w:hAnsi="Arial" w:cs="Arial"/>
          <w:color w:val="auto"/>
          <w:sz w:val="24"/>
          <w:szCs w:val="24"/>
        </w:rPr>
        <w:lastRenderedPageBreak/>
        <w:t>5. References</w:t>
      </w:r>
      <w:bookmarkEnd w:id="13"/>
    </w:p>
    <w:p w14:paraId="6AFA75F3" w14:textId="77777777" w:rsidR="006555B8" w:rsidRPr="005A2668" w:rsidRDefault="006555B8" w:rsidP="006555B8">
      <w:pPr>
        <w:jc w:val="both"/>
        <w:rPr>
          <w:rFonts w:ascii="Arial" w:hAnsi="Arial" w:cs="Arial"/>
          <w:szCs w:val="24"/>
        </w:rPr>
      </w:pPr>
      <w:r w:rsidRPr="005A2668">
        <w:rPr>
          <w:rFonts w:ascii="Arial" w:hAnsi="Arial" w:cs="Arial"/>
          <w:szCs w:val="24"/>
        </w:rPr>
        <w:t xml:space="preserve">Abuseridze, G. 2021. </w:t>
      </w:r>
      <w:r w:rsidRPr="005A2668">
        <w:rPr>
          <w:rFonts w:ascii="Arial" w:hAnsi="Arial" w:cs="Arial"/>
          <w:i/>
          <w:iCs/>
          <w:szCs w:val="24"/>
        </w:rPr>
        <w:t>Political stability and trade agreements</w:t>
      </w:r>
      <w:r w:rsidRPr="005A2668">
        <w:rPr>
          <w:rFonts w:ascii="Arial" w:hAnsi="Arial" w:cs="Arial"/>
          <w:szCs w:val="24"/>
        </w:rPr>
        <w:t xml:space="preserve">. </w:t>
      </w:r>
      <w:r w:rsidRPr="005A2668">
        <w:rPr>
          <w:rFonts w:ascii="Arial" w:hAnsi="Arial" w:cs="Arial"/>
          <w:i/>
          <w:iCs/>
          <w:szCs w:val="24"/>
        </w:rPr>
        <w:t>Bulletin of the Georgian National Academy of Sciences</w:t>
      </w:r>
      <w:r w:rsidRPr="005A2668">
        <w:rPr>
          <w:rFonts w:ascii="Arial" w:hAnsi="Arial" w:cs="Arial"/>
          <w:szCs w:val="24"/>
        </w:rPr>
        <w:t xml:space="preserve">, 14(4), p.140. [online] Available at: </w:t>
      </w:r>
      <w:hyperlink r:id="rId9" w:tgtFrame="_new" w:history="1">
        <w:r w:rsidRPr="005A2668">
          <w:rPr>
            <w:rStyle w:val="Hyperlink"/>
            <w:rFonts w:ascii="Arial" w:hAnsi="Arial" w:cs="Arial"/>
            <w:color w:val="auto"/>
            <w:szCs w:val="24"/>
          </w:rPr>
          <w:t>https://www.researchgate.net/publication/350041156_Political_Stability_and_Trade_Agreements</w:t>
        </w:r>
      </w:hyperlink>
      <w:r w:rsidRPr="005A2668">
        <w:rPr>
          <w:rFonts w:ascii="Arial" w:hAnsi="Arial" w:cs="Arial"/>
          <w:szCs w:val="24"/>
        </w:rPr>
        <w:t xml:space="preserve"> [Accessed 7 November 2025].</w:t>
      </w:r>
    </w:p>
    <w:p w14:paraId="258BD1B5" w14:textId="77777777" w:rsidR="006555B8" w:rsidRPr="005A2668" w:rsidRDefault="006555B8" w:rsidP="006555B8">
      <w:pPr>
        <w:jc w:val="both"/>
        <w:rPr>
          <w:rFonts w:ascii="Arial" w:hAnsi="Arial" w:cs="Arial"/>
          <w:szCs w:val="24"/>
        </w:rPr>
      </w:pPr>
      <w:r w:rsidRPr="005A2668">
        <w:rPr>
          <w:rFonts w:ascii="Arial" w:hAnsi="Arial" w:cs="Arial"/>
          <w:szCs w:val="24"/>
        </w:rPr>
        <w:t xml:space="preserve">Arte, P. &amp; </w:t>
      </w:r>
      <w:proofErr w:type="spellStart"/>
      <w:r w:rsidRPr="005A2668">
        <w:rPr>
          <w:rFonts w:ascii="Arial" w:hAnsi="Arial" w:cs="Arial"/>
          <w:szCs w:val="24"/>
        </w:rPr>
        <w:t>Larimo</w:t>
      </w:r>
      <w:proofErr w:type="spellEnd"/>
      <w:r w:rsidRPr="005A2668">
        <w:rPr>
          <w:rFonts w:ascii="Arial" w:hAnsi="Arial" w:cs="Arial"/>
          <w:szCs w:val="24"/>
        </w:rPr>
        <w:t xml:space="preserve">, J. 2021. Moderating influence of product diversification on the international diversification–performance relationship: A meta-analysis. </w:t>
      </w:r>
      <w:r w:rsidRPr="005A2668">
        <w:rPr>
          <w:rFonts w:ascii="Arial" w:hAnsi="Arial" w:cs="Arial"/>
          <w:i/>
          <w:iCs/>
          <w:szCs w:val="24"/>
        </w:rPr>
        <w:t>Journal of Business Research</w:t>
      </w:r>
      <w:r w:rsidRPr="005A2668">
        <w:rPr>
          <w:rFonts w:ascii="Arial" w:hAnsi="Arial" w:cs="Arial"/>
          <w:szCs w:val="24"/>
        </w:rPr>
        <w:t xml:space="preserve">, 139, pp.1408–1423. </w:t>
      </w:r>
      <w:hyperlink r:id="rId10" w:tgtFrame="_new" w:history="1">
        <w:r w:rsidRPr="005A2668">
          <w:rPr>
            <w:rStyle w:val="Hyperlink"/>
            <w:rFonts w:ascii="Arial" w:hAnsi="Arial" w:cs="Arial"/>
            <w:color w:val="auto"/>
            <w:szCs w:val="24"/>
          </w:rPr>
          <w:t>https://doi.org/10.1016/j.jbusres.2021.10.037</w:t>
        </w:r>
      </w:hyperlink>
    </w:p>
    <w:p w14:paraId="7FF8CBEA" w14:textId="77777777" w:rsidR="006555B8" w:rsidRPr="005A2668" w:rsidRDefault="006555B8" w:rsidP="006555B8">
      <w:pPr>
        <w:jc w:val="both"/>
        <w:rPr>
          <w:rFonts w:ascii="Arial" w:hAnsi="Arial" w:cs="Arial"/>
          <w:szCs w:val="24"/>
        </w:rPr>
      </w:pPr>
      <w:r w:rsidRPr="005A2668">
        <w:rPr>
          <w:rFonts w:ascii="Arial" w:hAnsi="Arial" w:cs="Arial"/>
          <w:szCs w:val="24"/>
        </w:rPr>
        <w:t xml:space="preserve">Battisti, E., Alfiero, S. &amp; Leonidou, E. 2022. Remote working and digital transformation during the COVID-19 pandemic: Economic–financial impacts and psychological drivers for employees. </w:t>
      </w:r>
      <w:r w:rsidRPr="005A2668">
        <w:rPr>
          <w:rFonts w:ascii="Arial" w:hAnsi="Arial" w:cs="Arial"/>
          <w:i/>
          <w:iCs/>
          <w:szCs w:val="24"/>
        </w:rPr>
        <w:t>Journal of Business Research</w:t>
      </w:r>
      <w:r w:rsidRPr="005A2668">
        <w:rPr>
          <w:rFonts w:ascii="Arial" w:hAnsi="Arial" w:cs="Arial"/>
          <w:szCs w:val="24"/>
        </w:rPr>
        <w:t xml:space="preserve">, 150, pp.38–50. </w:t>
      </w:r>
      <w:hyperlink r:id="rId11" w:tgtFrame="_new" w:history="1">
        <w:r w:rsidRPr="005A2668">
          <w:rPr>
            <w:rStyle w:val="Hyperlink"/>
            <w:rFonts w:ascii="Arial" w:hAnsi="Arial" w:cs="Arial"/>
            <w:color w:val="auto"/>
            <w:szCs w:val="24"/>
          </w:rPr>
          <w:t>https://doi.org/10.1016/j.jbusres.2022.06.010</w:t>
        </w:r>
      </w:hyperlink>
    </w:p>
    <w:p w14:paraId="06B3D4EF" w14:textId="77777777" w:rsidR="006555B8" w:rsidRPr="005A2668" w:rsidRDefault="006555B8" w:rsidP="006555B8">
      <w:pPr>
        <w:jc w:val="both"/>
        <w:rPr>
          <w:rFonts w:ascii="Arial" w:hAnsi="Arial" w:cs="Arial"/>
          <w:szCs w:val="24"/>
        </w:rPr>
      </w:pPr>
      <w:proofErr w:type="spellStart"/>
      <w:r w:rsidRPr="005A2668">
        <w:rPr>
          <w:rFonts w:ascii="Arial" w:hAnsi="Arial" w:cs="Arial"/>
          <w:szCs w:val="24"/>
        </w:rPr>
        <w:t>Bocken</w:t>
      </w:r>
      <w:proofErr w:type="spellEnd"/>
      <w:r w:rsidRPr="005A2668">
        <w:rPr>
          <w:rFonts w:ascii="Arial" w:hAnsi="Arial" w:cs="Arial"/>
          <w:szCs w:val="24"/>
        </w:rPr>
        <w:t xml:space="preserve">, N.M.P., </w:t>
      </w:r>
      <w:proofErr w:type="spellStart"/>
      <w:r w:rsidRPr="005A2668">
        <w:rPr>
          <w:rFonts w:ascii="Arial" w:hAnsi="Arial" w:cs="Arial"/>
          <w:szCs w:val="24"/>
        </w:rPr>
        <w:t>Harsch</w:t>
      </w:r>
      <w:proofErr w:type="spellEnd"/>
      <w:r w:rsidRPr="005A2668">
        <w:rPr>
          <w:rFonts w:ascii="Arial" w:hAnsi="Arial" w:cs="Arial"/>
          <w:szCs w:val="24"/>
        </w:rPr>
        <w:t xml:space="preserve">, A. &amp; </w:t>
      </w:r>
      <w:proofErr w:type="spellStart"/>
      <w:r w:rsidRPr="005A2668">
        <w:rPr>
          <w:rFonts w:ascii="Arial" w:hAnsi="Arial" w:cs="Arial"/>
          <w:szCs w:val="24"/>
        </w:rPr>
        <w:t>Weissbrod</w:t>
      </w:r>
      <w:proofErr w:type="spellEnd"/>
      <w:r w:rsidRPr="005A2668">
        <w:rPr>
          <w:rFonts w:ascii="Arial" w:hAnsi="Arial" w:cs="Arial"/>
          <w:szCs w:val="24"/>
        </w:rPr>
        <w:t xml:space="preserve">, I. 2022. Circular business models for the fast-moving consumer goods industry: Desirability, feasibility, and viability. </w:t>
      </w:r>
      <w:r w:rsidRPr="005A2668">
        <w:rPr>
          <w:rFonts w:ascii="Arial" w:hAnsi="Arial" w:cs="Arial"/>
          <w:i/>
          <w:iCs/>
          <w:szCs w:val="24"/>
        </w:rPr>
        <w:t>Sustainable Production and Consumption</w:t>
      </w:r>
      <w:r w:rsidRPr="005A2668">
        <w:rPr>
          <w:rFonts w:ascii="Arial" w:hAnsi="Arial" w:cs="Arial"/>
          <w:szCs w:val="24"/>
        </w:rPr>
        <w:t xml:space="preserve">, 30, pp.799–814. </w:t>
      </w:r>
      <w:hyperlink r:id="rId12" w:tgtFrame="_new" w:history="1">
        <w:r w:rsidRPr="005A2668">
          <w:rPr>
            <w:rStyle w:val="Hyperlink"/>
            <w:rFonts w:ascii="Arial" w:hAnsi="Arial" w:cs="Arial"/>
            <w:color w:val="auto"/>
            <w:szCs w:val="24"/>
          </w:rPr>
          <w:t>https://doi.org/10.1016/j.spc.2022.01.012</w:t>
        </w:r>
      </w:hyperlink>
    </w:p>
    <w:p w14:paraId="3BFC914B" w14:textId="77777777" w:rsidR="006555B8" w:rsidRPr="005A2668" w:rsidRDefault="006555B8" w:rsidP="006555B8">
      <w:pPr>
        <w:jc w:val="both"/>
        <w:rPr>
          <w:rFonts w:ascii="Arial" w:hAnsi="Arial" w:cs="Arial"/>
          <w:szCs w:val="24"/>
        </w:rPr>
      </w:pPr>
      <w:r w:rsidRPr="005A2668">
        <w:rPr>
          <w:rFonts w:ascii="Arial" w:hAnsi="Arial" w:cs="Arial"/>
          <w:szCs w:val="24"/>
        </w:rPr>
        <w:t xml:space="preserve">KPMG. 2024. </w:t>
      </w:r>
      <w:r w:rsidRPr="005A2668">
        <w:rPr>
          <w:rFonts w:ascii="Arial" w:hAnsi="Arial" w:cs="Arial"/>
          <w:i/>
          <w:iCs/>
          <w:szCs w:val="24"/>
        </w:rPr>
        <w:t>Consumer &amp; retail top risks forecast</w:t>
      </w:r>
      <w:r w:rsidRPr="005A2668">
        <w:rPr>
          <w:rFonts w:ascii="Arial" w:hAnsi="Arial" w:cs="Arial"/>
          <w:szCs w:val="24"/>
        </w:rPr>
        <w:t xml:space="preserve">. [online] Available at: </w:t>
      </w:r>
      <w:hyperlink r:id="rId13" w:tgtFrame="_new" w:history="1">
        <w:r w:rsidRPr="005A2668">
          <w:rPr>
            <w:rStyle w:val="Hyperlink"/>
            <w:rFonts w:ascii="Arial" w:hAnsi="Arial" w:cs="Arial"/>
            <w:color w:val="auto"/>
            <w:szCs w:val="24"/>
          </w:rPr>
          <w:t>https://kpmg.com/xx/en/our-insights/risk-and-regulation/top-risks-forecast/consumer-and-retail-top-risks-forecast.html</w:t>
        </w:r>
      </w:hyperlink>
      <w:r w:rsidRPr="005A2668">
        <w:rPr>
          <w:rFonts w:ascii="Arial" w:hAnsi="Arial" w:cs="Arial"/>
          <w:szCs w:val="24"/>
        </w:rPr>
        <w:t xml:space="preserve"> [Accessed 7 November 2025].</w:t>
      </w:r>
    </w:p>
    <w:p w14:paraId="635EB420" w14:textId="77777777" w:rsidR="006555B8" w:rsidRPr="005A2668" w:rsidRDefault="006555B8" w:rsidP="006555B8">
      <w:pPr>
        <w:jc w:val="both"/>
        <w:rPr>
          <w:rFonts w:ascii="Arial" w:hAnsi="Arial" w:cs="Arial"/>
          <w:szCs w:val="24"/>
        </w:rPr>
      </w:pPr>
      <w:r w:rsidRPr="005A2668">
        <w:rPr>
          <w:rFonts w:ascii="Arial" w:hAnsi="Arial" w:cs="Arial"/>
          <w:szCs w:val="24"/>
        </w:rPr>
        <w:t xml:space="preserve">Kumar, P., Debele, S.E., Sahani, J., Rawat, N., Marti-Cardona, B., Alfieri, S.M. &amp; </w:t>
      </w:r>
      <w:proofErr w:type="spellStart"/>
      <w:r w:rsidRPr="005A2668">
        <w:rPr>
          <w:rFonts w:ascii="Arial" w:hAnsi="Arial" w:cs="Arial"/>
          <w:szCs w:val="24"/>
        </w:rPr>
        <w:t>Sannigrahi</w:t>
      </w:r>
      <w:proofErr w:type="spellEnd"/>
      <w:r w:rsidRPr="005A2668">
        <w:rPr>
          <w:rFonts w:ascii="Arial" w:hAnsi="Arial" w:cs="Arial"/>
          <w:szCs w:val="24"/>
        </w:rPr>
        <w:t xml:space="preserve">, S. 2021. An overview of monitoring methods for assessing the performance of nature-based solutions against natural hazards. </w:t>
      </w:r>
      <w:r w:rsidRPr="005A2668">
        <w:rPr>
          <w:rFonts w:ascii="Arial" w:hAnsi="Arial" w:cs="Arial"/>
          <w:i/>
          <w:iCs/>
          <w:szCs w:val="24"/>
        </w:rPr>
        <w:t>Earth-Science Reviews</w:t>
      </w:r>
      <w:r w:rsidRPr="005A2668">
        <w:rPr>
          <w:rFonts w:ascii="Arial" w:hAnsi="Arial" w:cs="Arial"/>
          <w:szCs w:val="24"/>
        </w:rPr>
        <w:t xml:space="preserve">, 217, 103603. </w:t>
      </w:r>
      <w:hyperlink r:id="rId14" w:tgtFrame="_new" w:history="1">
        <w:r w:rsidRPr="005A2668">
          <w:rPr>
            <w:rStyle w:val="Hyperlink"/>
            <w:rFonts w:ascii="Arial" w:hAnsi="Arial" w:cs="Arial"/>
            <w:color w:val="auto"/>
            <w:szCs w:val="24"/>
          </w:rPr>
          <w:t>https://doi.org/10.1016/j.earscirev.2021.103603</w:t>
        </w:r>
      </w:hyperlink>
    </w:p>
    <w:p w14:paraId="43310D36" w14:textId="77777777" w:rsidR="006555B8" w:rsidRPr="005A2668" w:rsidRDefault="006555B8" w:rsidP="006555B8">
      <w:pPr>
        <w:jc w:val="both"/>
        <w:rPr>
          <w:rFonts w:ascii="Arial" w:hAnsi="Arial" w:cs="Arial"/>
          <w:szCs w:val="24"/>
        </w:rPr>
      </w:pPr>
      <w:r w:rsidRPr="005A2668">
        <w:rPr>
          <w:rFonts w:ascii="Arial" w:hAnsi="Arial" w:cs="Arial"/>
          <w:szCs w:val="24"/>
        </w:rPr>
        <w:t xml:space="preserve">Laine, M. 2023. </w:t>
      </w:r>
      <w:r w:rsidRPr="005A2668">
        <w:rPr>
          <w:rFonts w:ascii="Arial" w:hAnsi="Arial" w:cs="Arial"/>
          <w:i/>
          <w:iCs/>
          <w:szCs w:val="24"/>
        </w:rPr>
        <w:t>Plant-based snacking: A niche concern or a major opportunity?</w:t>
      </w:r>
      <w:r w:rsidRPr="005A2668">
        <w:rPr>
          <w:rFonts w:ascii="Arial" w:hAnsi="Arial" w:cs="Arial"/>
          <w:szCs w:val="24"/>
        </w:rPr>
        <w:t xml:space="preserve"> [online] </w:t>
      </w:r>
      <w:r w:rsidRPr="005A2668">
        <w:rPr>
          <w:rFonts w:ascii="Arial" w:hAnsi="Arial" w:cs="Arial"/>
          <w:i/>
          <w:iCs/>
          <w:szCs w:val="24"/>
        </w:rPr>
        <w:t>Euromonitor</w:t>
      </w:r>
      <w:r w:rsidRPr="005A2668">
        <w:rPr>
          <w:rFonts w:ascii="Arial" w:hAnsi="Arial" w:cs="Arial"/>
          <w:szCs w:val="24"/>
        </w:rPr>
        <w:t>. Available at: https://www.euromonitor.com/article/plant-based-snacking-a-niche-concern-or-a-major-opportunity [Accessed 7 November 2025].</w:t>
      </w:r>
    </w:p>
    <w:p w14:paraId="4BD4A570" w14:textId="77777777" w:rsidR="006555B8" w:rsidRPr="005A2668" w:rsidRDefault="006555B8" w:rsidP="006555B8">
      <w:pPr>
        <w:jc w:val="both"/>
        <w:rPr>
          <w:rFonts w:ascii="Arial" w:hAnsi="Arial" w:cs="Arial"/>
          <w:szCs w:val="24"/>
        </w:rPr>
      </w:pPr>
      <w:r w:rsidRPr="005A2668">
        <w:rPr>
          <w:rFonts w:ascii="Arial" w:hAnsi="Arial" w:cs="Arial"/>
          <w:szCs w:val="24"/>
        </w:rPr>
        <w:t xml:space="preserve">Lazaris, C., Sarantopoulos, P., Vrechopoulos, A. &amp; </w:t>
      </w:r>
      <w:proofErr w:type="spellStart"/>
      <w:r w:rsidRPr="005A2668">
        <w:rPr>
          <w:rFonts w:ascii="Arial" w:hAnsi="Arial" w:cs="Arial"/>
          <w:szCs w:val="24"/>
        </w:rPr>
        <w:t>Doukidis</w:t>
      </w:r>
      <w:proofErr w:type="spellEnd"/>
      <w:r w:rsidRPr="005A2668">
        <w:rPr>
          <w:rFonts w:ascii="Arial" w:hAnsi="Arial" w:cs="Arial"/>
          <w:szCs w:val="24"/>
        </w:rPr>
        <w:t xml:space="preserve">, G. 2021. Effects of increased omnichannel integration on customer satisfaction and loyalty intentions. </w:t>
      </w:r>
      <w:r w:rsidRPr="005A2668">
        <w:rPr>
          <w:rFonts w:ascii="Arial" w:hAnsi="Arial" w:cs="Arial"/>
          <w:i/>
          <w:iCs/>
          <w:szCs w:val="24"/>
        </w:rPr>
        <w:t>International Journal of Electronic Commerce</w:t>
      </w:r>
      <w:r w:rsidRPr="005A2668">
        <w:rPr>
          <w:rFonts w:ascii="Arial" w:hAnsi="Arial" w:cs="Arial"/>
          <w:szCs w:val="24"/>
        </w:rPr>
        <w:t xml:space="preserve">, 25(4), pp.440–468. </w:t>
      </w:r>
      <w:hyperlink r:id="rId15" w:tgtFrame="_new" w:history="1">
        <w:r w:rsidRPr="005A2668">
          <w:rPr>
            <w:rStyle w:val="Hyperlink"/>
            <w:rFonts w:ascii="Arial" w:hAnsi="Arial" w:cs="Arial"/>
            <w:color w:val="auto"/>
            <w:szCs w:val="24"/>
          </w:rPr>
          <w:t>https://doi.org/10.1080/10864415.2021.1967005</w:t>
        </w:r>
      </w:hyperlink>
    </w:p>
    <w:p w14:paraId="37DB84D7" w14:textId="77777777" w:rsidR="006555B8" w:rsidRPr="005A2668" w:rsidRDefault="006555B8" w:rsidP="006555B8">
      <w:pPr>
        <w:jc w:val="both"/>
        <w:rPr>
          <w:rFonts w:ascii="Arial" w:hAnsi="Arial" w:cs="Arial"/>
          <w:szCs w:val="24"/>
        </w:rPr>
      </w:pPr>
      <w:r w:rsidRPr="005A2668">
        <w:rPr>
          <w:rFonts w:ascii="Arial" w:hAnsi="Arial" w:cs="Arial"/>
          <w:szCs w:val="24"/>
        </w:rPr>
        <w:lastRenderedPageBreak/>
        <w:t xml:space="preserve">Mallik, A. &amp; Aithal, P.S. 2024. Uplifting brand equity to unprecedented levels by introducing purpose as the new 8th “P” in the marketing mix. </w:t>
      </w:r>
      <w:r w:rsidRPr="005A2668">
        <w:rPr>
          <w:rFonts w:ascii="Arial" w:hAnsi="Arial" w:cs="Arial"/>
          <w:i/>
          <w:iCs/>
          <w:szCs w:val="24"/>
        </w:rPr>
        <w:t>International Journal of Case Studies in Business, IT and Education</w:t>
      </w:r>
      <w:r w:rsidRPr="005A2668">
        <w:rPr>
          <w:rFonts w:ascii="Arial" w:hAnsi="Arial" w:cs="Arial"/>
          <w:szCs w:val="24"/>
        </w:rPr>
        <w:t xml:space="preserve">, 9(2), pp.271–295. </w:t>
      </w:r>
      <w:hyperlink r:id="rId16" w:tgtFrame="_new" w:history="1">
        <w:r w:rsidRPr="005A2668">
          <w:rPr>
            <w:rStyle w:val="Hyperlink"/>
            <w:rFonts w:ascii="Arial" w:hAnsi="Arial" w:cs="Arial"/>
            <w:color w:val="auto"/>
            <w:szCs w:val="24"/>
          </w:rPr>
          <w:t>https://doi.org/10.47992/ijcsbe.2581.6942.0360</w:t>
        </w:r>
      </w:hyperlink>
    </w:p>
    <w:p w14:paraId="7B840D0F" w14:textId="77777777" w:rsidR="006555B8" w:rsidRPr="005A2668" w:rsidRDefault="006555B8" w:rsidP="006555B8">
      <w:pPr>
        <w:jc w:val="both"/>
        <w:rPr>
          <w:rFonts w:ascii="Arial" w:hAnsi="Arial" w:cs="Arial"/>
          <w:szCs w:val="24"/>
        </w:rPr>
      </w:pPr>
      <w:proofErr w:type="spellStart"/>
      <w:r w:rsidRPr="005A2668">
        <w:rPr>
          <w:rFonts w:ascii="Arial" w:hAnsi="Arial" w:cs="Arial"/>
          <w:szCs w:val="24"/>
        </w:rPr>
        <w:t>Maradin</w:t>
      </w:r>
      <w:proofErr w:type="spellEnd"/>
      <w:r w:rsidRPr="005A2668">
        <w:rPr>
          <w:rFonts w:ascii="Arial" w:hAnsi="Arial" w:cs="Arial"/>
          <w:szCs w:val="24"/>
        </w:rPr>
        <w:t xml:space="preserve">, D. 2022. </w:t>
      </w:r>
      <w:r w:rsidRPr="005A2668">
        <w:rPr>
          <w:rFonts w:ascii="Arial" w:hAnsi="Arial" w:cs="Arial"/>
          <w:i/>
          <w:iCs/>
          <w:szCs w:val="24"/>
        </w:rPr>
        <w:t>Sustainable and clean energy: The case of Tesla Company</w:t>
      </w:r>
      <w:r w:rsidRPr="005A2668">
        <w:rPr>
          <w:rFonts w:ascii="Arial" w:hAnsi="Arial" w:cs="Arial"/>
          <w:szCs w:val="24"/>
        </w:rPr>
        <w:t xml:space="preserve">. [online] </w:t>
      </w:r>
      <w:r w:rsidRPr="005A2668">
        <w:rPr>
          <w:rFonts w:ascii="Arial" w:hAnsi="Arial" w:cs="Arial"/>
          <w:i/>
          <w:iCs/>
          <w:szCs w:val="24"/>
        </w:rPr>
        <w:t>ResearchGate</w:t>
      </w:r>
      <w:r w:rsidRPr="005A2668">
        <w:rPr>
          <w:rFonts w:ascii="Arial" w:hAnsi="Arial" w:cs="Arial"/>
          <w:szCs w:val="24"/>
        </w:rPr>
        <w:t xml:space="preserve">. Available at: </w:t>
      </w:r>
      <w:hyperlink r:id="rId17" w:tgtFrame="_new" w:history="1">
        <w:r w:rsidRPr="005A2668">
          <w:rPr>
            <w:rStyle w:val="Hyperlink"/>
            <w:rFonts w:ascii="Arial" w:hAnsi="Arial" w:cs="Arial"/>
            <w:color w:val="auto"/>
            <w:szCs w:val="24"/>
          </w:rPr>
          <w:t>https://www.researchgate.net/publication/366057251_Sustainable_and_Clean_Energy_The_Case_of_Tesla_Company</w:t>
        </w:r>
      </w:hyperlink>
      <w:r w:rsidRPr="005A2668">
        <w:rPr>
          <w:rFonts w:ascii="Arial" w:hAnsi="Arial" w:cs="Arial"/>
          <w:szCs w:val="24"/>
        </w:rPr>
        <w:t xml:space="preserve"> [Accessed 7 November 2025].</w:t>
      </w:r>
    </w:p>
    <w:p w14:paraId="13F5FA4E" w14:textId="77777777" w:rsidR="006555B8" w:rsidRPr="005A2668" w:rsidRDefault="006555B8" w:rsidP="006555B8">
      <w:pPr>
        <w:jc w:val="both"/>
        <w:rPr>
          <w:rFonts w:ascii="Arial" w:hAnsi="Arial" w:cs="Arial"/>
          <w:szCs w:val="24"/>
        </w:rPr>
      </w:pPr>
      <w:r w:rsidRPr="005A2668">
        <w:rPr>
          <w:rFonts w:ascii="Arial" w:hAnsi="Arial" w:cs="Arial"/>
          <w:szCs w:val="24"/>
        </w:rPr>
        <w:t xml:space="preserve">Medium. 2025. </w:t>
      </w:r>
      <w:r w:rsidRPr="005A2668">
        <w:rPr>
          <w:rFonts w:ascii="Arial" w:hAnsi="Arial" w:cs="Arial"/>
          <w:i/>
          <w:iCs/>
          <w:szCs w:val="24"/>
        </w:rPr>
        <w:t xml:space="preserve">Samsung — A comprehensive report - </w:t>
      </w:r>
      <w:proofErr w:type="spellStart"/>
      <w:r w:rsidRPr="005A2668">
        <w:rPr>
          <w:rFonts w:ascii="Arial" w:hAnsi="Arial" w:cs="Arial"/>
          <w:i/>
          <w:iCs/>
          <w:szCs w:val="24"/>
        </w:rPr>
        <w:t>ByteBridge</w:t>
      </w:r>
      <w:proofErr w:type="spellEnd"/>
      <w:r w:rsidRPr="005A2668">
        <w:rPr>
          <w:rFonts w:ascii="Arial" w:hAnsi="Arial" w:cs="Arial"/>
          <w:szCs w:val="24"/>
        </w:rPr>
        <w:t xml:space="preserve">. [online] </w:t>
      </w:r>
      <w:r w:rsidRPr="005A2668">
        <w:rPr>
          <w:rFonts w:ascii="Arial" w:hAnsi="Arial" w:cs="Arial"/>
          <w:i/>
          <w:iCs/>
          <w:szCs w:val="24"/>
        </w:rPr>
        <w:t>Medium</w:t>
      </w:r>
      <w:r w:rsidRPr="005A2668">
        <w:rPr>
          <w:rFonts w:ascii="Arial" w:hAnsi="Arial" w:cs="Arial"/>
          <w:szCs w:val="24"/>
        </w:rPr>
        <w:t xml:space="preserve">. Available at: </w:t>
      </w:r>
      <w:hyperlink r:id="rId18" w:tgtFrame="_new" w:history="1">
        <w:r w:rsidRPr="005A2668">
          <w:rPr>
            <w:rStyle w:val="Hyperlink"/>
            <w:rFonts w:ascii="Arial" w:hAnsi="Arial" w:cs="Arial"/>
            <w:color w:val="auto"/>
            <w:szCs w:val="24"/>
          </w:rPr>
          <w:t>https://bytebridge.medium.com/comprehensive-report-on-samsung-ff60e8c74f03</w:t>
        </w:r>
      </w:hyperlink>
      <w:r w:rsidRPr="005A2668">
        <w:rPr>
          <w:rFonts w:ascii="Arial" w:hAnsi="Arial" w:cs="Arial"/>
          <w:szCs w:val="24"/>
        </w:rPr>
        <w:t xml:space="preserve"> [Accessed 7 November 2025].</w:t>
      </w:r>
    </w:p>
    <w:p w14:paraId="5E902D91" w14:textId="77777777" w:rsidR="006555B8" w:rsidRPr="005A2668" w:rsidRDefault="006555B8" w:rsidP="006555B8">
      <w:pPr>
        <w:jc w:val="both"/>
        <w:rPr>
          <w:rFonts w:ascii="Arial" w:hAnsi="Arial" w:cs="Arial"/>
          <w:szCs w:val="24"/>
        </w:rPr>
      </w:pPr>
      <w:r w:rsidRPr="005A2668">
        <w:rPr>
          <w:rFonts w:ascii="Arial" w:hAnsi="Arial" w:cs="Arial"/>
          <w:szCs w:val="24"/>
        </w:rPr>
        <w:t xml:space="preserve">Mohammed, S. 2023. </w:t>
      </w:r>
      <w:r w:rsidRPr="005A2668">
        <w:rPr>
          <w:rFonts w:ascii="Arial" w:hAnsi="Arial" w:cs="Arial"/>
          <w:i/>
          <w:iCs/>
          <w:szCs w:val="24"/>
        </w:rPr>
        <w:t>Niche targeting 101: Strategies for standing out in a crowded market</w:t>
      </w:r>
      <w:r w:rsidRPr="005A2668">
        <w:rPr>
          <w:rFonts w:ascii="Arial" w:hAnsi="Arial" w:cs="Arial"/>
          <w:szCs w:val="24"/>
        </w:rPr>
        <w:t xml:space="preserve">. [online] </w:t>
      </w:r>
      <w:r w:rsidRPr="005A2668">
        <w:rPr>
          <w:rFonts w:ascii="Arial" w:hAnsi="Arial" w:cs="Arial"/>
          <w:i/>
          <w:iCs/>
          <w:szCs w:val="24"/>
        </w:rPr>
        <w:t>Medium</w:t>
      </w:r>
      <w:r w:rsidRPr="005A2668">
        <w:rPr>
          <w:rFonts w:ascii="Arial" w:hAnsi="Arial" w:cs="Arial"/>
          <w:szCs w:val="24"/>
        </w:rPr>
        <w:t xml:space="preserve">. Available at: </w:t>
      </w:r>
      <w:hyperlink r:id="rId19" w:tgtFrame="_new" w:history="1">
        <w:r w:rsidRPr="005A2668">
          <w:rPr>
            <w:rStyle w:val="Hyperlink"/>
            <w:rFonts w:ascii="Arial" w:hAnsi="Arial" w:cs="Arial"/>
            <w:color w:val="auto"/>
            <w:szCs w:val="24"/>
          </w:rPr>
          <w:t>https://shahmm.medium.com/niche-targeting-101-strategies-for-standing-out-in-a-crowded-market-565c9ffb61dc</w:t>
        </w:r>
      </w:hyperlink>
      <w:r w:rsidRPr="005A2668">
        <w:rPr>
          <w:rFonts w:ascii="Arial" w:hAnsi="Arial" w:cs="Arial"/>
          <w:szCs w:val="24"/>
        </w:rPr>
        <w:t xml:space="preserve"> [Accessed 7 November 2025].</w:t>
      </w:r>
    </w:p>
    <w:p w14:paraId="5C310C75" w14:textId="77777777" w:rsidR="006555B8" w:rsidRPr="005A2668" w:rsidRDefault="006555B8" w:rsidP="006555B8">
      <w:pPr>
        <w:jc w:val="both"/>
        <w:rPr>
          <w:rFonts w:ascii="Arial" w:hAnsi="Arial" w:cs="Arial"/>
          <w:szCs w:val="24"/>
        </w:rPr>
      </w:pPr>
      <w:r w:rsidRPr="005A2668">
        <w:rPr>
          <w:rFonts w:ascii="Arial" w:hAnsi="Arial" w:cs="Arial"/>
          <w:szCs w:val="24"/>
        </w:rPr>
        <w:t xml:space="preserve">Muhammad, N., Ibrahim, M., Suleiman, I.Y., Karim, F. &amp; Usman, A. 2023. The impact of Industry 4.0 on digital marketing: Leveraging emerging technologies for business growth. </w:t>
      </w:r>
      <w:r w:rsidRPr="005A2668">
        <w:rPr>
          <w:rFonts w:ascii="Arial" w:hAnsi="Arial" w:cs="Arial"/>
          <w:i/>
          <w:iCs/>
          <w:szCs w:val="24"/>
        </w:rPr>
        <w:t>International Journal of Academic Research in Business &amp; Social Sciences</w:t>
      </w:r>
      <w:r w:rsidRPr="005A2668">
        <w:rPr>
          <w:rFonts w:ascii="Arial" w:hAnsi="Arial" w:cs="Arial"/>
          <w:szCs w:val="24"/>
        </w:rPr>
        <w:t xml:space="preserve">, 13(12). </w:t>
      </w:r>
      <w:hyperlink r:id="rId20" w:tgtFrame="_new" w:history="1">
        <w:r w:rsidRPr="005A2668">
          <w:rPr>
            <w:rStyle w:val="Hyperlink"/>
            <w:rFonts w:ascii="Arial" w:hAnsi="Arial" w:cs="Arial"/>
            <w:color w:val="auto"/>
            <w:szCs w:val="24"/>
          </w:rPr>
          <w:t>https://doi.org/10.6007/ijarbss/v13-i12/19723</w:t>
        </w:r>
      </w:hyperlink>
    </w:p>
    <w:p w14:paraId="60B7DD36" w14:textId="77777777" w:rsidR="006555B8" w:rsidRPr="005A2668" w:rsidRDefault="006555B8" w:rsidP="006555B8">
      <w:pPr>
        <w:jc w:val="both"/>
        <w:rPr>
          <w:rFonts w:ascii="Arial" w:hAnsi="Arial" w:cs="Arial"/>
          <w:szCs w:val="24"/>
        </w:rPr>
      </w:pPr>
      <w:r w:rsidRPr="005A2668">
        <w:rPr>
          <w:rFonts w:ascii="Arial" w:hAnsi="Arial" w:cs="Arial"/>
          <w:szCs w:val="24"/>
        </w:rPr>
        <w:t xml:space="preserve">O’Rourke, D. &amp; Strand, R. 2017. Patagonia: Driving sustainable innovation by embracing tensions. </w:t>
      </w:r>
      <w:r w:rsidRPr="005A2668">
        <w:rPr>
          <w:rFonts w:ascii="Arial" w:hAnsi="Arial" w:cs="Arial"/>
          <w:i/>
          <w:iCs/>
          <w:szCs w:val="24"/>
        </w:rPr>
        <w:t>California Management Review</w:t>
      </w:r>
      <w:r w:rsidRPr="005A2668">
        <w:rPr>
          <w:rFonts w:ascii="Arial" w:hAnsi="Arial" w:cs="Arial"/>
          <w:szCs w:val="24"/>
        </w:rPr>
        <w:t xml:space="preserve">, 60(1), pp.102–125. </w:t>
      </w:r>
      <w:hyperlink r:id="rId21" w:tgtFrame="_new" w:history="1">
        <w:r w:rsidRPr="005A2668">
          <w:rPr>
            <w:rStyle w:val="Hyperlink"/>
            <w:rFonts w:ascii="Arial" w:hAnsi="Arial" w:cs="Arial"/>
            <w:color w:val="auto"/>
            <w:szCs w:val="24"/>
          </w:rPr>
          <w:t>https://doi.org/10.1177/0008125617727748</w:t>
        </w:r>
      </w:hyperlink>
    </w:p>
    <w:p w14:paraId="08AE525D" w14:textId="77777777" w:rsidR="006555B8" w:rsidRPr="005A2668" w:rsidRDefault="006555B8" w:rsidP="006555B8">
      <w:pPr>
        <w:jc w:val="both"/>
        <w:rPr>
          <w:rFonts w:ascii="Arial" w:hAnsi="Arial" w:cs="Arial"/>
          <w:szCs w:val="24"/>
        </w:rPr>
      </w:pPr>
      <w:proofErr w:type="spellStart"/>
      <w:r w:rsidRPr="005A2668">
        <w:rPr>
          <w:rFonts w:ascii="Arial" w:hAnsi="Arial" w:cs="Arial"/>
          <w:szCs w:val="24"/>
        </w:rPr>
        <w:t>Özturan</w:t>
      </w:r>
      <w:proofErr w:type="spellEnd"/>
      <w:r w:rsidRPr="005A2668">
        <w:rPr>
          <w:rFonts w:ascii="Arial" w:hAnsi="Arial" w:cs="Arial"/>
          <w:szCs w:val="24"/>
        </w:rPr>
        <w:t xml:space="preserve">, P., </w:t>
      </w:r>
      <w:proofErr w:type="spellStart"/>
      <w:r w:rsidRPr="005A2668">
        <w:rPr>
          <w:rFonts w:ascii="Arial" w:hAnsi="Arial" w:cs="Arial"/>
          <w:szCs w:val="24"/>
        </w:rPr>
        <w:t>Deleersnyder</w:t>
      </w:r>
      <w:proofErr w:type="spellEnd"/>
      <w:r w:rsidRPr="005A2668">
        <w:rPr>
          <w:rFonts w:ascii="Arial" w:hAnsi="Arial" w:cs="Arial"/>
          <w:szCs w:val="24"/>
        </w:rPr>
        <w:t xml:space="preserve">, B. &amp; </w:t>
      </w:r>
      <w:proofErr w:type="spellStart"/>
      <w:r w:rsidRPr="005A2668">
        <w:rPr>
          <w:rFonts w:ascii="Arial" w:hAnsi="Arial" w:cs="Arial"/>
          <w:szCs w:val="24"/>
        </w:rPr>
        <w:t>Özsomer</w:t>
      </w:r>
      <w:proofErr w:type="spellEnd"/>
      <w:r w:rsidRPr="005A2668">
        <w:rPr>
          <w:rFonts w:ascii="Arial" w:hAnsi="Arial" w:cs="Arial"/>
          <w:szCs w:val="24"/>
        </w:rPr>
        <w:t xml:space="preserve">, A. 2023. Brand advertising competition across economic cycles. </w:t>
      </w:r>
      <w:r w:rsidRPr="005A2668">
        <w:rPr>
          <w:rFonts w:ascii="Arial" w:hAnsi="Arial" w:cs="Arial"/>
          <w:i/>
          <w:iCs/>
          <w:szCs w:val="24"/>
        </w:rPr>
        <w:t>International Journal of Research in Marketing</w:t>
      </w:r>
      <w:r w:rsidRPr="005A2668">
        <w:rPr>
          <w:rFonts w:ascii="Arial" w:hAnsi="Arial" w:cs="Arial"/>
          <w:szCs w:val="24"/>
        </w:rPr>
        <w:t xml:space="preserve">, 41(2). </w:t>
      </w:r>
      <w:hyperlink r:id="rId22" w:tgtFrame="_new" w:history="1">
        <w:r w:rsidRPr="005A2668">
          <w:rPr>
            <w:rStyle w:val="Hyperlink"/>
            <w:rFonts w:ascii="Arial" w:hAnsi="Arial" w:cs="Arial"/>
            <w:color w:val="auto"/>
            <w:szCs w:val="24"/>
          </w:rPr>
          <w:t>https://doi.org/10.1016/j.ijresmar.2023.11.001</w:t>
        </w:r>
      </w:hyperlink>
    </w:p>
    <w:p w14:paraId="229A62EC" w14:textId="77777777" w:rsidR="006555B8" w:rsidRPr="005A2668" w:rsidRDefault="006555B8" w:rsidP="006555B8">
      <w:pPr>
        <w:jc w:val="both"/>
        <w:rPr>
          <w:rFonts w:ascii="Arial" w:hAnsi="Arial" w:cs="Arial"/>
          <w:szCs w:val="24"/>
        </w:rPr>
      </w:pPr>
      <w:r w:rsidRPr="005A2668">
        <w:rPr>
          <w:rFonts w:ascii="Arial" w:hAnsi="Arial" w:cs="Arial"/>
          <w:szCs w:val="24"/>
        </w:rPr>
        <w:t xml:space="preserve">Rahman, M.A.A. 2024. </w:t>
      </w:r>
      <w:r w:rsidRPr="005A2668">
        <w:rPr>
          <w:rFonts w:ascii="Arial" w:hAnsi="Arial" w:cs="Arial"/>
          <w:i/>
          <w:iCs/>
          <w:szCs w:val="24"/>
        </w:rPr>
        <w:t>Buildup content marketing and its role in B2C and B2B strategies</w:t>
      </w:r>
      <w:r w:rsidRPr="005A2668">
        <w:rPr>
          <w:rFonts w:ascii="Arial" w:hAnsi="Arial" w:cs="Arial"/>
          <w:szCs w:val="24"/>
        </w:rPr>
        <w:t xml:space="preserve">. [online] </w:t>
      </w:r>
      <w:r w:rsidRPr="005A2668">
        <w:rPr>
          <w:rFonts w:ascii="Arial" w:hAnsi="Arial" w:cs="Arial"/>
          <w:i/>
          <w:iCs/>
          <w:szCs w:val="24"/>
        </w:rPr>
        <w:t>ResearchGate</w:t>
      </w:r>
      <w:r w:rsidRPr="005A2668">
        <w:rPr>
          <w:rFonts w:ascii="Arial" w:hAnsi="Arial" w:cs="Arial"/>
          <w:szCs w:val="24"/>
        </w:rPr>
        <w:t xml:space="preserve">. Available at: </w:t>
      </w:r>
      <w:hyperlink r:id="rId23" w:tgtFrame="_new" w:history="1">
        <w:r w:rsidRPr="005A2668">
          <w:rPr>
            <w:rStyle w:val="Hyperlink"/>
            <w:rFonts w:ascii="Arial" w:hAnsi="Arial" w:cs="Arial"/>
            <w:color w:val="auto"/>
            <w:szCs w:val="24"/>
          </w:rPr>
          <w:t>https://www.researchgate.net/publication/381697872_Content_marketing_is_a_strategic_marketing_approach_focused_on_creating_and_distributing_valuable_relevant_and_consistent_content_to_attract_and_retain_a_clearly_defined_audience_ultimately_aiming_to</w:t>
        </w:r>
      </w:hyperlink>
      <w:r w:rsidRPr="005A2668">
        <w:rPr>
          <w:rFonts w:ascii="Arial" w:hAnsi="Arial" w:cs="Arial"/>
          <w:szCs w:val="24"/>
        </w:rPr>
        <w:t>_ [Accessed 7 November 2025].</w:t>
      </w:r>
    </w:p>
    <w:p w14:paraId="17D1C6DD" w14:textId="77777777" w:rsidR="006555B8" w:rsidRPr="005A2668" w:rsidRDefault="006555B8" w:rsidP="006555B8">
      <w:pPr>
        <w:jc w:val="both"/>
        <w:rPr>
          <w:rFonts w:ascii="Arial" w:hAnsi="Arial" w:cs="Arial"/>
          <w:szCs w:val="24"/>
        </w:rPr>
      </w:pPr>
      <w:r w:rsidRPr="005A2668">
        <w:rPr>
          <w:rFonts w:ascii="Arial" w:hAnsi="Arial" w:cs="Arial"/>
          <w:szCs w:val="24"/>
        </w:rPr>
        <w:lastRenderedPageBreak/>
        <w:t xml:space="preserve">Ren, M., Liu, J., Feng, S., Yang, A. &amp; </w:t>
      </w:r>
      <w:proofErr w:type="spellStart"/>
      <w:r w:rsidRPr="005A2668">
        <w:rPr>
          <w:rFonts w:ascii="Arial" w:hAnsi="Arial" w:cs="Arial"/>
          <w:szCs w:val="24"/>
        </w:rPr>
        <w:t>Borondo</w:t>
      </w:r>
      <w:proofErr w:type="spellEnd"/>
      <w:r w:rsidRPr="005A2668">
        <w:rPr>
          <w:rFonts w:ascii="Arial" w:hAnsi="Arial" w:cs="Arial"/>
          <w:szCs w:val="24"/>
        </w:rPr>
        <w:t xml:space="preserve">, F. 2020. Complementary product pricing and service cooperation strategy in a dual-channel supply chain. </w:t>
      </w:r>
      <w:r w:rsidRPr="005A2668">
        <w:rPr>
          <w:rFonts w:ascii="Arial" w:hAnsi="Arial" w:cs="Arial"/>
          <w:i/>
          <w:iCs/>
          <w:szCs w:val="24"/>
        </w:rPr>
        <w:t>Discrete Dynamics in Nature and Society</w:t>
      </w:r>
      <w:r w:rsidRPr="005A2668">
        <w:rPr>
          <w:rFonts w:ascii="Arial" w:hAnsi="Arial" w:cs="Arial"/>
          <w:szCs w:val="24"/>
        </w:rPr>
        <w:t xml:space="preserve">, 2020, pp.1–22. </w:t>
      </w:r>
      <w:hyperlink r:id="rId24" w:tgtFrame="_new" w:history="1">
        <w:r w:rsidRPr="005A2668">
          <w:rPr>
            <w:rStyle w:val="Hyperlink"/>
            <w:rFonts w:ascii="Arial" w:hAnsi="Arial" w:cs="Arial"/>
            <w:color w:val="auto"/>
            <w:szCs w:val="24"/>
          </w:rPr>
          <w:t>https://doi.org/10.1155/2020/2314659</w:t>
        </w:r>
      </w:hyperlink>
    </w:p>
    <w:p w14:paraId="65C6B891" w14:textId="77777777" w:rsidR="006555B8" w:rsidRPr="005A2668" w:rsidRDefault="006555B8" w:rsidP="006555B8">
      <w:pPr>
        <w:jc w:val="both"/>
        <w:rPr>
          <w:rFonts w:ascii="Arial" w:hAnsi="Arial" w:cs="Arial"/>
          <w:szCs w:val="24"/>
        </w:rPr>
      </w:pPr>
      <w:r w:rsidRPr="005A2668">
        <w:rPr>
          <w:rFonts w:ascii="Arial" w:hAnsi="Arial" w:cs="Arial"/>
          <w:szCs w:val="24"/>
        </w:rPr>
        <w:t xml:space="preserve">Ringberg, T., </w:t>
      </w:r>
      <w:proofErr w:type="spellStart"/>
      <w:r w:rsidRPr="005A2668">
        <w:rPr>
          <w:rFonts w:ascii="Arial" w:hAnsi="Arial" w:cs="Arial"/>
          <w:szCs w:val="24"/>
        </w:rPr>
        <w:t>Reihlen</w:t>
      </w:r>
      <w:proofErr w:type="spellEnd"/>
      <w:r w:rsidRPr="005A2668">
        <w:rPr>
          <w:rFonts w:ascii="Arial" w:hAnsi="Arial" w:cs="Arial"/>
          <w:szCs w:val="24"/>
        </w:rPr>
        <w:t xml:space="preserve">, M. &amp; Rydén, P. 2019. The technology–mindset interactions: Leading to incremental, radical or revolutionary innovations. </w:t>
      </w:r>
      <w:r w:rsidRPr="005A2668">
        <w:rPr>
          <w:rFonts w:ascii="Arial" w:hAnsi="Arial" w:cs="Arial"/>
          <w:i/>
          <w:iCs/>
          <w:szCs w:val="24"/>
        </w:rPr>
        <w:t>Industrial Marketing Management</w:t>
      </w:r>
      <w:r w:rsidRPr="005A2668">
        <w:rPr>
          <w:rFonts w:ascii="Arial" w:hAnsi="Arial" w:cs="Arial"/>
          <w:szCs w:val="24"/>
        </w:rPr>
        <w:t xml:space="preserve">, 79, pp.102–113. </w:t>
      </w:r>
      <w:hyperlink r:id="rId25" w:tgtFrame="_new" w:history="1">
        <w:r w:rsidRPr="005A2668">
          <w:rPr>
            <w:rStyle w:val="Hyperlink"/>
            <w:rFonts w:ascii="Arial" w:hAnsi="Arial" w:cs="Arial"/>
            <w:color w:val="auto"/>
            <w:szCs w:val="24"/>
          </w:rPr>
          <w:t>https://doi.org/10.1016/j.indmarman.2018.06.009</w:t>
        </w:r>
      </w:hyperlink>
    </w:p>
    <w:p w14:paraId="13A379EE" w14:textId="77777777" w:rsidR="006555B8" w:rsidRPr="005A2668" w:rsidRDefault="006555B8" w:rsidP="006555B8">
      <w:pPr>
        <w:jc w:val="both"/>
        <w:rPr>
          <w:rFonts w:ascii="Arial" w:hAnsi="Arial" w:cs="Arial"/>
          <w:szCs w:val="24"/>
        </w:rPr>
      </w:pPr>
      <w:r w:rsidRPr="005A2668">
        <w:rPr>
          <w:rFonts w:ascii="Arial" w:hAnsi="Arial" w:cs="Arial"/>
          <w:szCs w:val="24"/>
        </w:rPr>
        <w:t xml:space="preserve">Rua, O.L. &amp; Santos, C. 2022. Linking brand and competitive advantage: The mediating effect of positioning and market orientation. </w:t>
      </w:r>
      <w:r w:rsidRPr="005A2668">
        <w:rPr>
          <w:rFonts w:ascii="Arial" w:hAnsi="Arial" w:cs="Arial"/>
          <w:i/>
          <w:iCs/>
          <w:szCs w:val="24"/>
        </w:rPr>
        <w:t>European Research on Management and Business Economics</w:t>
      </w:r>
      <w:r w:rsidRPr="005A2668">
        <w:rPr>
          <w:rFonts w:ascii="Arial" w:hAnsi="Arial" w:cs="Arial"/>
          <w:szCs w:val="24"/>
        </w:rPr>
        <w:t xml:space="preserve">, 28(2), 100194. </w:t>
      </w:r>
      <w:hyperlink r:id="rId26" w:tgtFrame="_new" w:history="1">
        <w:r w:rsidRPr="005A2668">
          <w:rPr>
            <w:rStyle w:val="Hyperlink"/>
            <w:rFonts w:ascii="Arial" w:hAnsi="Arial" w:cs="Arial"/>
            <w:color w:val="auto"/>
            <w:szCs w:val="24"/>
          </w:rPr>
          <w:t>https://doi.org/10.1016/j.iedeen.2021.100194</w:t>
        </w:r>
      </w:hyperlink>
    </w:p>
    <w:p w14:paraId="01895E7B" w14:textId="77777777" w:rsidR="006555B8" w:rsidRPr="005A2668" w:rsidRDefault="006555B8" w:rsidP="006555B8">
      <w:pPr>
        <w:jc w:val="both"/>
        <w:rPr>
          <w:rFonts w:ascii="Arial" w:hAnsi="Arial" w:cs="Arial"/>
          <w:szCs w:val="24"/>
        </w:rPr>
      </w:pPr>
      <w:r w:rsidRPr="005A2668">
        <w:rPr>
          <w:rFonts w:ascii="Arial" w:hAnsi="Arial" w:cs="Arial"/>
          <w:szCs w:val="24"/>
        </w:rPr>
        <w:t xml:space="preserve">Salamah, N.H. 2024. The influence of digital retail environment on consumer purchasing behavior: A causal study. </w:t>
      </w:r>
      <w:r w:rsidRPr="005A2668">
        <w:rPr>
          <w:rFonts w:ascii="Arial" w:hAnsi="Arial" w:cs="Arial"/>
          <w:i/>
          <w:iCs/>
          <w:szCs w:val="24"/>
        </w:rPr>
        <w:t>International Journal of Psychological Studies</w:t>
      </w:r>
      <w:r w:rsidRPr="005A2668">
        <w:rPr>
          <w:rFonts w:ascii="Arial" w:hAnsi="Arial" w:cs="Arial"/>
          <w:szCs w:val="24"/>
        </w:rPr>
        <w:t xml:space="preserve">, 16(3), p.60. </w:t>
      </w:r>
      <w:hyperlink r:id="rId27" w:tgtFrame="_new" w:history="1">
        <w:r w:rsidRPr="005A2668">
          <w:rPr>
            <w:rStyle w:val="Hyperlink"/>
            <w:rFonts w:ascii="Arial" w:hAnsi="Arial" w:cs="Arial"/>
            <w:color w:val="auto"/>
            <w:szCs w:val="24"/>
          </w:rPr>
          <w:t>https://doi.org/10.5539/ijps.v16n3p60</w:t>
        </w:r>
      </w:hyperlink>
    </w:p>
    <w:p w14:paraId="0DFA3EF2" w14:textId="77777777" w:rsidR="006555B8" w:rsidRPr="005A2668" w:rsidRDefault="006555B8" w:rsidP="006555B8">
      <w:pPr>
        <w:jc w:val="both"/>
        <w:rPr>
          <w:rFonts w:ascii="Arial" w:hAnsi="Arial" w:cs="Arial"/>
          <w:szCs w:val="24"/>
        </w:rPr>
      </w:pPr>
      <w:r w:rsidRPr="005A2668">
        <w:rPr>
          <w:rFonts w:ascii="Arial" w:hAnsi="Arial" w:cs="Arial"/>
          <w:szCs w:val="24"/>
        </w:rPr>
        <w:t xml:space="preserve">Sansome, K., Conduit, J. &amp; Wilkie, D. 2025. Consumers demand transparency… but do they actually engage? Exploring motives and interactions with brand transparency information. </w:t>
      </w:r>
      <w:r w:rsidRPr="005A2668">
        <w:rPr>
          <w:rFonts w:ascii="Arial" w:hAnsi="Arial" w:cs="Arial"/>
          <w:i/>
          <w:iCs/>
          <w:szCs w:val="24"/>
        </w:rPr>
        <w:t>Journal of Business Research</w:t>
      </w:r>
      <w:r w:rsidRPr="005A2668">
        <w:rPr>
          <w:rFonts w:ascii="Arial" w:hAnsi="Arial" w:cs="Arial"/>
          <w:szCs w:val="24"/>
        </w:rPr>
        <w:t xml:space="preserve">, 194, 115386. </w:t>
      </w:r>
      <w:hyperlink r:id="rId28" w:tgtFrame="_new" w:history="1">
        <w:r w:rsidRPr="005A2668">
          <w:rPr>
            <w:rStyle w:val="Hyperlink"/>
            <w:rFonts w:ascii="Arial" w:hAnsi="Arial" w:cs="Arial"/>
            <w:color w:val="auto"/>
            <w:szCs w:val="24"/>
          </w:rPr>
          <w:t>https://doi.org/10.1016/j.jbusres.2025.115386</w:t>
        </w:r>
      </w:hyperlink>
    </w:p>
    <w:p w14:paraId="544D8E79" w14:textId="77777777" w:rsidR="006555B8" w:rsidRPr="005A2668" w:rsidRDefault="006555B8" w:rsidP="006555B8">
      <w:pPr>
        <w:jc w:val="both"/>
        <w:rPr>
          <w:rFonts w:ascii="Arial" w:hAnsi="Arial" w:cs="Arial"/>
          <w:szCs w:val="24"/>
        </w:rPr>
      </w:pPr>
      <w:r w:rsidRPr="005A2668">
        <w:rPr>
          <w:rFonts w:ascii="Arial" w:hAnsi="Arial" w:cs="Arial"/>
          <w:szCs w:val="24"/>
        </w:rPr>
        <w:t xml:space="preserve">Wilson, G., Johnson, O. &amp; Brown, W. 2024. Exploring the impact of digital transformation on marketing strategies in the retail sector. </w:t>
      </w:r>
      <w:r w:rsidRPr="005A2668">
        <w:rPr>
          <w:rFonts w:ascii="Arial" w:hAnsi="Arial" w:cs="Arial"/>
          <w:i/>
          <w:iCs/>
          <w:szCs w:val="24"/>
        </w:rPr>
        <w:t>Preprints.org</w:t>
      </w:r>
      <w:r w:rsidRPr="005A2668">
        <w:rPr>
          <w:rFonts w:ascii="Arial" w:hAnsi="Arial" w:cs="Arial"/>
          <w:szCs w:val="24"/>
        </w:rPr>
        <w:t xml:space="preserve">, 1(2). </w:t>
      </w:r>
      <w:hyperlink r:id="rId29" w:tgtFrame="_new" w:history="1">
        <w:r w:rsidRPr="005A2668">
          <w:rPr>
            <w:rStyle w:val="Hyperlink"/>
            <w:rFonts w:ascii="Arial" w:hAnsi="Arial" w:cs="Arial"/>
            <w:color w:val="auto"/>
            <w:szCs w:val="24"/>
          </w:rPr>
          <w:t>https://doi.org/10.20944/preprints202407.2371.v1</w:t>
        </w:r>
      </w:hyperlink>
    </w:p>
    <w:p w14:paraId="3E5FA504" w14:textId="77777777" w:rsidR="006555B8" w:rsidRPr="005A2668" w:rsidRDefault="006555B8" w:rsidP="006555B8">
      <w:pPr>
        <w:jc w:val="both"/>
        <w:rPr>
          <w:rFonts w:ascii="Arial" w:hAnsi="Arial" w:cs="Arial"/>
          <w:szCs w:val="24"/>
        </w:rPr>
      </w:pPr>
      <w:r w:rsidRPr="005A2668">
        <w:rPr>
          <w:rFonts w:ascii="Arial" w:hAnsi="Arial" w:cs="Arial"/>
          <w:szCs w:val="24"/>
        </w:rPr>
        <w:t xml:space="preserve">World Economic Magazine. 2024. </w:t>
      </w:r>
      <w:r w:rsidRPr="005A2668">
        <w:rPr>
          <w:rFonts w:ascii="Arial" w:hAnsi="Arial" w:cs="Arial"/>
          <w:i/>
          <w:iCs/>
          <w:szCs w:val="24"/>
        </w:rPr>
        <w:t>The impact of consumer protection laws on business practices</w:t>
      </w:r>
      <w:r w:rsidRPr="005A2668">
        <w:rPr>
          <w:rFonts w:ascii="Arial" w:hAnsi="Arial" w:cs="Arial"/>
          <w:szCs w:val="24"/>
        </w:rPr>
        <w:t xml:space="preserve">. [online] </w:t>
      </w:r>
      <w:r w:rsidRPr="005A2668">
        <w:rPr>
          <w:rFonts w:ascii="Arial" w:hAnsi="Arial" w:cs="Arial"/>
          <w:i/>
          <w:iCs/>
          <w:szCs w:val="24"/>
        </w:rPr>
        <w:t>World Economic Magazine</w:t>
      </w:r>
      <w:r w:rsidRPr="005A2668">
        <w:rPr>
          <w:rFonts w:ascii="Arial" w:hAnsi="Arial" w:cs="Arial"/>
          <w:szCs w:val="24"/>
        </w:rPr>
        <w:t xml:space="preserve">. Available at: </w:t>
      </w:r>
      <w:hyperlink r:id="rId30" w:tgtFrame="_new" w:history="1">
        <w:r w:rsidRPr="005A2668">
          <w:rPr>
            <w:rStyle w:val="Hyperlink"/>
            <w:rFonts w:ascii="Arial" w:hAnsi="Arial" w:cs="Arial"/>
            <w:color w:val="auto"/>
            <w:szCs w:val="24"/>
          </w:rPr>
          <w:t>https://worldecomag.com/the-impact-of-consumer-protection-laws-on-business-practices/</w:t>
        </w:r>
      </w:hyperlink>
      <w:r w:rsidRPr="005A2668">
        <w:rPr>
          <w:rFonts w:ascii="Arial" w:hAnsi="Arial" w:cs="Arial"/>
          <w:szCs w:val="24"/>
        </w:rPr>
        <w:t xml:space="preserve"> [Accessed 7 November 2025].</w:t>
      </w:r>
    </w:p>
    <w:p w14:paraId="764A5F92" w14:textId="77777777" w:rsidR="006555B8" w:rsidRPr="005A2668" w:rsidRDefault="006555B8" w:rsidP="006555B8">
      <w:pPr>
        <w:jc w:val="both"/>
        <w:rPr>
          <w:rFonts w:ascii="Arial" w:hAnsi="Arial" w:cs="Arial"/>
          <w:szCs w:val="24"/>
        </w:rPr>
      </w:pPr>
    </w:p>
    <w:p w14:paraId="563F89E1" w14:textId="77777777" w:rsidR="00122384" w:rsidRPr="005A2668" w:rsidRDefault="00122384" w:rsidP="00122384">
      <w:pPr>
        <w:rPr>
          <w:rFonts w:ascii="Arial" w:hAnsi="Arial" w:cs="Arial"/>
          <w:szCs w:val="24"/>
        </w:rPr>
      </w:pPr>
    </w:p>
    <w:sectPr w:rsidR="00122384" w:rsidRPr="005A266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ED817A" w14:textId="77777777" w:rsidR="002E6E27" w:rsidRDefault="002E6E27" w:rsidP="00773BD5">
      <w:pPr>
        <w:spacing w:after="0" w:line="240" w:lineRule="auto"/>
      </w:pPr>
      <w:r>
        <w:separator/>
      </w:r>
    </w:p>
  </w:endnote>
  <w:endnote w:type="continuationSeparator" w:id="0">
    <w:p w14:paraId="010E9A9B" w14:textId="77777777" w:rsidR="002E6E27" w:rsidRDefault="002E6E27" w:rsidP="00773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5510178"/>
      <w:docPartObj>
        <w:docPartGallery w:val="Page Numbers (Bottom of Page)"/>
        <w:docPartUnique/>
      </w:docPartObj>
    </w:sdtPr>
    <w:sdtEndPr/>
    <w:sdtContent>
      <w:p w14:paraId="78580617" w14:textId="56024F24" w:rsidR="00773BD5" w:rsidRDefault="00773BD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E77EEA2" w14:textId="77777777" w:rsidR="00773BD5" w:rsidRDefault="00773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254A9" w14:textId="77777777" w:rsidR="002E6E27" w:rsidRDefault="002E6E27" w:rsidP="00773BD5">
      <w:pPr>
        <w:spacing w:after="0" w:line="240" w:lineRule="auto"/>
      </w:pPr>
      <w:r>
        <w:separator/>
      </w:r>
    </w:p>
  </w:footnote>
  <w:footnote w:type="continuationSeparator" w:id="0">
    <w:p w14:paraId="1A17CFAF" w14:textId="77777777" w:rsidR="002E6E27" w:rsidRDefault="002E6E27" w:rsidP="00773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651ED"/>
    <w:multiLevelType w:val="hybridMultilevel"/>
    <w:tmpl w:val="8D56B2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E267F4"/>
    <w:multiLevelType w:val="hybridMultilevel"/>
    <w:tmpl w:val="9258D3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415053"/>
    <w:multiLevelType w:val="hybridMultilevel"/>
    <w:tmpl w:val="797C2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D671ACB"/>
    <w:multiLevelType w:val="hybridMultilevel"/>
    <w:tmpl w:val="14F08F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5B367C"/>
    <w:multiLevelType w:val="hybridMultilevel"/>
    <w:tmpl w:val="EB9697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6F3"/>
    <w:rsid w:val="0001418A"/>
    <w:rsid w:val="0003208E"/>
    <w:rsid w:val="000354A6"/>
    <w:rsid w:val="000A3384"/>
    <w:rsid w:val="000C50C2"/>
    <w:rsid w:val="000F1C16"/>
    <w:rsid w:val="00112033"/>
    <w:rsid w:val="00122384"/>
    <w:rsid w:val="00166827"/>
    <w:rsid w:val="00171290"/>
    <w:rsid w:val="001A7CC5"/>
    <w:rsid w:val="001B7C5D"/>
    <w:rsid w:val="001C0C8C"/>
    <w:rsid w:val="001C5A9A"/>
    <w:rsid w:val="001D7D01"/>
    <w:rsid w:val="00206EF6"/>
    <w:rsid w:val="00273ABB"/>
    <w:rsid w:val="0028527D"/>
    <w:rsid w:val="002E6E27"/>
    <w:rsid w:val="003051C6"/>
    <w:rsid w:val="0031117B"/>
    <w:rsid w:val="00311993"/>
    <w:rsid w:val="00313620"/>
    <w:rsid w:val="003137FF"/>
    <w:rsid w:val="003750EE"/>
    <w:rsid w:val="00384BA6"/>
    <w:rsid w:val="003A01D9"/>
    <w:rsid w:val="003D7B0C"/>
    <w:rsid w:val="00403C6F"/>
    <w:rsid w:val="00453535"/>
    <w:rsid w:val="0046207B"/>
    <w:rsid w:val="0049114B"/>
    <w:rsid w:val="004A019C"/>
    <w:rsid w:val="004B3CA0"/>
    <w:rsid w:val="00502F0A"/>
    <w:rsid w:val="005037E3"/>
    <w:rsid w:val="00504630"/>
    <w:rsid w:val="0052055B"/>
    <w:rsid w:val="00532F2A"/>
    <w:rsid w:val="0055507C"/>
    <w:rsid w:val="00573CED"/>
    <w:rsid w:val="00576C58"/>
    <w:rsid w:val="005A2668"/>
    <w:rsid w:val="005B67F7"/>
    <w:rsid w:val="00602E04"/>
    <w:rsid w:val="00614FEF"/>
    <w:rsid w:val="006365E2"/>
    <w:rsid w:val="00643790"/>
    <w:rsid w:val="006555B8"/>
    <w:rsid w:val="00662519"/>
    <w:rsid w:val="006627E3"/>
    <w:rsid w:val="00667BDF"/>
    <w:rsid w:val="00697B57"/>
    <w:rsid w:val="006D4F2B"/>
    <w:rsid w:val="006D56C0"/>
    <w:rsid w:val="006F7E68"/>
    <w:rsid w:val="007041EE"/>
    <w:rsid w:val="00710178"/>
    <w:rsid w:val="007129DC"/>
    <w:rsid w:val="007211E3"/>
    <w:rsid w:val="0073559B"/>
    <w:rsid w:val="00761DC6"/>
    <w:rsid w:val="00773BD5"/>
    <w:rsid w:val="007902B1"/>
    <w:rsid w:val="007C06A3"/>
    <w:rsid w:val="007D44B9"/>
    <w:rsid w:val="00802E4C"/>
    <w:rsid w:val="00820272"/>
    <w:rsid w:val="0084039E"/>
    <w:rsid w:val="00840EC1"/>
    <w:rsid w:val="0084710B"/>
    <w:rsid w:val="00851CC1"/>
    <w:rsid w:val="0087054E"/>
    <w:rsid w:val="00883D5A"/>
    <w:rsid w:val="00892EA2"/>
    <w:rsid w:val="008A29E6"/>
    <w:rsid w:val="008E6146"/>
    <w:rsid w:val="00916EF8"/>
    <w:rsid w:val="00935C43"/>
    <w:rsid w:val="009545BA"/>
    <w:rsid w:val="009707A7"/>
    <w:rsid w:val="00993184"/>
    <w:rsid w:val="009A46F3"/>
    <w:rsid w:val="009B7198"/>
    <w:rsid w:val="009C61AA"/>
    <w:rsid w:val="009C642B"/>
    <w:rsid w:val="009E05DA"/>
    <w:rsid w:val="00A024B6"/>
    <w:rsid w:val="00A07FEF"/>
    <w:rsid w:val="00A24D0C"/>
    <w:rsid w:val="00A83B52"/>
    <w:rsid w:val="00A8589B"/>
    <w:rsid w:val="00A9381A"/>
    <w:rsid w:val="00A96DD2"/>
    <w:rsid w:val="00AB0569"/>
    <w:rsid w:val="00AB5FBE"/>
    <w:rsid w:val="00AD61DA"/>
    <w:rsid w:val="00AE548F"/>
    <w:rsid w:val="00AF4A4A"/>
    <w:rsid w:val="00B07F27"/>
    <w:rsid w:val="00B248E9"/>
    <w:rsid w:val="00B31874"/>
    <w:rsid w:val="00B77914"/>
    <w:rsid w:val="00BA27FA"/>
    <w:rsid w:val="00BB57BB"/>
    <w:rsid w:val="00BC006A"/>
    <w:rsid w:val="00BF29AF"/>
    <w:rsid w:val="00C10D80"/>
    <w:rsid w:val="00C330BA"/>
    <w:rsid w:val="00C51432"/>
    <w:rsid w:val="00C56698"/>
    <w:rsid w:val="00C5720F"/>
    <w:rsid w:val="00C60D20"/>
    <w:rsid w:val="00C820C6"/>
    <w:rsid w:val="00C96D85"/>
    <w:rsid w:val="00CB4CC5"/>
    <w:rsid w:val="00CE4CA2"/>
    <w:rsid w:val="00D170F4"/>
    <w:rsid w:val="00D26F45"/>
    <w:rsid w:val="00D83CD8"/>
    <w:rsid w:val="00DB48D8"/>
    <w:rsid w:val="00DF431B"/>
    <w:rsid w:val="00DF753E"/>
    <w:rsid w:val="00E35CCB"/>
    <w:rsid w:val="00E5624A"/>
    <w:rsid w:val="00E57749"/>
    <w:rsid w:val="00E61EA5"/>
    <w:rsid w:val="00E8673D"/>
    <w:rsid w:val="00F21F2E"/>
    <w:rsid w:val="00F366E5"/>
    <w:rsid w:val="00F80332"/>
    <w:rsid w:val="00FD39C3"/>
    <w:rsid w:val="00FE28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BCFD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D20"/>
    <w:pPr>
      <w:spacing w:line="360" w:lineRule="auto"/>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3051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31874"/>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FD39C3"/>
    <w:pPr>
      <w:keepNext/>
      <w:keepLines/>
      <w:spacing w:before="40" w:after="0"/>
      <w:jc w:val="both"/>
      <w:outlineLvl w:val="2"/>
    </w:pPr>
    <w:rPr>
      <w:rFonts w:eastAsiaTheme="majorEastAsia" w:cstheme="majorBidi"/>
      <w:b/>
      <w:color w:val="1F3763" w:themeColor="accent1" w:themeShade="7F"/>
      <w:sz w:val="26"/>
      <w:szCs w:val="24"/>
    </w:rPr>
  </w:style>
  <w:style w:type="paragraph" w:styleId="Heading4">
    <w:name w:val="heading 4"/>
    <w:basedOn w:val="Normal"/>
    <w:next w:val="Normal"/>
    <w:link w:val="Heading4Char"/>
    <w:uiPriority w:val="9"/>
    <w:semiHidden/>
    <w:unhideWhenUsed/>
    <w:qFormat/>
    <w:rsid w:val="009A46F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46F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A46F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A46F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A46F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46F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1C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1874"/>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FD39C3"/>
    <w:rPr>
      <w:rFonts w:ascii="Times New Roman" w:eastAsiaTheme="majorEastAsia" w:hAnsi="Times New Roman" w:cstheme="majorBidi"/>
      <w:b/>
      <w:color w:val="1F3763" w:themeColor="accent1" w:themeShade="7F"/>
      <w:sz w:val="26"/>
      <w:szCs w:val="24"/>
    </w:rPr>
  </w:style>
  <w:style w:type="character" w:customStyle="1" w:styleId="Heading4Char">
    <w:name w:val="Heading 4 Char"/>
    <w:basedOn w:val="DefaultParagraphFont"/>
    <w:link w:val="Heading4"/>
    <w:uiPriority w:val="9"/>
    <w:semiHidden/>
    <w:rsid w:val="009A46F3"/>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9A46F3"/>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9A46F3"/>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A46F3"/>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A46F3"/>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A46F3"/>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9A4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6F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A46F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6F3"/>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A46F3"/>
    <w:pPr>
      <w:spacing w:before="160"/>
      <w:jc w:val="center"/>
    </w:pPr>
    <w:rPr>
      <w:i/>
      <w:iCs/>
      <w:color w:val="404040" w:themeColor="text1" w:themeTint="BF"/>
    </w:rPr>
  </w:style>
  <w:style w:type="character" w:customStyle="1" w:styleId="QuoteChar">
    <w:name w:val="Quote Char"/>
    <w:basedOn w:val="DefaultParagraphFont"/>
    <w:link w:val="Quote"/>
    <w:uiPriority w:val="29"/>
    <w:rsid w:val="009A46F3"/>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9A46F3"/>
    <w:pPr>
      <w:ind w:left="720"/>
      <w:contextualSpacing/>
    </w:pPr>
  </w:style>
  <w:style w:type="character" w:styleId="IntenseEmphasis">
    <w:name w:val="Intense Emphasis"/>
    <w:basedOn w:val="DefaultParagraphFont"/>
    <w:uiPriority w:val="21"/>
    <w:qFormat/>
    <w:rsid w:val="009A46F3"/>
    <w:rPr>
      <w:i/>
      <w:iCs/>
      <w:color w:val="2F5496" w:themeColor="accent1" w:themeShade="BF"/>
    </w:rPr>
  </w:style>
  <w:style w:type="paragraph" w:styleId="IntenseQuote">
    <w:name w:val="Intense Quote"/>
    <w:basedOn w:val="Normal"/>
    <w:next w:val="Normal"/>
    <w:link w:val="IntenseQuoteChar"/>
    <w:uiPriority w:val="30"/>
    <w:qFormat/>
    <w:rsid w:val="009A46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46F3"/>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9A46F3"/>
    <w:rPr>
      <w:b/>
      <w:bCs/>
      <w:smallCaps/>
      <w:color w:val="2F5496" w:themeColor="accent1" w:themeShade="BF"/>
      <w:spacing w:val="5"/>
    </w:rPr>
  </w:style>
  <w:style w:type="table" w:styleId="TableGrid">
    <w:name w:val="Table Grid"/>
    <w:basedOn w:val="TableNormal"/>
    <w:uiPriority w:val="39"/>
    <w:rsid w:val="00662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55B8"/>
    <w:rPr>
      <w:color w:val="0563C1" w:themeColor="hyperlink"/>
      <w:u w:val="single"/>
    </w:rPr>
  </w:style>
  <w:style w:type="paragraph" w:styleId="TOCHeading">
    <w:name w:val="TOC Heading"/>
    <w:basedOn w:val="Heading1"/>
    <w:next w:val="Normal"/>
    <w:uiPriority w:val="39"/>
    <w:unhideWhenUsed/>
    <w:qFormat/>
    <w:rsid w:val="00883D5A"/>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883D5A"/>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883D5A"/>
    <w:pPr>
      <w:spacing w:after="100"/>
      <w:ind w:left="240"/>
    </w:pPr>
  </w:style>
  <w:style w:type="paragraph" w:styleId="TOC3">
    <w:name w:val="toc 3"/>
    <w:basedOn w:val="Normal"/>
    <w:next w:val="Normal"/>
    <w:autoRedefine/>
    <w:uiPriority w:val="39"/>
    <w:unhideWhenUsed/>
    <w:rsid w:val="00883D5A"/>
    <w:pPr>
      <w:spacing w:after="100"/>
      <w:ind w:left="480"/>
    </w:pPr>
  </w:style>
  <w:style w:type="paragraph" w:styleId="Header">
    <w:name w:val="header"/>
    <w:basedOn w:val="Normal"/>
    <w:link w:val="HeaderChar"/>
    <w:uiPriority w:val="99"/>
    <w:unhideWhenUsed/>
    <w:rsid w:val="00773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BD5"/>
    <w:rPr>
      <w:rFonts w:ascii="Times New Roman" w:hAnsi="Times New Roman"/>
      <w:kern w:val="0"/>
      <w:sz w:val="24"/>
      <w14:ligatures w14:val="none"/>
    </w:rPr>
  </w:style>
  <w:style w:type="paragraph" w:styleId="Footer">
    <w:name w:val="footer"/>
    <w:basedOn w:val="Normal"/>
    <w:link w:val="FooterChar"/>
    <w:uiPriority w:val="99"/>
    <w:unhideWhenUsed/>
    <w:rsid w:val="00773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BD5"/>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477311">
      <w:bodyDiv w:val="1"/>
      <w:marLeft w:val="0"/>
      <w:marRight w:val="0"/>
      <w:marTop w:val="0"/>
      <w:marBottom w:val="0"/>
      <w:divBdr>
        <w:top w:val="none" w:sz="0" w:space="0" w:color="auto"/>
        <w:left w:val="none" w:sz="0" w:space="0" w:color="auto"/>
        <w:bottom w:val="none" w:sz="0" w:space="0" w:color="auto"/>
        <w:right w:val="none" w:sz="0" w:space="0" w:color="auto"/>
      </w:divBdr>
    </w:div>
    <w:div w:id="97741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pmg.com/xx/en/our-insights/risk-and-regulation/top-risks-forecast/consumer-and-retail-top-risks-forecast.html" TargetMode="External"/><Relationship Id="rId18" Type="http://schemas.openxmlformats.org/officeDocument/2006/relationships/hyperlink" Target="https://bytebridge.medium.com/comprehensive-report-on-samsung-ff60e8c74f03" TargetMode="External"/><Relationship Id="rId26" Type="http://schemas.openxmlformats.org/officeDocument/2006/relationships/hyperlink" Target="https://doi.org/10.1016/j.iedeen.2021.100194" TargetMode="External"/><Relationship Id="rId3" Type="http://schemas.openxmlformats.org/officeDocument/2006/relationships/styles" Target="styles.xml"/><Relationship Id="rId21" Type="http://schemas.openxmlformats.org/officeDocument/2006/relationships/hyperlink" Target="https://doi.org/10.1177/0008125617727748" TargetMode="External"/><Relationship Id="rId7" Type="http://schemas.openxmlformats.org/officeDocument/2006/relationships/endnotes" Target="endnotes.xml"/><Relationship Id="rId12" Type="http://schemas.openxmlformats.org/officeDocument/2006/relationships/hyperlink" Target="https://doi.org/10.1016/j.spc.2022.01.012" TargetMode="External"/><Relationship Id="rId17" Type="http://schemas.openxmlformats.org/officeDocument/2006/relationships/hyperlink" Target="https://www.researchgate.net/publication/366057251_Sustainable_and_Clean_Energy_The_Case_of_Tesla_Company" TargetMode="External"/><Relationship Id="rId25" Type="http://schemas.openxmlformats.org/officeDocument/2006/relationships/hyperlink" Target="https://doi.org/10.1016/j.indmarman.2018.06.00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7992/ijcsbe.2581.6942.0360" TargetMode="External"/><Relationship Id="rId20" Type="http://schemas.openxmlformats.org/officeDocument/2006/relationships/hyperlink" Target="https://doi.org/10.6007/ijarbss/v13-i12/19723" TargetMode="External"/><Relationship Id="rId29" Type="http://schemas.openxmlformats.org/officeDocument/2006/relationships/hyperlink" Target="https://doi.org/10.20944/preprints202407.2371.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22.06.010" TargetMode="External"/><Relationship Id="rId24" Type="http://schemas.openxmlformats.org/officeDocument/2006/relationships/hyperlink" Target="https://doi.org/10.1155/2020/231465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10864415.2021.1967005" TargetMode="External"/><Relationship Id="rId23" Type="http://schemas.openxmlformats.org/officeDocument/2006/relationships/hyperlink" Target="https://www.researchgate.net/publication/381697872_Content_marketing_is_a_strategic_marketing_approach_focused_on_creating_and_distributing_valuable_relevant_and_consistent_content_to_attract_and_retain_a_clearly_defined_audience_ultimately_aiming_to" TargetMode="External"/><Relationship Id="rId28" Type="http://schemas.openxmlformats.org/officeDocument/2006/relationships/hyperlink" Target="https://doi.org/10.1016/j.jbusres.2025.115386" TargetMode="External"/><Relationship Id="rId10" Type="http://schemas.openxmlformats.org/officeDocument/2006/relationships/hyperlink" Target="https://doi.org/10.1016/j.jbusres.2021.10.037" TargetMode="External"/><Relationship Id="rId19" Type="http://schemas.openxmlformats.org/officeDocument/2006/relationships/hyperlink" Target="https://shahmm.medium.com/niche-targeting-101-strategies-for-standing-out-in-a-crowded-market-565c9ffb61dc"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50041156_Political_Stability_and_Trade_Agreements" TargetMode="External"/><Relationship Id="rId14" Type="http://schemas.openxmlformats.org/officeDocument/2006/relationships/hyperlink" Target="https://doi.org/10.1016/j.earscirev.2021.103603" TargetMode="External"/><Relationship Id="rId22" Type="http://schemas.openxmlformats.org/officeDocument/2006/relationships/hyperlink" Target="https://doi.org/10.1016/j.ijresmar.2023.11.001" TargetMode="External"/><Relationship Id="rId27" Type="http://schemas.openxmlformats.org/officeDocument/2006/relationships/hyperlink" Target="https://doi.org/10.5539/ijps.v16n3p60" TargetMode="External"/><Relationship Id="rId30" Type="http://schemas.openxmlformats.org/officeDocument/2006/relationships/hyperlink" Target="https://worldecomag.com/the-impact-of-consumer-protection-laws-on-business-practic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FE1CD-781A-4D88-A3ED-65160D9C3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4666</Words>
  <Characters>26599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2025-11-07T04:56:00Z</dcterms:created>
  <dcterms:modified xsi:type="dcterms:W3CDTF">2025-11-19T12:25:00Z</dcterms:modified>
</cp:coreProperties>
</file>