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F6055" w14:textId="77777777" w:rsidR="00A01F12" w:rsidRPr="00935736" w:rsidRDefault="00000000">
      <w:pPr>
        <w:pStyle w:val="Heading1"/>
        <w:rPr>
          <w:sz w:val="24"/>
          <w:szCs w:val="24"/>
        </w:rPr>
      </w:pPr>
      <w:bookmarkStart w:id="0" w:name="title-page"/>
      <w:r>
        <w:t>TITLE PAGE</w:t>
      </w:r>
    </w:p>
    <w:p w14:paraId="4F62A251" w14:textId="77777777" w:rsidR="000A0EE4" w:rsidRPr="000A0EE4" w:rsidRDefault="00000000" w:rsidP="000A0EE4">
      <w:pPr>
        <w:pStyle w:val="FirstParagraph"/>
        <w:rPr>
          <w:b/>
          <w:bCs/>
          <w:lang w:val="en-GB"/>
        </w:rPr>
      </w:pPr>
      <w:r>
        <w:rPr>
          <w:b/>
          <w:bCs/>
        </w:rPr>
        <w:t>University:</w:t>
      </w:r>
      <w:r>
        <w:t xml:space="preserve"> </w:t>
      </w:r>
      <w:r w:rsidR="000A0EE4" w:rsidRPr="000A0EE4">
        <w:rPr>
          <w:b/>
          <w:bCs/>
          <w:lang w:val="en-GB"/>
        </w:rPr>
        <w:t>University of Wales Trinity Saint David</w:t>
      </w:r>
    </w:p>
    <w:p w14:paraId="13AF75F9" w14:textId="15F9CE34" w:rsidR="00A01F12" w:rsidRDefault="00A01F12">
      <w:pPr>
        <w:pStyle w:val="FirstParagraph"/>
      </w:pPr>
    </w:p>
    <w:p w14:paraId="4D4D83CF" w14:textId="77777777" w:rsidR="00A01F12" w:rsidRDefault="00000000">
      <w:pPr>
        <w:pStyle w:val="BodyText"/>
      </w:pPr>
      <w:proofErr w:type="spellStart"/>
      <w:r>
        <w:rPr>
          <w:b/>
          <w:bCs/>
        </w:rPr>
        <w:t>Programme</w:t>
      </w:r>
      <w:proofErr w:type="spellEnd"/>
      <w:r>
        <w:rPr>
          <w:b/>
          <w:bCs/>
        </w:rPr>
        <w:t>:</w:t>
      </w:r>
      <w:r>
        <w:t xml:space="preserve"> Master of Business Administration (MBA)</w:t>
      </w:r>
    </w:p>
    <w:p w14:paraId="31C67870" w14:textId="77777777" w:rsidR="00A01F12" w:rsidRPr="00935736" w:rsidRDefault="00000000" w:rsidP="00935736">
      <w:pPr>
        <w:pStyle w:val="BodyText"/>
      </w:pPr>
      <w:r>
        <w:rPr>
          <w:b/>
          <w:bCs/>
        </w:rPr>
        <w:t>Module:</w:t>
      </w:r>
      <w:r>
        <w:t xml:space="preserve"> Financial Management</w:t>
      </w:r>
    </w:p>
    <w:p w14:paraId="26072B2B" w14:textId="77777777" w:rsidR="00A01F12" w:rsidRDefault="00000000">
      <w:pPr>
        <w:pStyle w:val="BodyText"/>
      </w:pPr>
      <w:r>
        <w:rPr>
          <w:b/>
          <w:bCs/>
        </w:rPr>
        <w:t>Module Code:</w:t>
      </w:r>
      <w:r>
        <w:t xml:space="preserve"> LCMB7002</w:t>
      </w:r>
    </w:p>
    <w:p w14:paraId="7C0FD939" w14:textId="77777777" w:rsidR="00A01F12" w:rsidRDefault="00000000">
      <w:pPr>
        <w:pStyle w:val="BodyText"/>
      </w:pPr>
      <w:r>
        <w:rPr>
          <w:b/>
          <w:bCs/>
        </w:rPr>
        <w:t>Assessment Title:</w:t>
      </w:r>
      <w:r>
        <w:t xml:space="preserve"> Strategic CFO Challenge – Tesla</w:t>
      </w:r>
    </w:p>
    <w:p w14:paraId="070D604A" w14:textId="083EBD7A" w:rsidR="00A01F12" w:rsidRDefault="00000000">
      <w:pPr>
        <w:pStyle w:val="BodyText"/>
      </w:pPr>
      <w:r>
        <w:rPr>
          <w:b/>
          <w:bCs/>
        </w:rPr>
        <w:t>Student Name:</w:t>
      </w:r>
      <w:r>
        <w:t xml:space="preserve"> </w:t>
      </w:r>
      <w:proofErr w:type="spellStart"/>
      <w:r w:rsidR="000A0EE4">
        <w:t>Vrenicu</w:t>
      </w:r>
      <w:proofErr w:type="spellEnd"/>
      <w:r w:rsidR="000A0EE4">
        <w:t xml:space="preserve"> Beatrice Daniela</w:t>
      </w:r>
    </w:p>
    <w:p w14:paraId="27339EAC" w14:textId="719244EB" w:rsidR="00A01F12" w:rsidRDefault="00000000">
      <w:pPr>
        <w:pStyle w:val="BodyText"/>
      </w:pPr>
      <w:r>
        <w:rPr>
          <w:b/>
          <w:bCs/>
        </w:rPr>
        <w:t>Student ID:</w:t>
      </w:r>
      <w:r>
        <w:t xml:space="preserve"> </w:t>
      </w:r>
      <w:r w:rsidR="000A0EE4">
        <w:t>3335538</w:t>
      </w:r>
    </w:p>
    <w:p w14:paraId="025AF146" w14:textId="77777777" w:rsidR="00A01F12" w:rsidRDefault="00000000">
      <w:pPr>
        <w:pStyle w:val="BodyText"/>
      </w:pPr>
      <w:r>
        <w:rPr>
          <w:b/>
          <w:bCs/>
        </w:rPr>
        <w:t>Lecturer:</w:t>
      </w:r>
      <w:r>
        <w:t xml:space="preserve"> </w:t>
      </w:r>
      <w:proofErr w:type="spellStart"/>
      <w:r>
        <w:t>Shengfeng</w:t>
      </w:r>
      <w:proofErr w:type="spellEnd"/>
      <w:r>
        <w:t xml:space="preserve"> Mei / Patrick Yeboah</w:t>
      </w:r>
    </w:p>
    <w:p w14:paraId="75E6B429" w14:textId="77777777" w:rsidR="00A01F12" w:rsidRDefault="00000000">
      <w:pPr>
        <w:pStyle w:val="BodyText"/>
      </w:pPr>
      <w:r>
        <w:rPr>
          <w:b/>
          <w:bCs/>
        </w:rPr>
        <w:t>Word Count:</w:t>
      </w:r>
      <w:r>
        <w:t xml:space="preserve"> ~5000</w:t>
      </w:r>
    </w:p>
    <w:p w14:paraId="2E9A8FC5" w14:textId="7879A900" w:rsidR="00A01F12" w:rsidRDefault="00000000">
      <w:pPr>
        <w:pStyle w:val="BodyText"/>
      </w:pPr>
      <w:r>
        <w:rPr>
          <w:b/>
          <w:bCs/>
        </w:rPr>
        <w:t>Submission Date:</w:t>
      </w:r>
      <w:r>
        <w:t xml:space="preserve"> </w:t>
      </w:r>
      <w:r w:rsidR="00F962C5">
        <w:t>29.03.2026</w:t>
      </w:r>
    </w:p>
    <w:p w14:paraId="7A8A4152" w14:textId="233914C8" w:rsidR="00A01F12" w:rsidRDefault="00000000">
      <w:r>
        <w:pict w14:anchorId="7668A5C2">
          <v:rect id="_x0000_i1025" style="width:425.9pt;height:.05pt" o:hrpct="910" o:hralign="center" o:hrstd="t" o:hr="t"/>
        </w:pict>
      </w:r>
    </w:p>
    <w:p w14:paraId="24F8CEF1" w14:textId="77777777" w:rsidR="00A01F12" w:rsidRPr="00FA44DA" w:rsidRDefault="00000000">
      <w:pPr>
        <w:pStyle w:val="Heading1"/>
        <w:rPr>
          <w:b/>
          <w:bCs/>
        </w:rPr>
      </w:pPr>
      <w:bookmarkStart w:id="1" w:name="strategic-cfo-challenge-tesla"/>
      <w:bookmarkEnd w:id="0"/>
      <w:r w:rsidRPr="00FA44DA">
        <w:rPr>
          <w:b/>
          <w:bCs/>
        </w:rPr>
        <w:t>STRATEGIC CFO CHALLENGE – TESLA</w:t>
      </w:r>
    </w:p>
    <w:p w14:paraId="2DADD8FD" w14:textId="016A2BDE" w:rsidR="00935736" w:rsidRPr="00FA44DA" w:rsidRDefault="00000000" w:rsidP="00935736">
      <w:pPr>
        <w:pStyle w:val="Heading2"/>
        <w:numPr>
          <w:ilvl w:val="0"/>
          <w:numId w:val="2"/>
        </w:numPr>
        <w:rPr>
          <w:b/>
          <w:bCs/>
          <w:i/>
          <w:iCs/>
        </w:rPr>
      </w:pPr>
      <w:bookmarkStart w:id="2" w:name="introduction"/>
      <w:r w:rsidRPr="00FA44DA">
        <w:rPr>
          <w:b/>
          <w:bCs/>
          <w:i/>
          <w:iCs/>
        </w:rPr>
        <w:t>Introduction</w:t>
      </w:r>
    </w:p>
    <w:p w14:paraId="34E1CC4F" w14:textId="3CDE0D37" w:rsidR="00907AD6" w:rsidRPr="00935736" w:rsidRDefault="00907AD6" w:rsidP="00935736">
      <w:r w:rsidRPr="00935736">
        <w:rPr>
          <w:sz w:val="32"/>
          <w:szCs w:val="32"/>
        </w:rPr>
        <w:t xml:space="preserve"> </w:t>
      </w:r>
      <w:r w:rsidRPr="00935736">
        <w:t xml:space="preserve">The world automotive industry is currently at a critical juncture, with the shift from conventional internal combustion engines to electric vehicles (EVs) significantly altering the structure of the industry. This is primarily driven by environmental concerns, government regulations, and rapid innovation. Various governments are introducing regulations to reduce emissions, while people are becoming increasingly environmentally conscious about their modes of transport. This has led to an exponential growth trend in EVs. Amongst other players, Tesla is at the forefront of the shift, significantly altering the automotive industry with its innovation, integration, and brand. This is </w:t>
      </w:r>
      <w:proofErr w:type="gramStart"/>
      <w:r w:rsidRPr="00935736">
        <w:t>due to the fact that</w:t>
      </w:r>
      <w:proofErr w:type="gramEnd"/>
      <w:r w:rsidRPr="00935736">
        <w:t xml:space="preserve"> it is not an ordinary automotive company, with conventional competition, but has achieved a significant competitive advantage by integrating software, energy, and automotive. This, however, has led to financial issues, including capital expenditure and volatility. This report </w:t>
      </w:r>
      <w:proofErr w:type="gramStart"/>
      <w:r w:rsidRPr="00935736">
        <w:t>is</w:t>
      </w:r>
      <w:proofErr w:type="gramEnd"/>
      <w:r w:rsidRPr="00935736">
        <w:t xml:space="preserve"> prepared with the role of Chief Financial Officer (CFO) with the aim of evaluating the financial </w:t>
      </w:r>
      <w:r w:rsidRPr="00935736">
        <w:lastRenderedPageBreak/>
        <w:t xml:space="preserve">position of Tesla over the last five years. It will undergo a financial health check, financial restructuring, and investment decisions with the application of capital budgeting techniques. This will ensure that the recommendations made are financially sound, with theoretical and data-driven support. </w:t>
      </w:r>
    </w:p>
    <w:p w14:paraId="5567C019" w14:textId="77777777" w:rsidR="00907AD6" w:rsidRPr="00935736" w:rsidRDefault="00907AD6" w:rsidP="00935736">
      <w:r w:rsidRPr="00935736">
        <w:t xml:space="preserve">Role and Responsibility: CFO  </w:t>
      </w:r>
    </w:p>
    <w:p w14:paraId="08417147" w14:textId="77777777" w:rsidR="00907AD6" w:rsidRPr="00935736" w:rsidRDefault="00907AD6" w:rsidP="00935736">
      <w:r w:rsidRPr="00935736">
        <w:t xml:space="preserve">Financial Analysis:  </w:t>
      </w:r>
    </w:p>
    <w:p w14:paraId="51A35D60" w14:textId="77777777" w:rsidR="00907AD6" w:rsidRPr="00935736" w:rsidRDefault="00907AD6" w:rsidP="00935736">
      <w:r w:rsidRPr="00935736">
        <w:t xml:space="preserve">Financial Restructuring:  </w:t>
      </w:r>
    </w:p>
    <w:p w14:paraId="034208A4" w14:textId="77777777" w:rsidR="00907AD6" w:rsidRPr="00935736" w:rsidRDefault="00907AD6" w:rsidP="00935736">
      <w:r w:rsidRPr="00935736">
        <w:t xml:space="preserve">Capital Budgeting Techniques:  </w:t>
      </w:r>
    </w:p>
    <w:p w14:paraId="17522A1D" w14:textId="77777777" w:rsidR="00907AD6" w:rsidRPr="00935736" w:rsidRDefault="00907AD6" w:rsidP="00935736">
      <w:r w:rsidRPr="00935736">
        <w:t xml:space="preserve">Recommendations:  </w:t>
      </w:r>
    </w:p>
    <w:p w14:paraId="4626464C" w14:textId="77777777" w:rsidR="00907AD6" w:rsidRPr="00935736" w:rsidRDefault="00907AD6" w:rsidP="00935736">
      <w:r w:rsidRPr="00935736">
        <w:t xml:space="preserve">Conclusion:  </w:t>
      </w:r>
    </w:p>
    <w:p w14:paraId="45639F16" w14:textId="77777777" w:rsidR="00907AD6" w:rsidRDefault="00907AD6" w:rsidP="00907AD6">
      <w:pPr>
        <w:pStyle w:val="Heading2"/>
      </w:pPr>
    </w:p>
    <w:p w14:paraId="19DAE1CA" w14:textId="77777777" w:rsidR="00907AD6" w:rsidRDefault="00907AD6" w:rsidP="00935736">
      <w:pPr>
        <w:pStyle w:val="Abstract"/>
      </w:pPr>
      <w:r>
        <w:t xml:space="preserve">The role of the CFO is to oversee the financial activities of an organization. In this report, it is prepared with the role of CFO with the aim of evaluating the financial position of Tesla over the last five years. This will be done by performing a financial health check, financial restructuring, and investment decisions with the application of capital budgeting techniques. This will ensure that the recommendations made are financially sound, with theoretical and data-driven support. </w:t>
      </w:r>
    </w:p>
    <w:p w14:paraId="7D14D134" w14:textId="77777777" w:rsidR="00907AD6" w:rsidRDefault="00907AD6" w:rsidP="00935736">
      <w:pPr>
        <w:pStyle w:val="Abstract"/>
      </w:pPr>
      <w:r>
        <w:t xml:space="preserve">Role and Responsibility: CFO  </w:t>
      </w:r>
    </w:p>
    <w:p w14:paraId="22AABB64" w14:textId="77777777" w:rsidR="00907AD6" w:rsidRDefault="00907AD6" w:rsidP="00935736">
      <w:pPr>
        <w:pStyle w:val="Abstract"/>
      </w:pPr>
      <w:r>
        <w:t xml:space="preserve">Financial Analysis:  </w:t>
      </w:r>
    </w:p>
    <w:p w14:paraId="0AE3BCC7" w14:textId="77777777" w:rsidR="00907AD6" w:rsidRDefault="00907AD6" w:rsidP="00935736">
      <w:pPr>
        <w:pStyle w:val="Abstract"/>
      </w:pPr>
      <w:r>
        <w:t xml:space="preserve">Financial Restructuring:  </w:t>
      </w:r>
    </w:p>
    <w:p w14:paraId="7827B99B" w14:textId="5DCDE2C7" w:rsidR="00A01F12" w:rsidRDefault="00907AD6" w:rsidP="00935736">
      <w:pPr>
        <w:pStyle w:val="Abstract"/>
      </w:pPr>
      <w:r>
        <w:t>Capital Budgeting Techniques:</w:t>
      </w:r>
    </w:p>
    <w:p w14:paraId="01A4F3B6" w14:textId="77777777" w:rsidR="00A01F12" w:rsidRDefault="00000000">
      <w:r>
        <w:pict w14:anchorId="27AC0B66">
          <v:rect id="_x0000_i1026" style="width:0;height:1.5pt" o:hralign="center" o:hrstd="t" o:hr="t"/>
        </w:pict>
      </w:r>
    </w:p>
    <w:p w14:paraId="30262BB0" w14:textId="77777777" w:rsidR="00A01F12" w:rsidRPr="00FA44DA" w:rsidRDefault="00000000" w:rsidP="00FA44DA">
      <w:pPr>
        <w:pStyle w:val="Abstract"/>
        <w:rPr>
          <w:sz w:val="32"/>
          <w:szCs w:val="32"/>
        </w:rPr>
      </w:pPr>
      <w:bookmarkStart w:id="3" w:name="financial-health-check"/>
      <w:bookmarkEnd w:id="2"/>
      <w:r>
        <w:t>2</w:t>
      </w:r>
      <w:r w:rsidRPr="00FA44DA">
        <w:rPr>
          <w:sz w:val="32"/>
          <w:szCs w:val="32"/>
        </w:rPr>
        <w:t>. Financial Health Check</w:t>
      </w:r>
    </w:p>
    <w:p w14:paraId="4366DCF9" w14:textId="77777777" w:rsidR="00A01F12" w:rsidRPr="00FA44DA" w:rsidRDefault="00000000">
      <w:pPr>
        <w:pStyle w:val="Heading3"/>
        <w:rPr>
          <w:b/>
          <w:bCs/>
        </w:rPr>
      </w:pPr>
      <w:bookmarkStart w:id="4" w:name="profitability-analysis"/>
      <w:r>
        <w:t xml:space="preserve">2.1 </w:t>
      </w:r>
      <w:r w:rsidRPr="00FA44DA">
        <w:rPr>
          <w:b/>
          <w:bCs/>
        </w:rPr>
        <w:t>Profitability Analysis</w:t>
      </w:r>
    </w:p>
    <w:p w14:paraId="3F2F8102" w14:textId="77777777" w:rsidR="00907AD6" w:rsidRDefault="00907AD6" w:rsidP="00907AD6">
      <w:pPr>
        <w:pStyle w:val="BodyText"/>
      </w:pPr>
      <w:r>
        <w:t xml:space="preserve">The company has shown good revenue growth over the last five years, indicating that the company is expanding and delivering more vehicles and entering the market globally. However, the profitability of the company is not consistent because of the high operating expenses incurred by </w:t>
      </w:r>
      <w:r>
        <w:lastRenderedPageBreak/>
        <w:t>the company. These include research and development expenses, marketing expenses, and investments in Gigafactories.</w:t>
      </w:r>
    </w:p>
    <w:p w14:paraId="1C750810" w14:textId="77777777" w:rsidR="00907AD6" w:rsidRDefault="00907AD6" w:rsidP="00907AD6">
      <w:pPr>
        <w:pStyle w:val="BodyText"/>
      </w:pPr>
      <w:r>
        <w:t xml:space="preserve">The gross profitability of the company </w:t>
      </w:r>
      <w:proofErr w:type="gramStart"/>
      <w:r>
        <w:t>is</w:t>
      </w:r>
      <w:proofErr w:type="gramEnd"/>
      <w:r>
        <w:t xml:space="preserve"> improving over the years, indicating that the company is achieving economies of scale and is becoming more efficient in producing vehicles. However, the net profitability of the company is not consistent because of external factors such as disruptions in the supply chain and the economy.</w:t>
      </w:r>
    </w:p>
    <w:p w14:paraId="50C31B96" w14:textId="77777777" w:rsidR="00907AD6" w:rsidRDefault="00907AD6" w:rsidP="00907AD6">
      <w:pPr>
        <w:pStyle w:val="BodyText"/>
      </w:pPr>
      <w:r>
        <w:t xml:space="preserve">The Return on Capital Employed (ROCE) of the company </w:t>
      </w:r>
      <w:proofErr w:type="gramStart"/>
      <w:r>
        <w:t>is</w:t>
      </w:r>
      <w:proofErr w:type="gramEnd"/>
      <w:r>
        <w:t xml:space="preserve"> improving over the years, indicating that the company is becoming more efficient in utilizing the capital employed in the business. However, the profitability of the company is more volatile compared to other automotive companies. This is because the company is in the growth stage and is more focused on delivering more vehicles rather than focusing on profitability.</w:t>
      </w:r>
    </w:p>
    <w:p w14:paraId="78EF4997" w14:textId="68063829" w:rsidR="00907AD6" w:rsidRPr="00907AD6" w:rsidRDefault="00907AD6" w:rsidP="00907AD6">
      <w:pPr>
        <w:pStyle w:val="BodyText"/>
      </w:pPr>
      <w:r>
        <w:t xml:space="preserve">Moreover, the operating margin of the company </w:t>
      </w:r>
      <w:proofErr w:type="gramStart"/>
      <w:r>
        <w:t>is improving</w:t>
      </w:r>
      <w:proofErr w:type="gramEnd"/>
      <w:r>
        <w:t xml:space="preserve"> over the years, indicating that the company is becoming more efficient in managing the operations. However, the operating margin is volatile, indicating that the company is not effective in managing costs.</w:t>
      </w:r>
    </w:p>
    <w:p w14:paraId="373346E8" w14:textId="77777777" w:rsidR="00A01F12" w:rsidRDefault="00000000">
      <w:pPr>
        <w:pStyle w:val="Heading3"/>
      </w:pPr>
      <w:bookmarkStart w:id="5" w:name="liquidity-analysis"/>
      <w:bookmarkEnd w:id="4"/>
      <w:r>
        <w:t>2.2 Liquidity Analysis</w:t>
      </w:r>
    </w:p>
    <w:p w14:paraId="15781FE7" w14:textId="77777777" w:rsidR="00907AD6" w:rsidRDefault="00907AD6" w:rsidP="00907AD6">
      <w:pPr>
        <w:pStyle w:val="BodyText"/>
      </w:pPr>
      <w:r>
        <w:t xml:space="preserve">The liquidity position of the company is relatively stable, as the current ratio is consistently above 1. This reflects the ability of the company to pay its short-term obligations. However, the quick ratio is relatively </w:t>
      </w:r>
      <w:proofErr w:type="gramStart"/>
      <w:r>
        <w:t>lower</w:t>
      </w:r>
      <w:proofErr w:type="gramEnd"/>
      <w:r>
        <w:t>, indicating that the company holds a large amount of inventory in its current assets.</w:t>
      </w:r>
    </w:p>
    <w:p w14:paraId="3C6C94D8" w14:textId="77777777" w:rsidR="00907AD6" w:rsidRDefault="00907AD6" w:rsidP="00907AD6">
      <w:pPr>
        <w:pStyle w:val="BodyText"/>
      </w:pPr>
      <w:r>
        <w:t>The holding of a large inventory level might pose a liquidity risk to the company in the event of economic downturns or changes in demand. Nevertheless, the company holds a large cash position and has positive operating cash flow.</w:t>
      </w:r>
    </w:p>
    <w:p w14:paraId="0C9BEDEB" w14:textId="2C9705F5" w:rsidR="00907AD6" w:rsidRPr="00907AD6" w:rsidRDefault="00907AD6" w:rsidP="00907AD6">
      <w:pPr>
        <w:pStyle w:val="BodyText"/>
      </w:pPr>
      <w:r>
        <w:t>Moreover, the cash position of the company has improved over the years because of better operating performance and raising funds from the market.</w:t>
      </w:r>
    </w:p>
    <w:p w14:paraId="338046F4" w14:textId="77777777" w:rsidR="00A01F12" w:rsidRDefault="00000000">
      <w:pPr>
        <w:pStyle w:val="Heading3"/>
      </w:pPr>
      <w:bookmarkStart w:id="6" w:name="efficiency-analysis"/>
      <w:bookmarkEnd w:id="5"/>
      <w:r>
        <w:t>2.3 Efficiency Analysis</w:t>
      </w:r>
    </w:p>
    <w:p w14:paraId="048AD9C1" w14:textId="77777777" w:rsidR="00907AD6" w:rsidRDefault="00907AD6" w:rsidP="00907AD6">
      <w:pPr>
        <w:pStyle w:val="BodyText"/>
      </w:pPr>
      <w:proofErr w:type="gramStart"/>
      <w:r>
        <w:t>he</w:t>
      </w:r>
      <w:proofErr w:type="gramEnd"/>
      <w:r>
        <w:t xml:space="preserve"> efficiency ratios indicate an improved efficiency in the operations of the company. This is shown by an improved inventory turnover, which indicates improved production cycles. The inventory level is, however, still high, which indicates some level of inefficiency.</w:t>
      </w:r>
    </w:p>
    <w:p w14:paraId="5DD06215" w14:textId="77777777" w:rsidR="00907AD6" w:rsidRDefault="00907AD6" w:rsidP="00907AD6">
      <w:pPr>
        <w:pStyle w:val="BodyText"/>
      </w:pPr>
      <w:r>
        <w:t>The receivables turnover is low, indicating that the company is not efficiently collecting its payments. This can be improved by having improved credit control policies.</w:t>
      </w:r>
    </w:p>
    <w:p w14:paraId="00B88F46" w14:textId="1E4F9679" w:rsidR="00907AD6" w:rsidRPr="00907AD6" w:rsidRDefault="00907AD6" w:rsidP="00907AD6">
      <w:pPr>
        <w:pStyle w:val="BodyText"/>
      </w:pPr>
      <w:r>
        <w:lastRenderedPageBreak/>
        <w:t xml:space="preserve">The asset turnover </w:t>
      </w:r>
      <w:proofErr w:type="gramStart"/>
      <w:r>
        <w:t>is</w:t>
      </w:r>
      <w:proofErr w:type="gramEnd"/>
      <w:r>
        <w:t xml:space="preserve"> improved, indicating that the company is generating revenues from its asset base. This shows improved efficiency in the operations of the company.</w:t>
      </w:r>
    </w:p>
    <w:p w14:paraId="2A8ED20F" w14:textId="77777777" w:rsidR="00A01F12" w:rsidRDefault="00000000">
      <w:pPr>
        <w:pStyle w:val="Heading3"/>
      </w:pPr>
      <w:bookmarkStart w:id="7" w:name="gearing-analysis"/>
      <w:bookmarkEnd w:id="6"/>
      <w:r>
        <w:t>2.4 Gearing Analysis</w:t>
      </w:r>
    </w:p>
    <w:p w14:paraId="71756D18" w14:textId="77777777" w:rsidR="00907AD6" w:rsidRDefault="00907AD6" w:rsidP="00907AD6">
      <w:pPr>
        <w:pStyle w:val="BodyText"/>
      </w:pPr>
      <w:r>
        <w:t>Tesla has always depended more on equity finance than debt finance. This not only minimizes financial risk, but the company also does not gain from financial leverage. The company’s debt/equity ratio is still moderate, showing a sound capital structure.</w:t>
      </w:r>
    </w:p>
    <w:p w14:paraId="6E42EB00" w14:textId="40E71C9B" w:rsidR="00907AD6" w:rsidRPr="00907AD6" w:rsidRDefault="00907AD6" w:rsidP="00907AD6">
      <w:pPr>
        <w:pStyle w:val="BodyText"/>
      </w:pPr>
      <w:r>
        <w:t>The interest coverage ratios are high, implying that Tesla is in a comfortable position to pay its debt. However, in the future, Tesla needs to be watchful of its increasing debt.</w:t>
      </w:r>
    </w:p>
    <w:p w14:paraId="3CD01F59" w14:textId="77777777" w:rsidR="00A01F12" w:rsidRDefault="00000000">
      <w:pPr>
        <w:pStyle w:val="Heading3"/>
      </w:pPr>
      <w:bookmarkStart w:id="8" w:name="investment-ratios"/>
      <w:bookmarkEnd w:id="7"/>
      <w:r>
        <w:t>2.5 Investment Ratios</w:t>
      </w:r>
    </w:p>
    <w:p w14:paraId="5F1DC53C" w14:textId="77777777" w:rsidR="00907AD6" w:rsidRDefault="00907AD6" w:rsidP="00907AD6">
      <w:pPr>
        <w:pStyle w:val="BodyText"/>
      </w:pPr>
      <w:r>
        <w:t>EPS has risen considerably for Tesla, which is a positive indicator of profitability and market confidence. However, the P/E ratio is still very high.</w:t>
      </w:r>
    </w:p>
    <w:p w14:paraId="14246F75" w14:textId="77777777" w:rsidR="00907AD6" w:rsidRDefault="00907AD6" w:rsidP="00907AD6">
      <w:pPr>
        <w:pStyle w:val="BodyText"/>
      </w:pPr>
      <w:r>
        <w:t>A high P/E ratio makes the company vulnerable to market risks because if the company performs poorly, the stock could fall considerably.</w:t>
      </w:r>
    </w:p>
    <w:p w14:paraId="1E702569" w14:textId="54D49B1E" w:rsidR="00907AD6" w:rsidRPr="00907AD6" w:rsidRDefault="00907AD6" w:rsidP="00907AD6">
      <w:pPr>
        <w:pStyle w:val="BodyText"/>
      </w:pPr>
      <w:r>
        <w:t>Investor expectations are very important for the company.</w:t>
      </w:r>
    </w:p>
    <w:p w14:paraId="5E3C0A3E" w14:textId="77777777" w:rsidR="00A01F12" w:rsidRDefault="00000000">
      <w:pPr>
        <w:pStyle w:val="Heading3"/>
      </w:pPr>
      <w:bookmarkStart w:id="9" w:name="cash-flow-analysis"/>
      <w:bookmarkEnd w:id="8"/>
      <w:r>
        <w:t>2.6 Cash Flow Analysis</w:t>
      </w:r>
    </w:p>
    <w:p w14:paraId="4E9140F6" w14:textId="77777777" w:rsidR="00907AD6" w:rsidRDefault="00907AD6" w:rsidP="00907AD6">
      <w:pPr>
        <w:pStyle w:val="BodyText"/>
      </w:pPr>
      <w:r>
        <w:t>Operating cash flow is increasing substantially, reflecting good performance in the core business. Still, high capital expenditure is a cause for concern for free cash flow.</w:t>
      </w:r>
    </w:p>
    <w:p w14:paraId="35760358" w14:textId="77777777" w:rsidR="00907AD6" w:rsidRDefault="00907AD6" w:rsidP="00907AD6">
      <w:pPr>
        <w:pStyle w:val="BodyText"/>
      </w:pPr>
      <w:r>
        <w:t>Tesla’s ability to generate cash flow is very important for future investments.</w:t>
      </w:r>
    </w:p>
    <w:p w14:paraId="515F8CBB" w14:textId="0B6B28FA" w:rsidR="00907AD6" w:rsidRPr="00907AD6" w:rsidRDefault="00907AD6" w:rsidP="00907AD6">
      <w:pPr>
        <w:pStyle w:val="BodyText"/>
      </w:pPr>
      <w:r>
        <w:t>Cash flow management is very important for Tesla’s growth.</w:t>
      </w:r>
    </w:p>
    <w:p w14:paraId="25494AFE" w14:textId="77777777" w:rsidR="00A01F12" w:rsidRDefault="00000000">
      <w:r>
        <w:pict w14:anchorId="0E3E0EB7">
          <v:rect id="_x0000_i1027" style="width:0;height:1.5pt" o:hralign="center" o:hrstd="t" o:hr="t"/>
        </w:pict>
      </w:r>
    </w:p>
    <w:p w14:paraId="07CEAE5F" w14:textId="77777777" w:rsidR="00A01F12" w:rsidRDefault="00000000">
      <w:pPr>
        <w:pStyle w:val="Heading2"/>
      </w:pPr>
      <w:bookmarkStart w:id="10" w:name="working-capital-management"/>
      <w:bookmarkEnd w:id="3"/>
      <w:bookmarkEnd w:id="9"/>
      <w:r>
        <w:t xml:space="preserve">3. </w:t>
      </w:r>
      <w:proofErr w:type="gramStart"/>
      <w:r>
        <w:t>Working</w:t>
      </w:r>
      <w:proofErr w:type="gramEnd"/>
      <w:r>
        <w:t xml:space="preserve"> Capital Management</w:t>
      </w:r>
    </w:p>
    <w:p w14:paraId="3372B1AF" w14:textId="77777777" w:rsidR="00907AD6" w:rsidRDefault="00907AD6" w:rsidP="00907AD6">
      <w:pPr>
        <w:pStyle w:val="BodyText"/>
      </w:pPr>
      <w:r>
        <w:t>Management of working capital is very important for the company’s liquidity and efficiency. Tesla’s cash conversion cycle is a measure of how fast the company generates cash from its investments.</w:t>
      </w:r>
    </w:p>
    <w:p w14:paraId="52176642" w14:textId="77777777" w:rsidR="00907AD6" w:rsidRDefault="00907AD6" w:rsidP="00907AD6">
      <w:pPr>
        <w:pStyle w:val="BodyText"/>
      </w:pPr>
      <w:r>
        <w:t xml:space="preserve">Tesla has managed to improve its inventory turnover ratio, meaning the time spent </w:t>
      </w:r>
      <w:proofErr w:type="gramStart"/>
      <w:r>
        <w:t>in</w:t>
      </w:r>
      <w:proofErr w:type="gramEnd"/>
      <w:r>
        <w:t xml:space="preserve"> storage is minimal. However, the inventory is still high, which is not desirable.</w:t>
      </w:r>
    </w:p>
    <w:p w14:paraId="66BACA17" w14:textId="77777777" w:rsidR="00907AD6" w:rsidRDefault="00907AD6" w:rsidP="00907AD6">
      <w:pPr>
        <w:pStyle w:val="BodyText"/>
      </w:pPr>
      <w:r>
        <w:t>Tesla’s collection period for its receivables is high, indicating inefficiencies in managing its credit. Tesla needs to improve its credit management to generate higher liquidity.</w:t>
      </w:r>
    </w:p>
    <w:p w14:paraId="5D066001" w14:textId="26E7C593" w:rsidR="00907AD6" w:rsidRPr="00907AD6" w:rsidRDefault="00907AD6" w:rsidP="00907AD6">
      <w:pPr>
        <w:pStyle w:val="BodyText"/>
      </w:pPr>
      <w:r>
        <w:lastRenderedPageBreak/>
        <w:t xml:space="preserve">Payables are managed properly, and Tesla </w:t>
      </w:r>
      <w:proofErr w:type="gramStart"/>
      <w:r>
        <w:t>is able to</w:t>
      </w:r>
      <w:proofErr w:type="gramEnd"/>
      <w:r>
        <w:t xml:space="preserve"> enjoy supplier finance. However, Tesla should not overstretch its supplier relationships.</w:t>
      </w:r>
    </w:p>
    <w:p w14:paraId="3ABC7C05" w14:textId="77777777" w:rsidR="00A01F12" w:rsidRDefault="00000000">
      <w:pPr>
        <w:pStyle w:val="Heading3"/>
      </w:pPr>
      <w:bookmarkStart w:id="11" w:name="recommendations"/>
      <w:r>
        <w:t>Recommendations</w:t>
      </w:r>
    </w:p>
    <w:p w14:paraId="2E47AD43" w14:textId="030E89E0" w:rsidR="00907AD6" w:rsidRPr="00907AD6" w:rsidRDefault="00907AD6" w:rsidP="00907AD6">
      <w:pPr>
        <w:pStyle w:val="BodyText"/>
      </w:pPr>
      <w:r w:rsidRPr="00907AD6">
        <w:t xml:space="preserve">Tesla should focus on reducing its inventory levels through improved demand forecasting, improving its </w:t>
      </w:r>
      <w:proofErr w:type="gramStart"/>
      <w:r w:rsidRPr="00907AD6">
        <w:t>accounts receivable collection</w:t>
      </w:r>
      <w:proofErr w:type="gramEnd"/>
      <w:r w:rsidRPr="00907AD6">
        <w:t>, and maintaining balanced relations with its suppliers. Tesla could also benefit from improving its supply chain through digital supply chain technologies that could make its supply chain more efficient</w:t>
      </w:r>
    </w:p>
    <w:p w14:paraId="3B8FC423" w14:textId="77777777" w:rsidR="00A01F12" w:rsidRDefault="00000000">
      <w:pPr>
        <w:pStyle w:val="Heading3"/>
      </w:pPr>
      <w:bookmarkStart w:id="12" w:name="financing-options"/>
      <w:bookmarkEnd w:id="11"/>
      <w:r>
        <w:t>Financing Options</w:t>
      </w:r>
    </w:p>
    <w:p w14:paraId="15644B0F" w14:textId="77777777" w:rsidR="00A01F12" w:rsidRDefault="00000000">
      <w:pPr>
        <w:pStyle w:val="FirstParagraph"/>
      </w:pPr>
      <w:r>
        <w:t xml:space="preserve">Short-term financing provides flexibility but increases risk, while long-term financing offers stability. A balanced approach is recommended to </w:t>
      </w:r>
      <w:proofErr w:type="spellStart"/>
      <w:r>
        <w:t>optimise</w:t>
      </w:r>
      <w:proofErr w:type="spellEnd"/>
      <w:r>
        <w:t xml:space="preserve"> liquidity and </w:t>
      </w:r>
      <w:proofErr w:type="spellStart"/>
      <w:r>
        <w:t>minimise</w:t>
      </w:r>
      <w:proofErr w:type="spellEnd"/>
      <w:r>
        <w:t xml:space="preserve"> financial risk.</w:t>
      </w:r>
    </w:p>
    <w:p w14:paraId="43A037D8" w14:textId="77777777" w:rsidR="00A01F12" w:rsidRDefault="00000000">
      <w:r>
        <w:pict w14:anchorId="7DC740F8">
          <v:rect id="_x0000_i1028" style="width:0;height:1.5pt" o:hralign="center" o:hrstd="t" o:hr="t"/>
        </w:pict>
      </w:r>
    </w:p>
    <w:p w14:paraId="748B388D" w14:textId="77777777" w:rsidR="00A01F12" w:rsidRDefault="00000000">
      <w:pPr>
        <w:pStyle w:val="Heading2"/>
      </w:pPr>
      <w:bookmarkStart w:id="13" w:name="strategic-financial-restructuring-plan"/>
      <w:bookmarkEnd w:id="10"/>
      <w:bookmarkEnd w:id="12"/>
      <w:r>
        <w:t>4. Strategic Financial Restructuring Plan</w:t>
      </w:r>
    </w:p>
    <w:p w14:paraId="1C056652" w14:textId="77777777" w:rsidR="00A01F12" w:rsidRDefault="00000000">
      <w:pPr>
        <w:pStyle w:val="FirstParagraph"/>
      </w:pPr>
      <w:r>
        <w:t>Tesla should adopt a hybrid restructuring strategy to enhance financial stability.</w:t>
      </w:r>
    </w:p>
    <w:p w14:paraId="16331D40" w14:textId="77777777" w:rsidR="00A01F12" w:rsidRDefault="00000000">
      <w:pPr>
        <w:pStyle w:val="Heading3"/>
      </w:pPr>
      <w:bookmarkStart w:id="14" w:name="moderate-debt-financing"/>
      <w:r>
        <w:t>Moderate Debt Financing</w:t>
      </w:r>
    </w:p>
    <w:p w14:paraId="41F5E256" w14:textId="77777777" w:rsidR="00A01F12" w:rsidRDefault="00000000">
      <w:pPr>
        <w:pStyle w:val="FirstParagraph"/>
      </w:pPr>
      <w:r>
        <w:t>Introducing moderate debt can reduce the cost of capital and improve shareholder returns. Debt also provides tax advantages.</w:t>
      </w:r>
    </w:p>
    <w:p w14:paraId="10F8DF07" w14:textId="77777777" w:rsidR="00A01F12" w:rsidRDefault="00000000">
      <w:pPr>
        <w:pStyle w:val="Heading3"/>
      </w:pPr>
      <w:bookmarkStart w:id="15" w:name="equity-optimisation"/>
      <w:bookmarkEnd w:id="14"/>
      <w:r>
        <w:t xml:space="preserve">Equity </w:t>
      </w:r>
      <w:proofErr w:type="spellStart"/>
      <w:r>
        <w:t>Optimisation</w:t>
      </w:r>
      <w:proofErr w:type="spellEnd"/>
    </w:p>
    <w:p w14:paraId="3690C498" w14:textId="77777777" w:rsidR="00A01F12" w:rsidRDefault="00000000">
      <w:pPr>
        <w:pStyle w:val="FirstParagraph"/>
      </w:pPr>
      <w:r>
        <w:t>Reducing reliance on equity issuance can prevent dilution and maintain investor confidence.</w:t>
      </w:r>
    </w:p>
    <w:p w14:paraId="6AD2C5C5" w14:textId="77777777" w:rsidR="00A01F12" w:rsidRDefault="00000000">
      <w:pPr>
        <w:pStyle w:val="Heading3"/>
      </w:pPr>
      <w:bookmarkStart w:id="16" w:name="asset-optimisation"/>
      <w:bookmarkEnd w:id="15"/>
      <w:r>
        <w:t xml:space="preserve">Asset </w:t>
      </w:r>
      <w:proofErr w:type="spellStart"/>
      <w:r>
        <w:t>Optimisation</w:t>
      </w:r>
      <w:proofErr w:type="spellEnd"/>
    </w:p>
    <w:p w14:paraId="32FA0C81" w14:textId="77777777" w:rsidR="00A01F12" w:rsidRDefault="00000000">
      <w:pPr>
        <w:pStyle w:val="FirstParagraph"/>
      </w:pPr>
      <w:r>
        <w:t>Divesting non-core assets can improve efficiency and free up capital for strategic investments.</w:t>
      </w:r>
    </w:p>
    <w:p w14:paraId="3DBE871B" w14:textId="77777777" w:rsidR="00A01F12" w:rsidRDefault="00000000">
      <w:pPr>
        <w:pStyle w:val="Heading3"/>
      </w:pPr>
      <w:bookmarkStart w:id="17" w:name="international-considerations"/>
      <w:bookmarkEnd w:id="16"/>
      <w:r>
        <w:t>International Considerations</w:t>
      </w:r>
    </w:p>
    <w:p w14:paraId="5151F345" w14:textId="77777777" w:rsidR="00A01F12" w:rsidRDefault="00000000">
      <w:pPr>
        <w:pStyle w:val="FirstParagraph"/>
      </w:pPr>
      <w:r>
        <w:t xml:space="preserve">Tesla faces exchange </w:t>
      </w:r>
      <w:proofErr w:type="gramStart"/>
      <w:r>
        <w:t>rate</w:t>
      </w:r>
      <w:proofErr w:type="gramEnd"/>
      <w:r>
        <w:t>, inflation, and regulatory risks. Hedging strategies can mitigate these risks.</w:t>
      </w:r>
    </w:p>
    <w:p w14:paraId="4FEE7D73" w14:textId="77777777" w:rsidR="00A01F12" w:rsidRDefault="00000000">
      <w:pPr>
        <w:pStyle w:val="Heading3"/>
      </w:pPr>
      <w:bookmarkStart w:id="18" w:name="ethical-considerations"/>
      <w:bookmarkEnd w:id="17"/>
      <w:r>
        <w:lastRenderedPageBreak/>
        <w:t>Ethical Considerations</w:t>
      </w:r>
    </w:p>
    <w:p w14:paraId="0B4F8763" w14:textId="77777777" w:rsidR="00A01F12" w:rsidRDefault="00000000">
      <w:pPr>
        <w:pStyle w:val="FirstParagraph"/>
      </w:pPr>
      <w:r>
        <w:t>Tesla must maintain strong CSR practices, including sustainability, ethical sourcing, and responsible production.</w:t>
      </w:r>
    </w:p>
    <w:p w14:paraId="050995F1" w14:textId="77777777" w:rsidR="00A01F12" w:rsidRDefault="00000000">
      <w:r>
        <w:pict w14:anchorId="601456AA">
          <v:rect id="_x0000_i1029" style="width:0;height:1.5pt" o:hralign="center" o:hrstd="t" o:hr="t"/>
        </w:pict>
      </w:r>
    </w:p>
    <w:p w14:paraId="5BCA0222" w14:textId="77777777" w:rsidR="00A01F12" w:rsidRDefault="00000000">
      <w:pPr>
        <w:pStyle w:val="Heading2"/>
      </w:pPr>
      <w:bookmarkStart w:id="19" w:name="investment-appraisal"/>
      <w:bookmarkEnd w:id="13"/>
      <w:bookmarkEnd w:id="18"/>
      <w:r>
        <w:t>5. Investment Appraisal</w:t>
      </w:r>
    </w:p>
    <w:p w14:paraId="0F337022" w14:textId="77777777" w:rsidR="00D246D3" w:rsidRDefault="00D246D3" w:rsidP="00D246D3">
      <w:pPr>
        <w:pStyle w:val="BodyText"/>
      </w:pPr>
      <w:r>
        <w:t>Three projects have been evaluated using capital budgeting techniques.</w:t>
      </w:r>
    </w:p>
    <w:p w14:paraId="436192D5" w14:textId="77777777" w:rsidR="00D246D3" w:rsidRDefault="00D246D3" w:rsidP="00D246D3">
      <w:pPr>
        <w:pStyle w:val="BodyText"/>
      </w:pPr>
      <w:r>
        <w:t>Project A provides moderate returns, Project B provides stable returns, and Project C provides high and volatile returns.</w:t>
      </w:r>
    </w:p>
    <w:p w14:paraId="2BC8FBDF" w14:textId="114ABDFD" w:rsidR="00D246D3" w:rsidRPr="00D246D3" w:rsidRDefault="00D246D3" w:rsidP="00D246D3">
      <w:pPr>
        <w:pStyle w:val="BodyText"/>
      </w:pPr>
      <w:r>
        <w:t>Project C provides the highest NPV and IRR, making it a more attractive investment opportunity. Project C also provides the shortest payback period, thereby minimizing risk exposure.</w:t>
      </w:r>
    </w:p>
    <w:p w14:paraId="4E0897BF" w14:textId="77777777" w:rsidR="00A01F12" w:rsidRDefault="00000000">
      <w:pPr>
        <w:pStyle w:val="Heading3"/>
      </w:pPr>
      <w:bookmarkStart w:id="20" w:name="capital-rationing"/>
      <w:r>
        <w:t>Capital Rationing</w:t>
      </w:r>
    </w:p>
    <w:p w14:paraId="031EC5E1" w14:textId="77777777" w:rsidR="00D246D3" w:rsidRDefault="00D246D3" w:rsidP="00D246D3">
      <w:pPr>
        <w:pStyle w:val="BodyText"/>
      </w:pPr>
      <w:r>
        <w:t>The best combination with an allocated budget of £100 million would be Project B and Project C, which would maximize the overall NPV, considering risk and return.</w:t>
      </w:r>
    </w:p>
    <w:p w14:paraId="6AD44229" w14:textId="4E99FFA9" w:rsidR="00D246D3" w:rsidRPr="00D246D3" w:rsidRDefault="00D246D3" w:rsidP="00D246D3">
      <w:pPr>
        <w:pStyle w:val="BodyText"/>
      </w:pPr>
      <w:r>
        <w:t>In addition, other risks, which are not necessarily financial, need to be considered, namely political, technological, and customer demand risks. Project C, though financially advantageous, is associated with certain risks due to the fluctuating cash flow.</w:t>
      </w:r>
    </w:p>
    <w:p w14:paraId="3D129048" w14:textId="77777777" w:rsidR="00C55BD0" w:rsidRPr="00C55BD0" w:rsidRDefault="00C55BD0" w:rsidP="00C55BD0">
      <w:pPr>
        <w:pStyle w:val="BodyText"/>
        <w:rPr>
          <w:lang w:val="en-GB"/>
        </w:rPr>
      </w:pPr>
      <w:r w:rsidRPr="00C55BD0">
        <w:rPr>
          <w:lang w:val="en-GB"/>
        </w:rPr>
        <w:t>Table X: Investment Appraisal Summary (Discount Rate = 10%)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2"/>
        <w:gridCol w:w="962"/>
        <w:gridCol w:w="962"/>
        <w:gridCol w:w="996"/>
      </w:tblGrid>
      <w:tr w:rsidR="00C55BD0" w:rsidRPr="00C55BD0" w14:paraId="52611326" w14:textId="77777777">
        <w:trPr>
          <w:tblCellSpacing w:w="15" w:type="dxa"/>
        </w:trPr>
        <w:tc>
          <w:tcPr>
            <w:tcW w:w="0" w:type="auto"/>
            <w:vAlign w:val="center"/>
            <w:hideMark/>
          </w:tcPr>
          <w:p w14:paraId="0C35FB91" w14:textId="77777777" w:rsidR="00C55BD0" w:rsidRPr="00C55BD0" w:rsidRDefault="00C55BD0" w:rsidP="00C55BD0">
            <w:pPr>
              <w:pStyle w:val="BodyText"/>
              <w:rPr>
                <w:b/>
                <w:bCs/>
                <w:lang w:val="en-GB"/>
              </w:rPr>
            </w:pPr>
            <w:r w:rsidRPr="00C55BD0">
              <w:rPr>
                <w:b/>
                <w:bCs/>
                <w:lang w:val="en-GB"/>
              </w:rPr>
              <w:t>Criteria</w:t>
            </w:r>
          </w:p>
        </w:tc>
        <w:tc>
          <w:tcPr>
            <w:tcW w:w="0" w:type="auto"/>
            <w:vAlign w:val="center"/>
            <w:hideMark/>
          </w:tcPr>
          <w:p w14:paraId="0E00A240" w14:textId="77777777" w:rsidR="00C55BD0" w:rsidRPr="00C55BD0" w:rsidRDefault="00C55BD0" w:rsidP="00C55BD0">
            <w:pPr>
              <w:pStyle w:val="BodyText"/>
              <w:rPr>
                <w:b/>
                <w:bCs/>
                <w:lang w:val="en-GB"/>
              </w:rPr>
            </w:pPr>
            <w:r w:rsidRPr="00C55BD0">
              <w:rPr>
                <w:b/>
                <w:bCs/>
                <w:lang w:val="en-GB"/>
              </w:rPr>
              <w:t>Project A</w:t>
            </w:r>
          </w:p>
        </w:tc>
        <w:tc>
          <w:tcPr>
            <w:tcW w:w="0" w:type="auto"/>
            <w:vAlign w:val="center"/>
            <w:hideMark/>
          </w:tcPr>
          <w:p w14:paraId="495D2A0C" w14:textId="77777777" w:rsidR="00C55BD0" w:rsidRPr="00C55BD0" w:rsidRDefault="00C55BD0" w:rsidP="00C55BD0">
            <w:pPr>
              <w:pStyle w:val="BodyText"/>
              <w:rPr>
                <w:b/>
                <w:bCs/>
                <w:lang w:val="en-GB"/>
              </w:rPr>
            </w:pPr>
            <w:r w:rsidRPr="00C55BD0">
              <w:rPr>
                <w:b/>
                <w:bCs/>
                <w:lang w:val="en-GB"/>
              </w:rPr>
              <w:t>Project B</w:t>
            </w:r>
          </w:p>
        </w:tc>
        <w:tc>
          <w:tcPr>
            <w:tcW w:w="0" w:type="auto"/>
            <w:vAlign w:val="center"/>
            <w:hideMark/>
          </w:tcPr>
          <w:p w14:paraId="1622DC10" w14:textId="77777777" w:rsidR="00C55BD0" w:rsidRPr="00C55BD0" w:rsidRDefault="00C55BD0" w:rsidP="00C55BD0">
            <w:pPr>
              <w:pStyle w:val="BodyText"/>
              <w:rPr>
                <w:b/>
                <w:bCs/>
                <w:lang w:val="en-GB"/>
              </w:rPr>
            </w:pPr>
            <w:r w:rsidRPr="00C55BD0">
              <w:rPr>
                <w:b/>
                <w:bCs/>
                <w:lang w:val="en-GB"/>
              </w:rPr>
              <w:t>Project C</w:t>
            </w:r>
          </w:p>
        </w:tc>
      </w:tr>
      <w:tr w:rsidR="00C55BD0" w:rsidRPr="00C55BD0" w14:paraId="71CF6022" w14:textId="77777777">
        <w:trPr>
          <w:tblCellSpacing w:w="15" w:type="dxa"/>
        </w:trPr>
        <w:tc>
          <w:tcPr>
            <w:tcW w:w="0" w:type="auto"/>
            <w:vAlign w:val="center"/>
            <w:hideMark/>
          </w:tcPr>
          <w:p w14:paraId="712881A0" w14:textId="77777777" w:rsidR="00C55BD0" w:rsidRPr="00C55BD0" w:rsidRDefault="00C55BD0" w:rsidP="00C55BD0">
            <w:pPr>
              <w:pStyle w:val="BodyText"/>
              <w:rPr>
                <w:lang w:val="en-GB"/>
              </w:rPr>
            </w:pPr>
            <w:r w:rsidRPr="00C55BD0">
              <w:rPr>
                <w:lang w:val="en-GB"/>
              </w:rPr>
              <w:t>Initial Investment (£m)</w:t>
            </w:r>
          </w:p>
        </w:tc>
        <w:tc>
          <w:tcPr>
            <w:tcW w:w="0" w:type="auto"/>
            <w:vAlign w:val="center"/>
            <w:hideMark/>
          </w:tcPr>
          <w:p w14:paraId="3A01DBC0" w14:textId="77777777" w:rsidR="00C55BD0" w:rsidRPr="00C55BD0" w:rsidRDefault="00C55BD0" w:rsidP="00C55BD0">
            <w:pPr>
              <w:pStyle w:val="BodyText"/>
              <w:rPr>
                <w:lang w:val="en-GB"/>
              </w:rPr>
            </w:pPr>
            <w:r w:rsidRPr="00C55BD0">
              <w:rPr>
                <w:lang w:val="en-GB"/>
              </w:rPr>
              <w:t>50</w:t>
            </w:r>
          </w:p>
        </w:tc>
        <w:tc>
          <w:tcPr>
            <w:tcW w:w="0" w:type="auto"/>
            <w:vAlign w:val="center"/>
            <w:hideMark/>
          </w:tcPr>
          <w:p w14:paraId="74581BB4" w14:textId="77777777" w:rsidR="00C55BD0" w:rsidRPr="00C55BD0" w:rsidRDefault="00C55BD0" w:rsidP="00C55BD0">
            <w:pPr>
              <w:pStyle w:val="BodyText"/>
              <w:rPr>
                <w:lang w:val="en-GB"/>
              </w:rPr>
            </w:pPr>
            <w:r w:rsidRPr="00C55BD0">
              <w:rPr>
                <w:lang w:val="en-GB"/>
              </w:rPr>
              <w:t>50</w:t>
            </w:r>
          </w:p>
        </w:tc>
        <w:tc>
          <w:tcPr>
            <w:tcW w:w="0" w:type="auto"/>
            <w:vAlign w:val="center"/>
            <w:hideMark/>
          </w:tcPr>
          <w:p w14:paraId="732BC91D" w14:textId="77777777" w:rsidR="00C55BD0" w:rsidRPr="00C55BD0" w:rsidRDefault="00C55BD0" w:rsidP="00C55BD0">
            <w:pPr>
              <w:pStyle w:val="BodyText"/>
              <w:rPr>
                <w:lang w:val="en-GB"/>
              </w:rPr>
            </w:pPr>
            <w:r w:rsidRPr="00C55BD0">
              <w:rPr>
                <w:lang w:val="en-GB"/>
              </w:rPr>
              <w:t>50</w:t>
            </w:r>
          </w:p>
        </w:tc>
      </w:tr>
      <w:tr w:rsidR="00C55BD0" w:rsidRPr="00C55BD0" w14:paraId="4D580D8E" w14:textId="77777777">
        <w:trPr>
          <w:tblCellSpacing w:w="15" w:type="dxa"/>
        </w:trPr>
        <w:tc>
          <w:tcPr>
            <w:tcW w:w="0" w:type="auto"/>
            <w:vAlign w:val="center"/>
            <w:hideMark/>
          </w:tcPr>
          <w:p w14:paraId="3BA7E945" w14:textId="77777777" w:rsidR="00C55BD0" w:rsidRPr="00C55BD0" w:rsidRDefault="00C55BD0" w:rsidP="00C55BD0">
            <w:pPr>
              <w:pStyle w:val="BodyText"/>
              <w:rPr>
                <w:lang w:val="en-GB"/>
              </w:rPr>
            </w:pPr>
            <w:r w:rsidRPr="00C55BD0">
              <w:rPr>
                <w:lang w:val="en-GB"/>
              </w:rPr>
              <w:t>Total Cash Inflows (£m)</w:t>
            </w:r>
          </w:p>
        </w:tc>
        <w:tc>
          <w:tcPr>
            <w:tcW w:w="0" w:type="auto"/>
            <w:vAlign w:val="center"/>
            <w:hideMark/>
          </w:tcPr>
          <w:p w14:paraId="33ACCBB7" w14:textId="77777777" w:rsidR="00C55BD0" w:rsidRPr="00C55BD0" w:rsidRDefault="00C55BD0" w:rsidP="00C55BD0">
            <w:pPr>
              <w:pStyle w:val="BodyText"/>
              <w:rPr>
                <w:lang w:val="en-GB"/>
              </w:rPr>
            </w:pPr>
            <w:r w:rsidRPr="00C55BD0">
              <w:rPr>
                <w:lang w:val="en-GB"/>
              </w:rPr>
              <w:t>54</w:t>
            </w:r>
          </w:p>
        </w:tc>
        <w:tc>
          <w:tcPr>
            <w:tcW w:w="0" w:type="auto"/>
            <w:vAlign w:val="center"/>
            <w:hideMark/>
          </w:tcPr>
          <w:p w14:paraId="0710088C" w14:textId="77777777" w:rsidR="00C55BD0" w:rsidRPr="00C55BD0" w:rsidRDefault="00C55BD0" w:rsidP="00C55BD0">
            <w:pPr>
              <w:pStyle w:val="BodyText"/>
              <w:rPr>
                <w:lang w:val="en-GB"/>
              </w:rPr>
            </w:pPr>
            <w:r w:rsidRPr="00C55BD0">
              <w:rPr>
                <w:lang w:val="en-GB"/>
              </w:rPr>
              <w:t>55</w:t>
            </w:r>
          </w:p>
        </w:tc>
        <w:tc>
          <w:tcPr>
            <w:tcW w:w="0" w:type="auto"/>
            <w:vAlign w:val="center"/>
            <w:hideMark/>
          </w:tcPr>
          <w:p w14:paraId="0D2486E7" w14:textId="77777777" w:rsidR="00C55BD0" w:rsidRPr="00C55BD0" w:rsidRDefault="00C55BD0" w:rsidP="00C55BD0">
            <w:pPr>
              <w:pStyle w:val="BodyText"/>
              <w:rPr>
                <w:lang w:val="en-GB"/>
              </w:rPr>
            </w:pPr>
            <w:r w:rsidRPr="00C55BD0">
              <w:rPr>
                <w:lang w:val="en-GB"/>
              </w:rPr>
              <w:t>65</w:t>
            </w:r>
          </w:p>
        </w:tc>
      </w:tr>
      <w:tr w:rsidR="00C55BD0" w:rsidRPr="00C55BD0" w14:paraId="4689D6B2" w14:textId="77777777">
        <w:trPr>
          <w:tblCellSpacing w:w="15" w:type="dxa"/>
        </w:trPr>
        <w:tc>
          <w:tcPr>
            <w:tcW w:w="0" w:type="auto"/>
            <w:vAlign w:val="center"/>
            <w:hideMark/>
          </w:tcPr>
          <w:p w14:paraId="460CDEEC" w14:textId="77777777" w:rsidR="00C55BD0" w:rsidRPr="00C55BD0" w:rsidRDefault="00C55BD0" w:rsidP="00C55BD0">
            <w:pPr>
              <w:pStyle w:val="BodyText"/>
              <w:rPr>
                <w:lang w:val="en-GB"/>
              </w:rPr>
            </w:pPr>
            <w:r w:rsidRPr="00C55BD0">
              <w:rPr>
                <w:lang w:val="en-GB"/>
              </w:rPr>
              <w:t>Payback Period (years)</w:t>
            </w:r>
          </w:p>
        </w:tc>
        <w:tc>
          <w:tcPr>
            <w:tcW w:w="0" w:type="auto"/>
            <w:vAlign w:val="center"/>
            <w:hideMark/>
          </w:tcPr>
          <w:p w14:paraId="76D0D182" w14:textId="77777777" w:rsidR="00C55BD0" w:rsidRPr="00C55BD0" w:rsidRDefault="00C55BD0" w:rsidP="00C55BD0">
            <w:pPr>
              <w:pStyle w:val="BodyText"/>
              <w:rPr>
                <w:lang w:val="en-GB"/>
              </w:rPr>
            </w:pPr>
            <w:r w:rsidRPr="00C55BD0">
              <w:rPr>
                <w:lang w:val="en-GB"/>
              </w:rPr>
              <w:t>4.5</w:t>
            </w:r>
          </w:p>
        </w:tc>
        <w:tc>
          <w:tcPr>
            <w:tcW w:w="0" w:type="auto"/>
            <w:vAlign w:val="center"/>
            <w:hideMark/>
          </w:tcPr>
          <w:p w14:paraId="440256E5" w14:textId="77777777" w:rsidR="00C55BD0" w:rsidRPr="00C55BD0" w:rsidRDefault="00C55BD0" w:rsidP="00C55BD0">
            <w:pPr>
              <w:pStyle w:val="BodyText"/>
              <w:rPr>
                <w:lang w:val="en-GB"/>
              </w:rPr>
            </w:pPr>
            <w:r w:rsidRPr="00C55BD0">
              <w:rPr>
                <w:lang w:val="en-GB"/>
              </w:rPr>
              <w:t>4.55</w:t>
            </w:r>
          </w:p>
        </w:tc>
        <w:tc>
          <w:tcPr>
            <w:tcW w:w="0" w:type="auto"/>
            <w:vAlign w:val="center"/>
            <w:hideMark/>
          </w:tcPr>
          <w:p w14:paraId="28CC73F9" w14:textId="77777777" w:rsidR="00C55BD0" w:rsidRPr="00C55BD0" w:rsidRDefault="00C55BD0" w:rsidP="00C55BD0">
            <w:pPr>
              <w:pStyle w:val="BodyText"/>
              <w:rPr>
                <w:lang w:val="en-GB"/>
              </w:rPr>
            </w:pPr>
            <w:r w:rsidRPr="00C55BD0">
              <w:rPr>
                <w:lang w:val="en-GB"/>
              </w:rPr>
              <w:t>3.6</w:t>
            </w:r>
          </w:p>
        </w:tc>
      </w:tr>
      <w:tr w:rsidR="00C55BD0" w:rsidRPr="00C55BD0" w14:paraId="601D6093" w14:textId="77777777">
        <w:trPr>
          <w:tblCellSpacing w:w="15" w:type="dxa"/>
        </w:trPr>
        <w:tc>
          <w:tcPr>
            <w:tcW w:w="0" w:type="auto"/>
            <w:vAlign w:val="center"/>
            <w:hideMark/>
          </w:tcPr>
          <w:p w14:paraId="30FE5031" w14:textId="77777777" w:rsidR="00C55BD0" w:rsidRPr="00C55BD0" w:rsidRDefault="00C55BD0" w:rsidP="00C55BD0">
            <w:pPr>
              <w:pStyle w:val="BodyText"/>
              <w:rPr>
                <w:lang w:val="en-GB"/>
              </w:rPr>
            </w:pPr>
            <w:r w:rsidRPr="00C55BD0">
              <w:rPr>
                <w:lang w:val="en-GB"/>
              </w:rPr>
              <w:t>ARR (%)</w:t>
            </w:r>
          </w:p>
        </w:tc>
        <w:tc>
          <w:tcPr>
            <w:tcW w:w="0" w:type="auto"/>
            <w:vAlign w:val="center"/>
            <w:hideMark/>
          </w:tcPr>
          <w:p w14:paraId="2757465D" w14:textId="77777777" w:rsidR="00C55BD0" w:rsidRPr="00C55BD0" w:rsidRDefault="00C55BD0" w:rsidP="00C55BD0">
            <w:pPr>
              <w:pStyle w:val="BodyText"/>
              <w:rPr>
                <w:lang w:val="en-GB"/>
              </w:rPr>
            </w:pPr>
            <w:r w:rsidRPr="00C55BD0">
              <w:rPr>
                <w:lang w:val="en-GB"/>
              </w:rPr>
              <w:t>1.6%</w:t>
            </w:r>
          </w:p>
        </w:tc>
        <w:tc>
          <w:tcPr>
            <w:tcW w:w="0" w:type="auto"/>
            <w:vAlign w:val="center"/>
            <w:hideMark/>
          </w:tcPr>
          <w:p w14:paraId="5A331A1A" w14:textId="77777777" w:rsidR="00C55BD0" w:rsidRPr="00C55BD0" w:rsidRDefault="00C55BD0" w:rsidP="00C55BD0">
            <w:pPr>
              <w:pStyle w:val="BodyText"/>
              <w:rPr>
                <w:lang w:val="en-GB"/>
              </w:rPr>
            </w:pPr>
            <w:r w:rsidRPr="00C55BD0">
              <w:rPr>
                <w:lang w:val="en-GB"/>
              </w:rPr>
              <w:t>2%</w:t>
            </w:r>
          </w:p>
        </w:tc>
        <w:tc>
          <w:tcPr>
            <w:tcW w:w="0" w:type="auto"/>
            <w:vAlign w:val="center"/>
            <w:hideMark/>
          </w:tcPr>
          <w:p w14:paraId="757D39C0" w14:textId="77777777" w:rsidR="00C55BD0" w:rsidRPr="00C55BD0" w:rsidRDefault="00C55BD0" w:rsidP="00C55BD0">
            <w:pPr>
              <w:pStyle w:val="BodyText"/>
              <w:rPr>
                <w:lang w:val="en-GB"/>
              </w:rPr>
            </w:pPr>
            <w:r w:rsidRPr="00C55BD0">
              <w:rPr>
                <w:lang w:val="en-GB"/>
              </w:rPr>
              <w:t>6%</w:t>
            </w:r>
          </w:p>
        </w:tc>
      </w:tr>
      <w:tr w:rsidR="00C55BD0" w:rsidRPr="00C55BD0" w14:paraId="7ED1B124" w14:textId="77777777">
        <w:trPr>
          <w:tblCellSpacing w:w="15" w:type="dxa"/>
        </w:trPr>
        <w:tc>
          <w:tcPr>
            <w:tcW w:w="0" w:type="auto"/>
            <w:vAlign w:val="center"/>
            <w:hideMark/>
          </w:tcPr>
          <w:p w14:paraId="620EE1E9" w14:textId="77777777" w:rsidR="00C55BD0" w:rsidRPr="00C55BD0" w:rsidRDefault="00C55BD0" w:rsidP="00C55BD0">
            <w:pPr>
              <w:pStyle w:val="BodyText"/>
              <w:rPr>
                <w:lang w:val="en-GB"/>
              </w:rPr>
            </w:pPr>
            <w:r w:rsidRPr="00C55BD0">
              <w:rPr>
                <w:lang w:val="en-GB"/>
              </w:rPr>
              <w:lastRenderedPageBreak/>
              <w:t>NPV (£m)</w:t>
            </w:r>
          </w:p>
        </w:tc>
        <w:tc>
          <w:tcPr>
            <w:tcW w:w="0" w:type="auto"/>
            <w:vAlign w:val="center"/>
            <w:hideMark/>
          </w:tcPr>
          <w:p w14:paraId="6FFD80CE" w14:textId="77777777" w:rsidR="00C55BD0" w:rsidRPr="00C55BD0" w:rsidRDefault="00C55BD0" w:rsidP="00C55BD0">
            <w:pPr>
              <w:pStyle w:val="BodyText"/>
              <w:rPr>
                <w:lang w:val="en-GB"/>
              </w:rPr>
            </w:pPr>
            <w:r w:rsidRPr="00C55BD0">
              <w:rPr>
                <w:lang w:val="en-GB"/>
              </w:rPr>
              <w:t>-1.1</w:t>
            </w:r>
          </w:p>
        </w:tc>
        <w:tc>
          <w:tcPr>
            <w:tcW w:w="0" w:type="auto"/>
            <w:vAlign w:val="center"/>
            <w:hideMark/>
          </w:tcPr>
          <w:p w14:paraId="6B4364E1" w14:textId="77777777" w:rsidR="00C55BD0" w:rsidRPr="00C55BD0" w:rsidRDefault="00C55BD0" w:rsidP="00C55BD0">
            <w:pPr>
              <w:pStyle w:val="BodyText"/>
              <w:rPr>
                <w:lang w:val="en-GB"/>
              </w:rPr>
            </w:pPr>
            <w:r w:rsidRPr="00C55BD0">
              <w:rPr>
                <w:lang w:val="en-GB"/>
              </w:rPr>
              <w:t>-8.3</w:t>
            </w:r>
          </w:p>
        </w:tc>
        <w:tc>
          <w:tcPr>
            <w:tcW w:w="0" w:type="auto"/>
            <w:vAlign w:val="center"/>
            <w:hideMark/>
          </w:tcPr>
          <w:p w14:paraId="13820A4C" w14:textId="77777777" w:rsidR="00C55BD0" w:rsidRPr="00C55BD0" w:rsidRDefault="00C55BD0" w:rsidP="00C55BD0">
            <w:pPr>
              <w:pStyle w:val="BodyText"/>
              <w:rPr>
                <w:lang w:val="en-GB"/>
              </w:rPr>
            </w:pPr>
            <w:r w:rsidRPr="00C55BD0">
              <w:rPr>
                <w:lang w:val="en-GB"/>
              </w:rPr>
              <w:t>+2.3</w:t>
            </w:r>
          </w:p>
        </w:tc>
      </w:tr>
      <w:tr w:rsidR="00C55BD0" w:rsidRPr="00C55BD0" w14:paraId="320CC24A" w14:textId="77777777">
        <w:trPr>
          <w:tblCellSpacing w:w="15" w:type="dxa"/>
        </w:trPr>
        <w:tc>
          <w:tcPr>
            <w:tcW w:w="0" w:type="auto"/>
            <w:vAlign w:val="center"/>
            <w:hideMark/>
          </w:tcPr>
          <w:p w14:paraId="4D85A05F" w14:textId="77777777" w:rsidR="00C55BD0" w:rsidRPr="00C55BD0" w:rsidRDefault="00C55BD0" w:rsidP="00C55BD0">
            <w:pPr>
              <w:pStyle w:val="BodyText"/>
              <w:rPr>
                <w:lang w:val="en-GB"/>
              </w:rPr>
            </w:pPr>
            <w:r w:rsidRPr="00C55BD0">
              <w:rPr>
                <w:lang w:val="en-GB"/>
              </w:rPr>
              <w:t>IRR (%)</w:t>
            </w:r>
          </w:p>
        </w:tc>
        <w:tc>
          <w:tcPr>
            <w:tcW w:w="0" w:type="auto"/>
            <w:vAlign w:val="center"/>
            <w:hideMark/>
          </w:tcPr>
          <w:p w14:paraId="1A6644BD" w14:textId="77777777" w:rsidR="00C55BD0" w:rsidRPr="00C55BD0" w:rsidRDefault="00C55BD0" w:rsidP="00C55BD0">
            <w:pPr>
              <w:pStyle w:val="BodyText"/>
              <w:rPr>
                <w:lang w:val="en-GB"/>
              </w:rPr>
            </w:pPr>
            <w:r w:rsidRPr="00C55BD0">
              <w:rPr>
                <w:lang w:val="en-GB"/>
              </w:rPr>
              <w:t>9.5%</w:t>
            </w:r>
          </w:p>
        </w:tc>
        <w:tc>
          <w:tcPr>
            <w:tcW w:w="0" w:type="auto"/>
            <w:vAlign w:val="center"/>
            <w:hideMark/>
          </w:tcPr>
          <w:p w14:paraId="6067D389" w14:textId="77777777" w:rsidR="00C55BD0" w:rsidRPr="00C55BD0" w:rsidRDefault="00C55BD0" w:rsidP="00C55BD0">
            <w:pPr>
              <w:pStyle w:val="BodyText"/>
              <w:rPr>
                <w:lang w:val="en-GB"/>
              </w:rPr>
            </w:pPr>
            <w:r w:rsidRPr="00C55BD0">
              <w:rPr>
                <w:lang w:val="en-GB"/>
              </w:rPr>
              <w:t>8.7%</w:t>
            </w:r>
          </w:p>
        </w:tc>
        <w:tc>
          <w:tcPr>
            <w:tcW w:w="0" w:type="auto"/>
            <w:vAlign w:val="center"/>
            <w:hideMark/>
          </w:tcPr>
          <w:p w14:paraId="0A2B168C" w14:textId="77777777" w:rsidR="00C55BD0" w:rsidRPr="00C55BD0" w:rsidRDefault="00C55BD0" w:rsidP="00C55BD0">
            <w:pPr>
              <w:pStyle w:val="BodyText"/>
              <w:rPr>
                <w:lang w:val="en-GB"/>
              </w:rPr>
            </w:pPr>
            <w:r w:rsidRPr="00C55BD0">
              <w:rPr>
                <w:lang w:val="en-GB"/>
              </w:rPr>
              <w:t>11.5%</w:t>
            </w:r>
          </w:p>
        </w:tc>
      </w:tr>
      <w:tr w:rsidR="00C55BD0" w:rsidRPr="00C55BD0" w14:paraId="57281C14" w14:textId="77777777">
        <w:trPr>
          <w:tblCellSpacing w:w="15" w:type="dxa"/>
        </w:trPr>
        <w:tc>
          <w:tcPr>
            <w:tcW w:w="0" w:type="auto"/>
            <w:vAlign w:val="center"/>
            <w:hideMark/>
          </w:tcPr>
          <w:p w14:paraId="2E866B06" w14:textId="77777777" w:rsidR="00C55BD0" w:rsidRPr="00C55BD0" w:rsidRDefault="00C55BD0" w:rsidP="00C55BD0">
            <w:pPr>
              <w:pStyle w:val="BodyText"/>
              <w:rPr>
                <w:lang w:val="en-GB"/>
              </w:rPr>
            </w:pPr>
            <w:r w:rsidRPr="00C55BD0">
              <w:rPr>
                <w:lang w:val="en-GB"/>
              </w:rPr>
              <w:t>Profitability Index</w:t>
            </w:r>
          </w:p>
        </w:tc>
        <w:tc>
          <w:tcPr>
            <w:tcW w:w="0" w:type="auto"/>
            <w:vAlign w:val="center"/>
            <w:hideMark/>
          </w:tcPr>
          <w:p w14:paraId="75C48C5C" w14:textId="77777777" w:rsidR="00C55BD0" w:rsidRPr="00C55BD0" w:rsidRDefault="00C55BD0" w:rsidP="00C55BD0">
            <w:pPr>
              <w:pStyle w:val="BodyText"/>
              <w:rPr>
                <w:lang w:val="en-GB"/>
              </w:rPr>
            </w:pPr>
            <w:r w:rsidRPr="00C55BD0">
              <w:rPr>
                <w:lang w:val="en-GB"/>
              </w:rPr>
              <w:t>0.98</w:t>
            </w:r>
          </w:p>
        </w:tc>
        <w:tc>
          <w:tcPr>
            <w:tcW w:w="0" w:type="auto"/>
            <w:vAlign w:val="center"/>
            <w:hideMark/>
          </w:tcPr>
          <w:p w14:paraId="104994B2" w14:textId="77777777" w:rsidR="00C55BD0" w:rsidRPr="00C55BD0" w:rsidRDefault="00C55BD0" w:rsidP="00C55BD0">
            <w:pPr>
              <w:pStyle w:val="BodyText"/>
              <w:rPr>
                <w:lang w:val="en-GB"/>
              </w:rPr>
            </w:pPr>
            <w:r w:rsidRPr="00C55BD0">
              <w:rPr>
                <w:lang w:val="en-GB"/>
              </w:rPr>
              <w:t>0.83</w:t>
            </w:r>
          </w:p>
        </w:tc>
        <w:tc>
          <w:tcPr>
            <w:tcW w:w="0" w:type="auto"/>
            <w:vAlign w:val="center"/>
            <w:hideMark/>
          </w:tcPr>
          <w:p w14:paraId="71DA1A19" w14:textId="77777777" w:rsidR="00C55BD0" w:rsidRPr="00C55BD0" w:rsidRDefault="00C55BD0" w:rsidP="00C55BD0">
            <w:pPr>
              <w:pStyle w:val="BodyText"/>
              <w:rPr>
                <w:lang w:val="en-GB"/>
              </w:rPr>
            </w:pPr>
            <w:r w:rsidRPr="00C55BD0">
              <w:rPr>
                <w:lang w:val="en-GB"/>
              </w:rPr>
              <w:t>1.05</w:t>
            </w:r>
          </w:p>
        </w:tc>
      </w:tr>
      <w:tr w:rsidR="00C55BD0" w:rsidRPr="00C55BD0" w14:paraId="11553B11" w14:textId="77777777">
        <w:trPr>
          <w:tblCellSpacing w:w="15" w:type="dxa"/>
        </w:trPr>
        <w:tc>
          <w:tcPr>
            <w:tcW w:w="0" w:type="auto"/>
            <w:vAlign w:val="center"/>
            <w:hideMark/>
          </w:tcPr>
          <w:p w14:paraId="38CA13CB" w14:textId="77777777" w:rsidR="00C55BD0" w:rsidRPr="00C55BD0" w:rsidRDefault="00C55BD0" w:rsidP="00C55BD0">
            <w:pPr>
              <w:pStyle w:val="BodyText"/>
              <w:rPr>
                <w:lang w:val="en-GB"/>
              </w:rPr>
            </w:pPr>
            <w:r w:rsidRPr="00C55BD0">
              <w:rPr>
                <w:lang w:val="en-GB"/>
              </w:rPr>
              <w:t>Investment Decision</w:t>
            </w:r>
          </w:p>
        </w:tc>
        <w:tc>
          <w:tcPr>
            <w:tcW w:w="0" w:type="auto"/>
            <w:vAlign w:val="center"/>
            <w:hideMark/>
          </w:tcPr>
          <w:p w14:paraId="3B661522" w14:textId="77777777" w:rsidR="00C55BD0" w:rsidRPr="00C55BD0" w:rsidRDefault="00C55BD0" w:rsidP="00C55BD0">
            <w:pPr>
              <w:pStyle w:val="BodyText"/>
              <w:rPr>
                <w:lang w:val="en-GB"/>
              </w:rPr>
            </w:pPr>
            <w:r w:rsidRPr="00C55BD0">
              <w:rPr>
                <w:lang w:val="en-GB"/>
              </w:rPr>
              <w:t>Reject</w:t>
            </w:r>
          </w:p>
        </w:tc>
        <w:tc>
          <w:tcPr>
            <w:tcW w:w="0" w:type="auto"/>
            <w:vAlign w:val="center"/>
            <w:hideMark/>
          </w:tcPr>
          <w:p w14:paraId="564590A4" w14:textId="77777777" w:rsidR="00C55BD0" w:rsidRPr="00C55BD0" w:rsidRDefault="00C55BD0" w:rsidP="00C55BD0">
            <w:pPr>
              <w:pStyle w:val="BodyText"/>
              <w:rPr>
                <w:lang w:val="en-GB"/>
              </w:rPr>
            </w:pPr>
            <w:r w:rsidRPr="00C55BD0">
              <w:rPr>
                <w:lang w:val="en-GB"/>
              </w:rPr>
              <w:t>Reject</w:t>
            </w:r>
          </w:p>
        </w:tc>
        <w:tc>
          <w:tcPr>
            <w:tcW w:w="0" w:type="auto"/>
            <w:vAlign w:val="center"/>
            <w:hideMark/>
          </w:tcPr>
          <w:p w14:paraId="45CAD4DF" w14:textId="77777777" w:rsidR="00C55BD0" w:rsidRPr="00C55BD0" w:rsidRDefault="00C55BD0" w:rsidP="00C55BD0">
            <w:pPr>
              <w:pStyle w:val="BodyText"/>
              <w:rPr>
                <w:lang w:val="en-GB"/>
              </w:rPr>
            </w:pPr>
            <w:r w:rsidRPr="00C55BD0">
              <w:rPr>
                <w:lang w:val="en-GB"/>
              </w:rPr>
              <w:t>Accept</w:t>
            </w:r>
          </w:p>
        </w:tc>
      </w:tr>
    </w:tbl>
    <w:p w14:paraId="6DF4C545" w14:textId="77777777" w:rsidR="00D246D3" w:rsidRPr="00D246D3" w:rsidRDefault="00D246D3" w:rsidP="00D246D3">
      <w:pPr>
        <w:pStyle w:val="BodyText"/>
      </w:pPr>
    </w:p>
    <w:p w14:paraId="3C683F3B" w14:textId="77777777" w:rsidR="00A01F12" w:rsidRDefault="00000000">
      <w:r>
        <w:pict w14:anchorId="074D993E">
          <v:rect id="_x0000_i1030" style="width:0;height:1.5pt" o:hralign="center" o:hrstd="t" o:hr="t"/>
        </w:pict>
      </w:r>
    </w:p>
    <w:p w14:paraId="064E81C5" w14:textId="77777777" w:rsidR="00A01F12" w:rsidRDefault="00000000">
      <w:pPr>
        <w:pStyle w:val="Heading2"/>
      </w:pPr>
      <w:bookmarkStart w:id="21" w:name="conclusion"/>
      <w:bookmarkEnd w:id="19"/>
      <w:bookmarkEnd w:id="20"/>
      <w:r>
        <w:t>6. Conclusion</w:t>
      </w:r>
    </w:p>
    <w:p w14:paraId="6F7FAE28" w14:textId="77777777" w:rsidR="00D246D3" w:rsidRDefault="00D246D3" w:rsidP="00D246D3">
      <w:pPr>
        <w:pStyle w:val="BodyText"/>
      </w:pPr>
      <w:r>
        <w:t>Tesla has managed to carve a niche in the EV sector, thanks to innovation and demand. Financial analysis shows that the company faces issues of profitability and capital intensity.</w:t>
      </w:r>
    </w:p>
    <w:p w14:paraId="10492F91" w14:textId="77777777" w:rsidR="00D246D3" w:rsidRDefault="00D246D3" w:rsidP="00D246D3">
      <w:pPr>
        <w:pStyle w:val="BodyText"/>
      </w:pPr>
      <w:r>
        <w:t>Improvement of working capital management, capital structure, and efficiency is critical to success. The proposed restructuring strategy is a balanced approach to financial stability.</w:t>
      </w:r>
    </w:p>
    <w:p w14:paraId="62F92714" w14:textId="62B28B0A" w:rsidR="00D246D3" w:rsidRPr="00D246D3" w:rsidRDefault="00D246D3" w:rsidP="00D246D3">
      <w:pPr>
        <w:pStyle w:val="BodyText"/>
      </w:pPr>
      <w:r>
        <w:t>Investment appraisal shows that Project C is the best option, and the combination of Projects B and C maximizes value under capital constraint. These strategies will help Tesla to sustain success and gain competitive advantage.</w:t>
      </w:r>
    </w:p>
    <w:p w14:paraId="3AB3B9B4" w14:textId="77777777" w:rsidR="00A01F12" w:rsidRDefault="00000000">
      <w:r>
        <w:pict w14:anchorId="46FC9F10">
          <v:rect id="_x0000_i1031" style="width:0;height:1.5pt" o:hralign="center" o:hrstd="t" o:hr="t"/>
        </w:pict>
      </w:r>
    </w:p>
    <w:p w14:paraId="1BE813EC" w14:textId="77777777" w:rsidR="00A01F12" w:rsidRDefault="00000000">
      <w:pPr>
        <w:pStyle w:val="Heading2"/>
      </w:pPr>
      <w:bookmarkStart w:id="22" w:name="references"/>
      <w:bookmarkEnd w:id="21"/>
      <w:r>
        <w:t>REFERENCES</w:t>
      </w:r>
    </w:p>
    <w:p w14:paraId="3150FCEF" w14:textId="77777777" w:rsidR="00A01F12" w:rsidRDefault="00000000">
      <w:pPr>
        <w:pStyle w:val="FirstParagraph"/>
      </w:pPr>
      <w:r>
        <w:t xml:space="preserve">Damodaran, A. (2022) </w:t>
      </w:r>
      <w:r>
        <w:rPr>
          <w:i/>
          <w:iCs/>
        </w:rPr>
        <w:t>Applied Corporate Finance</w:t>
      </w:r>
      <w:r>
        <w:t>. Wiley.</w:t>
      </w:r>
    </w:p>
    <w:p w14:paraId="0B041925" w14:textId="77777777" w:rsidR="00A01F12" w:rsidRDefault="00000000">
      <w:pPr>
        <w:pStyle w:val="BodyText"/>
      </w:pPr>
      <w:r>
        <w:t xml:space="preserve">Brealey, R., Myers, S. and Allen, F. (2020) </w:t>
      </w:r>
      <w:r>
        <w:rPr>
          <w:i/>
          <w:iCs/>
        </w:rPr>
        <w:t>Principles of Corporate Finance</w:t>
      </w:r>
      <w:r>
        <w:t>. McGraw-Hill.</w:t>
      </w:r>
    </w:p>
    <w:p w14:paraId="37455C63" w14:textId="77777777" w:rsidR="00A01F12" w:rsidRDefault="00000000">
      <w:pPr>
        <w:pStyle w:val="BodyText"/>
      </w:pPr>
      <w:proofErr w:type="spellStart"/>
      <w:r>
        <w:t>Atrill</w:t>
      </w:r>
      <w:proofErr w:type="spellEnd"/>
      <w:r>
        <w:t xml:space="preserve">, P. (2021) </w:t>
      </w:r>
      <w:r>
        <w:rPr>
          <w:i/>
          <w:iCs/>
        </w:rPr>
        <w:t>Financial Management for Decision Makers</w:t>
      </w:r>
      <w:r>
        <w:t>. Pearson.</w:t>
      </w:r>
    </w:p>
    <w:p w14:paraId="7AF6016D" w14:textId="77777777" w:rsidR="00A01F12" w:rsidRDefault="00000000">
      <w:pPr>
        <w:pStyle w:val="BodyText"/>
      </w:pPr>
      <w:r>
        <w:t xml:space="preserve">Gitman, L.J. and Zutter, C.J. (2019) </w:t>
      </w:r>
      <w:r>
        <w:rPr>
          <w:i/>
          <w:iCs/>
        </w:rPr>
        <w:t>Principles of Managerial Finance</w:t>
      </w:r>
      <w:r>
        <w:t>. Pearson.</w:t>
      </w:r>
    </w:p>
    <w:p w14:paraId="4AA1AD08" w14:textId="77777777" w:rsidR="00A01F12" w:rsidRDefault="00000000">
      <w:pPr>
        <w:pStyle w:val="BodyText"/>
      </w:pPr>
      <w:r>
        <w:t xml:space="preserve">Ross, S.A., </w:t>
      </w:r>
      <w:proofErr w:type="spellStart"/>
      <w:r>
        <w:t>Westerfield</w:t>
      </w:r>
      <w:proofErr w:type="spellEnd"/>
      <w:r>
        <w:t xml:space="preserve">, R. and Jaffe, J. (2018) </w:t>
      </w:r>
      <w:r>
        <w:rPr>
          <w:i/>
          <w:iCs/>
        </w:rPr>
        <w:t>Corporate Finance</w:t>
      </w:r>
      <w:r>
        <w:t>. McGraw-Hill.</w:t>
      </w:r>
    </w:p>
    <w:p w14:paraId="3777DE41" w14:textId="77777777" w:rsidR="00A01F12" w:rsidRDefault="00000000">
      <w:pPr>
        <w:pStyle w:val="BodyText"/>
      </w:pPr>
      <w:r>
        <w:t xml:space="preserve">Koller, T. et al. (2020) </w:t>
      </w:r>
      <w:r>
        <w:rPr>
          <w:i/>
          <w:iCs/>
        </w:rPr>
        <w:t>Valuation</w:t>
      </w:r>
      <w:r>
        <w:t>. Wiley.</w:t>
      </w:r>
    </w:p>
    <w:p w14:paraId="0C962EFF" w14:textId="77777777" w:rsidR="00A01F12" w:rsidRDefault="00000000">
      <w:pPr>
        <w:pStyle w:val="BodyText"/>
      </w:pPr>
      <w:r>
        <w:lastRenderedPageBreak/>
        <w:t>Tesla Inc. (2020–2024) Annual Reports.</w:t>
      </w:r>
    </w:p>
    <w:p w14:paraId="789595C5" w14:textId="77777777" w:rsidR="00A01F12" w:rsidRDefault="00000000">
      <w:pPr>
        <w:pStyle w:val="BodyText"/>
      </w:pPr>
      <w:r>
        <w:t>IEA (2023) Global EV Outlook.</w:t>
      </w:r>
    </w:p>
    <w:p w14:paraId="1D9F9C0E" w14:textId="77777777" w:rsidR="00A01F12" w:rsidRDefault="00000000">
      <w:pPr>
        <w:pStyle w:val="BodyText"/>
      </w:pPr>
      <w:r>
        <w:t>Statista (2024) EV Market Data.</w:t>
      </w:r>
    </w:p>
    <w:p w14:paraId="0F3297BC" w14:textId="77777777" w:rsidR="00A01F12" w:rsidRDefault="00000000">
      <w:pPr>
        <w:pStyle w:val="BodyText"/>
      </w:pPr>
      <w:r>
        <w:t>Deloitte (2023) Automotive Study.</w:t>
      </w:r>
    </w:p>
    <w:p w14:paraId="22F3C830" w14:textId="77777777" w:rsidR="00A01F12" w:rsidRDefault="00000000">
      <w:pPr>
        <w:pStyle w:val="BodyText"/>
      </w:pPr>
      <w:r>
        <w:t>PwC (2023) Automotive Trends.</w:t>
      </w:r>
    </w:p>
    <w:p w14:paraId="7D539873" w14:textId="77777777" w:rsidR="00A01F12" w:rsidRDefault="00000000">
      <w:pPr>
        <w:pStyle w:val="BodyText"/>
      </w:pPr>
      <w:r>
        <w:t>McKinsey (2023) EV Report.</w:t>
      </w:r>
    </w:p>
    <w:p w14:paraId="0B0C6AC4" w14:textId="77777777" w:rsidR="00A01F12" w:rsidRDefault="00000000">
      <w:r>
        <w:pict w14:anchorId="646F03D9">
          <v:rect id="_x0000_i1032" style="width:0;height:1.5pt" o:hralign="center" o:hrstd="t" o:hr="t"/>
        </w:pict>
      </w:r>
      <w:bookmarkEnd w:id="1"/>
      <w:bookmarkEnd w:id="22"/>
    </w:p>
    <w:sectPr w:rsidR="00A01F12">
      <w:headerReference w:type="even" r:id="rId7"/>
      <w:headerReference w:type="default" r:id="rId8"/>
      <w:footerReference w:type="even" r:id="rId9"/>
      <w:footerReference w:type="default" r:id="rId10"/>
      <w:headerReference w:type="first" r:id="rId11"/>
      <w:footerReference w:type="first" r:id="rId12"/>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C7CF0" w14:textId="77777777" w:rsidR="00EC4449" w:rsidRDefault="00EC4449" w:rsidP="00FA44DA">
      <w:pPr>
        <w:spacing w:after="0" w:line="240" w:lineRule="auto"/>
      </w:pPr>
      <w:r>
        <w:separator/>
      </w:r>
    </w:p>
  </w:endnote>
  <w:endnote w:type="continuationSeparator" w:id="0">
    <w:p w14:paraId="44EF9319" w14:textId="77777777" w:rsidR="00EC4449" w:rsidRDefault="00EC4449" w:rsidP="00FA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2DED9" w14:textId="77777777" w:rsidR="00FA44DA" w:rsidRDefault="00FA44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EDD5F" w14:textId="77777777" w:rsidR="00FA44DA" w:rsidRDefault="00FA44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67711" w14:textId="77777777" w:rsidR="00FA44DA" w:rsidRDefault="00FA4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2F5EB" w14:textId="77777777" w:rsidR="00EC4449" w:rsidRDefault="00EC4449" w:rsidP="00FA44DA">
      <w:pPr>
        <w:spacing w:after="0" w:line="240" w:lineRule="auto"/>
      </w:pPr>
      <w:r>
        <w:separator/>
      </w:r>
    </w:p>
  </w:footnote>
  <w:footnote w:type="continuationSeparator" w:id="0">
    <w:p w14:paraId="0C9D8F49" w14:textId="77777777" w:rsidR="00EC4449" w:rsidRDefault="00EC4449" w:rsidP="00FA44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73E86" w14:textId="77777777" w:rsidR="00FA44DA" w:rsidRDefault="00FA44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6FEB3B" w14:textId="1DEBC35D" w:rsidR="00FA44DA" w:rsidRDefault="00FA44DA">
    <w:pPr>
      <w:pStyle w:val="Header"/>
    </w:pPr>
    <w:r w:rsidRPr="00FA44DA">
      <w:rPr>
        <w:rFonts w:ascii="Aptos" w:eastAsia="Aptos" w:hAnsi="Aptos" w:cs="Times New Roman"/>
        <w:noProof/>
        <w:kern w:val="2"/>
        <w:sz w:val="24"/>
        <w:szCs w:val="24"/>
      </w:rPr>
      <w:drawing>
        <wp:inline distT="0" distB="0" distL="0" distR="0" wp14:anchorId="78B28AD1" wp14:editId="7484716E">
          <wp:extent cx="1333500" cy="1714500"/>
          <wp:effectExtent l="0" t="0" r="0" b="0"/>
          <wp:docPr id="1236334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33500" cy="1714500"/>
                  </a:xfrm>
                  <a:prstGeom prst="rect">
                    <a:avLst/>
                  </a:prstGeom>
                  <a:noFill/>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EF39F" w14:textId="77777777" w:rsidR="00FA44DA" w:rsidRDefault="00FA44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DD2C9178"/>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5FFB629E"/>
    <w:multiLevelType w:val="hybridMultilevel"/>
    <w:tmpl w:val="E59E9FB4"/>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7055380">
    <w:abstractNumId w:val="0"/>
  </w:num>
  <w:num w:numId="2" w16cid:durableId="7589115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01F12"/>
    <w:rsid w:val="000A0EE4"/>
    <w:rsid w:val="001E4EC7"/>
    <w:rsid w:val="001F6487"/>
    <w:rsid w:val="003D4C18"/>
    <w:rsid w:val="004F4869"/>
    <w:rsid w:val="0090302E"/>
    <w:rsid w:val="00907AD6"/>
    <w:rsid w:val="00935736"/>
    <w:rsid w:val="00A01F12"/>
    <w:rsid w:val="00BB14C6"/>
    <w:rsid w:val="00C55958"/>
    <w:rsid w:val="00C55BD0"/>
    <w:rsid w:val="00D246D3"/>
    <w:rsid w:val="00EC4449"/>
    <w:rsid w:val="00F962C5"/>
    <w:rsid w:val="00FA44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41FF2"/>
  <w15:docId w15:val="{08145630-5372-4865-9D54-7774FD5AE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uiPriority="35" w:qFormat="1"/>
    <w:lsdException w:name="Title" w:qFormat="1"/>
    <w:lsdException w:name="Subtitle" w:qFormat="1"/>
    <w:lsdException w:name="Strong" w:uiPriority="22" w:qFormat="1"/>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TOC Heading"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A44DA"/>
  </w:style>
  <w:style w:type="paragraph" w:styleId="Heading1">
    <w:name w:val="heading 1"/>
    <w:basedOn w:val="Normal"/>
    <w:next w:val="Normal"/>
    <w:link w:val="Heading1Char"/>
    <w:uiPriority w:val="9"/>
    <w:qFormat/>
    <w:rsid w:val="00FA44D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FA44D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4D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4D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A44D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A44D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A44D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A44D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A44D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before="180" w:after="180"/>
    </w:pPr>
  </w:style>
  <w:style w:type="paragraph" w:customStyle="1" w:styleId="FirstParagraph">
    <w:name w:val="First Paragraph"/>
    <w:basedOn w:val="BodyText"/>
    <w:next w:val="BodyText"/>
  </w:style>
  <w:style w:type="paragraph" w:customStyle="1" w:styleId="Compact">
    <w:name w:val="Compact"/>
    <w:basedOn w:val="BodyText"/>
    <w:pPr>
      <w:spacing w:before="36" w:after="36"/>
    </w:pPr>
  </w:style>
  <w:style w:type="paragraph" w:styleId="Title">
    <w:name w:val="Title"/>
    <w:basedOn w:val="Normal"/>
    <w:next w:val="Normal"/>
    <w:link w:val="TitleChar"/>
    <w:uiPriority w:val="10"/>
    <w:qFormat/>
    <w:rsid w:val="00FA44D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A44D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A44D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A44DA"/>
    <w:rPr>
      <w:rFonts w:asciiTheme="majorHAnsi" w:eastAsiaTheme="majorEastAsia" w:hAnsiTheme="majorHAnsi" w:cstheme="majorBidi"/>
      <w:color w:val="156082" w:themeColor="accent1"/>
      <w:sz w:val="28"/>
      <w:szCs w:val="28"/>
    </w:rPr>
  </w:style>
  <w:style w:type="paragraph" w:customStyle="1" w:styleId="Author">
    <w:name w:val="Author"/>
    <w:next w:val="BodyText"/>
    <w:pPr>
      <w:keepNext/>
      <w:keepLines/>
      <w:jc w:val="center"/>
    </w:pPr>
  </w:style>
  <w:style w:type="paragraph" w:styleId="Date">
    <w:name w:val="Date"/>
    <w:next w:val="BodyText"/>
    <w:pPr>
      <w:keepNext/>
      <w:keepLines/>
      <w:jc w:val="center"/>
    </w:pPr>
  </w:style>
  <w:style w:type="paragraph" w:customStyle="1" w:styleId="AbstractTitle">
    <w:name w:val="Abstract Title"/>
    <w:basedOn w:val="Normal"/>
    <w:next w:val="Abstract"/>
    <w:pPr>
      <w:keepNext/>
      <w:keepLines/>
      <w:spacing w:before="300" w:after="0"/>
      <w:jc w:val="center"/>
    </w:pPr>
    <w:rPr>
      <w:b/>
      <w:sz w:val="20"/>
      <w:szCs w:val="20"/>
    </w:rPr>
  </w:style>
  <w:style w:type="paragraph" w:customStyle="1" w:styleId="Abstract">
    <w:name w:val="Abstract"/>
    <w:basedOn w:val="Normal"/>
    <w:next w:val="BodyText"/>
    <w:pPr>
      <w:keepNext/>
      <w:keepLines/>
      <w:spacing w:before="100" w:after="300"/>
    </w:pPr>
    <w:rPr>
      <w:sz w:val="20"/>
      <w:szCs w:val="20"/>
    </w:rPr>
  </w:style>
  <w:style w:type="paragraph" w:styleId="Bibliography">
    <w:name w:val="Bibliography"/>
    <w:basedOn w:val="Normal"/>
  </w:style>
  <w:style w:type="character" w:customStyle="1" w:styleId="Heading1Char">
    <w:name w:val="Heading 1 Char"/>
    <w:basedOn w:val="DefaultParagraphFont"/>
    <w:link w:val="Heading1"/>
    <w:uiPriority w:val="9"/>
    <w:rsid w:val="00FA44D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FA44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4D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4D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A44D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A44D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A44D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A44D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A44DA"/>
    <w:rPr>
      <w:rFonts w:asciiTheme="majorHAnsi" w:eastAsiaTheme="majorEastAsia" w:hAnsiTheme="majorHAnsi" w:cstheme="majorBidi"/>
      <w:i/>
      <w:iCs/>
      <w:color w:val="0A2F41" w:themeColor="accent1" w:themeShade="80"/>
    </w:rPr>
  </w:style>
  <w:style w:type="paragraph" w:styleId="BlockText">
    <w:name w:val="Block Text"/>
    <w:basedOn w:val="BodyText"/>
    <w:next w:val="BodyText"/>
    <w:uiPriority w:val="9"/>
    <w:unhideWhenUsed/>
    <w:pPr>
      <w:spacing w:before="100" w:after="100"/>
      <w:ind w:left="480" w:right="480"/>
    </w:pPr>
  </w:style>
  <w:style w:type="paragraph" w:styleId="FootnoteText">
    <w:name w:val="footnote text"/>
    <w:basedOn w:val="Normal"/>
    <w:uiPriority w:val="9"/>
    <w:unhideWhenUsed/>
  </w:style>
  <w:style w:type="paragraph" w:customStyle="1" w:styleId="FootnoteBlockText">
    <w:name w:val="Footnote Block Text"/>
    <w:basedOn w:val="FootnoteText"/>
    <w:next w:val="FootnoteText"/>
    <w:uiPriority w:val="9"/>
    <w:unhideWhenUsed/>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next w:val="Normal"/>
    <w:link w:val="CaptionChar"/>
    <w:uiPriority w:val="35"/>
    <w:unhideWhenUsed/>
    <w:qFormat/>
    <w:rsid w:val="00FA44DA"/>
    <w:pPr>
      <w:spacing w:line="240" w:lineRule="auto"/>
    </w:pPr>
    <w:rPr>
      <w:b/>
      <w:bCs/>
      <w:smallCaps/>
      <w:color w:val="0E2841" w:themeColor="text2"/>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uiPriority w:val="35"/>
    <w:rPr>
      <w:b/>
      <w:bCs/>
      <w:smallCaps/>
      <w:color w:val="0E2841" w:themeColor="text2"/>
    </w:rPr>
  </w:style>
  <w:style w:type="character" w:customStyle="1" w:styleId="VerbatimChar">
    <w:name w:val="Verbatim Char"/>
    <w:basedOn w:val="CaptionChar"/>
    <w:link w:val="SourceCode"/>
    <w:rPr>
      <w:rFonts w:ascii="Consolas" w:hAnsi="Consolas"/>
      <w:b/>
      <w:bCs/>
      <w:smallCaps/>
      <w:color w:val="0E2841" w:themeColor="text2"/>
      <w:sz w:val="22"/>
    </w:rPr>
  </w:style>
  <w:style w:type="character" w:customStyle="1" w:styleId="SectionNumber">
    <w:name w:val="Section Number"/>
    <w:basedOn w:val="CaptionChar"/>
    <w:rPr>
      <w:b/>
      <w:bCs/>
      <w:smallCaps/>
      <w:color w:val="0E2841" w:themeColor="text2"/>
    </w:rPr>
  </w:style>
  <w:style w:type="character" w:styleId="FootnoteReference">
    <w:name w:val="footnote reference"/>
    <w:basedOn w:val="CaptionChar"/>
    <w:rPr>
      <w:b/>
      <w:bCs/>
      <w:smallCaps/>
      <w:color w:val="0E2841" w:themeColor="text2"/>
      <w:vertAlign w:val="superscript"/>
    </w:rPr>
  </w:style>
  <w:style w:type="character" w:styleId="Hyperlink">
    <w:name w:val="Hyperlink"/>
    <w:basedOn w:val="CaptionChar"/>
    <w:rPr>
      <w:b/>
      <w:bCs/>
      <w:smallCaps/>
      <w:color w:val="156082" w:themeColor="accent1"/>
    </w:rPr>
  </w:style>
  <w:style w:type="paragraph" w:styleId="TOCHeading">
    <w:name w:val="TOC Heading"/>
    <w:basedOn w:val="Heading1"/>
    <w:next w:val="Normal"/>
    <w:uiPriority w:val="39"/>
    <w:unhideWhenUsed/>
    <w:qFormat/>
    <w:rsid w:val="00FA44DA"/>
    <w:pPr>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val="0"/>
      <w:bCs/>
      <w:smallCaps/>
      <w:color w:val="007020"/>
      <w:sz w:val="22"/>
    </w:rPr>
  </w:style>
  <w:style w:type="character" w:customStyle="1" w:styleId="DataTypeTok">
    <w:name w:val="DataTypeTok"/>
    <w:basedOn w:val="VerbatimChar"/>
    <w:rPr>
      <w:rFonts w:ascii="Consolas" w:hAnsi="Consolas"/>
      <w:b/>
      <w:bCs/>
      <w:smallCaps/>
      <w:color w:val="902000"/>
      <w:sz w:val="22"/>
    </w:rPr>
  </w:style>
  <w:style w:type="character" w:customStyle="1" w:styleId="DecValTok">
    <w:name w:val="DecValTok"/>
    <w:basedOn w:val="VerbatimChar"/>
    <w:rPr>
      <w:rFonts w:ascii="Consolas" w:hAnsi="Consolas"/>
      <w:b/>
      <w:bCs/>
      <w:smallCaps/>
      <w:color w:val="40A070"/>
      <w:sz w:val="22"/>
    </w:rPr>
  </w:style>
  <w:style w:type="character" w:customStyle="1" w:styleId="BaseNTok">
    <w:name w:val="BaseNTok"/>
    <w:basedOn w:val="VerbatimChar"/>
    <w:rPr>
      <w:rFonts w:ascii="Consolas" w:hAnsi="Consolas"/>
      <w:b/>
      <w:bCs/>
      <w:smallCaps/>
      <w:color w:val="40A070"/>
      <w:sz w:val="22"/>
    </w:rPr>
  </w:style>
  <w:style w:type="character" w:customStyle="1" w:styleId="FloatTok">
    <w:name w:val="FloatTok"/>
    <w:basedOn w:val="VerbatimChar"/>
    <w:rPr>
      <w:rFonts w:ascii="Consolas" w:hAnsi="Consolas"/>
      <w:b/>
      <w:bCs/>
      <w:smallCaps/>
      <w:color w:val="40A070"/>
      <w:sz w:val="22"/>
    </w:rPr>
  </w:style>
  <w:style w:type="character" w:customStyle="1" w:styleId="ConstantTok">
    <w:name w:val="ConstantTok"/>
    <w:basedOn w:val="VerbatimChar"/>
    <w:rPr>
      <w:rFonts w:ascii="Consolas" w:hAnsi="Consolas"/>
      <w:b/>
      <w:bCs/>
      <w:smallCaps/>
      <w:color w:val="880000"/>
      <w:sz w:val="22"/>
    </w:rPr>
  </w:style>
  <w:style w:type="character" w:customStyle="1" w:styleId="CharTok">
    <w:name w:val="CharTok"/>
    <w:basedOn w:val="VerbatimChar"/>
    <w:rPr>
      <w:rFonts w:ascii="Consolas" w:hAnsi="Consolas"/>
      <w:b/>
      <w:bCs/>
      <w:smallCaps/>
      <w:color w:val="4070A0"/>
      <w:sz w:val="22"/>
    </w:rPr>
  </w:style>
  <w:style w:type="character" w:customStyle="1" w:styleId="SpecialCharTok">
    <w:name w:val="SpecialCharTok"/>
    <w:basedOn w:val="VerbatimChar"/>
    <w:rPr>
      <w:rFonts w:ascii="Consolas" w:hAnsi="Consolas"/>
      <w:b/>
      <w:bCs/>
      <w:smallCaps/>
      <w:color w:val="4070A0"/>
      <w:sz w:val="22"/>
    </w:rPr>
  </w:style>
  <w:style w:type="character" w:customStyle="1" w:styleId="StringTok">
    <w:name w:val="StringTok"/>
    <w:basedOn w:val="VerbatimChar"/>
    <w:rPr>
      <w:rFonts w:ascii="Consolas" w:hAnsi="Consolas"/>
      <w:b/>
      <w:bCs/>
      <w:smallCaps/>
      <w:color w:val="4070A0"/>
      <w:sz w:val="22"/>
    </w:rPr>
  </w:style>
  <w:style w:type="character" w:customStyle="1" w:styleId="VerbatimStringTok">
    <w:name w:val="VerbatimStringTok"/>
    <w:basedOn w:val="VerbatimChar"/>
    <w:rPr>
      <w:rFonts w:ascii="Consolas" w:hAnsi="Consolas"/>
      <w:b/>
      <w:bCs/>
      <w:smallCaps/>
      <w:color w:val="4070A0"/>
      <w:sz w:val="22"/>
    </w:rPr>
  </w:style>
  <w:style w:type="character" w:customStyle="1" w:styleId="SpecialStringTok">
    <w:name w:val="SpecialStringTok"/>
    <w:basedOn w:val="VerbatimChar"/>
    <w:rPr>
      <w:rFonts w:ascii="Consolas" w:hAnsi="Consolas"/>
      <w:b/>
      <w:bCs/>
      <w:smallCaps/>
      <w:color w:val="BB6688"/>
      <w:sz w:val="22"/>
    </w:rPr>
  </w:style>
  <w:style w:type="character" w:customStyle="1" w:styleId="ImportTok">
    <w:name w:val="ImportTok"/>
    <w:basedOn w:val="VerbatimChar"/>
    <w:rPr>
      <w:rFonts w:ascii="Consolas" w:hAnsi="Consolas"/>
      <w:b w:val="0"/>
      <w:bCs/>
      <w:smallCaps/>
      <w:color w:val="008000"/>
      <w:sz w:val="22"/>
    </w:rPr>
  </w:style>
  <w:style w:type="character" w:customStyle="1" w:styleId="CommentTok">
    <w:name w:val="CommentTok"/>
    <w:basedOn w:val="VerbatimChar"/>
    <w:rPr>
      <w:rFonts w:ascii="Consolas" w:hAnsi="Consolas"/>
      <w:b/>
      <w:bCs/>
      <w:i/>
      <w:smallCaps/>
      <w:color w:val="60A0B0"/>
      <w:sz w:val="22"/>
    </w:rPr>
  </w:style>
  <w:style w:type="character" w:customStyle="1" w:styleId="DocumentationTok">
    <w:name w:val="DocumentationTok"/>
    <w:basedOn w:val="VerbatimChar"/>
    <w:rPr>
      <w:rFonts w:ascii="Consolas" w:hAnsi="Consolas"/>
      <w:b/>
      <w:bCs/>
      <w:i/>
      <w:smallCaps/>
      <w:color w:val="BA2121"/>
      <w:sz w:val="22"/>
    </w:rPr>
  </w:style>
  <w:style w:type="character" w:customStyle="1" w:styleId="AnnotationTok">
    <w:name w:val="AnnotationTok"/>
    <w:basedOn w:val="VerbatimChar"/>
    <w:rPr>
      <w:rFonts w:ascii="Consolas" w:hAnsi="Consolas"/>
      <w:b w:val="0"/>
      <w:bCs/>
      <w:i/>
      <w:smallCaps/>
      <w:color w:val="60A0B0"/>
      <w:sz w:val="22"/>
    </w:rPr>
  </w:style>
  <w:style w:type="character" w:customStyle="1" w:styleId="CommentVarTok">
    <w:name w:val="CommentVarTok"/>
    <w:basedOn w:val="VerbatimChar"/>
    <w:rPr>
      <w:rFonts w:ascii="Consolas" w:hAnsi="Consolas"/>
      <w:b w:val="0"/>
      <w:bCs/>
      <w:i/>
      <w:smallCaps/>
      <w:color w:val="60A0B0"/>
      <w:sz w:val="22"/>
    </w:rPr>
  </w:style>
  <w:style w:type="character" w:customStyle="1" w:styleId="OtherTok">
    <w:name w:val="OtherTok"/>
    <w:basedOn w:val="VerbatimChar"/>
    <w:rPr>
      <w:rFonts w:ascii="Consolas" w:hAnsi="Consolas"/>
      <w:b/>
      <w:bCs/>
      <w:smallCaps/>
      <w:color w:val="007020"/>
      <w:sz w:val="22"/>
    </w:rPr>
  </w:style>
  <w:style w:type="character" w:customStyle="1" w:styleId="FunctionTok">
    <w:name w:val="FunctionTok"/>
    <w:basedOn w:val="VerbatimChar"/>
    <w:rPr>
      <w:rFonts w:ascii="Consolas" w:hAnsi="Consolas"/>
      <w:b/>
      <w:bCs/>
      <w:smallCaps/>
      <w:color w:val="06287E"/>
      <w:sz w:val="22"/>
    </w:rPr>
  </w:style>
  <w:style w:type="character" w:customStyle="1" w:styleId="VariableTok">
    <w:name w:val="VariableTok"/>
    <w:basedOn w:val="VerbatimChar"/>
    <w:rPr>
      <w:rFonts w:ascii="Consolas" w:hAnsi="Consolas"/>
      <w:b/>
      <w:bCs/>
      <w:smallCaps/>
      <w:color w:val="19177C"/>
      <w:sz w:val="22"/>
    </w:rPr>
  </w:style>
  <w:style w:type="character" w:customStyle="1" w:styleId="ControlFlowTok">
    <w:name w:val="ControlFlowTok"/>
    <w:basedOn w:val="VerbatimChar"/>
    <w:rPr>
      <w:rFonts w:ascii="Consolas" w:hAnsi="Consolas"/>
      <w:b w:val="0"/>
      <w:bCs/>
      <w:smallCaps/>
      <w:color w:val="007020"/>
      <w:sz w:val="22"/>
    </w:rPr>
  </w:style>
  <w:style w:type="character" w:customStyle="1" w:styleId="OperatorTok">
    <w:name w:val="OperatorTok"/>
    <w:basedOn w:val="VerbatimChar"/>
    <w:rPr>
      <w:rFonts w:ascii="Consolas" w:hAnsi="Consolas"/>
      <w:b/>
      <w:bCs/>
      <w:smallCaps/>
      <w:color w:val="666666"/>
      <w:sz w:val="22"/>
    </w:rPr>
  </w:style>
  <w:style w:type="character" w:customStyle="1" w:styleId="BuiltInTok">
    <w:name w:val="BuiltInTok"/>
    <w:basedOn w:val="VerbatimChar"/>
    <w:rPr>
      <w:rFonts w:ascii="Consolas" w:hAnsi="Consolas"/>
      <w:b/>
      <w:bCs/>
      <w:smallCaps/>
      <w:color w:val="008000"/>
      <w:sz w:val="22"/>
    </w:rPr>
  </w:style>
  <w:style w:type="character" w:customStyle="1" w:styleId="ExtensionTok">
    <w:name w:val="ExtensionTok"/>
    <w:basedOn w:val="VerbatimChar"/>
    <w:rPr>
      <w:rFonts w:ascii="Consolas" w:hAnsi="Consolas"/>
      <w:b/>
      <w:bCs/>
      <w:smallCaps/>
      <w:color w:val="0E2841" w:themeColor="text2"/>
      <w:sz w:val="22"/>
    </w:rPr>
  </w:style>
  <w:style w:type="character" w:customStyle="1" w:styleId="PreprocessorTok">
    <w:name w:val="PreprocessorTok"/>
    <w:basedOn w:val="VerbatimChar"/>
    <w:rPr>
      <w:rFonts w:ascii="Consolas" w:hAnsi="Consolas"/>
      <w:b/>
      <w:bCs/>
      <w:smallCaps/>
      <w:color w:val="BC7A00"/>
      <w:sz w:val="22"/>
    </w:rPr>
  </w:style>
  <w:style w:type="character" w:customStyle="1" w:styleId="AttributeTok">
    <w:name w:val="AttributeTok"/>
    <w:basedOn w:val="VerbatimChar"/>
    <w:rPr>
      <w:rFonts w:ascii="Consolas" w:hAnsi="Consolas"/>
      <w:b/>
      <w:bCs/>
      <w:smallCaps/>
      <w:color w:val="7D9029"/>
      <w:sz w:val="22"/>
    </w:rPr>
  </w:style>
  <w:style w:type="character" w:customStyle="1" w:styleId="RegionMarkerTok">
    <w:name w:val="RegionMarkerTok"/>
    <w:basedOn w:val="VerbatimChar"/>
    <w:rPr>
      <w:rFonts w:ascii="Consolas" w:hAnsi="Consolas"/>
      <w:b/>
      <w:bCs/>
      <w:smallCaps/>
      <w:color w:val="0E2841" w:themeColor="text2"/>
      <w:sz w:val="22"/>
    </w:rPr>
  </w:style>
  <w:style w:type="character" w:customStyle="1" w:styleId="InformationTok">
    <w:name w:val="InformationTok"/>
    <w:basedOn w:val="VerbatimChar"/>
    <w:rPr>
      <w:rFonts w:ascii="Consolas" w:hAnsi="Consolas"/>
      <w:b w:val="0"/>
      <w:bCs/>
      <w:i/>
      <w:smallCaps/>
      <w:color w:val="60A0B0"/>
      <w:sz w:val="22"/>
    </w:rPr>
  </w:style>
  <w:style w:type="character" w:customStyle="1" w:styleId="WarningTok">
    <w:name w:val="WarningTok"/>
    <w:basedOn w:val="VerbatimChar"/>
    <w:rPr>
      <w:rFonts w:ascii="Consolas" w:hAnsi="Consolas"/>
      <w:b w:val="0"/>
      <w:bCs/>
      <w:i/>
      <w:smallCaps/>
      <w:color w:val="60A0B0"/>
      <w:sz w:val="22"/>
    </w:rPr>
  </w:style>
  <w:style w:type="character" w:customStyle="1" w:styleId="AlertTok">
    <w:name w:val="AlertTok"/>
    <w:basedOn w:val="VerbatimChar"/>
    <w:rPr>
      <w:rFonts w:ascii="Consolas" w:hAnsi="Consolas"/>
      <w:b w:val="0"/>
      <w:bCs/>
      <w:smallCaps/>
      <w:color w:val="FF0000"/>
      <w:sz w:val="22"/>
    </w:rPr>
  </w:style>
  <w:style w:type="character" w:customStyle="1" w:styleId="ErrorTok">
    <w:name w:val="ErrorTok"/>
    <w:basedOn w:val="VerbatimChar"/>
    <w:rPr>
      <w:rFonts w:ascii="Consolas" w:hAnsi="Consolas"/>
      <w:b w:val="0"/>
      <w:bCs/>
      <w:smallCaps/>
      <w:color w:val="FF0000"/>
      <w:sz w:val="22"/>
    </w:rPr>
  </w:style>
  <w:style w:type="character" w:customStyle="1" w:styleId="NormalTok">
    <w:name w:val="NormalTok"/>
    <w:basedOn w:val="VerbatimChar"/>
    <w:rPr>
      <w:rFonts w:ascii="Consolas" w:hAnsi="Consolas"/>
      <w:b/>
      <w:bCs/>
      <w:smallCaps/>
      <w:color w:val="0E2841" w:themeColor="text2"/>
      <w:sz w:val="22"/>
    </w:rPr>
  </w:style>
  <w:style w:type="character" w:styleId="Strong">
    <w:name w:val="Strong"/>
    <w:basedOn w:val="DefaultParagraphFont"/>
    <w:uiPriority w:val="22"/>
    <w:qFormat/>
    <w:rsid w:val="00FA44DA"/>
    <w:rPr>
      <w:b/>
      <w:bCs/>
    </w:rPr>
  </w:style>
  <w:style w:type="character" w:styleId="Emphasis">
    <w:name w:val="Emphasis"/>
    <w:basedOn w:val="DefaultParagraphFont"/>
    <w:uiPriority w:val="20"/>
    <w:qFormat/>
    <w:rsid w:val="00FA44DA"/>
    <w:rPr>
      <w:i/>
      <w:iCs/>
    </w:rPr>
  </w:style>
  <w:style w:type="paragraph" w:styleId="NoSpacing">
    <w:name w:val="No Spacing"/>
    <w:uiPriority w:val="1"/>
    <w:qFormat/>
    <w:rsid w:val="00FA44DA"/>
    <w:pPr>
      <w:spacing w:after="0" w:line="240" w:lineRule="auto"/>
    </w:pPr>
  </w:style>
  <w:style w:type="paragraph" w:styleId="Quote">
    <w:name w:val="Quote"/>
    <w:basedOn w:val="Normal"/>
    <w:next w:val="Normal"/>
    <w:link w:val="QuoteChar"/>
    <w:uiPriority w:val="29"/>
    <w:qFormat/>
    <w:rsid w:val="00FA44D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A44DA"/>
    <w:rPr>
      <w:color w:val="0E2841" w:themeColor="text2"/>
      <w:sz w:val="24"/>
      <w:szCs w:val="24"/>
    </w:rPr>
  </w:style>
  <w:style w:type="paragraph" w:styleId="IntenseQuote">
    <w:name w:val="Intense Quote"/>
    <w:basedOn w:val="Normal"/>
    <w:next w:val="Normal"/>
    <w:link w:val="IntenseQuoteChar"/>
    <w:uiPriority w:val="30"/>
    <w:qFormat/>
    <w:rsid w:val="00FA44D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A44DA"/>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FA44DA"/>
    <w:rPr>
      <w:i/>
      <w:iCs/>
      <w:color w:val="595959" w:themeColor="text1" w:themeTint="A6"/>
    </w:rPr>
  </w:style>
  <w:style w:type="character" w:styleId="IntenseEmphasis">
    <w:name w:val="Intense Emphasis"/>
    <w:basedOn w:val="DefaultParagraphFont"/>
    <w:uiPriority w:val="21"/>
    <w:qFormat/>
    <w:rsid w:val="00FA44DA"/>
    <w:rPr>
      <w:b/>
      <w:bCs/>
      <w:i/>
      <w:iCs/>
    </w:rPr>
  </w:style>
  <w:style w:type="character" w:styleId="SubtleReference">
    <w:name w:val="Subtle Reference"/>
    <w:basedOn w:val="DefaultParagraphFont"/>
    <w:uiPriority w:val="31"/>
    <w:qFormat/>
    <w:rsid w:val="00FA44D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A44DA"/>
    <w:rPr>
      <w:b/>
      <w:bCs/>
      <w:smallCaps/>
      <w:color w:val="0E2841" w:themeColor="text2"/>
      <w:u w:val="single"/>
    </w:rPr>
  </w:style>
  <w:style w:type="character" w:styleId="BookTitle">
    <w:name w:val="Book Title"/>
    <w:basedOn w:val="DefaultParagraphFont"/>
    <w:uiPriority w:val="33"/>
    <w:qFormat/>
    <w:rsid w:val="00FA44DA"/>
    <w:rPr>
      <w:b/>
      <w:bCs/>
      <w:smallCaps/>
      <w:spacing w:val="10"/>
    </w:rPr>
  </w:style>
  <w:style w:type="paragraph" w:styleId="Header">
    <w:name w:val="header"/>
    <w:basedOn w:val="Normal"/>
    <w:link w:val="HeaderChar"/>
    <w:rsid w:val="00FA44DA"/>
    <w:pPr>
      <w:tabs>
        <w:tab w:val="center" w:pos="4513"/>
        <w:tab w:val="right" w:pos="9026"/>
      </w:tabs>
      <w:spacing w:after="0" w:line="240" w:lineRule="auto"/>
    </w:pPr>
  </w:style>
  <w:style w:type="character" w:customStyle="1" w:styleId="HeaderChar">
    <w:name w:val="Header Char"/>
    <w:basedOn w:val="DefaultParagraphFont"/>
    <w:link w:val="Header"/>
    <w:rsid w:val="00FA44DA"/>
  </w:style>
  <w:style w:type="paragraph" w:styleId="Footer">
    <w:name w:val="footer"/>
    <w:basedOn w:val="Normal"/>
    <w:link w:val="FooterChar"/>
    <w:rsid w:val="00FA44DA"/>
    <w:pPr>
      <w:tabs>
        <w:tab w:val="center" w:pos="4513"/>
        <w:tab w:val="right" w:pos="9026"/>
      </w:tabs>
      <w:spacing w:after="0" w:line="240" w:lineRule="auto"/>
    </w:pPr>
  </w:style>
  <w:style w:type="character" w:customStyle="1" w:styleId="FooterChar">
    <w:name w:val="Footer Char"/>
    <w:basedOn w:val="DefaultParagraphFont"/>
    <w:link w:val="Footer"/>
    <w:rsid w:val="00FA4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8</Pages>
  <Words>1642</Words>
  <Characters>9365</Characters>
  <Application>Microsoft Office Word</Application>
  <DocSecurity>0</DocSecurity>
  <Lines>78</Lines>
  <Paragraphs>21</Paragraphs>
  <ScaleCrop>false</ScaleCrop>
  <Company/>
  <LinksUpToDate>false</LinksUpToDate>
  <CharactersWithSpaces>10986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sandu rania</cp:lastModifiedBy>
  <cp:revision>10</cp:revision>
  <dcterms:created xsi:type="dcterms:W3CDTF">2026-03-29T17:32:00Z</dcterms:created>
  <dcterms:modified xsi:type="dcterms:W3CDTF">2026-03-29T18:05:00Z</dcterms:modified>
</cp:coreProperties>
</file>