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6A3DC368" w:rsidR="003F7DD7" w:rsidRDefault="003F7DD7" w:rsidP="003F7DD7">
      <w:pPr>
        <w:rPr>
          <w:sz w:val="24"/>
          <w:szCs w:val="24"/>
        </w:rPr>
      </w:pPr>
      <w:r w:rsidRPr="006C2F1B">
        <w:rPr>
          <w:sz w:val="36"/>
          <w:szCs w:val="36"/>
        </w:rPr>
        <w:t>Name:</w:t>
      </w:r>
      <w:r w:rsidR="002E658C">
        <w:rPr>
          <w:sz w:val="36"/>
          <w:szCs w:val="36"/>
        </w:rPr>
        <w:t xml:space="preserve"> Esther Asiraa</w:t>
      </w:r>
    </w:p>
    <w:p w14:paraId="1EF03A2C" w14:textId="77777777" w:rsidR="003F7DD7" w:rsidRDefault="003F7DD7" w:rsidP="003F7DD7">
      <w:pPr>
        <w:rPr>
          <w:sz w:val="24"/>
          <w:szCs w:val="24"/>
        </w:rPr>
      </w:pPr>
    </w:p>
    <w:p w14:paraId="00F47272" w14:textId="2CF5C79D" w:rsidR="003F7DD7" w:rsidRPr="00626D81" w:rsidRDefault="003F7DD7" w:rsidP="003F7DD7">
      <w:r w:rsidRPr="00626D81">
        <w:rPr>
          <w:sz w:val="32"/>
          <w:szCs w:val="32"/>
        </w:rPr>
        <w:t>Student ID:</w:t>
      </w:r>
      <w:r w:rsidR="002E658C">
        <w:rPr>
          <w:sz w:val="32"/>
          <w:szCs w:val="32"/>
        </w:rPr>
        <w:t xml:space="preserve"> 2537345</w:t>
      </w:r>
    </w:p>
    <w:p w14:paraId="3CD72554" w14:textId="77777777" w:rsidR="003F7DD7" w:rsidRDefault="003F7DD7" w:rsidP="003F7DD7">
      <w:pPr>
        <w:rPr>
          <w:sz w:val="24"/>
          <w:szCs w:val="24"/>
        </w:rPr>
      </w:pPr>
    </w:p>
    <w:p w14:paraId="24BFDDE9" w14:textId="0A17E04C" w:rsidR="003F7DD7" w:rsidRDefault="003F7DD7" w:rsidP="003F7DD7">
      <w:pPr>
        <w:rPr>
          <w:sz w:val="32"/>
          <w:szCs w:val="32"/>
        </w:rPr>
      </w:pPr>
      <w:r w:rsidRPr="006C2F1B">
        <w:rPr>
          <w:sz w:val="32"/>
          <w:szCs w:val="32"/>
        </w:rPr>
        <w:t>Module Name:</w:t>
      </w:r>
      <w:r w:rsidR="002E658C">
        <w:rPr>
          <w:sz w:val="32"/>
          <w:szCs w:val="32"/>
        </w:rPr>
        <w:t xml:space="preserve"> LCLM-4003 Component-1</w:t>
      </w:r>
    </w:p>
    <w:p w14:paraId="6FB10324" w14:textId="77777777" w:rsidR="003F7DD7" w:rsidRDefault="003F7DD7" w:rsidP="003F7DD7">
      <w:pPr>
        <w:rPr>
          <w:sz w:val="32"/>
          <w:szCs w:val="32"/>
        </w:rPr>
      </w:pPr>
    </w:p>
    <w:p w14:paraId="1AA5BBB0" w14:textId="7B18BF11" w:rsidR="008D2E35" w:rsidRPr="002203CA" w:rsidRDefault="003F7DD7" w:rsidP="009E7E5C">
      <w:pPr>
        <w:rPr>
          <w:sz w:val="24"/>
          <w:szCs w:val="24"/>
        </w:rPr>
      </w:pPr>
      <w:r>
        <w:rPr>
          <w:sz w:val="32"/>
          <w:szCs w:val="32"/>
        </w:rPr>
        <w:t>Lecturer’s Name:</w:t>
      </w:r>
      <w:r w:rsidR="009E7E5C">
        <w:rPr>
          <w:sz w:val="32"/>
          <w:szCs w:val="32"/>
        </w:rPr>
        <w:t xml:space="preserve"> Ibrahim Rufai</w:t>
      </w:r>
      <w:r w:rsidR="006C2F1B">
        <w:rPr>
          <w:sz w:val="24"/>
          <w:szCs w:val="24"/>
        </w:rPr>
        <w:br w:type="page"/>
      </w:r>
      <w:r w:rsidR="009E7E5C">
        <w:rPr>
          <w:sz w:val="24"/>
          <w:szCs w:val="24"/>
        </w:rPr>
        <w:lastRenderedPageBreak/>
        <w:t xml:space="preserve"> </w:t>
      </w:r>
      <w:r w:rsidR="006F1A94" w:rsidRPr="002203CA">
        <w:rPr>
          <w:sz w:val="24"/>
          <w:szCs w:val="24"/>
        </w:rPr>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101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0197"/>
      </w:tblGrid>
      <w:tr w:rsidR="006A3E97" w:rsidRPr="002203CA" w14:paraId="0797A758" w14:textId="77777777" w:rsidTr="00D04DAD">
        <w:trPr>
          <w:cantSplit/>
          <w:trHeight w:hRule="exact" w:val="5014"/>
        </w:trPr>
        <w:tc>
          <w:tcPr>
            <w:tcW w:w="10197" w:type="dxa"/>
            <w:noWrap/>
          </w:tcPr>
          <w:p w14:paraId="5E0AF27A" w14:textId="65051CDE" w:rsidR="00891FB9" w:rsidRPr="002203CA" w:rsidRDefault="00891FB9" w:rsidP="006F1A94">
            <w:pPr>
              <w:jc w:val="both"/>
              <w:rPr>
                <w:rFonts w:cstheme="minorHAnsi"/>
                <w:sz w:val="24"/>
                <w:szCs w:val="24"/>
              </w:rPr>
            </w:pPr>
          </w:p>
          <w:p w14:paraId="23545E8B" w14:textId="6B6C8FA7" w:rsidR="00D04DAD" w:rsidRPr="00622003" w:rsidRDefault="00D04DAD" w:rsidP="00D04DAD">
            <w:pPr>
              <w:pStyle w:val="BodyText"/>
              <w:spacing w:before="184" w:line="360" w:lineRule="auto"/>
              <w:ind w:firstLine="720"/>
            </w:pPr>
            <w:r w:rsidRPr="00622003">
              <w:t xml:space="preserve">Teamwork is when people work in groups, learning to make decisions together with others based on a division of labor, intercultural exchange, and the sharing of resources. Omar in the video talks about moving forward and suggests a bold solution, and Lena is picking up on evidence and accuracy! Alex brings practical, digital working methods to ensure the group </w:t>
            </w:r>
            <w:r w:rsidRPr="00622003">
              <w:t>realize</w:t>
            </w:r>
            <w:r w:rsidRPr="00622003">
              <w:t xml:space="preserve"> their tasks. First, there is tension among these various priorities, which shows that mere responsibility sharing on a team doesn't equal teamwork. Aquino et al. (2022) show the bonds between communication and coordination and effective teamwork processes, as well as the relationship between good teamwork processes and better performance, as reported by Schmutz et al. (2019). The improvement of the team happens when team members bring together what they have worked on, verify that they're on the same track and move around the unified plan they have come up with.</w:t>
            </w:r>
          </w:p>
          <w:p w14:paraId="103155BB" w14:textId="4FB29BAF" w:rsidR="00891FB9" w:rsidRPr="00D04DAD" w:rsidRDefault="00891FB9" w:rsidP="006F1A94">
            <w:pPr>
              <w:jc w:val="both"/>
              <w:rPr>
                <w:rFonts w:cstheme="minorHAnsi"/>
                <w:sz w:val="24"/>
                <w:szCs w:val="24"/>
                <w:lang w:val="en-US"/>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49E76E44" w:rsidR="00773777" w:rsidRPr="002203CA" w:rsidRDefault="00622003" w:rsidP="00A80797">
            <w:pPr>
              <w:jc w:val="both"/>
              <w:rPr>
                <w:rFonts w:cstheme="minorHAnsi"/>
                <w:sz w:val="24"/>
                <w:szCs w:val="24"/>
              </w:rPr>
            </w:pPr>
            <w:r w:rsidRPr="00622003">
              <w:rPr>
                <w:rFonts w:cstheme="minorHAnsi"/>
                <w:sz w:val="24"/>
                <w:szCs w:val="24"/>
              </w:rPr>
              <w:t>The conflict between Omar and Lena (2:00 - 2:56) is most similar to Tuckman's Storming stage. Lena questions the strength of the evidence, while Omar places importance on making things happen quickly. Their expectations create tension and Hannah refusing to take part. Aquino et al. (2022) highlight the importance of communication processes for the construction of the effectiveness of the team. But disagreement doesn't always mean something's wrong: it can reveal assumptions that have not yet been challenged before resolutions are adopted. Golubeva (2023) also reveals that the response to conflict depends on the interpersonal context. Friction does not necessarily pose a problem here; rather, there is a problem when competing priorities can't be addressed by the group in a productive way.</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42AC0873" w14:textId="1BC19355" w:rsidR="00773777" w:rsidRPr="002203CA" w:rsidRDefault="002E7B2D" w:rsidP="00A80797">
            <w:pPr>
              <w:jc w:val="both"/>
              <w:rPr>
                <w:rFonts w:cstheme="minorHAnsi"/>
                <w:sz w:val="24"/>
                <w:szCs w:val="24"/>
              </w:rPr>
            </w:pPr>
            <w:r w:rsidRPr="002E7B2D">
              <w:rPr>
                <w:rFonts w:cstheme="minorHAnsi"/>
                <w:sz w:val="24"/>
                <w:szCs w:val="24"/>
              </w:rPr>
              <w:t>From 4:00 to 5:58 the team is in the Tuckman's Performing stage as they coordinate with each other and share responsibilities and step forward towards accomplishing decided tasks. Whereas the relationships and working expectations are established in Norming, performing is about operating these arrangements effectively and the achievement of goals. Team members are demonstrating increased cooperation and Alex is showing this transition by grouping the agreed decisions into workable online processes. Schmutz et al., (2019) relate good teamwork processes to better performance, and Aquino et al., (2022) emphasise communication and coordination. However, short-term co-operation is not the key to lasting conflict resolution! So, the team's coordinated execution offers more insight on Performing than agreement, on its own.</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26063C82" w14:textId="5EE934F1" w:rsidR="00773777" w:rsidRPr="002203CA" w:rsidRDefault="00846E08" w:rsidP="00A80797">
            <w:pPr>
              <w:jc w:val="both"/>
              <w:rPr>
                <w:rFonts w:cstheme="minorHAnsi"/>
                <w:sz w:val="24"/>
                <w:szCs w:val="24"/>
              </w:rPr>
            </w:pPr>
            <w:r w:rsidRPr="00846E08">
              <w:rPr>
                <w:rFonts w:cstheme="minorHAnsi"/>
                <w:sz w:val="24"/>
                <w:szCs w:val="24"/>
              </w:rPr>
              <w:t>Group decision-making is a process in which team members communicate with each other and come up with a solution or resolution. In the video, Omar suggests that they should adopt an ambitious agenda but Lena asks her if evidence is trustworthy. Priya accommodates these priorities by assisting Omar with his proposal while providing Lena 48 hours to check the information. This is a representation of a group decision which involves both progress and performance. Others, such as Kameda et al. (2022), describe how a fusion of information enhances collective decisions and Riedl et al. (2021) focus on group intelligence. However, whether or not the suggested verification period is realistic and evidence is fully taken into account are key to the effectiveness of the decision.</w:t>
            </w: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1057BE6A" w14:textId="77777777" w:rsidR="00846E08" w:rsidRDefault="00846E08" w:rsidP="00A80797">
            <w:pPr>
              <w:jc w:val="both"/>
              <w:rPr>
                <w:rFonts w:cstheme="minorHAnsi"/>
                <w:sz w:val="24"/>
                <w:szCs w:val="24"/>
              </w:rPr>
            </w:pPr>
          </w:p>
          <w:p w14:paraId="60588203" w14:textId="35A83075" w:rsidR="00773777" w:rsidRPr="002203CA" w:rsidRDefault="00846E08" w:rsidP="00A80797">
            <w:pPr>
              <w:jc w:val="both"/>
              <w:rPr>
                <w:rFonts w:cstheme="minorHAnsi"/>
                <w:sz w:val="24"/>
                <w:szCs w:val="24"/>
              </w:rPr>
            </w:pPr>
            <w:r w:rsidRPr="00846E08">
              <w:rPr>
                <w:rFonts w:cstheme="minorHAnsi"/>
                <w:sz w:val="24"/>
                <w:szCs w:val="24"/>
              </w:rPr>
              <w:t>The Nominal Group Technique is a decision making technique based on individual idea elicitation, sequential sharing of ideas, clarification and private voting among alternatives. In the video, Omar calls for a quick pace of action while Lena argues for fidelity to evidence and Priya synthesizes their issues into a plan of action. Although their discussion reflects NGT's emphasis on considering different perspectives, it represents informal group decision-making rather than a formal application involving independent idea generation, structured clarification and private ranking. Therefore, the discussion illustrates only selected principles of NGT, rather than its complete structured procedure. Harb et al. (2021) elaborate the variation in its implementation and Mullen et al. (2021) highlight systematic procedures. More considered participation can be achieved by formal ranking.</w:t>
            </w: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56D65966" w14:textId="210281A4" w:rsidR="00773777" w:rsidRPr="002203CA" w:rsidRDefault="00846E08" w:rsidP="00A80797">
            <w:pPr>
              <w:jc w:val="both"/>
              <w:rPr>
                <w:rFonts w:cstheme="minorHAnsi"/>
                <w:sz w:val="24"/>
                <w:szCs w:val="24"/>
              </w:rPr>
            </w:pPr>
            <w:r w:rsidRPr="00846E08">
              <w:rPr>
                <w:rFonts w:cstheme="minorHAnsi"/>
                <w:sz w:val="24"/>
                <w:szCs w:val="24"/>
              </w:rPr>
              <w:t>The Collaborating mode of the Thomas-Kilman is shown when Priya intervenes between 3:20–3:36. Instead of having to choose between risking an ambitious strategy in Omar or taking the safer road of accuracy in Lena, she combines the two: the proposed framework, with 48 hours for verification. Golubeva (2023) points to the fact that seeing the styles of conflict can assist in more positive ways of relating. Her response takes care of underlying concerns for both parties, rather than by compromising by making some concessions from each other. According to Kapshuk and Alt (2022), the structured conflict learning corresponds to an increased argumentation. However, a collaboration will only work if a sensible and realistic duration of verification is established and upheld.</w:t>
            </w: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7777777" w:rsidR="00773777" w:rsidRPr="002203CA" w:rsidRDefault="00773777" w:rsidP="00A80797">
            <w:pPr>
              <w:jc w:val="both"/>
              <w:rPr>
                <w:rFonts w:cstheme="minorHAnsi"/>
                <w:sz w:val="24"/>
                <w:szCs w:val="24"/>
              </w:rPr>
            </w:pPr>
          </w:p>
          <w:p w14:paraId="31C40489" w14:textId="33338454" w:rsidR="00773777" w:rsidRPr="002203CA" w:rsidRDefault="00846E08" w:rsidP="00A80797">
            <w:pPr>
              <w:jc w:val="both"/>
              <w:rPr>
                <w:rFonts w:cstheme="minorHAnsi"/>
                <w:sz w:val="24"/>
                <w:szCs w:val="24"/>
              </w:rPr>
            </w:pPr>
            <w:r w:rsidRPr="00846E08">
              <w:rPr>
                <w:rFonts w:cstheme="minorHAnsi"/>
                <w:sz w:val="24"/>
                <w:szCs w:val="24"/>
              </w:rPr>
              <w:t xml:space="preserve">The closest of the five </w:t>
            </w:r>
            <w:r w:rsidRPr="00846E08">
              <w:rPr>
                <w:rFonts w:cstheme="minorHAnsi"/>
                <w:sz w:val="24"/>
                <w:szCs w:val="24"/>
              </w:rPr>
              <w:t>behaviour</w:t>
            </w:r>
            <w:r w:rsidRPr="00846E08">
              <w:rPr>
                <w:rFonts w:cstheme="minorHAnsi"/>
                <w:sz w:val="24"/>
                <w:szCs w:val="24"/>
              </w:rPr>
              <w:t xml:space="preserve"> styles to the Thomas-Kilmann model that Hannah exhibited in the argument was Avoiding which occurred from 2:00-2:45. As she backs down and lets her influence dissipate, she undermines, but not either stance outright. According to Golubeva (2023), the acquired form of handling a conflict can be determined to some extent by communication preferences and situational factors. Avoidance might save the team from escalation but also endanger team's decision with the exclusion of possibly valuable evidence. According to Kapshuk and Alt (2022) it is necessary to learn how to discuss conflicts in a constructive way. More important is that the fact that Hannah engages in avoiding behaviour in one scene doesn't mean she will always avoid in other scenes.</w:t>
            </w: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48FE1AD9" w14:textId="61B4841B" w:rsidR="00773777" w:rsidRPr="002203CA" w:rsidRDefault="00846E08" w:rsidP="00A80797">
            <w:pPr>
              <w:jc w:val="both"/>
              <w:rPr>
                <w:rFonts w:cstheme="minorHAnsi"/>
                <w:sz w:val="24"/>
                <w:szCs w:val="24"/>
              </w:rPr>
            </w:pPr>
            <w:r w:rsidRPr="00846E08">
              <w:rPr>
                <w:rFonts w:cstheme="minorHAnsi"/>
                <w:sz w:val="24"/>
                <w:szCs w:val="24"/>
              </w:rPr>
              <w:t xml:space="preserve">Alex exhibits Belvin's Implementer personality ensuring that decisions that the team agrees upon are turned into actions – both in terms of the actual tasks and organised digital workflows. Implementers add structure and efficiency, but if the procedures are too set-up, it might be difficult to be flexible. In contrast, Priya embodies the Coordinator role, acknowledging Omar's drive and coating interest in evidence and enabling its members to discuss and steer towards common goals. As an illustration, as indicated by Aranzabal et al. (2022), complementary team roles are relevant, as well and Flores Ureba et al. (2022) </w:t>
            </w:r>
            <w:r w:rsidRPr="00846E08">
              <w:rPr>
                <w:rFonts w:cstheme="minorHAnsi"/>
                <w:sz w:val="24"/>
                <w:szCs w:val="24"/>
              </w:rPr>
              <w:t>analyses</w:t>
            </w:r>
            <w:r w:rsidRPr="00846E08">
              <w:rPr>
                <w:rFonts w:cstheme="minorHAnsi"/>
                <w:sz w:val="24"/>
                <w:szCs w:val="24"/>
              </w:rPr>
              <w:t xml:space="preserve"> their contribution on a collaborative learning. A combination of Alex's practicality in setting things up and Priya's understanding on the human side enhances decision implementing mechanisms and the efficacy of teamwork.</w:t>
            </w: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9297" w:type="dxa"/>
        <w:tblLook w:val="04A0" w:firstRow="1" w:lastRow="0" w:firstColumn="1" w:lastColumn="0" w:noHBand="0" w:noVBand="1"/>
      </w:tblPr>
      <w:tblGrid>
        <w:gridCol w:w="9297"/>
      </w:tblGrid>
      <w:tr w:rsidR="00EF4387" w14:paraId="24A17FC7" w14:textId="77777777" w:rsidTr="00846E08">
        <w:trPr>
          <w:trHeight w:val="3705"/>
        </w:trPr>
        <w:tc>
          <w:tcPr>
            <w:tcW w:w="9297" w:type="dxa"/>
          </w:tcPr>
          <w:p w14:paraId="349C0423" w14:textId="77777777" w:rsidR="00EF4387" w:rsidRDefault="00EF4387" w:rsidP="00A77C0E">
            <w:pPr>
              <w:jc w:val="both"/>
              <w:rPr>
                <w:rFonts w:cstheme="minorHAnsi"/>
                <w:sz w:val="24"/>
                <w:szCs w:val="24"/>
              </w:rPr>
            </w:pPr>
          </w:p>
          <w:p w14:paraId="18988231" w14:textId="3EF91AFF" w:rsidR="00EF4387" w:rsidRDefault="00846E08" w:rsidP="00A77C0E">
            <w:pPr>
              <w:jc w:val="both"/>
              <w:rPr>
                <w:rFonts w:cstheme="minorHAnsi"/>
                <w:sz w:val="24"/>
                <w:szCs w:val="24"/>
              </w:rPr>
            </w:pPr>
            <w:r w:rsidRPr="00846E08">
              <w:rPr>
                <w:rFonts w:cstheme="minorHAnsi"/>
                <w:sz w:val="24"/>
                <w:szCs w:val="24"/>
              </w:rPr>
              <w:t>Omar exemplifies Belkin's Shaper role, being assertive and always pushing forward when he/she does not agree, and has urgency and determination to make the project move forward. Shapers punish movement and reward stalling, but they should not do so too much or a conflict will start which will discourage the quieter members. On the other hand, Lena shows you how to be a Monitor Evaluator, when she calls questions, weighs decisions and prioritizes analytical accuracy over quick action. Complementary team roles have been discussed by Aranzabal et al. (2022), and its importance in collaborative learning has been researched by Flores Ureba et al. (2022). The speed at which Omar thinks might be in conflict with the caution Lena considers the determining factor but where both can add to good outcomes if well synchronized, while timely implementation can foster timeliness in decision-making, evidence-based planning, and lower risks.</w:t>
            </w: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55D1C06B" w:rsidR="007F16AF" w:rsidRDefault="00846E08" w:rsidP="00A77C0E">
            <w:pPr>
              <w:jc w:val="both"/>
              <w:rPr>
                <w:rFonts w:cstheme="minorHAnsi"/>
                <w:sz w:val="24"/>
                <w:szCs w:val="24"/>
              </w:rPr>
            </w:pPr>
            <w:r w:rsidRPr="00846E08">
              <w:rPr>
                <w:rFonts w:cstheme="minorHAnsi"/>
                <w:sz w:val="24"/>
                <w:szCs w:val="24"/>
              </w:rPr>
              <w:t xml:space="preserve">In Belbin's theory I would naturally be put into the Monitor Evaluator role, because I am focused on objective analysis with reliable evidence and critical assessment prior to supporting decisions. In this team I would review any information around the proposed framework, identifying strengths, weaknesses and areas for review in collaboration with Lena and prior to implementation alongside Omar. Aranzabal et al. (2022) highlight about complementary team roles and Flores Ureba et al. (2022) highlight about the relevance of team roles in collaborative learning. But over-evaluation can slow down, and annoy colleagues interested in action. So I would set reasonable review timeframes, make sure to provide constructive feedback, suggest </w:t>
            </w:r>
            <w:r w:rsidRPr="00846E08">
              <w:rPr>
                <w:rFonts w:cstheme="minorHAnsi"/>
                <w:sz w:val="24"/>
                <w:szCs w:val="24"/>
              </w:rPr>
              <w:lastRenderedPageBreak/>
              <w:t>suitable changes at the same time, and make sure the analytical precision will assist the commission in taking collective decisions that will allow timely delivery of the project.</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74EB004E" w14:textId="77777777" w:rsidR="00846E08" w:rsidRPr="00846E08" w:rsidRDefault="00846E08" w:rsidP="00846E08">
      <w:pPr>
        <w:jc w:val="both"/>
        <w:rPr>
          <w:rFonts w:cstheme="minorHAnsi"/>
          <w:sz w:val="24"/>
          <w:szCs w:val="24"/>
        </w:rPr>
      </w:pPr>
      <w:r w:rsidRPr="00846E08">
        <w:rPr>
          <w:rFonts w:cstheme="minorHAnsi"/>
          <w:sz w:val="24"/>
          <w:szCs w:val="24"/>
        </w:rPr>
        <w:t>Aquino, J.F., Riss, R.R., Multerer, S.M., Mogilner, L.N. and Turner, T.L. (2022) 'A step-by-step guide for mentors to facilitate team building and communication in virtual teams', Medical Education Online, 27(1), 2094529. https://doi.org/10.1080/10872981.2022.2094529</w:t>
      </w:r>
    </w:p>
    <w:p w14:paraId="76779EED" w14:textId="77777777" w:rsidR="00846E08" w:rsidRPr="00846E08" w:rsidRDefault="00846E08" w:rsidP="00846E08">
      <w:pPr>
        <w:jc w:val="both"/>
        <w:rPr>
          <w:rFonts w:cstheme="minorHAnsi"/>
          <w:sz w:val="24"/>
          <w:szCs w:val="24"/>
        </w:rPr>
      </w:pPr>
      <w:r w:rsidRPr="00846E08">
        <w:rPr>
          <w:rFonts w:cstheme="minorHAnsi"/>
          <w:sz w:val="24"/>
          <w:szCs w:val="24"/>
        </w:rPr>
        <w:t>Aranzabal, A., Epelde, E. and Artetxe, M. (2022) 'Team formation on the basis of Belbin's roles to enhance students' performance in project based learning', Education for Chemical Engineers, 38, pp. 22–37. https://doi.org/10.1016/j.ece.2021.09.001</w:t>
      </w:r>
    </w:p>
    <w:p w14:paraId="6618EE32" w14:textId="2477E2CB" w:rsidR="00846E08" w:rsidRPr="00846E08" w:rsidRDefault="00846E08" w:rsidP="00846E08">
      <w:pPr>
        <w:jc w:val="both"/>
        <w:rPr>
          <w:rFonts w:cstheme="minorHAnsi"/>
          <w:sz w:val="24"/>
          <w:szCs w:val="24"/>
        </w:rPr>
      </w:pPr>
      <w:r w:rsidRPr="00846E08">
        <w:rPr>
          <w:rFonts w:cstheme="minorHAnsi"/>
          <w:sz w:val="24"/>
          <w:szCs w:val="24"/>
        </w:rPr>
        <w:t>Flores Ureba, S., Simón de Blas, C., Borrás-Gené, O. and Macías-Guillén, A. (2022) '</w:t>
      </w:r>
      <w:r w:rsidRPr="00846E08">
        <w:rPr>
          <w:rFonts w:cstheme="minorHAnsi"/>
          <w:sz w:val="24"/>
          <w:szCs w:val="24"/>
        </w:rPr>
        <w:t>Analysing</w:t>
      </w:r>
      <w:r w:rsidRPr="00846E08">
        <w:rPr>
          <w:rFonts w:cstheme="minorHAnsi"/>
          <w:sz w:val="24"/>
          <w:szCs w:val="24"/>
        </w:rPr>
        <w:t xml:space="preserve"> the influence of Belbin's roles on the quality of collaborative learning for the study of business fundamentals', Education Sciences, 12(9), 594. https://doi.org/10.3390/educsci12090594</w:t>
      </w:r>
    </w:p>
    <w:p w14:paraId="6576D6FE" w14:textId="77777777" w:rsidR="00846E08" w:rsidRPr="00846E08" w:rsidRDefault="00846E08" w:rsidP="00846E08">
      <w:pPr>
        <w:jc w:val="both"/>
        <w:rPr>
          <w:rFonts w:cstheme="minorHAnsi"/>
          <w:sz w:val="24"/>
          <w:szCs w:val="24"/>
        </w:rPr>
      </w:pPr>
      <w:r w:rsidRPr="00846E08">
        <w:rPr>
          <w:rFonts w:cstheme="minorHAnsi"/>
          <w:sz w:val="24"/>
          <w:szCs w:val="24"/>
        </w:rPr>
        <w:t>Golubeva, I. (2023) 'Raising students' self-awareness of their conflict communication styles: Insights from an intercultural telecollaboration project', Societies, 13(10), 223. https://doi.org/10.3390/soc13100223</w:t>
      </w:r>
    </w:p>
    <w:p w14:paraId="1B22BE85" w14:textId="77777777" w:rsidR="00846E08" w:rsidRPr="00846E08" w:rsidRDefault="00846E08" w:rsidP="00846E08">
      <w:pPr>
        <w:jc w:val="both"/>
        <w:rPr>
          <w:rFonts w:cstheme="minorHAnsi"/>
          <w:sz w:val="24"/>
          <w:szCs w:val="24"/>
        </w:rPr>
      </w:pPr>
      <w:r w:rsidRPr="00846E08">
        <w:rPr>
          <w:rFonts w:cstheme="minorHAnsi"/>
          <w:sz w:val="24"/>
          <w:szCs w:val="24"/>
        </w:rPr>
        <w:t>Harb, S.I., Tao, L., Peláez, S., Boruff, J., Rice, D.B. and Shrier, I. (2021) 'Methodological options of the nominal group technique for survey item elicitation in health research: A scoping review', Journal of Clinical Epidemiology, 139, pp. 140–148. https://doi.org/10.1016/j.jclinepi.2021.08.008</w:t>
      </w:r>
    </w:p>
    <w:p w14:paraId="1EF3AB8A" w14:textId="77777777" w:rsidR="00846E08" w:rsidRPr="00846E08" w:rsidRDefault="00846E08" w:rsidP="00846E08">
      <w:pPr>
        <w:jc w:val="both"/>
        <w:rPr>
          <w:rFonts w:cstheme="minorHAnsi"/>
          <w:sz w:val="24"/>
          <w:szCs w:val="24"/>
        </w:rPr>
      </w:pPr>
      <w:r w:rsidRPr="00846E08">
        <w:rPr>
          <w:rFonts w:cstheme="minorHAnsi"/>
          <w:sz w:val="24"/>
          <w:szCs w:val="24"/>
        </w:rPr>
        <w:t>Kameda, T., Toyokawa, W. and Tindale, R.S. (2022) 'Information aggregation and collective intelligence beyond the wisdom of crowds', Nature Reviews Psychology, 1, pp. 345–357. https://doi.org/10.1038/s44159-022-00054-y</w:t>
      </w:r>
    </w:p>
    <w:p w14:paraId="0508A1F5" w14:textId="77777777" w:rsidR="00846E08" w:rsidRPr="00846E08" w:rsidRDefault="00846E08" w:rsidP="00846E08">
      <w:pPr>
        <w:jc w:val="both"/>
        <w:rPr>
          <w:rFonts w:cstheme="minorHAnsi"/>
          <w:sz w:val="24"/>
          <w:szCs w:val="24"/>
        </w:rPr>
      </w:pPr>
      <w:r w:rsidRPr="00846E08">
        <w:rPr>
          <w:rFonts w:cstheme="minorHAnsi"/>
          <w:sz w:val="24"/>
          <w:szCs w:val="24"/>
        </w:rPr>
        <w:t>Kapshuk, Y. and Alt, D. (2022) 'Using digital concept maps in conflict resolution studies: Implications for students' argumentative skills, domain-specific knowledge, and academic efficacy', Frontiers in Psychology, 13, 882370. https://doi.org/10.3389/fpsyg.2022.882370</w:t>
      </w:r>
    </w:p>
    <w:p w14:paraId="3739D8CB" w14:textId="77777777" w:rsidR="00846E08" w:rsidRPr="00846E08" w:rsidRDefault="00846E08" w:rsidP="00846E08">
      <w:pPr>
        <w:jc w:val="both"/>
        <w:rPr>
          <w:rFonts w:cstheme="minorHAnsi"/>
          <w:sz w:val="24"/>
          <w:szCs w:val="24"/>
        </w:rPr>
      </w:pPr>
      <w:r w:rsidRPr="00846E08">
        <w:rPr>
          <w:rFonts w:cstheme="minorHAnsi"/>
          <w:sz w:val="24"/>
          <w:szCs w:val="24"/>
        </w:rPr>
        <w:t>Mullen, R., Kydd, A., Fleming, A. and McMillan, L. (2021) 'A practical guide to the systematic application of nominal group technique', Nurse Researcher, 29(1), pp. 14–20. https://doi.org/10.7748/nr.2021.e1777</w:t>
      </w:r>
    </w:p>
    <w:p w14:paraId="413EC4B4" w14:textId="77777777" w:rsidR="00846E08" w:rsidRPr="00846E08" w:rsidRDefault="00846E08" w:rsidP="00846E08">
      <w:pPr>
        <w:jc w:val="both"/>
        <w:rPr>
          <w:rFonts w:cstheme="minorHAnsi"/>
          <w:sz w:val="24"/>
          <w:szCs w:val="24"/>
        </w:rPr>
      </w:pPr>
      <w:r w:rsidRPr="00846E08">
        <w:rPr>
          <w:rFonts w:cstheme="minorHAnsi"/>
          <w:sz w:val="24"/>
          <w:szCs w:val="24"/>
        </w:rPr>
        <w:t>Riedl, C., Kim, Y.J., Gupta, P., Malone, T.W. and Woolley, A.W. (2021) ‘Quantifying collective intelligence in human groups’, Proceedings of the National Academy of Sciences, 118(21), e2005737118. https://doi.org/10.1073/pnas.2005737118</w:t>
      </w:r>
    </w:p>
    <w:p w14:paraId="200D08E1" w14:textId="77777777" w:rsidR="00846E08" w:rsidRPr="00846E08" w:rsidRDefault="00846E08" w:rsidP="00846E08">
      <w:pPr>
        <w:jc w:val="both"/>
        <w:rPr>
          <w:rFonts w:cstheme="minorHAnsi"/>
          <w:sz w:val="24"/>
          <w:szCs w:val="24"/>
        </w:rPr>
      </w:pPr>
      <w:r w:rsidRPr="00846E08">
        <w:rPr>
          <w:rFonts w:cstheme="minorHAnsi"/>
          <w:sz w:val="24"/>
          <w:szCs w:val="24"/>
        </w:rPr>
        <w:t>Schmutz, J.B., Meier, L.L. and Manser, T. (2019) 'How effective is teamwork really? The relationship between teamwork and performance in healthcare teams: A systematic review and meta-analysis', BMJ Open, 9(9), e028280. https://doi.org/10.1136/bmjopen-2018-028280</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6E606" w14:textId="77777777" w:rsidR="004C194E" w:rsidRPr="002203CA" w:rsidRDefault="004C194E" w:rsidP="002203CA">
      <w:pPr>
        <w:spacing w:after="0" w:line="240" w:lineRule="auto"/>
      </w:pPr>
      <w:r w:rsidRPr="002203CA">
        <w:separator/>
      </w:r>
    </w:p>
  </w:endnote>
  <w:endnote w:type="continuationSeparator" w:id="0">
    <w:p w14:paraId="6216311D" w14:textId="77777777" w:rsidR="004C194E" w:rsidRPr="002203CA" w:rsidRDefault="004C194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AA9C9" w14:textId="77777777" w:rsidR="004C194E" w:rsidRPr="002203CA" w:rsidRDefault="004C194E" w:rsidP="002203CA">
      <w:pPr>
        <w:spacing w:after="0" w:line="240" w:lineRule="auto"/>
      </w:pPr>
      <w:r w:rsidRPr="002203CA">
        <w:separator/>
      </w:r>
    </w:p>
  </w:footnote>
  <w:footnote w:type="continuationSeparator" w:id="0">
    <w:p w14:paraId="24C46A74" w14:textId="77777777" w:rsidR="004C194E" w:rsidRPr="002203CA" w:rsidRDefault="004C194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E658C"/>
    <w:rsid w:val="002E7B2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194E"/>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2003"/>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46E08"/>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E7E5C"/>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D7CB5"/>
    <w:rsid w:val="00CE2265"/>
    <w:rsid w:val="00CE2FAE"/>
    <w:rsid w:val="00CE41CE"/>
    <w:rsid w:val="00CF0AE8"/>
    <w:rsid w:val="00D04DAD"/>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BodyText">
    <w:name w:val="Body Text"/>
    <w:basedOn w:val="Normal"/>
    <w:link w:val="BodyTextChar"/>
    <w:uiPriority w:val="1"/>
    <w:qFormat/>
    <w:rsid w:val="00D04DAD"/>
    <w:pPr>
      <w:widowControl w:val="0"/>
      <w:autoSpaceDE w:val="0"/>
      <w:autoSpaceDN w:val="0"/>
      <w:spacing w:before="182"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D04DAD"/>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Esther Asiraa (2537345)</cp:lastModifiedBy>
  <cp:revision>198</cp:revision>
  <dcterms:created xsi:type="dcterms:W3CDTF">2026-07-14T08:03:00Z</dcterms:created>
  <dcterms:modified xsi:type="dcterms:W3CDTF">2026-10-14T09:07:00Z</dcterms:modified>
</cp:coreProperties>
</file>