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360" w:lineRule="auto"/>
        <w:jc w:val="center"/>
        <w:rPr>
          <w:rFonts w:ascii="Arial" w:hAnsi="Arial" w:cs="Arial"/>
        </w:rPr>
      </w:pPr>
      <w:bookmarkStart w:id="13" w:name="_GoBack"/>
      <w:bookmarkEnd w:id="13"/>
      <w:r>
        <w:rPr>
          <w:rFonts w:ascii="Arial" w:hAnsi="Arial" w:cs="Arial"/>
        </w:rPr>
        <w:drawing>
          <wp:inline distT="0" distB="0" distL="0" distR="0">
            <wp:extent cx="5163820" cy="266446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178662" cy="2672189"/>
                    </a:xfrm>
                    <a:prstGeom prst="rect">
                      <a:avLst/>
                    </a:prstGeom>
                    <a:noFill/>
                  </pic:spPr>
                </pic:pic>
              </a:graphicData>
            </a:graphic>
          </wp:inline>
        </w:drawing>
      </w:r>
    </w:p>
    <w:p>
      <w:pPr>
        <w:pStyle w:val="19"/>
        <w:spacing w:before="156" w:beforeLines="50" w:after="156" w:afterLines="50" w:line="360" w:lineRule="auto"/>
        <w:jc w:val="center"/>
        <w:rPr>
          <w:rFonts w:ascii="Arial" w:hAnsi="Arial" w:cs="Arial"/>
          <w:sz w:val="48"/>
          <w:szCs w:val="48"/>
        </w:rPr>
      </w:pPr>
      <w:r>
        <w:rPr>
          <w:rFonts w:ascii="Arial" w:hAnsi="Arial" w:cs="Arial"/>
          <w:sz w:val="48"/>
          <w:szCs w:val="48"/>
        </w:rPr>
        <w:t>Strategic Audit and Analysis of Marriott in the context of covid-19 Pandemic</w:t>
      </w:r>
    </w:p>
    <w:p>
      <w:pPr>
        <w:spacing w:before="156" w:beforeLines="50" w:after="156" w:afterLines="50" w:line="360" w:lineRule="auto"/>
        <w:jc w:val="both"/>
        <w:rPr>
          <w:rFonts w:ascii="Times New Roman" w:hAnsi="Times New Roman" w:cs="Times New Roman"/>
          <w:sz w:val="24"/>
          <w:szCs w:val="24"/>
        </w:rPr>
      </w:pPr>
    </w:p>
    <w:p>
      <w:pPr>
        <w:spacing w:before="156" w:beforeLines="50" w:after="156" w:afterLines="50" w:line="360" w:lineRule="auto"/>
        <w:jc w:val="both"/>
        <w:rPr>
          <w:rFonts w:ascii="Times New Roman" w:hAnsi="Times New Roman" w:cs="Times New Roman"/>
          <w:sz w:val="24"/>
          <w:szCs w:val="24"/>
        </w:rPr>
      </w:pPr>
    </w:p>
    <w:p>
      <w:pPr>
        <w:spacing w:before="156" w:beforeLines="50" w:after="156" w:afterLines="50" w:line="360" w:lineRule="auto"/>
        <w:jc w:val="center"/>
        <w:rPr>
          <w:rFonts w:ascii="Times New Roman" w:hAnsi="Times New Roman" w:cs="Times New Roman"/>
          <w:sz w:val="36"/>
          <w:szCs w:val="36"/>
        </w:rPr>
      </w:pPr>
      <w:r>
        <w:rPr>
          <w:rFonts w:ascii="Times New Roman" w:hAnsi="Times New Roman" w:cs="Times New Roman"/>
          <w:sz w:val="36"/>
          <w:szCs w:val="36"/>
        </w:rPr>
        <w:t>BMBM6016</w:t>
      </w:r>
      <w:r>
        <w:rPr>
          <w:rFonts w:hint="eastAsia" w:ascii="Times New Roman" w:hAnsi="Times New Roman" w:cs="Times New Roman"/>
          <w:sz w:val="36"/>
          <w:szCs w:val="36"/>
        </w:rPr>
        <w:t>,</w:t>
      </w:r>
      <w:r>
        <w:rPr>
          <w:rFonts w:ascii="Times New Roman" w:hAnsi="Times New Roman" w:cs="Times New Roman"/>
          <w:sz w:val="36"/>
          <w:szCs w:val="36"/>
        </w:rPr>
        <w:t xml:space="preserve">  Strategic Marketing</w:t>
      </w:r>
    </w:p>
    <w:p>
      <w:pPr>
        <w:spacing w:before="156" w:beforeLines="50" w:after="156" w:afterLines="50" w:line="360" w:lineRule="auto"/>
        <w:jc w:val="center"/>
        <w:rPr>
          <w:rFonts w:ascii="Times New Roman" w:hAnsi="Times New Roman" w:cs="Times New Roman"/>
          <w:sz w:val="36"/>
          <w:szCs w:val="36"/>
        </w:rPr>
      </w:pPr>
      <w:r>
        <w:rPr>
          <w:rFonts w:hint="eastAsia" w:ascii="Times New Roman" w:hAnsi="Times New Roman" w:cs="Times New Roman"/>
          <w:sz w:val="36"/>
          <w:szCs w:val="36"/>
        </w:rPr>
        <w:t>J</w:t>
      </w:r>
      <w:r>
        <w:rPr>
          <w:rFonts w:ascii="Times New Roman" w:hAnsi="Times New Roman" w:cs="Times New Roman"/>
          <w:sz w:val="36"/>
          <w:szCs w:val="36"/>
        </w:rPr>
        <w:t>unjie Li (2105553)</w:t>
      </w:r>
    </w:p>
    <w:p>
      <w:pPr>
        <w:spacing w:before="156" w:beforeLines="50" w:after="156" w:afterLines="50" w:line="360" w:lineRule="auto"/>
        <w:jc w:val="center"/>
        <w:rPr>
          <w:rFonts w:ascii="Times New Roman" w:hAnsi="Times New Roman" w:cs="Times New Roman"/>
          <w:sz w:val="36"/>
          <w:szCs w:val="36"/>
        </w:rPr>
      </w:pPr>
      <w:r>
        <w:rPr>
          <w:rFonts w:ascii="Times New Roman" w:hAnsi="Times New Roman" w:cs="Times New Roman"/>
          <w:sz w:val="36"/>
          <w:szCs w:val="36"/>
        </w:rPr>
        <w:t>March 18, 2022</w:t>
      </w:r>
    </w:p>
    <w:p>
      <w:pPr>
        <w:spacing w:before="156" w:beforeLines="50" w:after="156" w:afterLines="50" w:line="360" w:lineRule="auto"/>
        <w:jc w:val="both"/>
        <w:rPr>
          <w:rFonts w:ascii="Arial" w:hAnsi="Arial" w:cs="Arial"/>
          <w:sz w:val="48"/>
          <w:szCs w:val="48"/>
        </w:rPr>
      </w:pPr>
      <w:r>
        <w:rPr>
          <w:rFonts w:ascii="Arial" w:hAnsi="Arial" w:cs="Arial"/>
          <w:sz w:val="48"/>
          <w:szCs w:val="48"/>
        </w:rPr>
        <w:br w:type="page"/>
      </w:r>
    </w:p>
    <w:p>
      <w:pPr>
        <w:pStyle w:val="2"/>
        <w:rPr>
          <w:rFonts w:ascii="Times New Roman" w:hAnsi="Times New Roman" w:cs="Times New Roman"/>
          <w:b/>
          <w:bCs/>
          <w:sz w:val="30"/>
          <w:szCs w:val="30"/>
        </w:rPr>
      </w:pPr>
      <w:bookmarkStart w:id="0" w:name="_Toc98492081"/>
      <w:r>
        <w:rPr>
          <w:rFonts w:ascii="Times New Roman" w:hAnsi="Times New Roman" w:cs="Times New Roman"/>
          <w:b/>
          <w:bCs/>
          <w:sz w:val="30"/>
          <w:szCs w:val="30"/>
        </w:rPr>
        <w:t>Executive summary</w:t>
      </w:r>
      <w:bookmarkEnd w:id="0"/>
      <w:r>
        <w:rPr>
          <w:rFonts w:ascii="Times New Roman" w:hAnsi="Times New Roman" w:cs="Times New Roman"/>
          <w:b/>
          <w:bCs/>
          <w:sz w:val="30"/>
          <w:szCs w:val="30"/>
        </w:rPr>
        <w:t xml:space="preserve"> </w:t>
      </w:r>
    </w:p>
    <w:p>
      <w:pPr>
        <w:spacing w:before="156" w:beforeLines="50" w:after="156" w:after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the sudden outbreak of covid-19 affects almost every industry to a different extent, the hotel industry is the one under the most negative hit. With the covid-19 continuing to impact the hotel industry, leading hotel brands, such as Marriott should be the first ones that adapt quickly through strategic re-orientation to mitigate the operational and financial risks brought by pandemics. The present report sheds light on the competitive environment of Marriott in the covid-19 time through a critical and comprehensive audit in different levels, macro, micro, and internal levels. Different strategic management tools are used to facilitate analysis. The report identifies influential factors at the macro-level (such as travel restriction, data technologies, etc.) and micro-level (such as increased power of buyers, less threat of substitutes, etc.) The resources and capabilities of Marriot are presented in its broadest portfolio and widest presence across markets, allowing it to hedge the unprecedented market risks. Recommendations such as cross-portfolio communication, creative offerings to stimulate demands are promoted for Marriot to navigate risks under the ongoing covid-19. </w:t>
      </w:r>
    </w:p>
    <w:p>
      <w:pPr>
        <w:spacing w:before="156" w:beforeLines="50" w:after="156" w:afterLines="50" w:line="360" w:lineRule="auto"/>
        <w:jc w:val="both"/>
        <w:rPr>
          <w:rFonts w:ascii="Arial" w:hAnsi="Arial" w:cs="Arial"/>
        </w:rPr>
      </w:pPr>
      <w:r>
        <w:rPr>
          <w:rFonts w:ascii="Arial" w:hAnsi="Arial" w:cs="Arial"/>
        </w:rPr>
        <w:br w:type="page"/>
      </w:r>
    </w:p>
    <w:sdt>
      <w:sdtPr>
        <w:rPr>
          <w:rFonts w:ascii="Arial" w:hAnsi="Arial" w:cs="Arial" w:eastAsiaTheme="minorEastAsia"/>
          <w:color w:val="auto"/>
          <w:sz w:val="21"/>
          <w:szCs w:val="21"/>
          <w:lang w:val="zh-CN"/>
        </w:rPr>
        <w:id w:val="0"/>
      </w:sdtPr>
      <w:sdtEndPr>
        <w:rPr>
          <w:rFonts w:ascii="Arial" w:hAnsi="Arial" w:cs="Arial" w:eastAsiaTheme="minorEastAsia"/>
          <w:b/>
          <w:bCs/>
          <w:color w:val="auto"/>
          <w:sz w:val="21"/>
          <w:szCs w:val="21"/>
          <w:lang w:val="zh-CN"/>
        </w:rPr>
      </w:sdtEndPr>
      <w:sdtContent>
        <w:p>
          <w:pPr>
            <w:pStyle w:val="48"/>
            <w:spacing w:before="156" w:beforeLines="50" w:after="156" w:afterLines="50" w:line="360" w:lineRule="auto"/>
            <w:jc w:val="both"/>
            <w:rPr>
              <w:rFonts w:ascii="Arial" w:hAnsi="Arial" w:cs="Arial"/>
            </w:rPr>
          </w:pPr>
          <w:r>
            <w:rPr>
              <w:rFonts w:ascii="Arial" w:hAnsi="Arial" w:cs="Arial"/>
              <w:lang w:val="zh-CN"/>
            </w:rPr>
            <w:t xml:space="preserve">Content page </w:t>
          </w:r>
        </w:p>
        <w:p>
          <w:pPr>
            <w:pStyle w:val="15"/>
            <w:tabs>
              <w:tab w:val="right" w:leader="dot" w:pos="9736"/>
            </w:tabs>
            <w:spacing w:before="100" w:beforeAutospacing="1" w:after="100" w:afterAutospacing="1" w:line="360" w:lineRule="auto"/>
            <w:rPr>
              <w:rFonts w:ascii="Times New Roman" w:hAnsi="Times New Roman" w:cs="Times New Roman"/>
              <w:kern w:val="2"/>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"_Toc98492081" </w:instrText>
          </w:r>
          <w:r>
            <w:fldChar w:fldCharType="separate"/>
          </w:r>
          <w:r>
            <w:rPr>
              <w:rStyle w:val="23"/>
              <w:rFonts w:ascii="Times New Roman" w:hAnsi="Times New Roman" w:cs="Times New Roman"/>
              <w:sz w:val="24"/>
              <w:szCs w:val="24"/>
            </w:rPr>
            <w:t>Executive summary</w:t>
          </w:r>
          <w:r>
            <w:rPr>
              <w:rFonts w:ascii="Times New Roman" w:hAnsi="Times New Roman" w:cs="Times New Roman"/>
              <w:sz w:val="24"/>
              <w:szCs w:val="24"/>
            </w:rPr>
            <w:tab/>
          </w:r>
          <w:r>
            <w:rPr>
              <w:rFonts w:ascii="Times New Roman" w:hAnsi="Times New Roman" w:cs="Times New Roman"/>
              <w:sz w:val="24"/>
              <w:szCs w:val="24"/>
            </w:rPr>
            <w:fldChar w:fldCharType="end"/>
          </w:r>
        </w:p>
        <w:p>
          <w:pPr>
            <w:pStyle w:val="15"/>
            <w:tabs>
              <w:tab w:val="left" w:pos="420"/>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"_Toc98492082" </w:instrText>
          </w:r>
          <w:r>
            <w:fldChar w:fldCharType="separate"/>
          </w:r>
          <w:r>
            <w:rPr>
              <w:rStyle w:val="23"/>
              <w:rFonts w:ascii="Times New Roman" w:hAnsi="Times New Roman" w:cs="Times New Roman"/>
              <w:sz w:val="24"/>
              <w:szCs w:val="24"/>
            </w:rPr>
            <w:t>1.</w:t>
          </w:r>
          <w:r>
            <w:rPr>
              <w:rFonts w:ascii="Times New Roman" w:hAnsi="Times New Roman" w:cs="Times New Roman"/>
              <w:kern w:val="2"/>
              <w:sz w:val="24"/>
              <w:szCs w:val="24"/>
            </w:rPr>
            <w:tab/>
          </w:r>
          <w:r>
            <w:rPr>
              <w:rStyle w:val="23"/>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_Toc98492082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5"/>
            <w:tabs>
              <w:tab w:val="left" w:pos="420"/>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"_Toc98492083" </w:instrText>
          </w:r>
          <w:r>
            <w:fldChar w:fldCharType="separate"/>
          </w:r>
          <w:r>
            <w:rPr>
              <w:rStyle w:val="23"/>
              <w:rFonts w:ascii="Times New Roman" w:hAnsi="Times New Roman" w:cs="Times New Roman"/>
              <w:sz w:val="24"/>
              <w:szCs w:val="24"/>
            </w:rPr>
            <w:t>2.</w:t>
          </w:r>
          <w:r>
            <w:rPr>
              <w:rFonts w:ascii="Times New Roman" w:hAnsi="Times New Roman" w:cs="Times New Roman"/>
              <w:kern w:val="2"/>
              <w:sz w:val="24"/>
              <w:szCs w:val="24"/>
            </w:rPr>
            <w:tab/>
          </w:r>
          <w:r>
            <w:rPr>
              <w:rStyle w:val="23"/>
              <w:rFonts w:ascii="Times New Roman" w:hAnsi="Times New Roman" w:cs="Times New Roman"/>
              <w:sz w:val="24"/>
              <w:szCs w:val="24"/>
              <w:shd w:val="clear" w:color="auto" w:fill="FFFFFF"/>
            </w:rPr>
            <w:t>Main body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_Toc98492083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left" w:pos="1050"/>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"_Toc98492084" </w:instrText>
          </w:r>
          <w:r>
            <w:fldChar w:fldCharType="separate"/>
          </w:r>
          <w:r>
            <w:rPr>
              <w:rStyle w:val="23"/>
              <w:rFonts w:ascii="Times New Roman" w:hAnsi="Times New Roman" w:cs="Times New Roman"/>
              <w:sz w:val="24"/>
              <w:szCs w:val="24"/>
            </w:rPr>
            <w:t>2.1</w:t>
          </w:r>
          <w:r>
            <w:rPr>
              <w:rFonts w:ascii="Times New Roman" w:hAnsi="Times New Roman" w:cs="Times New Roman"/>
              <w:kern w:val="2"/>
              <w:sz w:val="24"/>
              <w:szCs w:val="24"/>
            </w:rPr>
            <w:tab/>
          </w:r>
          <w:r>
            <w:rPr>
              <w:rStyle w:val="23"/>
              <w:rFonts w:ascii="Times New Roman" w:hAnsi="Times New Roman" w:cs="Times New Roman"/>
              <w:sz w:val="24"/>
              <w:szCs w:val="24"/>
              <w:shd w:val="clear" w:color="auto" w:fill="FFFFFF"/>
            </w:rPr>
            <w:t>Macro-environment audit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_Toc98492084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left" w:pos="1050"/>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"_Toc98492085" </w:instrText>
          </w:r>
          <w:r>
            <w:fldChar w:fldCharType="separate"/>
          </w:r>
          <w:r>
            <w:rPr>
              <w:rStyle w:val="23"/>
              <w:rFonts w:ascii="Times New Roman" w:hAnsi="Times New Roman" w:cs="Times New Roman"/>
              <w:sz w:val="24"/>
              <w:szCs w:val="24"/>
            </w:rPr>
            <w:t>2.2</w:t>
          </w:r>
          <w:r>
            <w:rPr>
              <w:rFonts w:ascii="Times New Roman" w:hAnsi="Times New Roman" w:cs="Times New Roman"/>
              <w:kern w:val="2"/>
              <w:sz w:val="24"/>
              <w:szCs w:val="24"/>
            </w:rPr>
            <w:tab/>
          </w:r>
          <w:r>
            <w:rPr>
              <w:rStyle w:val="23"/>
              <w:rFonts w:ascii="Times New Roman" w:hAnsi="Times New Roman" w:cs="Times New Roman"/>
              <w:sz w:val="24"/>
              <w:szCs w:val="24"/>
              <w:shd w:val="clear" w:color="auto" w:fill="FFFFFF"/>
            </w:rPr>
            <w:t>Micro-environment audit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_Toc98492085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"_Toc98492086" </w:instrText>
          </w:r>
          <w:r>
            <w:fldChar w:fldCharType="separate"/>
          </w:r>
          <w:r>
            <w:rPr>
              <w:rStyle w:val="23"/>
              <w:rFonts w:ascii="Times New Roman" w:hAnsi="Times New Roman" w:cs="Times New Roman"/>
              <w:sz w:val="24"/>
              <w:szCs w:val="24"/>
              <w:shd w:val="clear" w:color="auto" w:fill="FFFFFF"/>
            </w:rPr>
            <w:t>2.3   Internal environment audit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_Toc98492086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"_Toc98492087" </w:instrText>
          </w:r>
          <w:r>
            <w:fldChar w:fldCharType="separate"/>
          </w:r>
          <w:r>
            <w:rPr>
              <w:rStyle w:val="23"/>
              <w:rFonts w:ascii="Times New Roman" w:hAnsi="Times New Roman" w:cs="Times New Roman"/>
              <w:sz w:val="24"/>
              <w:szCs w:val="24"/>
              <w:shd w:val="clear" w:color="auto" w:fill="FFFFFF"/>
            </w:rPr>
            <w:t>2.3.1   Financial analysis of Marriott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_Toc98492087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left" w:pos="1680"/>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"_Toc98492088" </w:instrText>
          </w:r>
          <w:r>
            <w:fldChar w:fldCharType="separate"/>
          </w:r>
          <w:r>
            <w:rPr>
              <w:rStyle w:val="23"/>
              <w:rFonts w:ascii="Times New Roman" w:hAnsi="Times New Roman" w:cs="Times New Roman"/>
              <w:sz w:val="24"/>
              <w:szCs w:val="24"/>
            </w:rPr>
            <w:t>2.3.2</w:t>
          </w:r>
          <w:r>
            <w:rPr>
              <w:rFonts w:ascii="Times New Roman" w:hAnsi="Times New Roman" w:cs="Times New Roman"/>
              <w:kern w:val="2"/>
              <w:sz w:val="24"/>
              <w:szCs w:val="24"/>
            </w:rPr>
            <w:tab/>
          </w:r>
          <w:r>
            <w:rPr>
              <w:rStyle w:val="23"/>
              <w:rFonts w:ascii="Times New Roman" w:hAnsi="Times New Roman" w:cs="Times New Roman"/>
              <w:sz w:val="24"/>
              <w:szCs w:val="24"/>
              <w:shd w:val="clear" w:color="auto" w:fill="FFFFFF"/>
            </w:rPr>
            <w:t>Resources and competencies of Marriott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_Toc98492088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2"/>
            <w:tabs>
              <w:tab w:val="left" w:pos="1680"/>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"_Toc98492089" </w:instrText>
          </w:r>
          <w:r>
            <w:fldChar w:fldCharType="separate"/>
          </w:r>
          <w:r>
            <w:rPr>
              <w:rStyle w:val="23"/>
              <w:rFonts w:ascii="Times New Roman" w:hAnsi="Times New Roman" w:cs="Times New Roman"/>
              <w:sz w:val="24"/>
              <w:szCs w:val="24"/>
            </w:rPr>
            <w:t>2.3.3</w:t>
          </w:r>
          <w:r>
            <w:rPr>
              <w:rFonts w:ascii="Times New Roman" w:hAnsi="Times New Roman" w:cs="Times New Roman"/>
              <w:kern w:val="2"/>
              <w:sz w:val="24"/>
              <w:szCs w:val="24"/>
            </w:rPr>
            <w:tab/>
          </w:r>
          <w:r>
            <w:rPr>
              <w:rStyle w:val="23"/>
              <w:rFonts w:ascii="Times New Roman" w:hAnsi="Times New Roman" w:cs="Times New Roman"/>
              <w:sz w:val="24"/>
              <w:szCs w:val="24"/>
              <w:shd w:val="clear" w:color="auto" w:fill="FFFFFF"/>
            </w:rPr>
            <w:t>Competitive situation of Marriott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_Toc98492089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5"/>
            <w:tabs>
              <w:tab w:val="left" w:pos="420"/>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"_Toc98492090" </w:instrText>
          </w:r>
          <w:r>
            <w:fldChar w:fldCharType="separate"/>
          </w:r>
          <w:r>
            <w:rPr>
              <w:rStyle w:val="23"/>
              <w:rFonts w:ascii="Times New Roman" w:hAnsi="Times New Roman" w:cs="Times New Roman"/>
              <w:sz w:val="24"/>
              <w:szCs w:val="24"/>
            </w:rPr>
            <w:t>3.</w:t>
          </w:r>
          <w:r>
            <w:rPr>
              <w:rFonts w:ascii="Times New Roman" w:hAnsi="Times New Roman" w:cs="Times New Roman"/>
              <w:kern w:val="2"/>
              <w:sz w:val="24"/>
              <w:szCs w:val="24"/>
            </w:rPr>
            <w:tab/>
          </w:r>
          <w:r>
            <w:rPr>
              <w:rStyle w:val="23"/>
              <w:rFonts w:ascii="Times New Roman" w:hAnsi="Times New Roman" w:cs="Times New Roman"/>
              <w:sz w:val="24"/>
              <w:szCs w:val="24"/>
            </w:rPr>
            <w:t>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_Toc98492090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5"/>
            <w:tabs>
              <w:tab w:val="left" w:pos="420"/>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"_Toc98492091" </w:instrText>
          </w:r>
          <w:r>
            <w:fldChar w:fldCharType="separate"/>
          </w:r>
          <w:r>
            <w:rPr>
              <w:rStyle w:val="23"/>
              <w:rFonts w:ascii="Times New Roman" w:hAnsi="Times New Roman" w:cs="Times New Roman"/>
              <w:sz w:val="24"/>
              <w:szCs w:val="24"/>
            </w:rPr>
            <w:t>4.</w:t>
          </w:r>
          <w:r>
            <w:rPr>
              <w:rFonts w:ascii="Times New Roman" w:hAnsi="Times New Roman" w:cs="Times New Roman"/>
              <w:kern w:val="2"/>
              <w:sz w:val="24"/>
              <w:szCs w:val="24"/>
            </w:rPr>
            <w:tab/>
          </w:r>
          <w:r>
            <w:rPr>
              <w:rStyle w:val="23"/>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_Toc98492091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5"/>
            <w:tabs>
              <w:tab w:val="right" w:leader="dot" w:pos="9736"/>
            </w:tabs>
            <w:spacing w:before="100" w:beforeAutospacing="1" w:after="100" w:afterAutospacing="1" w:line="360" w:lineRule="auto"/>
            <w:rPr>
              <w:rFonts w:ascii="Times New Roman" w:hAnsi="Times New Roman" w:cs="Times New Roman"/>
              <w:kern w:val="2"/>
              <w:sz w:val="24"/>
              <w:szCs w:val="24"/>
            </w:rPr>
          </w:pPr>
          <w:r>
            <w:fldChar w:fldCharType="begin"/>
          </w:r>
          <w:r>
            <w:instrText xml:space="preserve"> HYPERLINK \l "_Toc98492092" </w:instrText>
          </w:r>
          <w:r>
            <w:fldChar w:fldCharType="separate"/>
          </w:r>
          <w:r>
            <w:rPr>
              <w:rStyle w:val="23"/>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_Toc98492092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before="100" w:beforeAutospacing="1" w:after="100" w:afterAutospacing="1" w:line="360" w:lineRule="auto"/>
            <w:jc w:val="both"/>
            <w:rPr>
              <w:rFonts w:ascii="Arial" w:hAnsi="Arial" w:cs="Arial"/>
            </w:rPr>
          </w:pPr>
          <w:r>
            <w:rPr>
              <w:rFonts w:ascii="Times New Roman" w:hAnsi="Times New Roman" w:cs="Times New Roman"/>
              <w:b/>
              <w:bCs/>
              <w:sz w:val="24"/>
              <w:szCs w:val="24"/>
              <w:lang w:val="zh-CN"/>
            </w:rPr>
            <w:fldChar w:fldCharType="end"/>
          </w:r>
        </w:p>
      </w:sdtContent>
    </w:sdt>
    <w:p>
      <w:pPr>
        <w:spacing w:before="156" w:beforeLines="50" w:after="156" w:afterLines="50" w:line="360" w:lineRule="auto"/>
        <w:jc w:val="both"/>
        <w:rPr>
          <w:rFonts w:ascii="Arial" w:hAnsi="Arial" w:cs="Arial"/>
        </w:rPr>
      </w:pPr>
      <w:r>
        <w:rPr>
          <w:rFonts w:ascii="Arial" w:hAnsi="Arial" w:cs="Arial"/>
        </w:rPr>
        <w:br w:type="page"/>
      </w:r>
    </w:p>
    <w:p>
      <w:pPr>
        <w:pStyle w:val="2"/>
        <w:rPr>
          <w:rFonts w:ascii="Times New Roman" w:hAnsi="Times New Roman" w:cs="Times New Roman"/>
          <w:b/>
          <w:bCs/>
          <w:sz w:val="30"/>
          <w:szCs w:val="30"/>
        </w:rPr>
      </w:pPr>
      <w:bookmarkStart w:id="1" w:name="_Toc98492082"/>
      <w:r>
        <w:rPr>
          <w:rFonts w:ascii="Times New Roman" w:hAnsi="Times New Roman" w:cs="Times New Roman"/>
          <w:b/>
          <w:bCs/>
          <w:sz w:val="30"/>
          <w:szCs w:val="30"/>
        </w:rPr>
        <w:t>1. Introduction</w:t>
      </w:r>
      <w:bookmarkEnd w:id="1"/>
      <w:r>
        <w:rPr>
          <w:rFonts w:ascii="Times New Roman" w:hAnsi="Times New Roman" w:cs="Times New Roman"/>
          <w:b/>
          <w:bCs/>
          <w:sz w:val="30"/>
          <w:szCs w:val="30"/>
        </w:rPr>
        <w:t xml:space="preserve"> </w:t>
      </w:r>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Covid-19, an infectious disease causes, outbroke on a global scale in 2019 and has continued to impact us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URL":"https://www.who.int/health-topics/coronavirus#tab=tab_1","accessed":{"date-parts":[["2022","3","15"]]},"author":[{"dropping-particle":"","family":"WHO","given":"","non-dropping-particle":"","parse-names":false,"suffix":""}],"id":"ITEM-1","issued":{"date-parts":[["2021"]]},"title":"Coronavirus","type":"webpage"},"uris":["http://www.mendeley.com/documents/?uuid=6180b2a4-442a-392f-a098-869bb3d4b66c"]}],"mendeley":{"formattedCitation":"(WHO, 2021)","plainTextFormattedCitation":"(WHO, 2021)","previouslyFormattedCitation":"(WHO, 2021)"},"properties":{"noteIndex":0},"schema":"https://github.com/citation-style-language/schema/raw/master/csl-citation.json"}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(WHO, 2021)</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A plethora of measures have been introduced by governments across markets to suppress the negative impacts of the covid-19 pandemic, such as the imposition of a series of requirements on inbound travel, the restriction on outbound travel, the public social distancing concern, etc.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URL":"https://www.mckinsey.com/industries/travel-logistics-and-infrastructure/our-insights/hospitality-and-covid-19-how-long-until-no-vacancy-for-us-hotels","accessed":{"date-parts":[["2022","3","7"]]},"author":[{"dropping-particle":"","family":"McKinsey","given":"","non-dropping-particle":"","parse-names":false,"suffix":""}],"id":"ITEM-1","issued":{"date-parts":[["2020"]]},"title":"COVID-19's effect on the hotel industry |","type":"webpage"},"uris":["http://www.mendeley.com/documents/?uuid=c68b2f60-a22a-3fee-a21b-bc5c04333ff9"]}],"mendeley":{"formattedCitation":"(McKinsey, 2020)","plainTextFormattedCitation":"(McKinsey, 2020)","previouslyFormattedCitation":"(McKinsey, 2020)"},"properties":{"noteIndex":0},"schema":"https://github.com/citation-style-language/schema/raw/master/csl-citation.json"}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(McKinsey, 2020)</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(see Figure 1) Under these measures, the time, economic and safety costs for travel has been unprecedentedly high, bringing the people-intensive hotel industry to a standstill. Especially, with the World Health Organization classifying the covid-19 outbreak as a global pandemic, business for hoteliers fell off with occupancy rates plummeting to just 20 % and room rates plummeting nearly 30 %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{"citationItems":[{"id":"ITEM-1","itemData":{"ISSN":"0250-8281","author":[{"dropping-particle":"","family":"Anguera-Torrell","given":"Oriol","non-dropping-particle":"","parse-names":false,"suffix":""},{"dropping-particle":"","family":"Aznar-Alarcón","given":"Juan Pedro","non-dropping-particle":"","parse-names":false,"suffix":""},{"dropping-particle":"","family":"Vives-Perez","given":"Jordi","non-dropping-particle":"","parse-names":false,"suffix":""}],"container-title":"Tourism Recreation Research","id":"ITEM-1","issue":"2","issued":{"date-parts":[["2021"]]},"page":"148-157","publisher":"Taylor &amp; Francis","title":"COVID-19: Hotel industry response to the pandemic evolution and to the public sector economic measures","type":"article-journal","volume":"46"},"uris":["http://www.mendeley.com/documents/?uuid=2aa09754-54ca-40a6-baeb-04f2f843e66c"]}],"mendeley":{"formattedCitation":"(Anguera-Torrell, Aznar-Alarcón and Vives-Perez, 2021)","plainTextFormattedCitation":"(Anguera-Torrell, Aznar-Alarcón and Vives-Perez, 2021)","previouslyFormattedCitation":"(Anguera-Torrell, Aznar-Alarcón and Vives-Perez, 2021)"},"properties":{"noteIndex":0},"schema":"https://github.com/citation-style-language/schema/raw/master/csl-citation.json"}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(Anguera-Torrell, Aznar-Alarcón and Vives-Perez, 2021)</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The uncertain situation facing the hotel industry require incumbents make active answer through strategic adjustment to navigate the continuous risks resulting from covid-19.</w:t>
      </w:r>
    </w:p>
    <w:p>
      <w:pPr>
        <w:spacing w:before="156" w:beforeLines="50" w:after="156" w:afterLines="50" w:line="360" w:lineRule="auto"/>
        <w:jc w:val="both"/>
        <w:rPr>
          <w:rFonts w:ascii="Arial" w:hAnsi="Arial" w:eastAsia="宋体" w:cs="Arial"/>
          <w:color w:val="1A1A1A"/>
          <w:sz w:val="22"/>
          <w:szCs w:val="22"/>
          <w:shd w:val="clear" w:color="auto" w:fill="FFFFFF"/>
        </w:rPr>
      </w:pPr>
      <w:r>
        <w:rPr>
          <w:rFonts w:ascii="Arial" w:hAnsi="Arial" w:eastAsia="宋体" w:cs="Arial"/>
          <w:color w:val="1A1A1A"/>
          <w:sz w:val="22"/>
          <w:szCs w:val="22"/>
          <w:shd w:val="clear" w:color="auto" w:fill="FFFFFF"/>
        </w:rPr>
        <w:drawing>
          <wp:inline distT="0" distB="0" distL="0" distR="0">
            <wp:extent cx="3508375" cy="12446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513839" cy="1246533"/>
                    </a:xfrm>
                    <a:prstGeom prst="rect">
                      <a:avLst/>
                    </a:prstGeom>
                    <a:noFill/>
                    <a:ln>
                      <a:noFill/>
                    </a:ln>
                  </pic:spPr>
                </pic:pic>
              </a:graphicData>
            </a:graphic>
          </wp:inline>
        </w:drawing>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Figure 1. Travel measures under covid-19 </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Source: </w:t>
      </w:r>
      <w:r>
        <w:rPr>
          <w:rStyle w:val="45"/>
          <w:rFonts w:ascii="Times New Roman" w:hAnsi="Times New Roman" w:cs="Times New Roman"/>
        </w:rPr>
        <w:fldChar w:fldCharType="begin" w:fldLock="1"/>
      </w:r>
      <w:r>
        <w:rPr>
          <w:rStyle w:val="45"/>
          <w:rFonts w:ascii="Times New Roman" w:hAnsi="Times New Roman" w:cs="Times New Roman"/>
        </w:rPr>
        <w:instrText xml:space="preserve">ADDIN CSL_CITATION {"citationItems":[{"id":"ITEM-1","itemData":{"DOI":"10.1002/14651858.CD013717.pub2","ISSN":"14651858","PMID":"33763851","abstract":"Background: In late 2019, the first cases of coronavirus disease 2019 (COVID-19) were reported in Wuhan, China, followed by a worldwide spread. Numerous countries have implemented control measures related to international travel, including border closures, travel restrictions, screening at borders, and quarantine of travellers. Objectives: To assess the effectiveness of international travel-related control measures during the COVID-19 pandemic on infectious disease transmission and screening-related outcomes. Search methods: We searched MEDLINE, Embase and COVID-19-specific databases, including the Cochrane COVID-19 Study Register and the WHO Global Database on COVID-19 Research to 13 November 2020. Selection criteria: We considered experimental, quasi-experimental, observational and modelling studies assessing the effects of travel-related control measures affecting human travel across international borders during the COVID-19 pandemic. In the original review, we also considered evidence on severe acute respiratory syndrome (SARS) and Middle East respiratory syndrome (MERS). In this version we decided to focus on COVID-19 evidence only. Primary outcome categories were (i) cases avoided, (ii) cases detected, and (iii) a shift in epidemic development. Secondary outcomes were other infectious disease transmission outcomes, healthcare utilisation, resource requirements and adverse effects if identified in studies assessing at least one primary outcome. Data collection and analysis: Two review authors independently screened titles and abstracts and subsequently full texts. For studies included in the analysis, one review author extracted data and appraised the study. At least one additional review author checked for correctness of data. To assess the risk of bias and quality of included studies, we used the Quality Assessment of Diagnostic Accuracy Studies (QUADAS-2) tool for observational studies concerned with screening, and a bespoke tool for modelling studies. We synthesised findings narratively. One review author assessed the certainty of evidence with GRADE, and several review authors discussed these GRADE judgements. Main results: Overall, we included 62 unique studies in the analysis; 49 were modelling studies and 13 were observational studies. Studies covered a variety of settings and levels of community transmission. Most studies compared travel-related control measures against a counterfactual scenario in which the measure was not implemented. Ho…","author":[{"dropping-particle":"","family":"Burns","given":"Jacob","non-dropping-particle":"","parse-names":false,"suffix":""},{"dropping-particle":"","family":"Movsisyan","given":"Ani","non-dropping-particle":"","parse-names":false,"suffix":""},{"dropping-particle":"","family":"Stratil","given":"Jan M.","non-dropping-particle":"","parse-names":false,"suffix":""},{"dropping-particle":"","family":"Biallas","given":"Renke Lars","non-dropping-particle":"","parse-names":false,"suffix":""},{"dropping-particle":"","family":"Coenen","given":"Michaela","non-dropping-particle":"","parse-names":false,"suffix":""},{"dropping-particle":"","family":"Emmert-Fees","given":"Karl M.F.","non-dropping-particle":"","parse-names":false,"suffix":""},{"dropping-particle":"","family":"Geffert","given":"Karin","non-dropping-particle":"","parse-names":false,"suffix":""},{"dropping-particle":"","family":"Hoffmann","given":"Sabine","non-dropping-particle":"","parse-names":false,"suffix":""},{"dropping-particle":"","family":"Horstick","given":"Olaf","non-dropping-particle":"","parse-names":false,"suffix":""},{"dropping-particle":"","family":"Laxy","given":"Michael","non-dropping-particle":"","parse-names":false,"suffix":""},{"dropping-particle":"","family":"Klinger","given":"Carmen","non-dropping-particle":"","parse-names":false,"suffix":""},{"dropping-particle":"","family":"Kratzer","given":"Suzie","non-dropping-particle":"","parse-names":false,"suffix":""},{"dropping-particle":"","family":"Litwin","given":"Tim","non-dropping-particle":"","parse-names":false,"suffix":""},{"dropping-particle":"","family":"Norris","given":"Susan","non-dropping-particle":"","parse-names":false,"suffix":""},{"dropping-particle":"","family":"Pfadenhauer","given":"Lisa M.","non-dropping-particle":"","parse-names":false,"suffix":""},{"dropping-particle":"","family":"Philipsborn","given":"Peter","non-dropping-particle":"von","parse-names":false,"suffix":""},{"dropping-particle":"","family":"Sell","given":"Kerstin","non-dropping-particle":"","parse-names":false,"suffix":""},{"dropping-particle":"","family":"Stadelmaier","given":"Julia","non-dropping-particle":"","parse-names":false,"suffix":""},{"dropping-particle":"","family":"Verboom","given":"Ben","non-dropping-particle":"","parse-names":false,"suffix":""},{"dropping-particle":"","family":"Voss","given":"Stephan","non-dropping-particle":"","parse-names":false,"suffix":""},{"dropping-particle":"","family":"Wabnitz","given":"Katharina","non-dropping-particle":"","parse-names":false,"suffix":""},{"dropping-particle":"","family":"Rehfuess","given":"Eva","non-dropping-particle":"","parse-names":false,"suffix":""}],"container-title":"Cochrane Database of Systematic Reviews","id":"ITEM-1","issue":"3","issued":{"date-parts":[["2021","3","25"]]},"publisher":"John Wiley and Sons Ltd","title":"International travel-related control measures to contain the COVID-19 pandemic: a rapid review","type":"article-journal","volume":"2021"},"uris":["http://www.mendeley.com/documents/?uuid=7e844461-f428-3829-a3fc-0d36a7500009"]}],"mendeley":{"formattedCitation":"(Burns &lt;i&gt;et al.&lt;/i&gt;, 2021)","plainTextFormattedCitation":"(Burns et al., 2021)","previouslyFormattedCitation":"(Burns &lt;i&gt;et al.&lt;/i&gt;, 2021)"},"properties":{"noteIndex":0},"schema":"https://github.com/citation-style-language/schema/raw/master/csl-citation.json"}</w:instrText>
      </w:r>
      <w:r>
        <w:rPr>
          <w:rStyle w:val="45"/>
          <w:rFonts w:ascii="Times New Roman" w:hAnsi="Times New Roman" w:cs="Times New Roman"/>
        </w:rPr>
        <w:fldChar w:fldCharType="separate"/>
      </w:r>
      <w:r>
        <w:rPr>
          <w:rStyle w:val="45"/>
          <w:rFonts w:ascii="Times New Roman" w:hAnsi="Times New Roman" w:cs="Times New Roman"/>
        </w:rPr>
        <w:t>(Burns et al., 2021)</w:t>
      </w:r>
      <w:r>
        <w:rPr>
          <w:rStyle w:val="45"/>
          <w:rFonts w:ascii="Times New Roman" w:hAnsi="Times New Roman" w:cs="Times New Roman"/>
        </w:rPr>
        <w:fldChar w:fldCharType="end"/>
      </w:r>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Marriott is a worldwide franchiser, licensor, and operator of residential, hotels, and timeshare properties under a wide range of brands (as in Figure 1). Due to covid-19, Marriott reported a revenue per room (RevPAR) 60% down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{"citationItems":[{"id":"ITEM-1","itemData":{"author":[{"dropping-particle":"","family":"Marriott","given":"","non-dropping-particle":"","parse-names":false,"suffix":""}],"id":"ITEM-1","issued":{"date-parts":[["2021"]]},"title":"Marriott International Annual Report 20202","type":"report"},"uris":["http://www.mendeley.com/documents/?uuid=40594913-e2f6-3815-b244-9c604cf1d8af"]}],"mendeley":{"formattedCitation":"(Marriott, 2021)","plainTextFormattedCitation":"(Marriott, 2021)","previouslyFormattedCitation":"(Marriott, 2021)"},"properties":{"noteIndex":0},"schema":"https://github.com/citation-style-language/schema/raw/master/csl-citation.json"}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(Marriott, 2021)</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Marriott has taken substantial measures to mitigate all negative impacts of covid-19. The report affords a critical and comprehensive audit of Marriott from both external and internal perspectives in the ongoing covid-19 context, with an overate aim to proposal some actionable recommendations to help Marriott effectively negative the ongoing covid-19. </w:t>
      </w:r>
    </w:p>
    <w:p>
      <w:pPr>
        <w:spacing w:before="156" w:beforeLines="50" w:after="156" w:afterLines="50" w:line="360" w:lineRule="auto"/>
        <w:jc w:val="both"/>
        <w:rPr>
          <w:rFonts w:ascii="Arial" w:hAnsi="Arial" w:eastAsia="宋体" w:cs="Arial"/>
          <w:color w:val="1A1A1A"/>
          <w:sz w:val="24"/>
          <w:szCs w:val="24"/>
          <w:shd w:val="clear" w:color="auto" w:fill="FFFFFF"/>
        </w:rPr>
      </w:pPr>
      <w:r>
        <w:rPr>
          <w:rFonts w:ascii="Arial" w:hAnsi="Arial" w:cs="Arial"/>
        </w:rPr>
        <w:drawing>
          <wp:inline distT="0" distB="0" distL="0" distR="0">
            <wp:extent cx="5782945" cy="1772285"/>
            <wp:effectExtent l="0" t="0" r="8890" b="0"/>
            <wp:docPr id="2" name="图片 2" descr="Financial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inancial Tab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92571" cy="1775334"/>
                    </a:xfrm>
                    <a:prstGeom prst="rect">
                      <a:avLst/>
                    </a:prstGeom>
                    <a:noFill/>
                    <a:ln>
                      <a:noFill/>
                    </a:ln>
                  </pic:spPr>
                </pic:pic>
              </a:graphicData>
            </a:graphic>
          </wp:inline>
        </w:drawing>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Figure 2: Brands under Marriott International </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Source: </w:t>
      </w:r>
      <w:r>
        <w:rPr>
          <w:rStyle w:val="45"/>
          <w:rFonts w:ascii="Times New Roman" w:hAnsi="Times New Roman" w:cs="Times New Roman"/>
        </w:rPr>
        <w:fldChar w:fldCharType="begin" w:fldLock="1"/>
      </w:r>
      <w:r>
        <w:rPr>
          <w:rStyle w:val="45"/>
          <w:rFonts w:ascii="Times New Roman" w:hAnsi="Times New Roman" w:cs="Times New Roman"/>
        </w:rPr>
        <w:instrText xml:space="preserve">ADDIN CSL_CITATION {"citationItems":[{"id":"ITEM-1","itemData":{"author":[{"dropping-particle":"","family":"Marriott","given":"","non-dropping-particle":"","parse-names":false,"suffix":""}],"id":"ITEM-1","issued":{"date-parts":[["2021"]]},"title":"Marriott International Annual Report 20202","type":"report"},"uris":["http://www.mendeley.com/documents/?uuid=40594913-e2f6-3815-b244-9c604cf1d8af"]}],"mendeley":{"formattedCitation":"(Marriott, 2021)","plainTextFormattedCitation":"(Marriott, 2021)","previouslyFormattedCitation":"(Marriott, 2021)"},"properties":{"noteIndex":0},"schema":"https://github.com/citation-style-language/schema/raw/master/csl-citation.json"}</w:instrText>
      </w:r>
      <w:r>
        <w:rPr>
          <w:rStyle w:val="45"/>
          <w:rFonts w:ascii="Times New Roman" w:hAnsi="Times New Roman" w:cs="Times New Roman"/>
        </w:rPr>
        <w:fldChar w:fldCharType="separate"/>
      </w:r>
      <w:r>
        <w:rPr>
          <w:rStyle w:val="45"/>
          <w:rFonts w:ascii="Times New Roman" w:hAnsi="Times New Roman" w:cs="Times New Roman"/>
        </w:rPr>
        <w:t>(Marriott, 2021)</w:t>
      </w:r>
      <w:r>
        <w:rPr>
          <w:rStyle w:val="45"/>
          <w:rFonts w:ascii="Times New Roman" w:hAnsi="Times New Roman" w:cs="Times New Roman"/>
        </w:rPr>
        <w:fldChar w:fldCharType="end"/>
      </w:r>
    </w:p>
    <w:p>
      <w:pPr>
        <w:spacing w:before="156" w:beforeLines="50" w:after="156" w:afterLines="50" w:line="360" w:lineRule="auto"/>
        <w:jc w:val="both"/>
        <w:rPr>
          <w:rFonts w:ascii="Arial" w:hAnsi="Arial" w:eastAsia="宋体" w:cs="Arial"/>
          <w:color w:val="1A1A1A"/>
          <w:sz w:val="24"/>
          <w:szCs w:val="24"/>
          <w:shd w:val="clear" w:color="auto" w:fill="FFFFFF"/>
        </w:rPr>
      </w:pPr>
      <w:r>
        <w:rPr>
          <w:rFonts w:ascii="Arial" w:hAnsi="Arial" w:eastAsia="宋体" w:cs="Arial"/>
          <w:color w:val="1A1A1A"/>
          <w:sz w:val="24"/>
          <w:szCs w:val="24"/>
          <w:shd w:val="clear" w:color="auto" w:fill="FFFFFF"/>
        </w:rPr>
        <w:drawing>
          <wp:inline distT="0" distB="0" distL="0" distR="0">
            <wp:extent cx="6188710" cy="1876425"/>
            <wp:effectExtent l="0" t="0" r="254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188710" cy="1876425"/>
                    </a:xfrm>
                    <a:prstGeom prst="rect">
                      <a:avLst/>
                    </a:prstGeom>
                    <a:noFill/>
                    <a:ln>
                      <a:noFill/>
                    </a:ln>
                  </pic:spPr>
                </pic:pic>
              </a:graphicData>
            </a:graphic>
          </wp:inline>
        </w:drawing>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Figure 3: Financial highlights of Marriott </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Source: </w:t>
      </w:r>
      <w:r>
        <w:rPr>
          <w:rStyle w:val="45"/>
          <w:rFonts w:ascii="Times New Roman" w:hAnsi="Times New Roman" w:cs="Times New Roman"/>
        </w:rPr>
        <w:fldChar w:fldCharType="begin" w:fldLock="1"/>
      </w:r>
      <w:r>
        <w:rPr>
          <w:rStyle w:val="45"/>
          <w:rFonts w:ascii="Times New Roman" w:hAnsi="Times New Roman" w:cs="Times New Roman"/>
        </w:rPr>
        <w:instrText xml:space="preserve">ADDIN CSL_CITATION {"citationItems":[{"id":"ITEM-1","itemData":{"URL":"https://www.wsj.com/market-data/quotes/MAR/financials","accessed":{"date-parts":[["2022","3","6"]]},"author":[{"dropping-particle":"","family":"Wall Street Journal","given":"","non-dropping-particle":"","parse-names":false,"suffix":""}],"id":"ITEM-1","issued":{"date-parts":[["2022"]]},"title":"MAR | Marriott International Inc. Financial Statements ","type":"webpage"},"uris":["http://www.mendeley.com/documents/?uuid=c5443836-6899-315c-bb57-86f973a5aadf"]}],"mendeley":{"formattedCitation":"(Wall Street Journal, 2022)","plainTextFormattedCitation":"(Wall Street Journal, 2022)","previouslyFormattedCitation":"(Wall Street Journal, 2022)"},"properties":{"noteIndex":0},"schema":"https://github.com/citation-style-language/schema/raw/master/csl-citation.json"}</w:instrText>
      </w:r>
      <w:r>
        <w:rPr>
          <w:rStyle w:val="45"/>
          <w:rFonts w:ascii="Times New Roman" w:hAnsi="Times New Roman" w:cs="Times New Roman"/>
        </w:rPr>
        <w:fldChar w:fldCharType="separate"/>
      </w:r>
      <w:r>
        <w:rPr>
          <w:rStyle w:val="45"/>
          <w:rFonts w:ascii="Times New Roman" w:hAnsi="Times New Roman" w:cs="Times New Roman"/>
        </w:rPr>
        <w:t>(Wall Street Journal, 2022)</w:t>
      </w:r>
      <w:r>
        <w:rPr>
          <w:rStyle w:val="45"/>
          <w:rFonts w:ascii="Times New Roman" w:hAnsi="Times New Roman" w:cs="Times New Roman"/>
        </w:rPr>
        <w:fldChar w:fldCharType="end"/>
      </w:r>
    </w:p>
    <w:p>
      <w:pPr>
        <w:spacing w:before="156" w:beforeLines="50" w:after="156" w:afterLines="50" w:line="360" w:lineRule="auto"/>
        <w:jc w:val="both"/>
        <w:rPr>
          <w:rStyle w:val="44"/>
          <w:rFonts w:ascii="Arial" w:hAnsi="Arial" w:cs="Arial"/>
        </w:rPr>
      </w:pPr>
      <w:r>
        <w:rPr>
          <w:rStyle w:val="44"/>
          <w:rFonts w:ascii="Arial" w:hAnsi="Arial" w:cs="Arial"/>
        </w:rPr>
        <w:br w:type="page"/>
      </w:r>
    </w:p>
    <w:p>
      <w:pPr>
        <w:pStyle w:val="2"/>
        <w:numPr>
          <w:ilvl w:val="0"/>
          <w:numId w:val="1"/>
        </w:numPr>
        <w:rPr>
          <w:rFonts w:ascii="Times New Roman" w:hAnsi="Times New Roman" w:cs="Times New Roman"/>
          <w:b/>
          <w:bCs/>
          <w:sz w:val="30"/>
          <w:szCs w:val="30"/>
        </w:rPr>
      </w:pPr>
      <w:bookmarkStart w:id="2" w:name="_Toc98492083"/>
      <w:r>
        <w:rPr>
          <w:rFonts w:ascii="Times New Roman" w:hAnsi="Times New Roman" w:cs="Times New Roman"/>
          <w:b/>
          <w:bCs/>
          <w:sz w:val="30"/>
          <w:szCs w:val="30"/>
        </w:rPr>
        <w:t>Main body</w:t>
      </w:r>
      <w:bookmarkEnd w:id="2"/>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The section will utilize a portfolio of strategic management techniques to critically and comprehensively audit the internal and external environment facing Marriott. It will start with a macro-environment audit using PESTEL, micro-environment audit using Porter’s five forces, internal environment audit using SWOT, and VIROFramework.</w:t>
      </w:r>
    </w:p>
    <w:p>
      <w:pPr>
        <w:pStyle w:val="3"/>
        <w:numPr>
          <w:ilvl w:val="1"/>
          <w:numId w:val="2"/>
        </w:numPr>
        <w:spacing w:before="156" w:beforeLines="50" w:after="156" w:afterLines="50" w:line="360" w:lineRule="auto"/>
        <w:jc w:val="both"/>
        <w:rPr>
          <w:rFonts w:ascii="Times New Roman" w:hAnsi="Times New Roman" w:cs="Times New Roman"/>
          <w:b/>
          <w:bCs/>
          <w:color w:val="000000" w:themeColor="text1"/>
          <w:sz w:val="28"/>
          <w:szCs w:val="28"/>
          <w:shd w:val="clear" w:color="auto" w:fill="FFFFFF"/>
          <w14:textFill>
            <w14:solidFill>
              <w14:schemeClr w14:val="tx1"/>
            </w14:solidFill>
          </w14:textFill>
        </w:rPr>
      </w:pPr>
      <w:bookmarkStart w:id="3" w:name="_Toc98492084"/>
      <w:r>
        <w:rPr>
          <w:rFonts w:ascii="Times New Roman" w:hAnsi="Times New Roman" w:cs="Times New Roman"/>
          <w:b/>
          <w:bCs/>
          <w:color w:val="000000" w:themeColor="text1"/>
          <w:sz w:val="28"/>
          <w:szCs w:val="28"/>
          <w:shd w:val="clear" w:color="auto" w:fill="FFFFFF"/>
          <w14:textFill>
            <w14:solidFill>
              <w14:schemeClr w14:val="tx1"/>
            </w14:solidFill>
          </w14:textFill>
        </w:rPr>
        <w:t>Macro-environment audit</w:t>
      </w:r>
      <w:bookmarkEnd w:id="3"/>
      <w:r>
        <w:rPr>
          <w:rFonts w:ascii="Times New Roman" w:hAnsi="Times New Roman" w:cs="Times New Roman"/>
          <w:b/>
          <w:bCs/>
          <w:color w:val="000000" w:themeColor="text1"/>
          <w:sz w:val="28"/>
          <w:szCs w:val="28"/>
          <w:shd w:val="clear" w:color="auto" w:fill="FFFFFF"/>
          <w14:textFill>
            <w14:solidFill>
              <w14:schemeClr w14:val="tx1"/>
            </w14:solidFill>
          </w14:textFill>
        </w:rPr>
        <w:t xml:space="preserve"> </w:t>
      </w:r>
    </w:p>
    <w:p>
      <w:pPr>
        <w:spacing w:after="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PESTEL, which stands for political, economic, social, technological, environmental, and legal,  is a management technique frequently used by strategists to access the major factors in the macro level which are beyond their control but have significant implications on business operations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{"citationItems":[{"id":"ITEM-1","itemData":{"ISBN":"3319995995","author":[{"dropping-particle":"","family":"Ansoff","given":"H Igor","non-dropping-particle":"","parse-names":false,"suffix":""},{"dropping-particle":"","family":"Kipley","given":"Daniel","non-dropping-particle":"","parse-names":false,"suffix":""},{"dropping-particle":"","family":"Lewis","given":"A O","non-dropping-particle":"","parse-names":false,"suffix":""},{"dropping-particle":"","family":"Helm-Stevens","given":"Roxanne","non-dropping-particle":"","parse-names":false,"suffix":""},{"dropping-particle":"","family":"Ansoff","given":"Rick","non-dropping-particle":"","parse-names":false,"suffix":""}],"id":"ITEM-1","issued":{"date-parts":[["2018"]]},"publisher":"Springer","title":"Implanting strategic management","type":"book"},"uris":["http://www.mendeley.com/documents/?uuid=8b0a0f96-9741-4663-9d9d-39e962f0ff37"]}],"mendeley":{"formattedCitation":"(Ansoff &lt;i&gt;et al.&lt;/i&gt;, 2018)","plainTextFormattedCitation":"(Ansoff et al., 2018)","previouslyFormattedCitation":"(Ansoff &lt;i&gt;et al.&lt;/i&gt;, 2018)"},"properties":{"noteIndex":0},"schema":"https://github.com/citation-style-language/schema/raw/master/csl-citation.json"}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 xml:space="preserve">(Ansoff </w:t>
      </w:r>
      <w:r>
        <w:rPr>
          <w:rFonts w:ascii="Times New Roman" w:hAnsi="Times New Roman" w:eastAsia="宋体" w:cs="Times New Roman"/>
          <w:i/>
          <w:color w:val="1A1A1A"/>
          <w:sz w:val="24"/>
          <w:szCs w:val="24"/>
          <w:shd w:val="clear" w:color="auto" w:fill="FFFFFF"/>
        </w:rPr>
        <w:t>et al.</w:t>
      </w:r>
      <w:r>
        <w:rPr>
          <w:rFonts w:ascii="Times New Roman" w:hAnsi="Times New Roman" w:eastAsia="宋体" w:cs="Times New Roman"/>
          <w:color w:val="1A1A1A"/>
          <w:sz w:val="24"/>
          <w:szCs w:val="24"/>
          <w:shd w:val="clear" w:color="auto" w:fill="FFFFFF"/>
        </w:rPr>
        <w:t>, 2018)</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Given the fact that there are a wide spectrum of macro factors impacting Marriot under the covid-19 context, the report hights the political factors and economic, and technological factors which have the greatest relevancy to Marriot’s strategic management </w:t>
      </w:r>
    </w:p>
    <w:p>
      <w:pPr>
        <w:spacing w:after="0" w:line="360" w:lineRule="auto"/>
        <w:jc w:val="both"/>
        <w:rPr>
          <w:rFonts w:ascii="Times New Roman" w:hAnsi="Times New Roman" w:eastAsia="宋体" w:cs="Times New Roman"/>
          <w:color w:val="1A1A1A"/>
          <w:sz w:val="24"/>
          <w:szCs w:val="24"/>
          <w:shd w:val="clear" w:color="auto" w:fill="FFFFFF"/>
        </w:rPr>
      </w:pPr>
    </w:p>
    <w:p>
      <w:pPr>
        <w:spacing w:after="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In terms of political factors , countries, such as China, have not yet opened their borders to tourists from other places due to their stringent stance in covid-19 control, resulting in lower-than-previous demands in hotels within in these countries and also resulting in loss of tourists in some reopened travel hotspots in other countries ( Asian people have been perceived as the biggest sources of tourists in global tourism) (Bloomberg, 2022). Different legal regulations have been issued to ensure safer guest accommodation under covid-19. For instance, encourage not to take guests who test positive for covid-19, provides adequate ventilation and clean to prevent covid-19, etc.</w:t>
      </w:r>
    </w:p>
    <w:p>
      <w:pPr>
        <w:spacing w:after="0" w:line="360" w:lineRule="auto"/>
        <w:jc w:val="both"/>
        <w:rPr>
          <w:rFonts w:ascii="Times New Roman" w:hAnsi="Times New Roman" w:eastAsia="宋体" w:cs="Times New Roman"/>
          <w:color w:val="1A1A1A"/>
          <w:sz w:val="24"/>
          <w:szCs w:val="24"/>
          <w:shd w:val="clear" w:color="auto" w:fill="FFFFFF"/>
        </w:rPr>
      </w:pPr>
    </w:p>
    <w:p>
      <w:pPr>
        <w:spacing w:after="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In terms of economic factors, the covid-19 has resulted in the severe contraction of the global economy. Specifically, the global economy shrank by 5.2% in 2021 (with developed economies shrank 7% and emerging economies shrank 2.5%), representing the biggest recession since World War II (World Bank, 2022). However, the global economy is expected to grow at 4.9% in 2022 due to accelerating policy support and vaccination program, amid continued covid-19 flare-ups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{"citationItems":[{"id":"ITEM-1","itemData":{"URL":"https://www.imf.org/en/Publications/WEO/Issues/2021/10/12/world-economic-outlook-october-2021","accessed":{"date-parts":[["2022","3","6"]]},"author":[{"dropping-particle":"","family":"International Monetary Fund","given":"","non-dropping-particle":"","parse-names":false,"suffix":""}],"id":"ITEM-1","issued":{"date-parts":[["2022"]]},"title":"World Economic Outlook, October 2021: Recovery During A Pandemic","type":"webpage"},"uris":["http://www.mendeley.com/documents/?uuid=41278960-c572-323e-a0aa-ab4589755c74"]}],"mendeley":{"formattedCitation":"(International Monetary Fund, 2022)","plainTextFormattedCitation":"(International Monetary Fund, 2022)","previouslyFormattedCitation":"(International Monetary Fund, 2022)"},"properties":{"noteIndex":0},"schema":"https://github.com/citation-style-language/schema/raw/master/csl-citation.json"}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(International Monetary Fund, 2022)</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Therefore, the hotel sector may experience a gradual recovery from the pandemic crisis in the coming future. </w:t>
      </w:r>
    </w:p>
    <w:p>
      <w:pPr>
        <w:spacing w:after="0" w:line="360" w:lineRule="auto"/>
        <w:jc w:val="both"/>
        <w:rPr>
          <w:rFonts w:ascii="Times New Roman" w:hAnsi="Times New Roman" w:eastAsia="宋体" w:cs="Times New Roman"/>
          <w:color w:val="1A1A1A"/>
          <w:sz w:val="24"/>
          <w:szCs w:val="24"/>
          <w:shd w:val="clear" w:color="auto" w:fill="FFFFFF"/>
        </w:rPr>
      </w:pPr>
    </w:p>
    <w:p>
      <w:pPr>
        <w:spacing w:after="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In terms of technology, social media marketing: social media has gained traction in the usage rate, especially in the young tech-savvy generations, and become ubiquitous in acquiring and disseminating information, they are proving to be valuable marketing channels for the hotel industry, which previously relied on TV commercials and magazines for marketing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{"citationItems":[{"id":"ITEM-1","itemData":{"ISSN":"1054-8408","author":[{"dropping-particle":"","family":"Chan","given":"Nga Ling","non-dropping-particle":"","parse-names":false,"suffix":""},{"dropping-particle":"","family":"Guillet","given":"Basak Denizci","non-dropping-particle":"","parse-names":false,"suffix":""}],"container-title":"Journal of Travel &amp; Tourism Marketing","id":"ITEM-1","issue":"4","issued":{"date-parts":[["2011"]]},"page":"345-368","publisher":"Taylor &amp; Francis","title":"Investigation of social media marketing: how does the hotel industry in Hong Kong perform in marketing on social media websites?","type":"article-journal","volume":"28"},"uris":["http://www.mendeley.com/documents/?uuid=08fdd984-6ba5-4bd9-b18c-47ee13a6f527"]}],"mendeley":{"formattedCitation":"(Chan and Guillet, 2011)","plainTextFormattedCitation":"(Chan and Guillet, 2011)","previouslyFormattedCitation":"(Chan and Guillet, 2011)"},"properties":{"noteIndex":0},"schema":"https://github.com/citation-style-language/schema/raw/master/csl-citation.json"}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(Chan and Guillet, 2011)</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Service personalization has been enabled by data technologies, specifically big data enables values hidden in massive data to be discovered. The preferences and patterns of individual consumers can be understood. Based on this, more personalized accommodation experiences and more targeted personalized marketing communication plans can be developed and delivered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ISSN":"0047-2875","author":[{"dropping-particle":"","family":"Pan","given":"Bing","non-dropping-particle":"","parse-names":false,"suffix":""},{"dropping-particle":"","family":"Yang","given":"Yang","non-dropping-particle":"","parse-names":false,"suffix":""}],"container-title":"Journal of Travel Research","id":"ITEM-1","issue":"7","issued":{"date-parts":[["2017"]]},"page":"957-970","publisher":"SAGE Publications Sage CA: Los Angeles, CA","title":"Forecasting destination weekly hotel occupancy with big data","type":"article-journal","volume":"56"},"uris":["http://www.mendeley.com/documents/?uuid=2470dc52-0ff4-4287-863f-8cb211548cd0"]}],"mendeley":{"formattedCitation":"(Pan and Yang, 2017)","plainTextFormattedCitation":"(Pan and Yang, 2017)","previouslyFormattedCitation":"(Pan and Yang, 2017)"},"properties":{"noteIndex":0},"schema":"https://github.com/citation-style-language/schema/raw/master/csl-citation.json"}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(Pan and Yang, 2017)</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It is also noticeable that robotic maids, predictive maintenance based on big data analytics, contactless communication, and smart sensors based on the Internet of things are increasingly being used by leading and pioneering hotel brands to ensure a safe and superior customer experience under the covid-19 context.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{"citationItems":[{"id":"ITEM-1","itemData":{"URL":"https://hospitalityinsights.ehl.edu/covid-affected-customer-experience","accessed":{"date-parts":[["2022","3","15"]]},"author":[{"dropping-particle":"","family":"EHL Insights","given":"","non-dropping-particle":"","parse-names":false,"suffix":""}],"id":"ITEM-1","issued":{"date-parts":[["2021"]]},"title":"How technology is improving COVID-affected customer experience","type":"webpage"},"uris":["http://www.mendeley.com/documents/?uuid=2cddacdf-2b72-3d03-bdcd-a720d2236235"]}],"mendeley":{"formattedCitation":"(EHL Insights, 2021)","plainTextFormattedCitation":"(EHL Insights, 2021)","previouslyFormattedCitation":"(EHL Insights, 2021)"},"properties":{"noteIndex":0},"schema":"https://github.com/citation-style-language/schema/raw/master/csl-citation.json"}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(EHL Insights, 2021)</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w:t>
      </w:r>
    </w:p>
    <w:p>
      <w:pPr>
        <w:spacing w:after="0" w:line="360" w:lineRule="auto"/>
        <w:jc w:val="both"/>
        <w:rPr>
          <w:rFonts w:ascii="Times New Roman" w:hAnsi="Times New Roman" w:eastAsia="宋体" w:cs="Times New Roman"/>
          <w:color w:val="1A1A1A"/>
          <w:sz w:val="24"/>
          <w:szCs w:val="24"/>
          <w:shd w:val="clear" w:color="auto" w:fill="FFFFFF"/>
        </w:rPr>
      </w:pPr>
    </w:p>
    <w:p>
      <w:pPr>
        <w:spacing w:after="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It has been evident that there are both unsized opportunities such as the further integration of technologies to prevent covid-19 and address customer concern in the covid-19 context, and some ongoing threats brought by travel restrictions and accompanying costs. </w:t>
      </w:r>
    </w:p>
    <w:p>
      <w:pPr>
        <w:pStyle w:val="3"/>
        <w:numPr>
          <w:ilvl w:val="1"/>
          <w:numId w:val="2"/>
        </w:numPr>
        <w:spacing w:before="156" w:beforeLines="50" w:after="156" w:afterLines="50" w:line="360" w:lineRule="auto"/>
        <w:jc w:val="both"/>
        <w:rPr>
          <w:rFonts w:ascii="Times New Roman" w:hAnsi="Times New Roman" w:cs="Times New Roman"/>
          <w:b/>
          <w:bCs/>
          <w:color w:val="000000" w:themeColor="text1"/>
          <w:sz w:val="28"/>
          <w:szCs w:val="28"/>
          <w:shd w:val="clear" w:color="auto" w:fill="FFFFFF"/>
          <w14:textFill>
            <w14:solidFill>
              <w14:schemeClr w14:val="tx1"/>
            </w14:solidFill>
          </w14:textFill>
        </w:rPr>
      </w:pPr>
      <w:bookmarkStart w:id="4" w:name="_Toc98492085"/>
      <w:r>
        <w:rPr>
          <w:rFonts w:ascii="Times New Roman" w:hAnsi="Times New Roman" w:cs="Times New Roman"/>
          <w:b/>
          <w:bCs/>
          <w:color w:val="000000" w:themeColor="text1"/>
          <w:sz w:val="28"/>
          <w:szCs w:val="28"/>
          <w:shd w:val="clear" w:color="auto" w:fill="FFFFFF"/>
          <w14:textFill>
            <w14:solidFill>
              <w14:schemeClr w14:val="tx1"/>
            </w14:solidFill>
          </w14:textFill>
        </w:rPr>
        <w:t>Micro-environment audit</w:t>
      </w:r>
      <w:bookmarkEnd w:id="4"/>
      <w:r>
        <w:rPr>
          <w:rFonts w:ascii="Times New Roman" w:hAnsi="Times New Roman" w:cs="Times New Roman"/>
          <w:b/>
          <w:bCs/>
          <w:color w:val="000000" w:themeColor="text1"/>
          <w:sz w:val="28"/>
          <w:szCs w:val="28"/>
          <w:shd w:val="clear" w:color="auto" w:fill="FFFFFF"/>
          <w14:textFill>
            <w14:solidFill>
              <w14:schemeClr w14:val="tx1"/>
            </w14:solidFill>
          </w14:textFill>
        </w:rPr>
        <w:t xml:space="preserve"> </w:t>
      </w:r>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The micro-level audit is performed using Porter’s five force analysis. The model draws upon industrial organization economics to derive five major forces that determine the overall attractiveness and competitiveness of a specific industry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{"citationItems":[{"id":"ITEM-1","itemData":{"author":[{"dropping-particle":"","family":"Deepak","given":"R Kanthiah Alias","non-dropping-particle":"","parse-names":false,"suffix":""},{"dropping-particle":"","family":"Jeyakumar","given":"S","non-dropping-particle":"","parse-names":false,"suffix":""}],"id":"ITEM-1","issued":{"date-parts":[["2019"]]},"publisher":"Educreation Publishing","title":"Marketing management","type":"book"},"uris":["http://www.mendeley.com/documents/?uuid=abcd382b-49a3-42ff-b36e-f9197fad70a4"]}],"mendeley":{"formattedCitation":"(Deepak and Jeyakumar, 2019)","plainTextFormattedCitation":"(Deepak and Jeyakumar, 2019)","previouslyFormattedCitation":"(Deepak and Jeyakumar, 2019)"},"properties":{"noteIndex":0},"schema":"https://github.com/citation-style-language/schema/raw/master/csl-citation.json"}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(Deepak and Jeyakumar, 2019)</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Attention will be paid to only relevant points here. </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Table 2: Porter’s five forces analysis </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Source: own summary </w:t>
      </w:r>
    </w:p>
    <w:tbl>
      <w:tblPr>
        <w:tblStyle w:val="54"/>
        <w:tblW w:w="0" w:type="auto"/>
        <w:tblInd w:w="0" w:type="dxa"/>
        <w:tblLayout w:type="autofit"/>
        <w:tblCellMar>
          <w:top w:w="0" w:type="dxa"/>
          <w:left w:w="108" w:type="dxa"/>
          <w:bottom w:w="0" w:type="dxa"/>
          <w:right w:w="108" w:type="dxa"/>
        </w:tblCellMar>
      </w:tblPr>
      <w:tblGrid>
        <w:gridCol w:w="1696"/>
        <w:gridCol w:w="8040"/>
      </w:tblGrid>
      <w:tr>
        <w:tc>
          <w:tcPr>
            <w:tcW w:w="1696" w:type="dxa"/>
          </w:tcPr>
          <w:p>
            <w:pPr>
              <w:spacing w:before="156" w:beforeLines="50" w:after="156" w:afterLines="50" w:line="360" w:lineRule="auto"/>
              <w:jc w:val="both"/>
              <w:rPr>
                <w:rFonts w:ascii="Arial" w:hAnsi="Arial" w:cs="Arial" w:eastAsiaTheme="majorEastAsia"/>
                <w:b/>
                <w:bCs/>
                <w:color w:val="000000" w:themeColor="text1"/>
                <w:sz w:val="18"/>
                <w:szCs w:val="18"/>
                <w14:textFill>
                  <w14:solidFill>
                    <w14:schemeClr w14:val="tx1"/>
                  </w14:solidFill>
                </w14:textFill>
              </w:rPr>
            </w:pPr>
            <w:r>
              <w:rPr>
                <w:rFonts w:ascii="Arial" w:hAnsi="Arial" w:cs="Arial" w:eastAsiaTheme="majorEastAsia"/>
                <w:b/>
                <w:bCs/>
                <w:color w:val="000000" w:themeColor="text1"/>
                <w:sz w:val="18"/>
                <w:szCs w:val="18"/>
                <w14:textFill>
                  <w14:solidFill>
                    <w14:schemeClr w14:val="tx1"/>
                  </w14:solidFill>
                </w14:textFill>
              </w:rPr>
              <w:t>Factors</w:t>
            </w:r>
          </w:p>
        </w:tc>
        <w:tc>
          <w:tcPr>
            <w:tcW w:w="8040" w:type="dxa"/>
          </w:tcPr>
          <w:p>
            <w:pPr>
              <w:spacing w:before="156" w:beforeLines="50" w:after="156" w:afterLines="50" w:line="360" w:lineRule="auto"/>
              <w:jc w:val="both"/>
              <w:rPr>
                <w:rFonts w:ascii="Arial" w:hAnsi="Arial" w:cs="Arial" w:eastAsiaTheme="majorEastAsia"/>
                <w:b/>
                <w:bCs/>
                <w:color w:val="000000" w:themeColor="text1"/>
                <w:sz w:val="18"/>
                <w:szCs w:val="18"/>
                <w14:textFill>
                  <w14:solidFill>
                    <w14:schemeClr w14:val="tx1"/>
                  </w14:solidFill>
                </w14:textFill>
              </w:rPr>
            </w:pPr>
            <w:r>
              <w:rPr>
                <w:rFonts w:ascii="Arial" w:hAnsi="Arial" w:cs="Arial" w:eastAsiaTheme="majorEastAsia"/>
                <w:b/>
                <w:bCs/>
                <w:color w:val="000000" w:themeColor="text1"/>
                <w:sz w:val="18"/>
                <w:szCs w:val="18"/>
                <w14:textFill>
                  <w14:solidFill>
                    <w14:schemeClr w14:val="tx1"/>
                  </w14:solidFill>
                </w14:textFill>
              </w:rPr>
              <w:t xml:space="preserve">Implications </w:t>
            </w:r>
          </w:p>
        </w:tc>
      </w:tr>
      <w:tr>
        <w:tc>
          <w:tcPr>
            <w:tcW w:w="1696" w:type="dxa"/>
            <w:shd w:val="clear" w:color="auto" w:fill="F1F1F1" w:themeFill="background1" w:themeFillShade="F2"/>
          </w:tcPr>
          <w:p>
            <w:pPr>
              <w:spacing w:before="156" w:beforeLines="50" w:after="156" w:afterLines="50" w:line="360" w:lineRule="auto"/>
              <w:jc w:val="both"/>
              <w:rPr>
                <w:rFonts w:ascii="Arial" w:hAnsi="Arial" w:cs="Arial" w:eastAsiaTheme="majorEastAsia"/>
                <w:b/>
                <w:bCs/>
                <w:color w:val="000000" w:themeColor="text1"/>
                <w:sz w:val="18"/>
                <w:szCs w:val="18"/>
                <w14:textFill>
                  <w14:solidFill>
                    <w14:schemeClr w14:val="tx1"/>
                  </w14:solidFill>
                </w14:textFill>
              </w:rPr>
            </w:pPr>
            <w:r>
              <w:rPr>
                <w:rFonts w:ascii="Arial" w:hAnsi="Arial" w:cs="Arial" w:eastAsiaTheme="majorEastAsia"/>
                <w:b/>
                <w:bCs/>
                <w:color w:val="000000" w:themeColor="text1"/>
                <w:sz w:val="18"/>
                <w:szCs w:val="18"/>
                <w14:textFill>
                  <w14:solidFill>
                    <w14:schemeClr w14:val="tx1"/>
                  </w14:solidFill>
                </w14:textFill>
              </w:rPr>
              <w:t>Threats of substitutes</w:t>
            </w:r>
          </w:p>
        </w:tc>
        <w:tc>
          <w:tcPr>
            <w:tcW w:w="8040" w:type="dxa"/>
            <w:shd w:val="clear" w:color="auto" w:fill="F1F1F1" w:themeFill="background1" w:themeFillShade="F2"/>
          </w:tcPr>
          <w:p>
            <w:pPr>
              <w:pStyle w:val="26"/>
              <w:numPr>
                <w:ilvl w:val="0"/>
                <w:numId w:val="3"/>
              </w:numPr>
              <w:spacing w:before="156" w:beforeLines="50" w:after="156" w:afterLines="50" w:line="360" w:lineRule="auto"/>
              <w:ind w:firstLineChars="0"/>
              <w:jc w:val="both"/>
              <w:rPr>
                <w:rFonts w:ascii="Arial" w:hAnsi="Arial" w:eastAsia="宋体" w:cs="Arial"/>
                <w:color w:val="000000" w:themeColor="text1"/>
                <w:sz w:val="18"/>
                <w:szCs w:val="18"/>
                <w14:textFill>
                  <w14:solidFill>
                    <w14:schemeClr w14:val="tx1"/>
                  </w14:solidFill>
                </w14:textFill>
              </w:rPr>
            </w:pPr>
            <w:r>
              <w:rPr>
                <w:rFonts w:ascii="Arial" w:hAnsi="Arial" w:eastAsia="宋体" w:cs="Arial"/>
                <w:color w:val="000000" w:themeColor="text1"/>
                <w:sz w:val="18"/>
                <w:szCs w:val="18"/>
                <w14:textFill>
                  <w14:solidFill>
                    <w14:schemeClr w14:val="tx1"/>
                  </w14:solidFill>
                </w14:textFill>
              </w:rPr>
              <w:t>Moderate</w:t>
            </w:r>
          </w:p>
          <w:p>
            <w:pPr>
              <w:pStyle w:val="26"/>
              <w:numPr>
                <w:ilvl w:val="0"/>
                <w:numId w:val="3"/>
              </w:numPr>
              <w:spacing w:before="156" w:beforeLines="50" w:after="156" w:afterLines="50" w:line="360" w:lineRule="auto"/>
              <w:ind w:firstLineChars="0"/>
              <w:jc w:val="both"/>
              <w:rPr>
                <w:rFonts w:ascii="Arial" w:hAnsi="Arial" w:cs="Arial" w:eastAsiaTheme="majorEastAsia"/>
                <w:color w:val="000000" w:themeColor="text1"/>
                <w:sz w:val="18"/>
                <w:szCs w:val="18"/>
                <w14:textFill>
                  <w14:solidFill>
                    <w14:schemeClr w14:val="tx1"/>
                  </w14:solidFill>
                </w14:textFill>
              </w:rPr>
            </w:pPr>
            <w:r>
              <w:rPr>
                <w:rFonts w:ascii="Arial" w:hAnsi="Arial" w:eastAsia="宋体" w:cs="Arial"/>
                <w:color w:val="000000" w:themeColor="text1"/>
                <w:sz w:val="18"/>
                <w:szCs w:val="18"/>
                <w14:textFill>
                  <w14:solidFill>
                    <w14:schemeClr w14:val="tx1"/>
                  </w14:solidFill>
                </w14:textFill>
              </w:rPr>
              <w:t xml:space="preserve">The sharing accommodation provided by Airbnb continues to threaten the traditional hotel industry due to its heterogeneity in services (Airbnb offerings are more localized and diversified in size, types, locations, etc.) </w:t>
            </w:r>
            <w:r>
              <w:rPr>
                <w:rFonts w:ascii="Arial" w:hAnsi="Arial" w:eastAsia="宋体" w:cs="Arial"/>
                <w:color w:val="000000" w:themeColor="text1"/>
                <w:sz w:val="18"/>
                <w:szCs w:val="18"/>
                <w14:textFill>
                  <w14:solidFill>
                    <w14:schemeClr w14:val="tx1"/>
                  </w14:solidFill>
                </w14:textFill>
              </w:rPr>
              <w:fldChar w:fldCharType="begin" w:fldLock="1"/>
            </w:r>
            <w:r>
              <w:rPr>
                <w:rFonts w:ascii="Arial" w:hAnsi="Arial" w:eastAsia="宋体" w:cs="Arial"/>
                <w:color w:val="000000" w:themeColor="text1"/>
                <w:sz w:val="18"/>
                <w:szCs w:val="18"/>
                <w14:textFill>
                  <w14:solidFill>
                    <w14:schemeClr w14:val="tx1"/>
                  </w14:solidFill>
                </w14:textFill>
              </w:rPr>
              <w:instrText xml:space="preserve">ADDIN CSL_CITATION {"citationItems":[{"id":"ITEM-1","itemData":{"ISSN":"0022-2437","author":[{"dropping-particle":"","family":"Zervas","given":"Georgios","non-dropping-particle":"","parse-names":false,"suffix":""},{"dropping-particle":"","family":"Proserpio","given":"Davide","non-dropping-particle":"","parse-names":false,"suffix":""},{"dropping-particle":"","family":"Byers","given":"John W","non-dropping-particle":"","parse-names":false,"suffix":""}],"container-title":"Journal of marketing research","id":"ITEM-1","issue":"5","issued":{"date-parts":[["2017"]]},"page":"687-705","publisher":"American Marketing Association","title":"The rise of the sharing economy: Estimating the impact of Airbnb on the hotel industry","type":"article-journal","volume":"54"},"uris":["http://www.mendeley.com/documents/?uuid=e2b8b2d5-581a-41a2-8593-1cef3b84859a"]}],"mendeley":{"formattedCitation":"(Zervas, Proserpio and Byers, 2017)","plainTextFormattedCitation":"(Zervas, Proserpio and Byers, 2017)","previouslyFormattedCitation":"(Zervas, Proserpio and Byers, 2017)"},"properties":{"noteIndex":0},"schema":"https://github.com/citation-style-language/schema/raw/master/csl-citation.json"}</w:instrText>
            </w:r>
            <w:r>
              <w:rPr>
                <w:rFonts w:ascii="Arial" w:hAnsi="Arial" w:eastAsia="宋体" w:cs="Arial"/>
                <w:color w:val="000000" w:themeColor="text1"/>
                <w:sz w:val="18"/>
                <w:szCs w:val="18"/>
                <w14:textFill>
                  <w14:solidFill>
                    <w14:schemeClr w14:val="tx1"/>
                  </w14:solidFill>
                </w14:textFill>
              </w:rPr>
              <w:fldChar w:fldCharType="separate"/>
            </w:r>
            <w:r>
              <w:rPr>
                <w:rFonts w:ascii="Arial" w:hAnsi="Arial" w:eastAsia="宋体" w:cs="Arial"/>
                <w:color w:val="000000" w:themeColor="text1"/>
                <w:sz w:val="18"/>
                <w:szCs w:val="18"/>
                <w14:textFill>
                  <w14:solidFill>
                    <w14:schemeClr w14:val="tx1"/>
                  </w14:solidFill>
                </w14:textFill>
              </w:rPr>
              <w:t>(Zervas, Proserpio, and Byers, 2017)</w:t>
            </w:r>
            <w:r>
              <w:rPr>
                <w:rFonts w:ascii="Arial" w:hAnsi="Arial" w:eastAsia="宋体" w:cs="Arial"/>
                <w:color w:val="000000" w:themeColor="text1"/>
                <w:sz w:val="18"/>
                <w:szCs w:val="18"/>
                <w14:textFill>
                  <w14:solidFill>
                    <w14:schemeClr w14:val="tx1"/>
                  </w14:solidFill>
                </w14:textFill>
              </w:rPr>
              <w:fldChar w:fldCharType="end"/>
            </w:r>
            <w:r>
              <w:rPr>
                <w:rFonts w:ascii="Arial" w:hAnsi="Arial" w:eastAsia="宋体" w:cs="Arial"/>
                <w:color w:val="000000" w:themeColor="text1"/>
                <w:sz w:val="18"/>
                <w:szCs w:val="18"/>
                <w14:textFill>
                  <w14:solidFill>
                    <w14:schemeClr w14:val="tx1"/>
                  </w14:solidFill>
                </w14:textFill>
              </w:rPr>
              <w:t xml:space="preserve">. However, over the long term, the peer-to-peer accommodation offered by Airbnb will still pose a significant threat to the whole traditional hotel industry. So far, it has 247 active guests during 2020 with more than 7.4 million different types of rooms available </w:t>
            </w:r>
            <w:r>
              <w:rPr>
                <w:rFonts w:ascii="Arial" w:hAnsi="Arial" w:eastAsia="宋体" w:cs="Arial"/>
                <w:color w:val="000000" w:themeColor="text1"/>
                <w:sz w:val="18"/>
                <w:szCs w:val="18"/>
                <w14:textFill>
                  <w14:solidFill>
                    <w14:schemeClr w14:val="tx1"/>
                  </w14:solidFill>
                </w14:textFill>
              </w:rPr>
              <w:fldChar w:fldCharType="begin" w:fldLock="1"/>
            </w:r>
            <w:r>
              <w:rPr>
                <w:rFonts w:ascii="Arial" w:hAnsi="Arial" w:eastAsia="宋体" w:cs="Arial"/>
                <w:color w:val="000000" w:themeColor="text1"/>
                <w:sz w:val="18"/>
                <w:szCs w:val="18"/>
                <w14:textFill>
                  <w14:solidFill>
                    <w14:schemeClr w14:val="tx1"/>
                  </w14:solidFill>
                </w14:textFill>
              </w:rPr>
              <w:instrText xml:space="preserve">ADDIN CSL_CITATION {"citationItems":[{"id":"ITEM-1","itemData":{"URL":"https://www.hospitalitynet.org/opinion/4101840.html","accessed":{"date-parts":[["2022","3","18"]]},"author":[{"dropping-particle":"","family":"Hospitality Net","given":"","non-dropping-particle":"","parse-names":false,"suffix":""}],"id":"ITEM-1","issued":{"date-parts":[["2020"]]},"title":"How big of a threat to the hospitality industry, if at all, is Airbnb's upcoming IPO? ","type":"webpage"},"uris":["http://www.mendeley.com/documents/?uuid=aabd0c26-d78f-384d-9661-e3934e712f19"]}],"mendeley":{"formattedCitation":"(Hospitality Net, 2020)","plainTextFormattedCitation":"(Hospitality Net, 2020)"},"properties":{"noteIndex":0},"schema":"https://github.com/citation-style-language/schema/raw/master/csl-citation.json"}</w:instrText>
            </w:r>
            <w:r>
              <w:rPr>
                <w:rFonts w:ascii="Arial" w:hAnsi="Arial" w:eastAsia="宋体" w:cs="Arial"/>
                <w:color w:val="000000" w:themeColor="text1"/>
                <w:sz w:val="18"/>
                <w:szCs w:val="18"/>
                <w14:textFill>
                  <w14:solidFill>
                    <w14:schemeClr w14:val="tx1"/>
                  </w14:solidFill>
                </w14:textFill>
              </w:rPr>
              <w:fldChar w:fldCharType="separate"/>
            </w:r>
            <w:r>
              <w:rPr>
                <w:rFonts w:ascii="Arial" w:hAnsi="Arial" w:eastAsia="宋体" w:cs="Arial"/>
                <w:color w:val="000000" w:themeColor="text1"/>
                <w:sz w:val="18"/>
                <w:szCs w:val="18"/>
                <w14:textFill>
                  <w14:solidFill>
                    <w14:schemeClr w14:val="tx1"/>
                  </w14:solidFill>
                </w14:textFill>
              </w:rPr>
              <w:t>(Hospitality Net, 2020)</w:t>
            </w:r>
            <w:r>
              <w:rPr>
                <w:rFonts w:ascii="Arial" w:hAnsi="Arial" w:eastAsia="宋体" w:cs="Arial"/>
                <w:color w:val="000000" w:themeColor="text1"/>
                <w:sz w:val="18"/>
                <w:szCs w:val="18"/>
                <w14:textFill>
                  <w14:solidFill>
                    <w14:schemeClr w14:val="tx1"/>
                  </w14:solidFill>
                </w14:textFill>
              </w:rPr>
              <w:fldChar w:fldCharType="end"/>
            </w:r>
            <w:r>
              <w:rPr>
                <w:rFonts w:ascii="Arial" w:hAnsi="Arial" w:eastAsia="宋体" w:cs="Arial"/>
                <w:color w:val="000000" w:themeColor="text1"/>
                <w:sz w:val="18"/>
                <w:szCs w:val="18"/>
                <w14:textFill>
                  <w14:solidFill>
                    <w14:schemeClr w14:val="tx1"/>
                  </w14:solidFill>
                </w14:textFill>
              </w:rPr>
              <w:t>.</w:t>
            </w:r>
          </w:p>
        </w:tc>
      </w:tr>
      <w:tr>
        <w:tc>
          <w:tcPr>
            <w:tcW w:w="1696" w:type="dxa"/>
          </w:tcPr>
          <w:p>
            <w:pPr>
              <w:spacing w:before="156" w:beforeLines="50" w:after="156" w:afterLines="50" w:line="360" w:lineRule="auto"/>
              <w:jc w:val="both"/>
              <w:rPr>
                <w:rFonts w:ascii="Arial" w:hAnsi="Arial" w:cs="Arial" w:eastAsiaTheme="majorEastAsia"/>
                <w:b/>
                <w:bCs/>
                <w:color w:val="000000" w:themeColor="text1"/>
                <w:sz w:val="18"/>
                <w:szCs w:val="18"/>
                <w14:textFill>
                  <w14:solidFill>
                    <w14:schemeClr w14:val="tx1"/>
                  </w14:solidFill>
                </w14:textFill>
              </w:rPr>
            </w:pPr>
            <w:r>
              <w:rPr>
                <w:rFonts w:ascii="Arial" w:hAnsi="Arial" w:cs="Arial" w:eastAsiaTheme="majorEastAsia"/>
                <w:b/>
                <w:bCs/>
                <w:color w:val="000000" w:themeColor="text1"/>
                <w:sz w:val="18"/>
                <w:szCs w:val="18"/>
                <w14:textFill>
                  <w14:solidFill>
                    <w14:schemeClr w14:val="tx1"/>
                  </w14:solidFill>
                </w14:textFill>
              </w:rPr>
              <w:t xml:space="preserve">Bargaining power of customers </w:t>
            </w:r>
          </w:p>
        </w:tc>
        <w:tc>
          <w:tcPr>
            <w:tcW w:w="8040" w:type="dxa"/>
          </w:tcPr>
          <w:p>
            <w:pPr>
              <w:pStyle w:val="26"/>
              <w:numPr>
                <w:ilvl w:val="0"/>
                <w:numId w:val="3"/>
              </w:numPr>
              <w:spacing w:before="156" w:beforeLines="50" w:after="156" w:afterLines="50" w:line="360" w:lineRule="auto"/>
              <w:ind w:firstLineChars="0"/>
              <w:jc w:val="both"/>
              <w:rPr>
                <w:rFonts w:ascii="Arial" w:hAnsi="Arial" w:eastAsia="宋体" w:cs="Arial"/>
                <w:color w:val="000000" w:themeColor="text1"/>
                <w:sz w:val="18"/>
                <w:szCs w:val="18"/>
                <w14:textFill>
                  <w14:solidFill>
                    <w14:schemeClr w14:val="tx1"/>
                  </w14:solidFill>
                </w14:textFill>
              </w:rPr>
            </w:pPr>
            <w:r>
              <w:rPr>
                <w:rFonts w:ascii="Arial" w:hAnsi="Arial" w:eastAsia="宋体" w:cs="Arial"/>
                <w:color w:val="000000" w:themeColor="text1"/>
                <w:sz w:val="18"/>
                <w:szCs w:val="18"/>
                <w14:textFill>
                  <w14:solidFill>
                    <w14:schemeClr w14:val="tx1"/>
                  </w14:solidFill>
                </w14:textFill>
              </w:rPr>
              <w:t xml:space="preserve">Relatively high </w:t>
            </w:r>
          </w:p>
          <w:p>
            <w:pPr>
              <w:pStyle w:val="26"/>
              <w:numPr>
                <w:ilvl w:val="0"/>
                <w:numId w:val="3"/>
              </w:numPr>
              <w:spacing w:before="156" w:beforeLines="50" w:after="156" w:afterLines="50" w:line="360" w:lineRule="auto"/>
              <w:ind w:firstLineChars="0"/>
              <w:jc w:val="both"/>
              <w:rPr>
                <w:rFonts w:ascii="Arial" w:hAnsi="Arial" w:eastAsia="宋体" w:cs="Arial"/>
                <w:color w:val="000000" w:themeColor="text1"/>
                <w:sz w:val="18"/>
                <w:szCs w:val="18"/>
                <w14:textFill>
                  <w14:solidFill>
                    <w14:schemeClr w14:val="tx1"/>
                  </w14:solidFill>
                </w14:textFill>
              </w:rPr>
            </w:pPr>
            <w:r>
              <w:rPr>
                <w:rFonts w:ascii="Arial" w:hAnsi="Arial" w:eastAsia="宋体" w:cs="Arial"/>
                <w:color w:val="000000" w:themeColor="text1"/>
                <w:sz w:val="18"/>
                <w:szCs w:val="18"/>
                <w14:textFill>
                  <w14:solidFill>
                    <w14:schemeClr w14:val="tx1"/>
                  </w14:solidFill>
                </w14:textFill>
              </w:rPr>
              <w:t xml:space="preserve">The hotel industry has been highly concentrated and the outbreak of covid-19 has accelerated the inequality between supply and demand </w:t>
            </w:r>
            <w:r>
              <w:rPr>
                <w:rFonts w:ascii="Arial" w:hAnsi="Arial" w:eastAsia="宋体" w:cs="Arial"/>
                <w:color w:val="000000" w:themeColor="text1"/>
                <w:sz w:val="18"/>
                <w:szCs w:val="18"/>
                <w14:textFill>
                  <w14:solidFill>
                    <w14:schemeClr w14:val="tx1"/>
                  </w14:solidFill>
                </w14:textFill>
              </w:rPr>
              <w:fldChar w:fldCharType="begin" w:fldLock="1"/>
            </w:r>
            <w:r>
              <w:rPr>
                <w:rFonts w:ascii="Arial" w:hAnsi="Arial" w:eastAsia="宋体" w:cs="Arial"/>
                <w:color w:val="000000" w:themeColor="text1"/>
                <w:sz w:val="18"/>
                <w:szCs w:val="18"/>
                <w14:textFill>
                  <w14:solidFill>
                    <w14:schemeClr w14:val="tx1"/>
                  </w14:solidFill>
                </w14:textFill>
              </w:rPr>
              <w:instrText xml:space="preserve">ADDIN CSL_CITATION {"citationItems":[{"id":"ITEM-1","itemData":{"ISSN":"0969-6989","author":[{"dropping-particle":"","family":"Kim","given":"Jinkyung Jenny","non-dropping-particle":"","parse-names":false,"suffix":""},{"dropping-particle":"","family":"Han","given":"Heesup","non-dropping-particle":"","parse-names":false,"suffix":""},{"dropping-particle":"","family":"Ariza-Montes","given":"Antonio","non-dropping-particle":"","parse-names":false,"suffix":""}],"container-title":"Journal of Retailing and Consumer Services","id":"ITEM-1","issued":{"date-parts":[["2021"]]},"page":"102634","publisher":"Elsevier","title":"The impact of hotel attributes, well-being perception, and attitudes on brand loyalty: Examining the moderating role of COVID-19 pandemic","type":"article-journal","volume":"62"},"uris":["http://www.mendeley.com/documents/?uuid=75a550de-4a92-471f-acc1-668829f1dc95"]}],"mendeley":{"formattedCitation":"(Kim, Han and Ariza-Montes, 2021)","plainTextFormattedCitation":"(Kim, Han and Ariza-Montes, 2021)","previouslyFormattedCitation":"(Kim, Han and Ariza-Montes, 2021)"},"properties":{"noteIndex":0},"schema":"https://github.com/citation-style-language/schema/raw/master/csl-citation.json"}</w:instrText>
            </w:r>
            <w:r>
              <w:rPr>
                <w:rFonts w:ascii="Arial" w:hAnsi="Arial" w:eastAsia="宋体" w:cs="Arial"/>
                <w:color w:val="000000" w:themeColor="text1"/>
                <w:sz w:val="18"/>
                <w:szCs w:val="18"/>
                <w14:textFill>
                  <w14:solidFill>
                    <w14:schemeClr w14:val="tx1"/>
                  </w14:solidFill>
                </w14:textFill>
              </w:rPr>
              <w:fldChar w:fldCharType="separate"/>
            </w:r>
            <w:r>
              <w:rPr>
                <w:rFonts w:ascii="Arial" w:hAnsi="Arial" w:eastAsia="宋体" w:cs="Arial"/>
                <w:color w:val="000000" w:themeColor="text1"/>
                <w:sz w:val="18"/>
                <w:szCs w:val="18"/>
                <w14:textFill>
                  <w14:solidFill>
                    <w14:schemeClr w14:val="tx1"/>
                  </w14:solidFill>
                </w14:textFill>
              </w:rPr>
              <w:t>(Kim, Han, and Ariza-Montes, 2021)</w:t>
            </w:r>
            <w:r>
              <w:rPr>
                <w:rFonts w:ascii="Arial" w:hAnsi="Arial" w:eastAsia="宋体" w:cs="Arial"/>
                <w:color w:val="000000" w:themeColor="text1"/>
                <w:sz w:val="18"/>
                <w:szCs w:val="18"/>
                <w14:textFill>
                  <w14:solidFill>
                    <w14:schemeClr w14:val="tx1"/>
                  </w14:solidFill>
                </w14:textFill>
              </w:rPr>
              <w:fldChar w:fldCharType="end"/>
            </w:r>
            <w:r>
              <w:rPr>
                <w:rFonts w:ascii="Arial" w:hAnsi="Arial" w:eastAsia="宋体" w:cs="Arial"/>
                <w:color w:val="000000" w:themeColor="text1"/>
                <w:sz w:val="18"/>
                <w:szCs w:val="18"/>
                <w14:textFill>
                  <w14:solidFill>
                    <w14:schemeClr w14:val="tx1"/>
                  </w14:solidFill>
                </w14:textFill>
              </w:rPr>
              <w:t xml:space="preserve">, as there are no costs for customers to switch between brands, the customers are endowed with more bargaining power. The pressure from the customer side has resulted in all major hotel chains trying to lower the prices of their offerings to snatch customers from each other. </w:t>
            </w:r>
          </w:p>
        </w:tc>
      </w:tr>
    </w:tbl>
    <w:p>
      <w:pPr>
        <w:spacing w:before="156" w:beforeLines="50" w:after="156" w:afterLines="50" w:line="360" w:lineRule="auto"/>
        <w:jc w:val="both"/>
        <w:rPr>
          <w:rFonts w:ascii="Arial" w:hAnsi="Arial" w:cs="Arial" w:eastAsiaTheme="majorEastAsia"/>
          <w:color w:val="D55816" w:themeColor="accent2"/>
          <w:sz w:val="36"/>
          <w:szCs w:val="36"/>
          <w:shd w:val="clear" w:color="auto" w:fill="FFFFFF"/>
          <w14:textFill>
            <w14:solidFill>
              <w14:schemeClr w14:val="accent2"/>
            </w14:solidFill>
          </w14:textFill>
        </w:rPr>
      </w:pPr>
      <w:r>
        <w:rPr>
          <w:rFonts w:ascii="Arial" w:hAnsi="Arial" w:cs="Arial" w:eastAsiaTheme="majorEastAsia"/>
          <w:color w:val="D55816" w:themeColor="accent2"/>
          <w:sz w:val="36"/>
          <w:szCs w:val="36"/>
          <w:shd w:val="clear" w:color="auto" w:fill="FFFFFF"/>
          <w14:textFill>
            <w14:solidFill>
              <w14:schemeClr w14:val="accent2"/>
            </w14:solidFill>
          </w14:textFill>
        </w:rPr>
        <w:drawing>
          <wp:inline distT="0" distB="0" distL="0" distR="0">
            <wp:extent cx="2228215" cy="1981200"/>
            <wp:effectExtent l="0" t="0" r="127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a:xfrm>
                      <a:off x="0" y="0"/>
                      <a:ext cx="2231127" cy="1984040"/>
                    </a:xfrm>
                    <a:prstGeom prst="rect">
                      <a:avLst/>
                    </a:prstGeom>
                    <a:noFill/>
                  </pic:spPr>
                </pic:pic>
              </a:graphicData>
            </a:graphic>
          </wp:inline>
        </w:drawing>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Figure 3. Porter’s five forces highlight the hotel industry </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Source: own summary </w:t>
      </w:r>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The overview of the whole industry indicates the overall attractiveness of the whole industry is relatively low as the covid-19 pandemic has turned the hotel industry into a buyer’s market where suppliers exceed demands and consumers have bargaining power over suppliers in price negotiation. The buyer market of the hotel industry also indicates the higher competition among existing rivalries, as they all face the revenue pressure under the sluggish industry prospect reserved from covid-19. Therefore, the major implication for Marriot is to secure its bargaining power against customers and stand out in the fierce competition.</w:t>
      </w:r>
    </w:p>
    <w:p>
      <w:pPr>
        <w:pStyle w:val="3"/>
        <w:spacing w:before="156" w:beforeLines="50" w:after="156" w:afterLines="50" w:line="360" w:lineRule="auto"/>
        <w:jc w:val="both"/>
        <w:rPr>
          <w:rFonts w:ascii="Times New Roman" w:hAnsi="Times New Roman" w:cs="Times New Roman"/>
          <w:b/>
          <w:bCs/>
          <w:color w:val="000000" w:themeColor="text1"/>
          <w:sz w:val="28"/>
          <w:szCs w:val="28"/>
          <w:shd w:val="clear" w:color="auto" w:fill="FFFFFF"/>
          <w14:textFill>
            <w14:solidFill>
              <w14:schemeClr w14:val="tx1"/>
            </w14:solidFill>
          </w14:textFill>
        </w:rPr>
      </w:pPr>
      <w:bookmarkStart w:id="5" w:name="_Toc98492086"/>
      <w:r>
        <w:rPr>
          <w:rFonts w:ascii="Times New Roman" w:hAnsi="Times New Roman" w:cs="Times New Roman"/>
          <w:b/>
          <w:bCs/>
          <w:color w:val="000000" w:themeColor="text1"/>
          <w:sz w:val="28"/>
          <w:szCs w:val="28"/>
          <w:shd w:val="clear" w:color="auto" w:fill="FFFFFF"/>
          <w14:textFill>
            <w14:solidFill>
              <w14:schemeClr w14:val="tx1"/>
            </w14:solidFill>
          </w14:textFill>
        </w:rPr>
        <w:t>2.3 Internal environment audit</w:t>
      </w:r>
      <w:bookmarkEnd w:id="5"/>
      <w:r>
        <w:rPr>
          <w:rFonts w:ascii="Times New Roman" w:hAnsi="Times New Roman" w:cs="Times New Roman"/>
          <w:b/>
          <w:bCs/>
          <w:color w:val="000000" w:themeColor="text1"/>
          <w:sz w:val="28"/>
          <w:szCs w:val="28"/>
          <w:shd w:val="clear" w:color="auto" w:fill="FFFFFF"/>
          <w14:textFill>
            <w14:solidFill>
              <w14:schemeClr w14:val="tx1"/>
            </w14:solidFill>
          </w14:textFill>
        </w:rPr>
        <w:t xml:space="preserve"> </w:t>
      </w:r>
    </w:p>
    <w:p>
      <w:pPr>
        <w:pStyle w:val="4"/>
        <w:spacing w:before="156" w:beforeLines="50" w:after="156" w:afterLines="50" w:line="360" w:lineRule="auto"/>
        <w:jc w:val="both"/>
        <w:rPr>
          <w:rFonts w:ascii="Times New Roman" w:hAnsi="Times New Roman" w:cs="Times New Roman"/>
          <w:b/>
          <w:bCs/>
          <w:color w:val="000000" w:themeColor="text1"/>
          <w:sz w:val="24"/>
          <w:szCs w:val="24"/>
          <w:shd w:val="clear" w:color="auto" w:fill="FFFFFF"/>
          <w14:textFill>
            <w14:solidFill>
              <w14:schemeClr w14:val="tx1"/>
            </w14:solidFill>
          </w14:textFill>
        </w:rPr>
      </w:pPr>
      <w:bookmarkStart w:id="6" w:name="_Toc98492087"/>
      <w:r>
        <w:rPr>
          <w:rFonts w:ascii="Times New Roman" w:hAnsi="Times New Roman" w:cs="Times New Roman"/>
          <w:b/>
          <w:bCs/>
          <w:color w:val="000000" w:themeColor="text1"/>
          <w:sz w:val="24"/>
          <w:szCs w:val="24"/>
          <w:shd w:val="clear" w:color="auto" w:fill="FFFFFF"/>
          <w14:textFill>
            <w14:solidFill>
              <w14:schemeClr w14:val="tx1"/>
            </w14:solidFill>
          </w14:textFill>
        </w:rPr>
        <w:t>2.3.1 Financial analysis of Marriott</w:t>
      </w:r>
      <w:bookmarkEnd w:id="6"/>
    </w:p>
    <w:p>
      <w:pPr>
        <w:spacing w:before="156" w:beforeLines="50" w:after="156" w:afterLines="50" w:line="360" w:lineRule="auto"/>
        <w:jc w:val="both"/>
        <w:rPr>
          <w:rFonts w:ascii="Arial" w:hAnsi="Arial" w:cs="Arial"/>
        </w:rPr>
      </w:pPr>
      <w:r>
        <w:rPr>
          <w:rFonts w:ascii="Arial" w:hAnsi="Arial" w:cs="Arial"/>
        </w:rPr>
        <w:drawing>
          <wp:inline distT="0" distB="0" distL="0" distR="0">
            <wp:extent cx="6188710" cy="4589145"/>
            <wp:effectExtent l="0" t="0" r="254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0">
                      <a:grayscl/>
                      <a:extLst>
                        <a:ext uri="{28A0092B-C50C-407E-A947-70E740481C1C}">
                          <a14:useLocalDpi xmlns:a14="http://schemas.microsoft.com/office/drawing/2010/main" val="0"/>
                        </a:ext>
                      </a:extLst>
                    </a:blip>
                    <a:srcRect b="6680"/>
                    <a:stretch>
                      <a:fillRect/>
                    </a:stretch>
                  </pic:blipFill>
                  <pic:spPr>
                    <a:xfrm>
                      <a:off x="0" y="0"/>
                      <a:ext cx="6188710" cy="4588933"/>
                    </a:xfrm>
                    <a:prstGeom prst="rect">
                      <a:avLst/>
                    </a:prstGeom>
                    <a:noFill/>
                    <a:ln>
                      <a:noFill/>
                    </a:ln>
                  </pic:spPr>
                </pic:pic>
              </a:graphicData>
            </a:graphic>
          </wp:inline>
        </w:drawing>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Figure 4. Key financial ratios of Marriott </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 xml:space="preserve">Source: </w:t>
      </w:r>
      <w:r>
        <w:rPr>
          <w:rStyle w:val="45"/>
          <w:rFonts w:ascii="Times New Roman" w:hAnsi="Times New Roman" w:cs="Times New Roman"/>
        </w:rPr>
        <w:fldChar w:fldCharType="begin" w:fldLock="1"/>
      </w:r>
      <w:r>
        <w:rPr>
          <w:rStyle w:val="45"/>
          <w:rFonts w:ascii="Times New Roman" w:hAnsi="Times New Roman" w:cs="Times New Roman"/>
        </w:rPr>
        <w:instrText xml:space="preserve">ADDIN CSL_CITATION {"citationItems":[{"id":"ITEM-1","itemData":{"URL":"https://www.macrotrends.net/stocks/charts/MAR/marriott/net-income","accessed":{"date-parts":[["2022","3","6"]]},"author":[{"dropping-particle":"","family":"MacroTrends","given":"","non-dropping-particle":"","parse-names":false,"suffix":""}],"id":"ITEM-1","issued":{"date-parts":[["2022"]]},"title":"Marriott Net Income 2010-2021 | MAR | MacroTrends","type":"webpage"},"uris":["http://www.mendeley.com/documents/?uuid=7efbbfa1-8ad0-3e06-9fc9-45b29dcd5265"]}],"mendeley":{"formattedCitation":"(MacroTrends, 2022)","plainTextFormattedCitation":"(MacroTrends, 2022)","previouslyFormattedCitation":"(MacroTrends, 2022)"},"properties":{"noteIndex":0},"schema":"https://github.com/citation-style-language/schema/raw/master/csl-citation.json"}</w:instrText>
      </w:r>
      <w:r>
        <w:rPr>
          <w:rStyle w:val="45"/>
          <w:rFonts w:ascii="Times New Roman" w:hAnsi="Times New Roman" w:cs="Times New Roman"/>
        </w:rPr>
        <w:fldChar w:fldCharType="separate"/>
      </w:r>
      <w:r>
        <w:rPr>
          <w:rStyle w:val="45"/>
          <w:rFonts w:ascii="Times New Roman" w:hAnsi="Times New Roman" w:cs="Times New Roman"/>
        </w:rPr>
        <w:t>(MacroTrends, 2022)</w:t>
      </w:r>
      <w:r>
        <w:rPr>
          <w:rStyle w:val="45"/>
          <w:rFonts w:ascii="Times New Roman" w:hAnsi="Times New Roman" w:cs="Times New Roman"/>
        </w:rPr>
        <w:fldChar w:fldCharType="end"/>
      </w:r>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Covid-19 has negatively impacted world travel since the beginning of 2020. Marriott’s revenue and return on equity have experienced negative growth first time in the past 10 years after 2012. 25% of its 7600 properties around the world under Marriott were closed in 2020, the ratio decreased to 6% in 2021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{"citationItems":[{"id":"ITEM-1","itemData":{"author":[{"dropping-particle":"","family":"Marriott","given":"","non-dropping-particle":"","parse-names":false,"suffix":""}],"id":"ITEM-1","issued":{"date-parts":[["2021"]]},"title":"Marriott International Annual Report 20202","type":"report"},"uris":["http://www.mendeley.com/documents/?uuid=40594913-e2f6-3815-b244-9c604cf1d8af"]}],"mendeley":{"formattedCitation":"(Marriott, 2021)","plainTextFormattedCitation":"(Marriott, 2021)","previouslyFormattedCitation":"(Marriott, 2021)"},"properties":{"noteIndex":0},"schema":"https://github.com/citation-style-language/schema/raw/master/csl-citation.json"}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(Marriott, 2021)</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Besides, covid-19 also resulted in significantly high cancellations by travelers and historically low new room additions. Although Marriott has taken substantial measures to mitigate all financial and operational difficulties brought by covid-19, such as reducing cash outlays, implementing a multi-pronged platform to remain clean, initiating above-property restructuring, etc. the negative impacts are still hard to be counteracted by these measures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{"citationItems":[{"id":"ITEM-1","itemData":{"author":[{"dropping-particle":"","family":"Marriott","given":"","non-dropping-particle":"","parse-names":false,"suffix":""}],"id":"ITEM-1","issued":{"date-parts":[["2021"]]},"title":"Marriott International Annual Report 20202","type":"report"},"uris":["http://www.mendeley.com/documents/?uuid=40594913-e2f6-3815-b244-9c604cf1d8af"]}],"mendeley":{"formattedCitation":"(Marriott, 2021)","plainTextFormattedCitation":"(Marriott, 2021)","previouslyFormattedCitation":"(Marriott, 2021)"},"properties":{"noteIndex":0},"schema":"https://github.com/citation-style-language/schema/raw/master/csl-citation.json"}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(Marriott, 2021)</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In the midst of this challenging time, Marriott should revise its current strategy to navigate the future volatilities and uncertainties in the hotel industry due to covid-19.</w:t>
      </w:r>
    </w:p>
    <w:p>
      <w:pPr>
        <w:pStyle w:val="4"/>
        <w:numPr>
          <w:ilvl w:val="2"/>
          <w:numId w:val="4"/>
        </w:numPr>
        <w:spacing w:before="156" w:beforeLines="50" w:after="156" w:afterLines="50" w:line="360" w:lineRule="auto"/>
        <w:jc w:val="both"/>
        <w:rPr>
          <w:rFonts w:ascii="Times New Roman" w:hAnsi="Times New Roman" w:cs="Times New Roman"/>
          <w:b/>
          <w:bCs/>
          <w:color w:val="000000" w:themeColor="text1"/>
          <w:sz w:val="24"/>
          <w:szCs w:val="24"/>
          <w:shd w:val="clear" w:color="auto" w:fill="FFFFFF"/>
          <w14:textFill>
            <w14:solidFill>
              <w14:schemeClr w14:val="tx1"/>
            </w14:solidFill>
          </w14:textFill>
        </w:rPr>
      </w:pPr>
      <w:bookmarkStart w:id="7" w:name="_Toc98492088"/>
      <w:r>
        <w:rPr>
          <w:rFonts w:ascii="Times New Roman" w:hAnsi="Times New Roman" w:cs="Times New Roman"/>
          <w:b/>
          <w:bCs/>
          <w:color w:val="000000" w:themeColor="text1"/>
          <w:sz w:val="24"/>
          <w:szCs w:val="24"/>
          <w:shd w:val="clear" w:color="auto" w:fill="FFFFFF"/>
          <w14:textFill>
            <w14:solidFill>
              <w14:schemeClr w14:val="tx1"/>
            </w14:solidFill>
          </w14:textFill>
        </w:rPr>
        <w:t>Resources and competencies of Marriott</w:t>
      </w:r>
      <w:bookmarkEnd w:id="7"/>
      <w:r>
        <w:rPr>
          <w:rFonts w:ascii="Times New Roman" w:hAnsi="Times New Roman" w:cs="Times New Roman"/>
          <w:b/>
          <w:bCs/>
          <w:color w:val="000000" w:themeColor="text1"/>
          <w:sz w:val="24"/>
          <w:szCs w:val="24"/>
          <w:shd w:val="clear" w:color="auto" w:fill="FFFFFF"/>
          <w14:textFill>
            <w14:solidFill>
              <w14:schemeClr w14:val="tx1"/>
            </w14:solidFill>
          </w14:textFill>
        </w:rPr>
        <w:t xml:space="preserve"> </w:t>
      </w:r>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VRIO stands for value, rarity, imitability, and organized to exploit, which is used here to evaluate the competitive resources and capabilities of Marriot. The framework has its origin in the resource-based view, holding the idea that resources and competencies owned by the company provide them a basis for strategic sustainable competitive advantage development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{"citationItems":[{"id":"ITEM-1","itemData":{"ISBN":"3319995995","author":[{"dropping-particle":"","family":"Ansoff","given":"H Igor","non-dropping-particle":"","parse-names":false,"suffix":""},{"dropping-particle":"","family":"Kipley","given":"Daniel","non-dropping-particle":"","parse-names":false,"suffix":""},{"dropping-particle":"","family":"Lewis","given":"A O","non-dropping-particle":"","parse-names":false,"suffix":""},{"dropping-particle":"","family":"Helm-Stevens","given":"Roxanne","non-dropping-particle":"","parse-names":false,"suffix":""},{"dropping-particle":"","family":"Ansoff","given":"Rick","non-dropping-particle":"","parse-names":false,"suffix":""}],"id":"ITEM-1","issued":{"date-parts":[["2018"]]},"publisher":"Springer","title":"Implanting strategic management","type":"book"},"uris":["http://www.mendeley.com/documents/?uuid=8b0a0f96-9741-4663-9d9d-39e962f0ff37"]}],"mendeley":{"formattedCitation":"(Ansoff &lt;i&gt;et al.&lt;/i&gt;, 2018)","plainTextFormattedCitation":"(Ansoff et al., 2018)","previouslyFormattedCitation":"(Ansoff &lt;i&gt;et al.&lt;/i&gt;, 2018)"},"properties":{"noteIndex":0},"schema":"https://github.com/citation-style-language/schema/raw/master/csl-citation.json"}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(Ansoff et al., 2018)</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The above audit on the macro and microenvironment has helped identify some external influential factors that have operational implications on Marriot, the internal audit on resources and competencies can help Marriot for the further strategic development in the context of covid-19. </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Table 3: VRIO analysis of Marriott</w:t>
      </w:r>
    </w:p>
    <w:p>
      <w:pPr>
        <w:spacing w:before="156" w:beforeLines="50" w:after="156" w:afterLines="50" w:line="360" w:lineRule="auto"/>
        <w:jc w:val="both"/>
        <w:rPr>
          <w:rStyle w:val="45"/>
          <w:rFonts w:ascii="Times New Roman" w:hAnsi="Times New Roman" w:cs="Times New Roman"/>
        </w:rPr>
      </w:pPr>
      <w:r>
        <w:rPr>
          <w:rStyle w:val="45"/>
          <w:rFonts w:ascii="Times New Roman" w:hAnsi="Times New Roman" w:cs="Times New Roman"/>
        </w:rPr>
        <w:t>Source: Own analysis</w:t>
      </w:r>
    </w:p>
    <w:tbl>
      <w:tblPr>
        <w:tblStyle w:val="58"/>
        <w:tblpPr w:leftFromText="180" w:rightFromText="180" w:vertAnchor="text" w:horzAnchor="margin" w:tblpY="490"/>
        <w:tblW w:w="0" w:type="auto"/>
        <w:tblInd w:w="0" w:type="dxa"/>
        <w:tblLayout w:type="fixed"/>
        <w:tblCellMar>
          <w:top w:w="0" w:type="dxa"/>
          <w:left w:w="108" w:type="dxa"/>
          <w:bottom w:w="0" w:type="dxa"/>
          <w:right w:w="108" w:type="dxa"/>
        </w:tblCellMar>
      </w:tblPr>
      <w:tblGrid>
        <w:gridCol w:w="1985"/>
        <w:gridCol w:w="1276"/>
        <w:gridCol w:w="1134"/>
        <w:gridCol w:w="1417"/>
        <w:gridCol w:w="1276"/>
        <w:gridCol w:w="2658"/>
      </w:tblGrid>
      <w:tr>
        <w:tc>
          <w:tcPr>
            <w:tcW w:w="1985" w:type="dxa"/>
          </w:tcPr>
          <w:p>
            <w:pPr>
              <w:spacing w:before="156" w:beforeLines="50" w:after="156" w:afterLines="50" w:line="360" w:lineRule="auto"/>
              <w:jc w:val="both"/>
              <w:rPr>
                <w:rFonts w:ascii="Times New Roman" w:hAnsi="Times New Roman" w:cs="Times New Roman"/>
                <w:b/>
                <w:bCs/>
                <w:color w:val="000000" w:themeColor="text1"/>
                <w:sz w:val="24"/>
                <w:szCs w:val="24"/>
                <w14:textFill>
                  <w14:solidFill>
                    <w14:schemeClr w14:val="tx1"/>
                  </w14:solidFill>
                </w14:textFill>
              </w:rPr>
            </w:pPr>
            <w:bookmarkStart w:id="8" w:name="_Hlk98276483"/>
            <w:r>
              <w:rPr>
                <w:rFonts w:ascii="Times New Roman" w:hAnsi="Times New Roman" w:cs="Times New Roman"/>
                <w:b w:val="0"/>
                <w:bCs w:val="0"/>
                <w:color w:val="000000" w:themeColor="text1"/>
                <w:sz w:val="24"/>
                <w:szCs w:val="24"/>
                <w14:textFill>
                  <w14:solidFill>
                    <w14:schemeClr w14:val="tx1"/>
                  </w14:solidFill>
                </w14:textFill>
              </w:rPr>
              <w:t>Resources/</w:t>
            </w:r>
          </w:p>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Competences</w:t>
            </w:r>
          </w:p>
        </w:tc>
        <w:tc>
          <w:tcPr>
            <w:tcW w:w="1276" w:type="dxa"/>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Valuable?</w:t>
            </w:r>
          </w:p>
        </w:tc>
        <w:tc>
          <w:tcPr>
            <w:tcW w:w="1134" w:type="dxa"/>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Rare?</w:t>
            </w:r>
          </w:p>
        </w:tc>
        <w:tc>
          <w:tcPr>
            <w:tcW w:w="1417" w:type="dxa"/>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Inimitable?</w:t>
            </w:r>
          </w:p>
        </w:tc>
        <w:tc>
          <w:tcPr>
            <w:tcW w:w="1276" w:type="dxa"/>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Exploited?</w:t>
            </w:r>
          </w:p>
        </w:tc>
        <w:tc>
          <w:tcPr>
            <w:tcW w:w="2658" w:type="dxa"/>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 xml:space="preserve">Competitive advantage </w:t>
            </w:r>
          </w:p>
        </w:tc>
      </w:tr>
      <w:tr>
        <w:tc>
          <w:tcPr>
            <w:tcW w:w="1985" w:type="dxa"/>
            <w:shd w:val="clear" w:color="auto" w:fill="F1F1F1" w:themeFill="background1" w:themeFillShade="F2"/>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 xml:space="preserve">Brand reputation </w:t>
            </w:r>
          </w:p>
        </w:tc>
        <w:tc>
          <w:tcPr>
            <w:tcW w:w="1276"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134"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417"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No</w:t>
            </w:r>
          </w:p>
        </w:tc>
        <w:tc>
          <w:tcPr>
            <w:tcW w:w="1276"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2658"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Temporary competitive advantage</w:t>
            </w:r>
          </w:p>
        </w:tc>
      </w:tr>
      <w:tr>
        <w:tc>
          <w:tcPr>
            <w:tcW w:w="1985" w:type="dxa"/>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Geographical presence</w:t>
            </w:r>
          </w:p>
        </w:tc>
        <w:tc>
          <w:tcPr>
            <w:tcW w:w="1276" w:type="dxa"/>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134" w:type="dxa"/>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No</w:t>
            </w:r>
          </w:p>
        </w:tc>
        <w:tc>
          <w:tcPr>
            <w:tcW w:w="1417" w:type="dxa"/>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No</w:t>
            </w:r>
          </w:p>
        </w:tc>
        <w:tc>
          <w:tcPr>
            <w:tcW w:w="1276" w:type="dxa"/>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2658" w:type="dxa"/>
          </w:tcPr>
          <w:p>
            <w:pPr>
              <w:spacing w:before="156" w:beforeLines="50" w:after="156" w:afterLines="50"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Competitive parity</w:t>
            </w:r>
          </w:p>
        </w:tc>
      </w:tr>
      <w:tr>
        <w:tc>
          <w:tcPr>
            <w:tcW w:w="1985" w:type="dxa"/>
            <w:shd w:val="clear" w:color="auto" w:fill="F1F1F1" w:themeFill="background1" w:themeFillShade="F2"/>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Well-diversified portfolio</w:t>
            </w:r>
          </w:p>
        </w:tc>
        <w:tc>
          <w:tcPr>
            <w:tcW w:w="1276"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134"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417"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276"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2658" w:type="dxa"/>
            <w:shd w:val="clear" w:color="auto" w:fill="F1F1F1" w:themeFill="background1" w:themeFillShade="F2"/>
          </w:tcPr>
          <w:p>
            <w:pPr>
              <w:spacing w:before="156" w:beforeLines="50" w:after="156" w:afterLines="50"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Competitive advantage</w:t>
            </w:r>
          </w:p>
        </w:tc>
      </w:tr>
      <w:tr>
        <w:tc>
          <w:tcPr>
            <w:tcW w:w="1985" w:type="dxa"/>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 xml:space="preserve">Experienced and capable employees  </w:t>
            </w:r>
          </w:p>
        </w:tc>
        <w:tc>
          <w:tcPr>
            <w:tcW w:w="1276" w:type="dxa"/>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134" w:type="dxa"/>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417" w:type="dxa"/>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No</w:t>
            </w:r>
          </w:p>
        </w:tc>
        <w:tc>
          <w:tcPr>
            <w:tcW w:w="1276" w:type="dxa"/>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2658" w:type="dxa"/>
          </w:tcPr>
          <w:p>
            <w:pPr>
              <w:spacing w:before="156" w:beforeLines="50" w:after="156" w:afterLines="50"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Temporary competitive advantage </w:t>
            </w:r>
          </w:p>
        </w:tc>
      </w:tr>
      <w:tr>
        <w:tc>
          <w:tcPr>
            <w:tcW w:w="1985" w:type="dxa"/>
            <w:shd w:val="clear" w:color="auto" w:fill="F1F1F1" w:themeFill="background1" w:themeFillShade="F2"/>
          </w:tcPr>
          <w:p>
            <w:pPr>
              <w:spacing w:before="156" w:beforeLines="50" w:after="156" w:afterLines="50" w:line="360" w:lineRule="auto"/>
              <w:jc w:val="both"/>
              <w:rPr>
                <w:rFonts w:ascii="Times New Roman" w:hAnsi="Times New Roman" w:cs="Times New Roman"/>
                <w:b w:val="0"/>
                <w:bCs w:val="0"/>
                <w:color w:val="000000" w:themeColor="text1"/>
                <w:sz w:val="24"/>
                <w:szCs w:val="24"/>
                <w14:textFill>
                  <w14:solidFill>
                    <w14:schemeClr w14:val="tx1"/>
                  </w14:solidFill>
                </w14:textFill>
              </w:rPr>
            </w:pPr>
            <w:r>
              <w:rPr>
                <w:rFonts w:ascii="Times New Roman" w:hAnsi="Times New Roman" w:cs="Times New Roman"/>
                <w:b w:val="0"/>
                <w:bCs w:val="0"/>
                <w:color w:val="000000" w:themeColor="text1"/>
                <w:sz w:val="24"/>
                <w:szCs w:val="24"/>
                <w14:textFill>
                  <w14:solidFill>
                    <w14:schemeClr w14:val="tx1"/>
                  </w14:solidFill>
                </w14:textFill>
              </w:rPr>
              <w:t xml:space="preserve">Innovative hospitality technology </w:t>
            </w:r>
          </w:p>
        </w:tc>
        <w:tc>
          <w:tcPr>
            <w:tcW w:w="1276"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134"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417"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1276" w:type="dxa"/>
            <w:shd w:val="clear" w:color="auto" w:fill="F1F1F1" w:themeFill="background1" w:themeFillShade="F2"/>
          </w:tcPr>
          <w:p>
            <w:pPr>
              <w:spacing w:before="156" w:beforeLines="50" w:after="156" w:afterLines="50" w:line="360" w:lineRule="auto"/>
              <w:ind w:firstLine="32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Yes</w:t>
            </w:r>
          </w:p>
        </w:tc>
        <w:tc>
          <w:tcPr>
            <w:tcW w:w="2658" w:type="dxa"/>
            <w:shd w:val="clear" w:color="auto" w:fill="F1F1F1" w:themeFill="background1" w:themeFillShade="F2"/>
          </w:tcPr>
          <w:p>
            <w:pPr>
              <w:spacing w:before="156" w:beforeLines="50" w:after="156" w:afterLines="50"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Competitive advantage </w:t>
            </w:r>
          </w:p>
        </w:tc>
      </w:tr>
      <w:bookmarkEnd w:id="8"/>
    </w:tbl>
    <w:p>
      <w:pPr>
        <w:spacing w:before="156" w:beforeLines="50" w:after="156" w:afterLines="50" w:line="360" w:lineRule="auto"/>
        <w:jc w:val="both"/>
        <w:rPr>
          <w:rStyle w:val="45"/>
          <w:rFonts w:ascii="Arial" w:hAnsi="Arial" w:cs="Arial"/>
        </w:rPr>
      </w:pPr>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The competitive advantage of Marriot drives by its well-diversified brand portfolio. Marriott has 21 distinct brands and businesses (Marriott, 2021). Different brands under Marriott have different market position targeting different market segments (The Economic Times, 2022)The network of brands allows Marriott to effectively leverage economies of scale and capitalize on profitable opportunities </w:t>
      </w:r>
      <w:r>
        <w:rPr>
          <w:rFonts w:ascii="Times New Roman" w:hAnsi="Times New Roman" w:eastAsia="宋体" w:cs="Times New Roman"/>
          <w:color w:val="1A1A1A"/>
          <w:sz w:val="24"/>
          <w:szCs w:val="24"/>
          <w:shd w:val="clear" w:color="auto" w:fill="FFFFFF"/>
        </w:rPr>
        <w:fldChar w:fldCharType="begin" w:fldLock="1"/>
      </w:r>
      <w:r>
        <w:rPr>
          <w:rFonts w:ascii="Times New Roman" w:hAnsi="Times New Roman" w:eastAsia="宋体" w:cs="Times New Roman"/>
          <w:color w:val="1A1A1A"/>
          <w:sz w:val="24"/>
          <w:szCs w:val="24"/>
          <w:shd w:val="clear" w:color="auto" w:fill="FFFFFF"/>
        </w:rPr>
        <w:instrText xml:space="preserve">ADDIN CSL_CITATION {"citationItems":[{"id":"ITEM-1","itemData":{"URL":"https://www.travelpulse.com/news/hotels-and-resorts/marriott-to-expand-its-reach-in-the-asia-pacific-region.html","accessed":{"date-parts":[["2022","3","7"]]},"author":[{"dropping-particle":"","family":"Travel Pulse","given":"","non-dropping-particle":"","parse-names":false,"suffix":""}],"id":"ITEM-1","issued":{"date-parts":[["2022"]]},"title":"Marriott To Expand Its Reach in the Asia Pacific Region ","type":"webpage"},"uris":["http://www.mendeley.com/documents/?uuid=13e99c1f-39e6-3d7d-9c36-e97c572d59dc"]}],"mendeley":{"formattedCitation":"(Travel Pulse, 2022)","plainTextFormattedCitation":"(Travel Pulse, 2022)","previouslyFormattedCitation":"(Travel Pulse, 2022)"},"properties":{"noteIndex":0},"schema":"https://github.com/citation-style-language/schema/raw/master/csl-citation.json"}</w:instrText>
      </w:r>
      <w:r>
        <w:rPr>
          <w:rFonts w:ascii="Times New Roman" w:hAnsi="Times New Roman" w:eastAsia="宋体" w:cs="Times New Roman"/>
          <w:color w:val="1A1A1A"/>
          <w:sz w:val="24"/>
          <w:szCs w:val="24"/>
          <w:shd w:val="clear" w:color="auto" w:fill="FFFFFF"/>
        </w:rPr>
        <w:fldChar w:fldCharType="separate"/>
      </w:r>
      <w:r>
        <w:rPr>
          <w:rFonts w:ascii="Times New Roman" w:hAnsi="Times New Roman" w:eastAsia="宋体" w:cs="Times New Roman"/>
          <w:color w:val="1A1A1A"/>
          <w:sz w:val="24"/>
          <w:szCs w:val="24"/>
          <w:shd w:val="clear" w:color="auto" w:fill="FFFFFF"/>
        </w:rPr>
        <w:t>(Travel Pulse, 2022)</w:t>
      </w:r>
      <w:r>
        <w:rPr>
          <w:rFonts w:ascii="Times New Roman" w:hAnsi="Times New Roman" w:eastAsia="宋体" w:cs="Times New Roman"/>
          <w:color w:val="1A1A1A"/>
          <w:sz w:val="24"/>
          <w:szCs w:val="24"/>
          <w:shd w:val="clear" w:color="auto" w:fill="FFFFFF"/>
        </w:rPr>
        <w:fldChar w:fldCharType="end"/>
      </w:r>
      <w:r>
        <w:rPr>
          <w:rFonts w:ascii="Times New Roman" w:hAnsi="Times New Roman" w:eastAsia="宋体" w:cs="Times New Roman"/>
          <w:color w:val="1A1A1A"/>
          <w:sz w:val="24"/>
          <w:szCs w:val="24"/>
          <w:shd w:val="clear" w:color="auto" w:fill="FFFFFF"/>
        </w:rPr>
        <w:t xml:space="preserve">. Another competitive advantage of Marriot lies in its innovative hospitality technology. Marriott mobile app provides more interaction-less experiences through mobile check-in, keyless open, and mobile requests at any time for anything (Marriott, 2021). Marriot has pioneered use internet of things to innovate guest experiences by driving connection and convenience (Digital Journal, 2022). Meanwhile, Marriott has attempted to unleash the power of big data analytics technology to understand guest patterns and preferences to personalize and optimize services (Middletown Press, 2022). However, the competitive advantages of Marriott have not actively been exploited during the covid-19 crisis. For instance, Marriott does not explore the new use of these technologies to prevent covid-19 infection and deliver virus-free accommodation services, which can be an opportunity to seize in the future. </w:t>
      </w:r>
    </w:p>
    <w:p>
      <w:pPr>
        <w:pStyle w:val="4"/>
        <w:numPr>
          <w:ilvl w:val="2"/>
          <w:numId w:val="4"/>
        </w:numPr>
        <w:spacing w:before="156" w:beforeLines="50" w:after="156" w:afterLines="50" w:line="360" w:lineRule="auto"/>
        <w:jc w:val="both"/>
        <w:rPr>
          <w:rFonts w:ascii="Times New Roman" w:hAnsi="Times New Roman" w:cs="Times New Roman"/>
          <w:b/>
          <w:bCs/>
          <w:color w:val="000000" w:themeColor="text1"/>
          <w:sz w:val="24"/>
          <w:szCs w:val="24"/>
          <w:shd w:val="clear" w:color="auto" w:fill="FFFFFF"/>
          <w14:textFill>
            <w14:solidFill>
              <w14:schemeClr w14:val="tx1"/>
            </w14:solidFill>
          </w14:textFill>
        </w:rPr>
      </w:pPr>
      <w:bookmarkStart w:id="9" w:name="_Toc98492089"/>
      <w:r>
        <w:rPr>
          <w:rFonts w:ascii="Times New Roman" w:hAnsi="Times New Roman" w:cs="Times New Roman"/>
          <w:b/>
          <w:bCs/>
          <w:color w:val="000000" w:themeColor="text1"/>
          <w:sz w:val="24"/>
          <w:szCs w:val="24"/>
          <w:shd w:val="clear" w:color="auto" w:fill="FFFFFF"/>
          <w14:textFill>
            <w14:solidFill>
              <w14:schemeClr w14:val="tx1"/>
            </w14:solidFill>
          </w14:textFill>
        </w:rPr>
        <w:t>Competitive situation of Marriott</w:t>
      </w:r>
      <w:bookmarkEnd w:id="9"/>
      <w:r>
        <w:rPr>
          <w:rFonts w:ascii="Times New Roman" w:hAnsi="Times New Roman" w:cs="Times New Roman"/>
          <w:b/>
          <w:bCs/>
          <w:color w:val="000000" w:themeColor="text1"/>
          <w:sz w:val="24"/>
          <w:szCs w:val="24"/>
          <w:shd w:val="clear" w:color="auto" w:fill="FFFFFF"/>
          <w14:textFill>
            <w14:solidFill>
              <w14:schemeClr w14:val="tx1"/>
            </w14:solidFill>
          </w14:textFill>
        </w:rPr>
        <w:t xml:space="preserve"> </w:t>
      </w:r>
    </w:p>
    <w:p>
      <w:pPr>
        <w:spacing w:before="156" w:beforeLines="50" w:after="156" w:afterLines="50" w:line="360" w:lineRule="auto"/>
        <w:jc w:val="both"/>
        <w:rPr>
          <w:rFonts w:ascii="Times New Roman" w:hAnsi="Times New Roman" w:eastAsia="宋体" w:cs="Times New Roman"/>
          <w:color w:val="1A1A1A"/>
          <w:sz w:val="24"/>
          <w:szCs w:val="24"/>
          <w:shd w:val="clear" w:color="auto" w:fill="FFFFFF"/>
        </w:rPr>
      </w:pPr>
      <w:r>
        <w:rPr>
          <w:rFonts w:ascii="Times New Roman" w:hAnsi="Times New Roman" w:eastAsia="宋体" w:cs="Times New Roman"/>
          <w:color w:val="1A1A1A"/>
          <w:sz w:val="24"/>
          <w:szCs w:val="24"/>
          <w:shd w:val="clear" w:color="auto" w:fill="FFFFFF"/>
        </w:rPr>
        <w:t xml:space="preserve">After the internal and external environmental audit of Marriot, SWOT, which stands for strengths, weaknesses, opportunities, and threats is used to identify and synthesize all factors that could impact the strategic development of Marriot. The part focus on the opportunities and threats presented in the internal and external environment where Marriott operates. </w:t>
      </w:r>
    </w:p>
    <w:p>
      <w:pPr>
        <w:numPr>
          <w:ilvl w:val="0"/>
          <w:numId w:val="3"/>
        </w:numPr>
        <w:spacing w:before="156" w:beforeLines="50" w:after="156" w:afterLines="50"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eastAsia="宋体" w:cs="Times New Roman"/>
          <w:color w:val="1A1A1A"/>
          <w:sz w:val="24"/>
          <w:szCs w:val="24"/>
          <w:shd w:val="clear" w:color="auto" w:fill="FFFFFF"/>
        </w:rPr>
        <w:t xml:space="preserve">In terms of opportunities, </w:t>
      </w:r>
      <w:r>
        <w:rPr>
          <w:rFonts w:ascii="Times New Roman" w:hAnsi="Times New Roman" w:cs="Times New Roman"/>
          <w:color w:val="000000" w:themeColor="text1"/>
          <w:sz w:val="24"/>
          <w:szCs w:val="24"/>
          <w14:textFill>
            <w14:solidFill>
              <w14:schemeClr w14:val="tx1"/>
            </w14:solidFill>
          </w14:textFill>
        </w:rPr>
        <w:t xml:space="preserve">Cutting edge technologies in the hotel industry have brought more methods for hotel incumbents to turn crisis into challenges. The deeper integration of the hotel service delivery and a wide spectrum of technologies unleash the new potential of how value can be created in the future </w:t>
      </w:r>
      <w:r>
        <w:rPr>
          <w:rFonts w:ascii="Times New Roman" w:hAnsi="Times New Roman" w:cs="Times New Roman"/>
          <w:color w:val="000000" w:themeColor="text1"/>
          <w:sz w:val="24"/>
          <w:szCs w:val="24"/>
          <w14:textFill>
            <w14:solidFill>
              <w14:schemeClr w14:val="tx1"/>
            </w14:solidFill>
          </w14:textFill>
        </w:rPr>
        <w:fldChar w:fldCharType="begin" w:fldLock="1"/>
      </w:r>
      <w:r>
        <w:rPr>
          <w:rFonts w:ascii="Times New Roman" w:hAnsi="Times New Roman" w:cs="Times New Roman"/>
          <w:color w:val="000000" w:themeColor="text1"/>
          <w:sz w:val="24"/>
          <w:szCs w:val="24"/>
          <w14:textFill>
            <w14:solidFill>
              <w14:schemeClr w14:val="tx1"/>
            </w14:solidFill>
          </w14:textFill>
        </w:rPr>
        <w:instrText xml:space="preserve">ADDIN CSL_CITATION {"citationItems":[{"id":"ITEM-1","itemData":{"ISSN":"0976-6340","author":[{"dropping-particle":"","family":"Goryushkina","given":"N E","non-dropping-particle":"","parse-names":false,"suffix":""},{"dropping-particle":"","family":"Vakhrushev","given":"I B","non-dropping-particle":"","parse-names":false,"suffix":""},{"dropping-particle":"","family":"Akhmetova","given":"M Kh","non-dropping-particle":"","parse-names":false,"suffix":""},{"dropping-particle":"V","family":"Otto","given":"O","non-dropping-particle":"","parse-names":false,"suffix":""},{"dropping-particle":"V","family":"Pesotskaya","given":"E","non-dropping-particle":"","parse-names":false,"suffix":""},{"dropping-particle":"","family":"Voinova","given":"N E","non-dropping-particle":"","parse-names":false,"suffix":""}],"container-title":"International Journal of Mechanical Engineering and Technology","id":"ITEM-1","issue":"13","issued":{"date-parts":[["2018"]]},"page":"618-627","publisher":"IAEME Publication","title":"The world hotel market: current state and development trends","type":"article-journal","volume":"9"},"uris":["http://www.mendeley.com/documents/?uuid=ec09a963-ba78-48cd-a5ea-ec4a4547d574"]}],"mendeley":{"formattedCitation":"(Goryushkina &lt;i&gt;et al.&lt;/i&gt;, 2018)","plainTextFormattedCitation":"(Goryushkina et al., 2018)","previouslyFormattedCitation":"(Goryushkina &lt;i&gt;et al.&lt;/i&gt;, 2018)"},"properties":{"noteIndex":0},"schema":"https://github.com/citation-style-language/schema/raw/master/csl-citation.json"}</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 xml:space="preserve">(Goryushkina </w:t>
      </w:r>
      <w:r>
        <w:rPr>
          <w:rFonts w:ascii="Times New Roman" w:hAnsi="Times New Roman" w:cs="Times New Roman"/>
          <w:i/>
          <w:color w:val="000000" w:themeColor="text1"/>
          <w:sz w:val="24"/>
          <w:szCs w:val="24"/>
          <w14:textFill>
            <w14:solidFill>
              <w14:schemeClr w14:val="tx1"/>
            </w14:solidFill>
          </w14:textFill>
        </w:rPr>
        <w:t>et al.</w:t>
      </w:r>
      <w:r>
        <w:rPr>
          <w:rFonts w:ascii="Times New Roman" w:hAnsi="Times New Roman" w:cs="Times New Roman"/>
          <w:color w:val="000000" w:themeColor="text1"/>
          <w:sz w:val="24"/>
          <w:szCs w:val="24"/>
          <w14:textFill>
            <w14:solidFill>
              <w14:schemeClr w14:val="tx1"/>
            </w14:solidFill>
          </w14:textFill>
        </w:rPr>
        <w:t>, 2018)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For instance, the internet of things enables hotels to build automation to improve cost efficiency and delivery contact-free services. The artificial intelligence-enabled robots can replace humans to reduce people’s intensity in the hotels and perform basic tasks, such as answering inquiries, amenities delivery, check-in, and out </w:t>
      </w:r>
      <w:r>
        <w:rPr>
          <w:rFonts w:ascii="Times New Roman" w:hAnsi="Times New Roman" w:cs="Times New Roman"/>
          <w:color w:val="000000" w:themeColor="text1"/>
          <w:sz w:val="24"/>
          <w:szCs w:val="24"/>
          <w14:textFill>
            <w14:solidFill>
              <w14:schemeClr w14:val="tx1"/>
            </w14:solidFill>
          </w14:textFill>
        </w:rPr>
        <w:fldChar w:fldCharType="begin" w:fldLock="1"/>
      </w:r>
      <w:r>
        <w:rPr>
          <w:rFonts w:ascii="Times New Roman" w:hAnsi="Times New Roman" w:cs="Times New Roman"/>
          <w:color w:val="000000" w:themeColor="text1"/>
          <w:sz w:val="24"/>
          <w:szCs w:val="24"/>
          <w14:textFill>
            <w14:solidFill>
              <w14:schemeClr w14:val="tx1"/>
            </w14:solidFill>
          </w14:textFill>
        </w:rPr>
        <w:instrText xml:space="preserve">ADDIN CSL_CITATION {"citationItems":[{"id":"ITEM-1","itemData":{"author":[{"dropping-particle":"","family":"Parmar","given":"Shubham","non-dropping-particle":"","parse-names":false,"suffix":""},{"dropping-particle":"","family":"Meshram","given":"Megha","non-dropping-particle":"","parse-names":false,"suffix":""},{"dropping-particle":"","family":"Parmar","given":"Parth","non-dropping-particle":"","parse-names":false,"suffix":""},{"dropping-particle":"","family":"Patel","given":"Meet","non-dropping-particle":"","parse-names":false,"suffix":""},{"dropping-particle":"","family":"Desai","given":"Payal","non-dropping-particle":"","parse-names":false,"suffix":""}],"container-title":"International Journal of Scientific Research in Computer Science, Engineering and Information Technology","id":"ITEM-1","issue":"2","issued":{"date-parts":[["2019"]]},"page":"823-829","title":"Smart hotel using intelligent chatbot: A review","type":"article-journal","volume":"5"},"uris":["http://www.mendeley.com/documents/?uuid=380e3f06-a7b3-4599-92e1-886f389d6330"]}],"mendeley":{"formattedCitation":"(Parmar &lt;i&gt;et al.&lt;/i&gt;, 2019)","plainTextFormattedCitation":"(Parmar et al., 2019)","previouslyFormattedCitation":"(Parmar &lt;i&gt;et al.&lt;/i&gt;, 2019)"},"properties":{"noteIndex":0},"schema":"https://github.com/citation-style-language/schema/raw/master/csl-citation.json"}</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 xml:space="preserve">(Parmar </w:t>
      </w:r>
      <w:r>
        <w:rPr>
          <w:rFonts w:ascii="Times New Roman" w:hAnsi="Times New Roman" w:cs="Times New Roman"/>
          <w:i/>
          <w:color w:val="000000" w:themeColor="text1"/>
          <w:sz w:val="24"/>
          <w:szCs w:val="24"/>
          <w14:textFill>
            <w14:solidFill>
              <w14:schemeClr w14:val="tx1"/>
            </w14:solidFill>
          </w14:textFill>
        </w:rPr>
        <w:t>et al.</w:t>
      </w:r>
      <w:r>
        <w:rPr>
          <w:rFonts w:ascii="Times New Roman" w:hAnsi="Times New Roman" w:cs="Times New Roman"/>
          <w:color w:val="000000" w:themeColor="text1"/>
          <w:sz w:val="24"/>
          <w:szCs w:val="24"/>
          <w14:textFill>
            <w14:solidFill>
              <w14:schemeClr w14:val="tx1"/>
            </w14:solidFill>
          </w14:textFill>
        </w:rPr>
        <w:t>, 2019)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While Marriott has already a pioneer in technology integration into hotel service delivery, it should be more innovative in actively using a wide spectrum of technologies to address the pain points of traveling during covid-19. </w:t>
      </w:r>
    </w:p>
    <w:p>
      <w:pPr>
        <w:numPr>
          <w:ilvl w:val="0"/>
          <w:numId w:val="3"/>
        </w:numPr>
        <w:spacing w:before="156" w:beforeLines="50" w:after="156" w:afterLines="50"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eastAsia="宋体" w:cs="Times New Roman"/>
          <w:color w:val="1A1A1A"/>
          <w:sz w:val="24"/>
          <w:szCs w:val="24"/>
          <w:shd w:val="clear" w:color="auto" w:fill="FFFFFF"/>
        </w:rPr>
        <w:t xml:space="preserve">In terms of threats, </w:t>
      </w:r>
      <w:r>
        <w:rPr>
          <w:rFonts w:ascii="Times New Roman" w:hAnsi="Times New Roman" w:cs="Times New Roman"/>
          <w:color w:val="000000" w:themeColor="text1"/>
          <w:sz w:val="24"/>
          <w:szCs w:val="24"/>
          <w14:textFill>
            <w14:solidFill>
              <w14:schemeClr w14:val="tx1"/>
            </w14:solidFill>
          </w14:textFill>
        </w:rPr>
        <w:t xml:space="preserve">Covid-19 will continue to impact the hotel industry negatively as it directly results in declined tourists’ arrivals in the major markets Marriott operates to an extent that nobody can predict </w:t>
      </w:r>
      <w:r>
        <w:rPr>
          <w:rFonts w:ascii="Times New Roman" w:hAnsi="Times New Roman" w:cs="Times New Roman"/>
          <w:color w:val="000000" w:themeColor="text1"/>
          <w:sz w:val="24"/>
          <w:szCs w:val="24"/>
          <w14:textFill>
            <w14:solidFill>
              <w14:schemeClr w14:val="tx1"/>
            </w14:solidFill>
          </w14:textFill>
        </w:rPr>
        <w:fldChar w:fldCharType="begin" w:fldLock="1"/>
      </w:r>
      <w:r>
        <w:rPr>
          <w:rFonts w:ascii="Times New Roman" w:hAnsi="Times New Roman" w:cs="Times New Roman"/>
          <w:color w:val="000000" w:themeColor="text1"/>
          <w:sz w:val="24"/>
          <w:szCs w:val="24"/>
          <w14:textFill>
            <w14:solidFill>
              <w14:schemeClr w14:val="tx1"/>
            </w14:solidFill>
          </w14:textFill>
        </w:rPr>
        <w:instrText xml:space="preserve">ADDIN CSL_CITATION {"citationItems":[{"id":"ITEM-1","itemData":{"URL":"https://www.mckinsey.com/industries/travel-logistics-and-infrastructure/our-insights/hospitality-and-covid-19-how-long-until-no-vacancy-for-us-hotels","accessed":{"date-parts":[["2022","3","7"]]},"author":[{"dropping-particle":"","family":"McKinsey","given":"","non-dropping-particle":"","parse-names":false,"suffix":""}],"id":"ITEM-1","issued":{"date-parts":[["2020"]]},"title":"COVID-19's effect on the hotel industry |","type":"webpage"},"uris":["http://www.mendeley.com/documents/?uuid=c68b2f60-a22a-3fee-a21b-bc5c04333ff9"]}],"mendeley":{"formattedCitation":"(McKinsey, 2020)","plainTextFormattedCitation":"(McKinsey, 2020)","previouslyFormattedCitation":"(McKinsey, 2020)"},"properties":{"noteIndex":0},"schema":"https://github.com/citation-style-language/schema/raw/master/csl-citation.json"}</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(McKinsey, 2020)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The covid-19 will directly impact the revenue generated from the managed and franchised hotels, but also influence the financing and solvency issues for operation.Covid-19 also leads to the additional expenditure in maintenance, which has not been fully reimbursed by revenues. The uncertain and unpredictable situation of the covid-19 in the future and other possible crises highlights the importance of hotel layers to actively navigate the crisis to capture value, rather than just passively comply with regulations. At the same time, the hotel industry has been highly competitive, Marriot has to compete with leading brands (such as Hilton, Jin Jiang, Radisson, etc.) and regional hotel chains, and independent local hotels, sharing and rental accommodations. The current situation, where demands have been much lower than supplies due to covid-19, significantly intensified the competition. </w:t>
      </w:r>
    </w:p>
    <w:p>
      <w:pPr>
        <w:spacing w:before="156" w:beforeLines="50" w:after="156" w:afterLines="50"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The SWOT analysis thereby identifies the covid-19 as both threats and opportunities for Marriott. On the one hand, the uncertainties of covid-19 will bring more operational pressure for Marriott; on the other hand, the active and practice responses of Marriott, through measures such as creative marketing, technology utilization can also help Marriott to generate revenues and navigate the covid-19 challenges</w:t>
      </w:r>
    </w:p>
    <w:p>
      <w:pPr>
        <w:spacing w:before="156" w:beforeLines="50" w:after="156" w:afterLines="50"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br w:type="page"/>
      </w:r>
    </w:p>
    <w:p>
      <w:pPr>
        <w:pStyle w:val="2"/>
        <w:numPr>
          <w:ilvl w:val="0"/>
          <w:numId w:val="5"/>
        </w:numPr>
        <w:spacing w:before="156" w:beforeLines="50" w:after="156" w:afterLines="50" w:line="360" w:lineRule="auto"/>
        <w:jc w:val="both"/>
        <w:rPr>
          <w:rFonts w:ascii="Times New Roman" w:hAnsi="Times New Roman" w:cs="Times New Roman"/>
          <w:b/>
          <w:bCs/>
          <w:sz w:val="30"/>
          <w:szCs w:val="30"/>
        </w:rPr>
      </w:pPr>
      <w:bookmarkStart w:id="10" w:name="_Toc98492090"/>
      <w:r>
        <w:rPr>
          <w:rFonts w:ascii="Times New Roman" w:hAnsi="Times New Roman" w:cs="Times New Roman"/>
          <w:b/>
          <w:bCs/>
          <w:sz w:val="30"/>
          <w:szCs w:val="30"/>
        </w:rPr>
        <w:t xml:space="preserve"> Recommendations</w:t>
      </w:r>
      <w:bookmarkEnd w:id="10"/>
    </w:p>
    <w:p>
      <w:pPr>
        <w:spacing w:before="156" w:beforeLines="50" w:after="156" w:afterLines="50" w:line="360" w:lineRule="auto"/>
        <w:jc w:val="both"/>
        <w:rPr>
          <w:rFonts w:ascii="Times New Roman" w:hAnsi="Times New Roman" w:cs="Times New Roman"/>
          <w:sz w:val="24"/>
          <w:szCs w:val="24"/>
        </w:rPr>
      </w:pPr>
      <w:r>
        <w:rPr>
          <w:rFonts w:ascii="Times New Roman" w:hAnsi="Times New Roman" w:cs="Times New Roman"/>
          <w:sz w:val="24"/>
          <w:szCs w:val="24"/>
        </w:rPr>
        <w:t>Based on the above audit on the internal environment and external environment facing the organization, some recommendations are provided as follows:</w:t>
      </w:r>
    </w:p>
    <w:p>
      <w:pPr>
        <w:pStyle w:val="26"/>
        <w:numPr>
          <w:ilvl w:val="0"/>
          <w:numId w:val="3"/>
        </w:numPr>
        <w:spacing w:before="156" w:beforeLines="50" w:after="156" w:afterLines="50" w:line="360" w:lineRule="auto"/>
        <w:ind w:firstLineChars="0"/>
        <w:jc w:val="both"/>
        <w:rPr>
          <w:rFonts w:ascii="Times New Roman" w:hAnsi="Times New Roman" w:cs="Times New Roman"/>
          <w:sz w:val="24"/>
          <w:szCs w:val="24"/>
        </w:rPr>
      </w:pPr>
      <w:r>
        <w:rPr>
          <w:rFonts w:ascii="Times New Roman" w:hAnsi="Times New Roman" w:cs="Times New Roman"/>
          <w:sz w:val="24"/>
          <w:szCs w:val="24"/>
        </w:rPr>
        <w:t>Given a wide range of portfolio brands under Marriott as its sustainable competitive advantage, Marriott needs to implement more effective and frequent communications mechanisms, either through seminars, emails, meetings, or phone calls, or even setting up a new covid-19 advisory group, to provide its owners and franchisee with updated real-time information regarding the covid-19 situation, and regarding steps should be taken to support operations (such as hotel cleanliness procedures, etc.)</w:t>
      </w:r>
    </w:p>
    <w:p>
      <w:pPr>
        <w:pStyle w:val="26"/>
        <w:numPr>
          <w:ilvl w:val="0"/>
          <w:numId w:val="3"/>
        </w:numPr>
        <w:spacing w:before="156" w:beforeLines="50" w:after="156" w:afterLines="50" w:line="360" w:lineRule="auto"/>
        <w:ind w:firstLineChars="0"/>
        <w:jc w:val="both"/>
        <w:rPr>
          <w:rFonts w:ascii="Times New Roman" w:hAnsi="Times New Roman" w:cs="Times New Roman"/>
          <w:sz w:val="24"/>
          <w:szCs w:val="24"/>
        </w:rPr>
      </w:pPr>
      <w:r>
        <w:rPr>
          <w:rFonts w:ascii="Times New Roman" w:hAnsi="Times New Roman" w:cs="Times New Roman"/>
          <w:sz w:val="24"/>
          <w:szCs w:val="24"/>
        </w:rPr>
        <w:t xml:space="preserve">The marketing teams of Marriott should also focus on stimulating demands from the guest side by creative offerings during the covid-19, enabled by a hygiene hotel environment. Given people’s lust for wonder has been accelerated as they have been quarantined themselves for so long, Marriott can offer some leisure or business travel packages with minimized interaction or supervised interaction to avoid the spread of covid-19 within Marriott. Local social media tools, such as WeChat in China, Facebook in the US, Kakao in South Korea, should be utilized to initiate marketing communications with the local guests and travelers. Also, highly personalized accommodation services, such as preferred type of room, the plan of travel route, etc. can be developed based on big data analytics of customer previous consumption patterns to promote demands, especially Marriott has a widely diversified portfolio of brands with different offerings and its integration of technological advancements as its competitive advantage. </w:t>
      </w:r>
    </w:p>
    <w:p>
      <w:pPr>
        <w:pStyle w:val="26"/>
        <w:numPr>
          <w:ilvl w:val="0"/>
          <w:numId w:val="3"/>
        </w:numPr>
        <w:spacing w:before="156" w:beforeLines="50" w:after="156" w:afterLines="50" w:line="360" w:lineRule="auto"/>
        <w:ind w:firstLineChars="0"/>
        <w:jc w:val="both"/>
        <w:rPr>
          <w:rFonts w:ascii="Times New Roman" w:hAnsi="Times New Roman" w:cs="Times New Roman"/>
          <w:sz w:val="24"/>
          <w:szCs w:val="24"/>
        </w:rPr>
      </w:pPr>
      <w:r>
        <w:rPr>
          <w:rFonts w:ascii="Times New Roman" w:hAnsi="Times New Roman" w:cs="Times New Roman"/>
          <w:sz w:val="24"/>
          <w:szCs w:val="24"/>
        </w:rPr>
        <w:t xml:space="preserve">Cleanness and safety would be important to guests, new technologies can be introduced to promote guest experiences. For instance, the mobile application of Marriot can be added with more functions to facilitate with contact-less check-in, check-out, room services, entertainment, and other services. Also, some cleaning technologies can be enhanced, such as electrostatic sprayers with hospital-grade disinfectant for sanitization, or the internet of things to enhance touch-less control of equipment, etc. </w:t>
      </w:r>
    </w:p>
    <w:p>
      <w:pPr>
        <w:pStyle w:val="26"/>
        <w:numPr>
          <w:ilvl w:val="0"/>
          <w:numId w:val="3"/>
        </w:numPr>
        <w:spacing w:before="156" w:beforeLines="50" w:after="156" w:afterLines="50" w:line="360" w:lineRule="auto"/>
        <w:ind w:firstLineChars="0"/>
        <w:jc w:val="both"/>
        <w:rPr>
          <w:rFonts w:ascii="Times New Roman" w:hAnsi="Times New Roman" w:cs="Times New Roman"/>
          <w:sz w:val="24"/>
          <w:szCs w:val="24"/>
        </w:rPr>
      </w:pPr>
      <w:r>
        <w:rPr>
          <w:rFonts w:ascii="Times New Roman" w:hAnsi="Times New Roman" w:cs="Times New Roman"/>
          <w:sz w:val="24"/>
          <w:szCs w:val="24"/>
        </w:rPr>
        <w:t>All employees need to receive the covid-19 awareness training, such as hygiene portal housekeeping. Also, they need to be more prepared for all kinds of situations brought by covid-19 to help guests at anything for problems</w:t>
      </w:r>
    </w:p>
    <w:p>
      <w:pPr>
        <w:pStyle w:val="26"/>
        <w:numPr>
          <w:ilvl w:val="0"/>
          <w:numId w:val="3"/>
        </w:numPr>
        <w:spacing w:before="156" w:beforeLines="50" w:after="156" w:afterLines="50" w:line="360" w:lineRule="auto"/>
        <w:ind w:firstLineChars="0"/>
        <w:jc w:val="both"/>
        <w:rPr>
          <w:rFonts w:ascii="Times New Roman" w:hAnsi="Times New Roman" w:cs="Times New Roman"/>
          <w:sz w:val="24"/>
          <w:szCs w:val="24"/>
        </w:rPr>
      </w:pPr>
      <w:r>
        <w:rPr>
          <w:rFonts w:ascii="Times New Roman" w:hAnsi="Times New Roman" w:cs="Times New Roman"/>
          <w:sz w:val="24"/>
          <w:szCs w:val="24"/>
        </w:rPr>
        <w:t xml:space="preserve">The corporate and regional team of Marriot should be on standby 24/7 to support the hotels with updated covid-19 travel information acquired from local and regional authorities. This relevant information should be communicated to employees through emails, mobile notifications, etc. so that they can better plan their trips. </w:t>
      </w:r>
    </w:p>
    <w:p>
      <w:pPr>
        <w:spacing w:before="156" w:beforeLines="50" w:after="156" w:afterLines="50" w:line="360" w:lineRule="auto"/>
        <w:jc w:val="both"/>
        <w:rPr>
          <w:rFonts w:ascii="Arial" w:hAnsi="Arial" w:cs="Arial"/>
          <w:sz w:val="22"/>
          <w:szCs w:val="22"/>
        </w:rPr>
      </w:pPr>
      <w:r>
        <w:rPr>
          <w:rFonts w:ascii="Arial" w:hAnsi="Arial" w:cs="Arial"/>
          <w:sz w:val="22"/>
          <w:szCs w:val="22"/>
        </w:rPr>
        <w:br w:type="page"/>
      </w:r>
    </w:p>
    <w:p>
      <w:pPr>
        <w:pStyle w:val="2"/>
        <w:numPr>
          <w:ilvl w:val="0"/>
          <w:numId w:val="5"/>
        </w:numPr>
        <w:spacing w:before="156" w:beforeLines="50" w:after="156" w:afterLines="50" w:line="360" w:lineRule="auto"/>
        <w:jc w:val="both"/>
        <w:rPr>
          <w:rFonts w:ascii="Times New Roman" w:hAnsi="Times New Roman" w:cs="Times New Roman"/>
          <w:b/>
          <w:bCs/>
          <w:sz w:val="30"/>
          <w:szCs w:val="30"/>
        </w:rPr>
      </w:pPr>
      <w:bookmarkStart w:id="11" w:name="_Toc98492091"/>
      <w:r>
        <w:rPr>
          <w:rFonts w:ascii="Times New Roman" w:hAnsi="Times New Roman" w:cs="Times New Roman"/>
          <w:b/>
          <w:bCs/>
          <w:sz w:val="30"/>
          <w:szCs w:val="30"/>
        </w:rPr>
        <w:t xml:space="preserve"> Conclusion</w:t>
      </w:r>
      <w:bookmarkEnd w:id="11"/>
      <w:r>
        <w:rPr>
          <w:rFonts w:ascii="Times New Roman" w:hAnsi="Times New Roman" w:cs="Times New Roman"/>
          <w:b/>
          <w:bCs/>
          <w:sz w:val="30"/>
          <w:szCs w:val="30"/>
        </w:rPr>
        <w:t xml:space="preserve"> </w:t>
      </w:r>
    </w:p>
    <w:p>
      <w:pPr>
        <w:spacing w:before="156" w:beforeLines="50" w:after="156" w:after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 report shed light on the strategic management issue of Marriott hotel under the covid-19 context. The covid-19 has hit severely on the people-intensive hotel industry through governmental responses such as travel restrictions and social distancing. At the crossroad of unprecedented changes, some adjustment on strategies is required to better navigate the ongoing covid-19. The audit of Marriott’s external environment indicates macro-level factors such as stringent covid-19 regulations, the economic recession, the sharing economy, the data legal regulation will continue to negatively impact Marriot, but emerging opportunities can be found in the hotel-related technologies, hotel sustainability, etc. The micro-level industrial indicates the low attractiveness of the industry as it is a typical buyer market with shrank demand under covid-19. The internal analysis indicates the strength of Marriot in its brand portfolios (as its sustainable competitive advantage), geographical positions, and well-trained employees, but threats in its unsatisfactory financial performance and highly standardized services. Based on the environment audit, recommendations including marketing communication across brands, employee covid-19 awareness training, contact-less technology introduction, etc. </w:t>
      </w:r>
    </w:p>
    <w:p>
      <w:pPr>
        <w:spacing w:before="156" w:beforeLines="50" w:after="156" w:afterLines="50" w:line="360" w:lineRule="auto"/>
        <w:jc w:val="both"/>
        <w:rPr>
          <w:rFonts w:ascii="Arial" w:hAnsi="Arial" w:cs="Arial"/>
          <w:sz w:val="22"/>
          <w:szCs w:val="22"/>
        </w:rPr>
      </w:pPr>
      <w:r>
        <w:rPr>
          <w:rFonts w:ascii="Arial" w:hAnsi="Arial" w:cs="Arial"/>
          <w:sz w:val="22"/>
          <w:szCs w:val="22"/>
        </w:rPr>
        <w:br w:type="page"/>
      </w:r>
    </w:p>
    <w:p>
      <w:pPr>
        <w:pStyle w:val="2"/>
        <w:spacing w:before="156" w:beforeLines="50" w:after="156" w:afterLines="50" w:line="360" w:lineRule="auto"/>
        <w:jc w:val="both"/>
        <w:rPr>
          <w:rFonts w:ascii="Times New Roman" w:hAnsi="Times New Roman" w:cs="Times New Roman"/>
          <w:b/>
          <w:bCs/>
          <w:sz w:val="30"/>
          <w:szCs w:val="30"/>
        </w:rPr>
      </w:pPr>
      <w:bookmarkStart w:id="12" w:name="_Toc98492092"/>
      <w:r>
        <w:rPr>
          <w:rFonts w:ascii="Times New Roman" w:hAnsi="Times New Roman" w:cs="Times New Roman"/>
          <w:b/>
          <w:bCs/>
          <w:sz w:val="30"/>
          <w:szCs w:val="30"/>
        </w:rPr>
        <w:t>References</w:t>
      </w:r>
      <w:bookmarkEnd w:id="12"/>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fldChar w:fldCharType="begin" w:fldLock="1"/>
      </w:r>
      <w:r>
        <w:rPr>
          <w:rFonts w:ascii="Arial" w:hAnsi="Arial" w:cs="Arial"/>
          <w:sz w:val="22"/>
          <w:szCs w:val="22"/>
        </w:rPr>
        <w:instrText xml:space="preserve">ADDIN Mendeley Bibliography CSL_BIBLIOGRAPHY </w:instrText>
      </w:r>
      <w:r>
        <w:rPr>
          <w:rFonts w:ascii="Arial" w:hAnsi="Arial" w:cs="Arial"/>
          <w:sz w:val="22"/>
          <w:szCs w:val="22"/>
        </w:rPr>
        <w:fldChar w:fldCharType="separate"/>
      </w:r>
      <w:r>
        <w:rPr>
          <w:rFonts w:ascii="Arial" w:hAnsi="Arial" w:cs="Arial"/>
          <w:sz w:val="22"/>
          <w:szCs w:val="22"/>
        </w:rPr>
        <w:t xml:space="preserve">Anguera-Torrell, O., Aznar-Alarcón, J. P. and Vives-Perez, J. (2021) ‘COVID-19: Hotel industry response to the pandemic evolution and the public sector economic measures’, </w:t>
      </w:r>
      <w:r>
        <w:rPr>
          <w:rFonts w:ascii="Arial" w:hAnsi="Arial" w:cs="Arial"/>
          <w:i/>
          <w:iCs/>
          <w:sz w:val="22"/>
          <w:szCs w:val="22"/>
        </w:rPr>
        <w:t>Tourism Recreation Research</w:t>
      </w:r>
      <w:r>
        <w:rPr>
          <w:rFonts w:ascii="Arial" w:hAnsi="Arial" w:cs="Arial"/>
          <w:sz w:val="22"/>
          <w:szCs w:val="22"/>
        </w:rPr>
        <w:t>, 46(2), pp. 148–157.</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Ansoff, H. I. </w:t>
      </w:r>
      <w:r>
        <w:rPr>
          <w:rFonts w:ascii="Arial" w:hAnsi="Arial" w:cs="Arial"/>
          <w:i/>
          <w:iCs/>
          <w:sz w:val="22"/>
          <w:szCs w:val="22"/>
        </w:rPr>
        <w:t>et al.</w:t>
      </w:r>
      <w:r>
        <w:rPr>
          <w:rFonts w:ascii="Arial" w:hAnsi="Arial" w:cs="Arial"/>
          <w:sz w:val="22"/>
          <w:szCs w:val="22"/>
        </w:rPr>
        <w:t xml:space="preserve"> (2018) </w:t>
      </w:r>
      <w:r>
        <w:rPr>
          <w:rFonts w:ascii="Arial" w:hAnsi="Arial" w:cs="Arial"/>
          <w:i/>
          <w:iCs/>
          <w:sz w:val="22"/>
          <w:szCs w:val="22"/>
        </w:rPr>
        <w:t>Implanting strategic management</w:t>
      </w:r>
      <w:r>
        <w:rPr>
          <w:rFonts w:ascii="Arial" w:hAnsi="Arial" w:cs="Arial"/>
          <w:sz w:val="22"/>
          <w:szCs w:val="22"/>
        </w:rPr>
        <w:t>. Springer.</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Burns, J. </w:t>
      </w:r>
      <w:r>
        <w:rPr>
          <w:rFonts w:ascii="Arial" w:hAnsi="Arial" w:cs="Arial"/>
          <w:i/>
          <w:iCs/>
          <w:sz w:val="22"/>
          <w:szCs w:val="22"/>
        </w:rPr>
        <w:t>et al.</w:t>
      </w:r>
      <w:r>
        <w:rPr>
          <w:rFonts w:ascii="Arial" w:hAnsi="Arial" w:cs="Arial"/>
          <w:sz w:val="22"/>
          <w:szCs w:val="22"/>
        </w:rPr>
        <w:t xml:space="preserve"> (2021) ‘International travel-related control measures to contain the COVID-19 pandemic: a rapid review’, </w:t>
      </w:r>
      <w:r>
        <w:rPr>
          <w:rFonts w:ascii="Arial" w:hAnsi="Arial" w:cs="Arial"/>
          <w:i/>
          <w:iCs/>
          <w:sz w:val="22"/>
          <w:szCs w:val="22"/>
        </w:rPr>
        <w:t>Cochrane Database of Systematic Reviews</w:t>
      </w:r>
      <w:r>
        <w:rPr>
          <w:rFonts w:ascii="Arial" w:hAnsi="Arial" w:cs="Arial"/>
          <w:sz w:val="22"/>
          <w:szCs w:val="22"/>
        </w:rPr>
        <w:t>, 2021(3). doi: 10.1002/14651858.CD013717.pub2.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Chan, N. L. and Guillet, B. D. (2011) ‘Investigation of social media marketing: how does the hotel industry in Hong Kong perform in marketing on social media websites?’, </w:t>
      </w:r>
      <w:r>
        <w:rPr>
          <w:rFonts w:ascii="Arial" w:hAnsi="Arial" w:cs="Arial"/>
          <w:i/>
          <w:iCs/>
          <w:sz w:val="22"/>
          <w:szCs w:val="22"/>
        </w:rPr>
        <w:t>Journal of Travel &amp; Tourism Marketing</w:t>
      </w:r>
      <w:r>
        <w:rPr>
          <w:rFonts w:ascii="Arial" w:hAnsi="Arial" w:cs="Arial"/>
          <w:sz w:val="22"/>
          <w:szCs w:val="22"/>
        </w:rPr>
        <w:t>, 28(4), pp. 345–368.</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Deepak, R. K. A. and Jeyakumar, S. (2019) </w:t>
      </w:r>
      <w:r>
        <w:rPr>
          <w:rFonts w:ascii="Arial" w:hAnsi="Arial" w:cs="Arial"/>
          <w:i/>
          <w:iCs/>
          <w:sz w:val="22"/>
          <w:szCs w:val="22"/>
        </w:rPr>
        <w:t>Marketing management</w:t>
      </w:r>
      <w:r>
        <w:rPr>
          <w:rFonts w:ascii="Arial" w:hAnsi="Arial" w:cs="Arial"/>
          <w:sz w:val="22"/>
          <w:szCs w:val="22"/>
        </w:rPr>
        <w:t>. Educreation Publishing.</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Digital Journal (2022) </w:t>
      </w:r>
      <w:r>
        <w:rPr>
          <w:rFonts w:ascii="Arial" w:hAnsi="Arial" w:cs="Arial"/>
          <w:i/>
          <w:iCs/>
          <w:sz w:val="22"/>
          <w:szCs w:val="22"/>
        </w:rPr>
        <w:t>Chain Hotel Market Is Going to Boom : Marriott International, Hyatt Hotels, Radisson Hotel Group - Digital Journal</w:t>
      </w:r>
      <w:r>
        <w:rPr>
          <w:rFonts w:ascii="Arial" w:hAnsi="Arial" w:cs="Arial"/>
          <w:sz w:val="22"/>
          <w:szCs w:val="22"/>
        </w:rPr>
        <w:t>. Available at: https://www.digitaljournal.com/pr/chain-hotel-market-is-going-to-boom-marriott-international-hyatt-hotels-radisson-hotel-group (Accessed: 7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EHL Insights (2021) </w:t>
      </w:r>
      <w:r>
        <w:rPr>
          <w:rFonts w:ascii="Arial" w:hAnsi="Arial" w:cs="Arial"/>
          <w:i/>
          <w:iCs/>
          <w:sz w:val="22"/>
          <w:szCs w:val="22"/>
        </w:rPr>
        <w:t>How technology is improving COVID-affected customer experience</w:t>
      </w:r>
      <w:r>
        <w:rPr>
          <w:rFonts w:ascii="Arial" w:hAnsi="Arial" w:cs="Arial"/>
          <w:sz w:val="22"/>
          <w:szCs w:val="22"/>
        </w:rPr>
        <w:t>. Available at: https://hospitalityinsights.ehl.edu/covid-affected-customer-experience (Accessed: 15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Goryushkina, N. E. </w:t>
      </w:r>
      <w:r>
        <w:rPr>
          <w:rFonts w:ascii="Arial" w:hAnsi="Arial" w:cs="Arial"/>
          <w:i/>
          <w:iCs/>
          <w:sz w:val="22"/>
          <w:szCs w:val="22"/>
        </w:rPr>
        <w:t>et al.</w:t>
      </w:r>
      <w:r>
        <w:rPr>
          <w:rFonts w:ascii="Arial" w:hAnsi="Arial" w:cs="Arial"/>
          <w:sz w:val="22"/>
          <w:szCs w:val="22"/>
        </w:rPr>
        <w:t xml:space="preserve"> (2018) ‘The world hotel market: current state and development trends’, </w:t>
      </w:r>
      <w:r>
        <w:rPr>
          <w:rFonts w:ascii="Arial" w:hAnsi="Arial" w:cs="Arial"/>
          <w:i/>
          <w:iCs/>
          <w:sz w:val="22"/>
          <w:szCs w:val="22"/>
        </w:rPr>
        <w:t>International Journal of Mechanical Engineering and Technology</w:t>
      </w:r>
      <w:r>
        <w:rPr>
          <w:rFonts w:ascii="Arial" w:hAnsi="Arial" w:cs="Arial"/>
          <w:sz w:val="22"/>
          <w:szCs w:val="22"/>
        </w:rPr>
        <w:t>, 9(13), pp. 618–627.</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Hospitality Net (2020) </w:t>
      </w:r>
      <w:r>
        <w:rPr>
          <w:rFonts w:ascii="Arial" w:hAnsi="Arial" w:cs="Arial"/>
          <w:i/>
          <w:iCs/>
          <w:sz w:val="22"/>
          <w:szCs w:val="22"/>
        </w:rPr>
        <w:t xml:space="preserve">How big of a threat to the hospitality industry, if at all, is Airbnb’s upcoming IPO? </w:t>
      </w:r>
      <w:r>
        <w:rPr>
          <w:rFonts w:ascii="Arial" w:hAnsi="Arial" w:cs="Arial"/>
          <w:sz w:val="22"/>
          <w:szCs w:val="22"/>
        </w:rPr>
        <w:t>. Available at: https://www.hospitalitynet.org/opinion/4101840.html (Accessed: 18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Hotel Management (2022) </w:t>
      </w:r>
      <w:r>
        <w:rPr>
          <w:rFonts w:ascii="Arial" w:hAnsi="Arial" w:cs="Arial"/>
          <w:i/>
          <w:iCs/>
          <w:sz w:val="22"/>
          <w:szCs w:val="22"/>
        </w:rPr>
        <w:t xml:space="preserve">Marriott charts solvency plans amid COVID-19 pandemic </w:t>
      </w:r>
      <w:r>
        <w:rPr>
          <w:rFonts w:ascii="Arial" w:hAnsi="Arial" w:cs="Arial"/>
          <w:sz w:val="22"/>
          <w:szCs w:val="22"/>
        </w:rPr>
        <w:t>. Available at: https://www.hotelmanagement.net/operate/marriott-outlines-plans-for-staying-solvent-a-pandemic (Accessed: 7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International Monetary Fund (2022) </w:t>
      </w:r>
      <w:r>
        <w:rPr>
          <w:rFonts w:ascii="Arial" w:hAnsi="Arial" w:cs="Arial"/>
          <w:i/>
          <w:iCs/>
          <w:sz w:val="22"/>
          <w:szCs w:val="22"/>
        </w:rPr>
        <w:t>World Economic Outlook, October 2021: Recovery During A Pandemic</w:t>
      </w:r>
      <w:r>
        <w:rPr>
          <w:rFonts w:ascii="Arial" w:hAnsi="Arial" w:cs="Arial"/>
          <w:sz w:val="22"/>
          <w:szCs w:val="22"/>
        </w:rPr>
        <w:t>. Available at: https://www.imf.org/en/Publications/WEO/Issues/2021/10/12/world-economic-outlook-october-2021 (Accessed: 6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Kim, J. J., Han, H. and Ariza-Montes, A. (2021) ‘The impact of hotel attributes, well-being perception, and attitudes on brand loyalty: Examining the moderating role of COVID-19 pandemic’, </w:t>
      </w:r>
      <w:r>
        <w:rPr>
          <w:rFonts w:ascii="Arial" w:hAnsi="Arial" w:cs="Arial"/>
          <w:i/>
          <w:iCs/>
          <w:sz w:val="22"/>
          <w:szCs w:val="22"/>
        </w:rPr>
        <w:t>Journal of Retailing and Consumer Services</w:t>
      </w:r>
      <w:r>
        <w:rPr>
          <w:rFonts w:ascii="Arial" w:hAnsi="Arial" w:cs="Arial"/>
          <w:sz w:val="22"/>
          <w:szCs w:val="22"/>
        </w:rPr>
        <w:t>, 62, p. 102634.</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Koo, G., Lee, N. and Kwon, O. (2019) ‘Combining object detection and causality mining for efficient development of augmented reality-based on-the-job training systems in hotel management’, </w:t>
      </w:r>
      <w:r>
        <w:rPr>
          <w:rFonts w:ascii="Arial" w:hAnsi="Arial" w:cs="Arial"/>
          <w:i/>
          <w:iCs/>
          <w:sz w:val="22"/>
          <w:szCs w:val="22"/>
        </w:rPr>
        <w:t>New Review of Hypermedia and Multimedia</w:t>
      </w:r>
      <w:r>
        <w:rPr>
          <w:rFonts w:ascii="Arial" w:hAnsi="Arial" w:cs="Arial"/>
          <w:sz w:val="22"/>
          <w:szCs w:val="22"/>
        </w:rPr>
        <w:t>, 25(3), pp. 112–136.</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MacroTrends (2022) </w:t>
      </w:r>
      <w:r>
        <w:rPr>
          <w:rFonts w:ascii="Arial" w:hAnsi="Arial" w:cs="Arial"/>
          <w:i/>
          <w:iCs/>
          <w:sz w:val="22"/>
          <w:szCs w:val="22"/>
        </w:rPr>
        <w:t>Marriott Net Income 2010-2021 | MAR | MacroTrends</w:t>
      </w:r>
      <w:r>
        <w:rPr>
          <w:rFonts w:ascii="Arial" w:hAnsi="Arial" w:cs="Arial"/>
          <w:sz w:val="22"/>
          <w:szCs w:val="22"/>
        </w:rPr>
        <w:t>. Available at: https://www.macrotrends.net/stocks/charts/MAR/marriott/net-income (Accessed: 6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Marriott (2021) </w:t>
      </w:r>
      <w:r>
        <w:rPr>
          <w:rFonts w:ascii="Arial" w:hAnsi="Arial" w:cs="Arial"/>
          <w:i/>
          <w:iCs/>
          <w:sz w:val="22"/>
          <w:szCs w:val="22"/>
        </w:rPr>
        <w:t>Marriott International Annual Report 20202</w:t>
      </w:r>
      <w:r>
        <w:rPr>
          <w:rFonts w:ascii="Arial" w:hAnsi="Arial" w:cs="Arial"/>
          <w:sz w:val="22"/>
          <w:szCs w:val="22"/>
        </w:rPr>
        <w:t>.</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McKinsey (2020) </w:t>
      </w:r>
      <w:r>
        <w:rPr>
          <w:rFonts w:ascii="Arial" w:hAnsi="Arial" w:cs="Arial"/>
          <w:i/>
          <w:iCs/>
          <w:sz w:val="22"/>
          <w:szCs w:val="22"/>
        </w:rPr>
        <w:t>COVID-19’s effect on the hotel industry |</w:t>
      </w:r>
      <w:r>
        <w:rPr>
          <w:rFonts w:ascii="Arial" w:hAnsi="Arial" w:cs="Arial"/>
          <w:sz w:val="22"/>
          <w:szCs w:val="22"/>
        </w:rPr>
        <w:t>. Available at: https://www.mckinsey.com/industries/travel-logistics-and-infrastructure/our-insights/hospitality-and-covid-19-how-long-until-no-vacancy-for-us-hotels (Accessed: 7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Middletown Press (2022) </w:t>
      </w:r>
      <w:r>
        <w:rPr>
          <w:rFonts w:ascii="Arial" w:hAnsi="Arial" w:cs="Arial"/>
          <w:i/>
          <w:iCs/>
          <w:sz w:val="22"/>
          <w:szCs w:val="22"/>
        </w:rPr>
        <w:t>Chamber on the Move: Two new businesses coming to Middletown</w:t>
      </w:r>
      <w:r>
        <w:rPr>
          <w:rFonts w:ascii="Arial" w:hAnsi="Arial" w:cs="Arial"/>
          <w:sz w:val="22"/>
          <w:szCs w:val="22"/>
        </w:rPr>
        <w:t>. Available at: https://www.middletownpress.com/opinion/article/Chamber-on-the-Move-Two-new-businesses-coming-to-16978395.php (Accessed: 7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Nyangwe, S. and Buhalis, D. (2018) ‘Branding transformation through social media and co-creation: lessons from marriott international’, in </w:t>
      </w:r>
      <w:r>
        <w:rPr>
          <w:rFonts w:ascii="Arial" w:hAnsi="Arial" w:cs="Arial"/>
          <w:i/>
          <w:iCs/>
          <w:sz w:val="22"/>
          <w:szCs w:val="22"/>
        </w:rPr>
        <w:t>Information and communication technologies in tourism 2018</w:t>
      </w:r>
      <w:r>
        <w:rPr>
          <w:rFonts w:ascii="Arial" w:hAnsi="Arial" w:cs="Arial"/>
          <w:sz w:val="22"/>
          <w:szCs w:val="22"/>
        </w:rPr>
        <w:t>. Springer, pp. 257–269.</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Pan, B. and Yang, Y. (2017) ‘Forecasting destination weekly hotel occupancy with big data’, </w:t>
      </w:r>
      <w:r>
        <w:rPr>
          <w:rFonts w:ascii="Arial" w:hAnsi="Arial" w:cs="Arial"/>
          <w:i/>
          <w:iCs/>
          <w:sz w:val="22"/>
          <w:szCs w:val="22"/>
        </w:rPr>
        <w:t>Journal of Travel Research</w:t>
      </w:r>
      <w:r>
        <w:rPr>
          <w:rFonts w:ascii="Arial" w:hAnsi="Arial" w:cs="Arial"/>
          <w:sz w:val="22"/>
          <w:szCs w:val="22"/>
        </w:rPr>
        <w:t>, 56(7), pp. 957–970.</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Parmar, S. </w:t>
      </w:r>
      <w:r>
        <w:rPr>
          <w:rFonts w:ascii="Arial" w:hAnsi="Arial" w:cs="Arial"/>
          <w:i/>
          <w:iCs/>
          <w:sz w:val="22"/>
          <w:szCs w:val="22"/>
        </w:rPr>
        <w:t>et al.</w:t>
      </w:r>
      <w:r>
        <w:rPr>
          <w:rFonts w:ascii="Arial" w:hAnsi="Arial" w:cs="Arial"/>
          <w:sz w:val="22"/>
          <w:szCs w:val="22"/>
        </w:rPr>
        <w:t xml:space="preserve"> (2019) ‘Smart hotel using intelligent chatbot: A review’, </w:t>
      </w:r>
      <w:r>
        <w:rPr>
          <w:rFonts w:ascii="Arial" w:hAnsi="Arial" w:cs="Arial"/>
          <w:i/>
          <w:iCs/>
          <w:sz w:val="22"/>
          <w:szCs w:val="22"/>
        </w:rPr>
        <w:t>International Journal of Scientific Research in Computer Science, Engineering and Information Technology</w:t>
      </w:r>
      <w:r>
        <w:rPr>
          <w:rFonts w:ascii="Arial" w:hAnsi="Arial" w:cs="Arial"/>
          <w:sz w:val="22"/>
          <w:szCs w:val="22"/>
        </w:rPr>
        <w:t>, 5(2), pp. 823–829.</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The Economic Times (2022) </w:t>
      </w:r>
      <w:r>
        <w:rPr>
          <w:rFonts w:ascii="Arial" w:hAnsi="Arial" w:cs="Arial"/>
          <w:i/>
          <w:iCs/>
          <w:sz w:val="22"/>
          <w:szCs w:val="22"/>
        </w:rPr>
        <w:t xml:space="preserve">JW Marriott: Marriott International launches JW Marriott Bengaluru Prestige Golfshire Resort &amp; Spa </w:t>
      </w:r>
      <w:r>
        <w:rPr>
          <w:rFonts w:ascii="Arial" w:hAnsi="Arial" w:cs="Arial"/>
          <w:sz w:val="22"/>
          <w:szCs w:val="22"/>
        </w:rPr>
        <w:t>. Available at: https://economictimes.indiatimes.com/industry/services/hotels-/-restaurants/marriott-international-launches-jw-marriott-bengaluru-prestige-golfshire-resort-spa/articleshow/90045369.cms (Accessed: 7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The Times (2022) </w:t>
      </w:r>
      <w:r>
        <w:rPr>
          <w:rFonts w:ascii="Arial" w:hAnsi="Arial" w:cs="Arial"/>
          <w:i/>
          <w:iCs/>
          <w:sz w:val="22"/>
          <w:szCs w:val="22"/>
        </w:rPr>
        <w:t>Marriott Bonvoy Brilliant Amex Review — Premium Benefits for Frequent Travelers | NextAdvisor with TIME</w:t>
      </w:r>
      <w:r>
        <w:rPr>
          <w:rFonts w:ascii="Arial" w:hAnsi="Arial" w:cs="Arial"/>
          <w:sz w:val="22"/>
          <w:szCs w:val="22"/>
        </w:rPr>
        <w:t>. Available at: https://time.com/nextadvisor/credit-cards/reviews/marriott-bonvoy-brilliant-amex-card/ (Accessed: 7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Travel Pulse (2022) </w:t>
      </w:r>
      <w:r>
        <w:rPr>
          <w:rFonts w:ascii="Arial" w:hAnsi="Arial" w:cs="Arial"/>
          <w:i/>
          <w:iCs/>
          <w:sz w:val="22"/>
          <w:szCs w:val="22"/>
        </w:rPr>
        <w:t xml:space="preserve">Marriott To Expand Its Reach in the Asia Pacific Region </w:t>
      </w:r>
      <w:r>
        <w:rPr>
          <w:rFonts w:ascii="Arial" w:hAnsi="Arial" w:cs="Arial"/>
          <w:sz w:val="22"/>
          <w:szCs w:val="22"/>
        </w:rPr>
        <w:t>. Available at: https://www.travelpulse.com/news/hotels-and-resorts/marriott-to-expand-its-reach-in-the-asia-pacific-region.html (Accessed: 7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Wall Street Journal (2022) </w:t>
      </w:r>
      <w:r>
        <w:rPr>
          <w:rFonts w:ascii="Arial" w:hAnsi="Arial" w:cs="Arial"/>
          <w:i/>
          <w:iCs/>
          <w:sz w:val="22"/>
          <w:szCs w:val="22"/>
        </w:rPr>
        <w:t xml:space="preserve">MAR | Marriott International Inc. Financial Statements </w:t>
      </w:r>
      <w:r>
        <w:rPr>
          <w:rFonts w:ascii="Arial" w:hAnsi="Arial" w:cs="Arial"/>
          <w:sz w:val="22"/>
          <w:szCs w:val="22"/>
        </w:rPr>
        <w:t>. Available at: https://www.wsj.com/market-data/quotes/MAR/financials (Accessed: 6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WHO (2021) </w:t>
      </w:r>
      <w:r>
        <w:rPr>
          <w:rFonts w:ascii="Arial" w:hAnsi="Arial" w:cs="Arial"/>
          <w:i/>
          <w:iCs/>
          <w:sz w:val="22"/>
          <w:szCs w:val="22"/>
        </w:rPr>
        <w:t>Coronavirus</w:t>
      </w:r>
      <w:r>
        <w:rPr>
          <w:rFonts w:ascii="Arial" w:hAnsi="Arial" w:cs="Arial"/>
          <w:sz w:val="22"/>
          <w:szCs w:val="22"/>
        </w:rPr>
        <w:t>. Available at: https://www.who.int/health-topics/coronavirus#tab=tab_1 (Accessed: 15 March 2022).</w:t>
      </w:r>
    </w:p>
    <w:p>
      <w:pPr>
        <w:autoSpaceDE w:val="0"/>
        <w:autoSpaceDN w:val="0"/>
        <w:adjustRightInd w:val="0"/>
        <w:spacing w:before="312" w:beforeLines="100" w:after="312" w:afterLines="100" w:line="360" w:lineRule="auto"/>
        <w:jc w:val="both"/>
        <w:rPr>
          <w:rFonts w:ascii="Arial" w:hAnsi="Arial" w:cs="Arial"/>
          <w:sz w:val="22"/>
          <w:szCs w:val="22"/>
        </w:rPr>
      </w:pPr>
      <w:r>
        <w:rPr>
          <w:rFonts w:ascii="Arial" w:hAnsi="Arial" w:cs="Arial"/>
          <w:sz w:val="22"/>
          <w:szCs w:val="22"/>
        </w:rPr>
        <w:t xml:space="preserve">Zervas, G., Proserpio, D. and Byers, J. W. (2017) ‘The rise of the sharing economy: Estimating the impact of Airbnb on the hotel industry’, </w:t>
      </w:r>
      <w:r>
        <w:rPr>
          <w:rFonts w:ascii="Arial" w:hAnsi="Arial" w:cs="Arial"/>
          <w:i/>
          <w:iCs/>
          <w:sz w:val="22"/>
          <w:szCs w:val="22"/>
        </w:rPr>
        <w:t>Journal of marketing research</w:t>
      </w:r>
      <w:r>
        <w:rPr>
          <w:rFonts w:ascii="Arial" w:hAnsi="Arial" w:cs="Arial"/>
          <w:sz w:val="22"/>
          <w:szCs w:val="22"/>
        </w:rPr>
        <w:t>, 54(5), pp. 687–705.</w:t>
      </w:r>
    </w:p>
    <w:p>
      <w:pPr>
        <w:spacing w:before="312" w:beforeLines="100" w:after="312" w:afterLines="100" w:line="360" w:lineRule="auto"/>
        <w:jc w:val="both"/>
        <w:rPr>
          <w:rFonts w:ascii="Arial" w:hAnsi="Arial" w:cs="Arial"/>
        </w:rPr>
      </w:pPr>
      <w:r>
        <w:rPr>
          <w:rFonts w:ascii="Arial" w:hAnsi="Arial" w:cs="Arial"/>
          <w:sz w:val="22"/>
          <w:szCs w:val="22"/>
        </w:rPr>
        <w:fldChar w:fldCharType="end"/>
      </w:r>
    </w:p>
    <w:p>
      <w:pPr>
        <w:spacing w:before="156" w:beforeLines="50" w:after="156" w:afterLines="50" w:line="360" w:lineRule="auto"/>
        <w:jc w:val="both"/>
        <w:rPr>
          <w:rFonts w:ascii="Arial" w:hAnsi="Arial" w:cs="Arial"/>
          <w:sz w:val="18"/>
          <w:szCs w:val="18"/>
        </w:rPr>
      </w:pPr>
    </w:p>
    <w:sectPr>
      <w:footerReference r:id="rId3" w:type="default"/>
      <w:pgSz w:w="11906" w:h="16838"/>
      <w:pgMar w:top="1440" w:right="1080" w:bottom="1440" w:left="108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DengXian">
    <w:altName w:val="苹方-简"/>
    <w:panose1 w:val="02010600030101010101"/>
    <w:charset w:val="86"/>
    <w:family w:val="auto"/>
    <w:pitch w:val="default"/>
    <w:sig w:usb0="00000000" w:usb1="00000000" w:usb2="00000016" w:usb3="00000000" w:csb0="0004000F" w:csb1="00000000"/>
  </w:font>
  <w:font w:name="Wingdings">
    <w:panose1 w:val="05000000000000000000"/>
    <w:charset w:val="00"/>
    <w:family w:val="decorative"/>
    <w:pitch w:val="default"/>
    <w:sig w:usb0="00000000" w:usb1="00000000" w:usb2="00000000" w:usb3="00000000" w:csb0="80000000" w:csb1="00000000"/>
  </w:font>
  <w:font w:name="等线 Light">
    <w:altName w:val="苹方-简"/>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冬青黑体简体中文">
    <w:panose1 w:val="020B0300000000000000"/>
    <w:charset w:val="86"/>
    <w:family w:val="auto"/>
    <w:pitch w:val="default"/>
    <w:sig w:usb0="A00002BF" w:usb1="1ACF7CFA" w:usb2="00000016" w:usb3="00000000" w:csb0="00060007" w:csb1="00000000"/>
  </w:font>
  <w:font w:name="等线 Light">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0"/>
    </w:sdtPr>
    <w:sdtContent>
      <w:p>
        <w:pPr>
          <w:pStyle w:val="13"/>
          <w:jc w:val="right"/>
        </w:pPr>
        <w:r>
          <w:fldChar w:fldCharType="begin"/>
        </w:r>
        <w:r>
          <w:instrText xml:space="preserve">PAGE   \* MERGEFORMAT</w:instrText>
        </w:r>
        <w:r>
          <w:fldChar w:fldCharType="separate"/>
        </w:r>
        <w:r>
          <w:rPr>
            <w:lang w:val="zh-CN"/>
          </w:rPr>
          <w:t>2</w:t>
        </w:r>
        <w:r>
          <w:fldChar w:fldCharType="end"/>
        </w:r>
      </w:p>
    </w:sdtContent>
  </w:sdt>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92FB9"/>
    <w:multiLevelType w:val="multilevel"/>
    <w:tmpl w:val="0A592FB9"/>
    <w:lvl w:ilvl="0" w:tentative="0">
      <w:start w:val="3"/>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EAD241B"/>
    <w:multiLevelType w:val="multilevel"/>
    <w:tmpl w:val="0EAD241B"/>
    <w:lvl w:ilvl="0" w:tentative="0">
      <w:start w:val="2"/>
      <w:numFmt w:val="decimal"/>
      <w:lvlText w:val="%1"/>
      <w:lvlJc w:val="left"/>
      <w:pPr>
        <w:ind w:left="504" w:hanging="504"/>
      </w:pPr>
      <w:rPr>
        <w:rFonts w:hint="eastAsia"/>
      </w:rPr>
    </w:lvl>
    <w:lvl w:ilvl="1" w:tentative="0">
      <w:start w:val="1"/>
      <w:numFmt w:val="decimal"/>
      <w:lvlText w:val="%1.%2"/>
      <w:lvlJc w:val="left"/>
      <w:pPr>
        <w:ind w:left="720" w:hanging="720"/>
      </w:pPr>
      <w:rPr>
        <w:rFonts w:hint="eastAsia"/>
      </w:rPr>
    </w:lvl>
    <w:lvl w:ilvl="2" w:tentative="0">
      <w:start w:val="1"/>
      <w:numFmt w:val="decimal"/>
      <w:lvlText w:val="%1.%2.%3"/>
      <w:lvlJc w:val="left"/>
      <w:pPr>
        <w:ind w:left="1080" w:hanging="1080"/>
      </w:pPr>
      <w:rPr>
        <w:rFonts w:hint="eastAsia"/>
      </w:rPr>
    </w:lvl>
    <w:lvl w:ilvl="3" w:tentative="0">
      <w:start w:val="1"/>
      <w:numFmt w:val="decimal"/>
      <w:lvlText w:val="%1.%2.%3.%4"/>
      <w:lvlJc w:val="left"/>
      <w:pPr>
        <w:ind w:left="1440" w:hanging="1440"/>
      </w:pPr>
      <w:rPr>
        <w:rFonts w:hint="eastAsia"/>
      </w:rPr>
    </w:lvl>
    <w:lvl w:ilvl="4" w:tentative="0">
      <w:start w:val="1"/>
      <w:numFmt w:val="decimal"/>
      <w:lvlText w:val="%1.%2.%3.%4.%5"/>
      <w:lvlJc w:val="left"/>
      <w:pPr>
        <w:ind w:left="1440" w:hanging="1440"/>
      </w:pPr>
      <w:rPr>
        <w:rFonts w:hint="eastAsia"/>
      </w:rPr>
    </w:lvl>
    <w:lvl w:ilvl="5" w:tentative="0">
      <w:start w:val="1"/>
      <w:numFmt w:val="decimal"/>
      <w:lvlText w:val="%1.%2.%3.%4.%5.%6"/>
      <w:lvlJc w:val="left"/>
      <w:pPr>
        <w:ind w:left="1800" w:hanging="1800"/>
      </w:pPr>
      <w:rPr>
        <w:rFonts w:hint="eastAsia"/>
      </w:rPr>
    </w:lvl>
    <w:lvl w:ilvl="6" w:tentative="0">
      <w:start w:val="1"/>
      <w:numFmt w:val="decimal"/>
      <w:lvlText w:val="%1.%2.%3.%4.%5.%6.%7"/>
      <w:lvlJc w:val="left"/>
      <w:pPr>
        <w:ind w:left="2160" w:hanging="2160"/>
      </w:pPr>
      <w:rPr>
        <w:rFonts w:hint="eastAsia"/>
      </w:rPr>
    </w:lvl>
    <w:lvl w:ilvl="7" w:tentative="0">
      <w:start w:val="1"/>
      <w:numFmt w:val="decimal"/>
      <w:lvlText w:val="%1.%2.%3.%4.%5.%6.%7.%8"/>
      <w:lvlJc w:val="left"/>
      <w:pPr>
        <w:ind w:left="2520" w:hanging="2520"/>
      </w:pPr>
      <w:rPr>
        <w:rFonts w:hint="eastAsia"/>
      </w:rPr>
    </w:lvl>
    <w:lvl w:ilvl="8" w:tentative="0">
      <w:start w:val="1"/>
      <w:numFmt w:val="decimal"/>
      <w:lvlText w:val="%1.%2.%3.%4.%5.%6.%7.%8.%9"/>
      <w:lvlJc w:val="left"/>
      <w:pPr>
        <w:ind w:left="2880" w:hanging="2880"/>
      </w:pPr>
      <w:rPr>
        <w:rFonts w:hint="eastAsia"/>
      </w:rPr>
    </w:lvl>
  </w:abstractNum>
  <w:abstractNum w:abstractNumId="2">
    <w:nsid w:val="2411525B"/>
    <w:multiLevelType w:val="multilevel"/>
    <w:tmpl w:val="2411525B"/>
    <w:lvl w:ilvl="0" w:tentative="0">
      <w:start w:val="2"/>
      <w:numFmt w:val="bullet"/>
      <w:lvlText w:val="-"/>
      <w:lvlJc w:val="left"/>
      <w:pPr>
        <w:ind w:left="360" w:hanging="360"/>
      </w:pPr>
      <w:rPr>
        <w:rFonts w:hint="eastAsia" w:ascii="DengXian" w:hAnsi="DengXian" w:eastAsia="DengXian" w:cstheme="minorBidi"/>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455F0003"/>
    <w:multiLevelType w:val="multilevel"/>
    <w:tmpl w:val="455F0003"/>
    <w:lvl w:ilvl="0" w:tentative="0">
      <w:start w:val="2"/>
      <w:numFmt w:val="decimal"/>
      <w:lvlText w:val="%1"/>
      <w:lvlJc w:val="left"/>
      <w:pPr>
        <w:ind w:left="480" w:hanging="480"/>
      </w:pPr>
      <w:rPr>
        <w:rFonts w:hint="default"/>
      </w:rPr>
    </w:lvl>
    <w:lvl w:ilvl="1" w:tentative="0">
      <w:start w:val="3"/>
      <w:numFmt w:val="decimal"/>
      <w:lvlText w:val="%1.%2"/>
      <w:lvlJc w:val="left"/>
      <w:pPr>
        <w:ind w:left="480" w:hanging="480"/>
      </w:pPr>
      <w:rPr>
        <w:rFonts w:hint="default"/>
      </w:rPr>
    </w:lvl>
    <w:lvl w:ilvl="2" w:tentative="0">
      <w:start w:val="2"/>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4">
    <w:nsid w:val="7A031F9A"/>
    <w:multiLevelType w:val="multilevel"/>
    <w:tmpl w:val="7A031F9A"/>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8"/>
  <w:doNotDisplayPageBoundaries w:val="1"/>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F03"/>
    <w:rsid w:val="00012FA1"/>
    <w:rsid w:val="000A02A4"/>
    <w:rsid w:val="000B07CB"/>
    <w:rsid w:val="000C265C"/>
    <w:rsid w:val="00116C11"/>
    <w:rsid w:val="00145CF3"/>
    <w:rsid w:val="00185113"/>
    <w:rsid w:val="001919EC"/>
    <w:rsid w:val="001C7ACE"/>
    <w:rsid w:val="001E257A"/>
    <w:rsid w:val="001F0604"/>
    <w:rsid w:val="00266962"/>
    <w:rsid w:val="00266A5D"/>
    <w:rsid w:val="00280B38"/>
    <w:rsid w:val="00295A9F"/>
    <w:rsid w:val="002A6F03"/>
    <w:rsid w:val="002A757B"/>
    <w:rsid w:val="002F2683"/>
    <w:rsid w:val="003061E5"/>
    <w:rsid w:val="00315529"/>
    <w:rsid w:val="00360F5D"/>
    <w:rsid w:val="00385EE0"/>
    <w:rsid w:val="0039137C"/>
    <w:rsid w:val="0039462B"/>
    <w:rsid w:val="00395728"/>
    <w:rsid w:val="003A444D"/>
    <w:rsid w:val="003C6F31"/>
    <w:rsid w:val="003E4AEA"/>
    <w:rsid w:val="0042581A"/>
    <w:rsid w:val="00433A95"/>
    <w:rsid w:val="004808E3"/>
    <w:rsid w:val="00481748"/>
    <w:rsid w:val="004B5C05"/>
    <w:rsid w:val="004C023D"/>
    <w:rsid w:val="004C04D8"/>
    <w:rsid w:val="004D430B"/>
    <w:rsid w:val="00575151"/>
    <w:rsid w:val="00593943"/>
    <w:rsid w:val="00597AFF"/>
    <w:rsid w:val="005B4E9E"/>
    <w:rsid w:val="005C1295"/>
    <w:rsid w:val="005D2D95"/>
    <w:rsid w:val="005E0072"/>
    <w:rsid w:val="00610BFA"/>
    <w:rsid w:val="006151BD"/>
    <w:rsid w:val="006422CB"/>
    <w:rsid w:val="006713EA"/>
    <w:rsid w:val="00685CDF"/>
    <w:rsid w:val="0069594E"/>
    <w:rsid w:val="006B24DE"/>
    <w:rsid w:val="006E5C19"/>
    <w:rsid w:val="00740970"/>
    <w:rsid w:val="007E6CD2"/>
    <w:rsid w:val="007F46A3"/>
    <w:rsid w:val="00820AAF"/>
    <w:rsid w:val="00826636"/>
    <w:rsid w:val="0083286D"/>
    <w:rsid w:val="008570D5"/>
    <w:rsid w:val="008A1B27"/>
    <w:rsid w:val="009028C9"/>
    <w:rsid w:val="00923A67"/>
    <w:rsid w:val="00933C80"/>
    <w:rsid w:val="009519A9"/>
    <w:rsid w:val="00962423"/>
    <w:rsid w:val="009853FB"/>
    <w:rsid w:val="009B00D8"/>
    <w:rsid w:val="009C1533"/>
    <w:rsid w:val="009D65A4"/>
    <w:rsid w:val="009E2FB4"/>
    <w:rsid w:val="00A07D7C"/>
    <w:rsid w:val="00A26CFF"/>
    <w:rsid w:val="00A64DFF"/>
    <w:rsid w:val="00A82F6D"/>
    <w:rsid w:val="00AC617C"/>
    <w:rsid w:val="00AD17EB"/>
    <w:rsid w:val="00AD238E"/>
    <w:rsid w:val="00AE258D"/>
    <w:rsid w:val="00B30A86"/>
    <w:rsid w:val="00B33A92"/>
    <w:rsid w:val="00B43218"/>
    <w:rsid w:val="00B7741F"/>
    <w:rsid w:val="00B85EF5"/>
    <w:rsid w:val="00B9150D"/>
    <w:rsid w:val="00B91A79"/>
    <w:rsid w:val="00BA6B8F"/>
    <w:rsid w:val="00BD7094"/>
    <w:rsid w:val="00BF3415"/>
    <w:rsid w:val="00C0238A"/>
    <w:rsid w:val="00C14394"/>
    <w:rsid w:val="00C152E6"/>
    <w:rsid w:val="00C469D3"/>
    <w:rsid w:val="00C508BD"/>
    <w:rsid w:val="00C564C4"/>
    <w:rsid w:val="00C56B80"/>
    <w:rsid w:val="00C65C9D"/>
    <w:rsid w:val="00C837BC"/>
    <w:rsid w:val="00CB7ECE"/>
    <w:rsid w:val="00D37521"/>
    <w:rsid w:val="00D436EF"/>
    <w:rsid w:val="00DD0EEB"/>
    <w:rsid w:val="00DD15B6"/>
    <w:rsid w:val="00E07C79"/>
    <w:rsid w:val="00E5119C"/>
    <w:rsid w:val="00E9556E"/>
    <w:rsid w:val="00E97D1C"/>
    <w:rsid w:val="00EA6547"/>
    <w:rsid w:val="00EB0619"/>
    <w:rsid w:val="00EB7F86"/>
    <w:rsid w:val="00EC4718"/>
    <w:rsid w:val="00EF1DB1"/>
    <w:rsid w:val="00F025EC"/>
    <w:rsid w:val="00F04F83"/>
    <w:rsid w:val="00F07B44"/>
    <w:rsid w:val="00F7242F"/>
    <w:rsid w:val="00F92B6A"/>
    <w:rsid w:val="00F97B51"/>
    <w:rsid w:val="00FA35FB"/>
    <w:rsid w:val="00FD10EB"/>
    <w:rsid w:val="00FD4AEF"/>
    <w:rsid w:val="00FE1D17"/>
    <w:rsid w:val="00FF54C7"/>
    <w:rsid w:val="B67B7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6" w:lineRule="auto"/>
    </w:pPr>
    <w:rPr>
      <w:rFonts w:asciiTheme="minorHAnsi" w:hAnsiTheme="minorHAnsi" w:eastAsiaTheme="minorEastAsia" w:cstheme="minorBidi"/>
      <w:sz w:val="21"/>
      <w:szCs w:val="21"/>
      <w:lang w:val="en-US" w:eastAsia="zh-CN" w:bidi="ar-SA"/>
    </w:rPr>
  </w:style>
  <w:style w:type="paragraph" w:styleId="2">
    <w:name w:val="heading 1"/>
    <w:basedOn w:val="1"/>
    <w:next w:val="1"/>
    <w:link w:val="27"/>
    <w:qFormat/>
    <w:uiPriority w:val="9"/>
    <w:pPr>
      <w:keepNext/>
      <w:keepLines/>
      <w:pBdr>
        <w:bottom w:val="single" w:color="D55816" w:themeColor="accent2" w:sz="4" w:space="2"/>
      </w:pBdr>
      <w:spacing w:before="360" w:after="120" w:line="240" w:lineRule="auto"/>
      <w:outlineLvl w:val="0"/>
    </w:pPr>
    <w:rPr>
      <w:rFonts w:asciiTheme="majorHAnsi" w:hAnsiTheme="majorHAnsi" w:eastAsiaTheme="majorEastAsia" w:cstheme="majorBidi"/>
      <w:color w:val="262626" w:themeColor="text1" w:themeTint="D9"/>
      <w:sz w:val="40"/>
      <w:szCs w:val="40"/>
      <w14:textFill>
        <w14:solidFill>
          <w14:schemeClr w14:val="tx1">
            <w14:lumMod w14:val="85000"/>
            <w14:lumOff w14:val="15000"/>
          </w14:schemeClr>
        </w14:solidFill>
      </w14:textFill>
    </w:rPr>
  </w:style>
  <w:style w:type="paragraph" w:styleId="3">
    <w:name w:val="heading 2"/>
    <w:basedOn w:val="1"/>
    <w:next w:val="1"/>
    <w:link w:val="28"/>
    <w:unhideWhenUsed/>
    <w:qFormat/>
    <w:uiPriority w:val="9"/>
    <w:pPr>
      <w:keepNext/>
      <w:keepLines/>
      <w:spacing w:before="120" w:after="0" w:line="240" w:lineRule="auto"/>
      <w:outlineLvl w:val="1"/>
    </w:pPr>
    <w:rPr>
      <w:rFonts w:asciiTheme="majorHAnsi" w:hAnsiTheme="majorHAnsi" w:eastAsiaTheme="majorEastAsia" w:cstheme="majorBidi"/>
      <w:color w:val="D55816" w:themeColor="accent2"/>
      <w:sz w:val="36"/>
      <w:szCs w:val="36"/>
      <w14:textFill>
        <w14:solidFill>
          <w14:schemeClr w14:val="accent2"/>
        </w14:solidFill>
      </w14:textFill>
    </w:rPr>
  </w:style>
  <w:style w:type="paragraph" w:styleId="4">
    <w:name w:val="heading 3"/>
    <w:basedOn w:val="1"/>
    <w:next w:val="1"/>
    <w:link w:val="29"/>
    <w:unhideWhenUsed/>
    <w:qFormat/>
    <w:uiPriority w:val="9"/>
    <w:pPr>
      <w:keepNext/>
      <w:keepLines/>
      <w:spacing w:before="80" w:after="0" w:line="240" w:lineRule="auto"/>
      <w:outlineLvl w:val="2"/>
    </w:pPr>
    <w:rPr>
      <w:rFonts w:asciiTheme="majorHAnsi" w:hAnsiTheme="majorHAnsi" w:eastAsiaTheme="majorEastAsia" w:cstheme="majorBidi"/>
      <w:color w:val="A04210" w:themeColor="accent2" w:themeShade="BF"/>
      <w:sz w:val="32"/>
      <w:szCs w:val="32"/>
    </w:rPr>
  </w:style>
  <w:style w:type="paragraph" w:styleId="5">
    <w:name w:val="heading 4"/>
    <w:basedOn w:val="1"/>
    <w:next w:val="1"/>
    <w:link w:val="30"/>
    <w:unhideWhenUsed/>
    <w:qFormat/>
    <w:uiPriority w:val="9"/>
    <w:pPr>
      <w:keepNext/>
      <w:keepLines/>
      <w:spacing w:before="80" w:after="0" w:line="240" w:lineRule="auto"/>
      <w:outlineLvl w:val="3"/>
    </w:pPr>
    <w:rPr>
      <w:rFonts w:asciiTheme="majorHAnsi" w:hAnsiTheme="majorHAnsi" w:eastAsiaTheme="majorEastAsia" w:cstheme="majorBidi"/>
      <w:i/>
      <w:iCs/>
      <w:color w:val="6B2C0B" w:themeColor="accent2" w:themeShade="80"/>
      <w:sz w:val="28"/>
      <w:szCs w:val="28"/>
    </w:rPr>
  </w:style>
  <w:style w:type="paragraph" w:styleId="6">
    <w:name w:val="heading 5"/>
    <w:basedOn w:val="1"/>
    <w:next w:val="1"/>
    <w:link w:val="31"/>
    <w:unhideWhenUsed/>
    <w:qFormat/>
    <w:uiPriority w:val="9"/>
    <w:pPr>
      <w:keepNext/>
      <w:keepLines/>
      <w:spacing w:before="80" w:after="0" w:line="240" w:lineRule="auto"/>
      <w:outlineLvl w:val="4"/>
    </w:pPr>
    <w:rPr>
      <w:rFonts w:asciiTheme="majorHAnsi" w:hAnsiTheme="majorHAnsi" w:eastAsiaTheme="majorEastAsia" w:cstheme="majorBidi"/>
      <w:color w:val="A04210" w:themeColor="accent2" w:themeShade="BF"/>
      <w:sz w:val="24"/>
      <w:szCs w:val="24"/>
    </w:rPr>
  </w:style>
  <w:style w:type="paragraph" w:styleId="7">
    <w:name w:val="heading 6"/>
    <w:basedOn w:val="1"/>
    <w:next w:val="1"/>
    <w:link w:val="32"/>
    <w:unhideWhenUsed/>
    <w:qFormat/>
    <w:uiPriority w:val="9"/>
    <w:pPr>
      <w:keepNext/>
      <w:keepLines/>
      <w:spacing w:before="80" w:after="0" w:line="240" w:lineRule="auto"/>
      <w:outlineLvl w:val="5"/>
    </w:pPr>
    <w:rPr>
      <w:rFonts w:asciiTheme="majorHAnsi" w:hAnsiTheme="majorHAnsi" w:eastAsiaTheme="majorEastAsia" w:cstheme="majorBidi"/>
      <w:i/>
      <w:iCs/>
      <w:color w:val="6B2C0B" w:themeColor="accent2" w:themeShade="80"/>
      <w:sz w:val="24"/>
      <w:szCs w:val="24"/>
    </w:rPr>
  </w:style>
  <w:style w:type="paragraph" w:styleId="8">
    <w:name w:val="heading 7"/>
    <w:basedOn w:val="1"/>
    <w:next w:val="1"/>
    <w:link w:val="33"/>
    <w:unhideWhenUsed/>
    <w:qFormat/>
    <w:uiPriority w:val="9"/>
    <w:pPr>
      <w:keepNext/>
      <w:keepLines/>
      <w:spacing w:before="80" w:after="0" w:line="240" w:lineRule="auto"/>
      <w:outlineLvl w:val="6"/>
    </w:pPr>
    <w:rPr>
      <w:rFonts w:asciiTheme="majorHAnsi" w:hAnsiTheme="majorHAnsi" w:eastAsiaTheme="majorEastAsia" w:cstheme="majorBidi"/>
      <w:b/>
      <w:bCs/>
      <w:color w:val="6B2C0B" w:themeColor="accent2" w:themeShade="80"/>
      <w:sz w:val="22"/>
      <w:szCs w:val="22"/>
    </w:rPr>
  </w:style>
  <w:style w:type="paragraph" w:styleId="9">
    <w:name w:val="heading 8"/>
    <w:basedOn w:val="1"/>
    <w:next w:val="1"/>
    <w:link w:val="34"/>
    <w:unhideWhenUsed/>
    <w:qFormat/>
    <w:uiPriority w:val="9"/>
    <w:pPr>
      <w:keepNext/>
      <w:keepLines/>
      <w:spacing w:before="80" w:after="0" w:line="240" w:lineRule="auto"/>
      <w:outlineLvl w:val="7"/>
    </w:pPr>
    <w:rPr>
      <w:rFonts w:asciiTheme="majorHAnsi" w:hAnsiTheme="majorHAnsi" w:eastAsiaTheme="majorEastAsia" w:cstheme="majorBidi"/>
      <w:color w:val="6B2C0B" w:themeColor="accent2" w:themeShade="80"/>
      <w:sz w:val="22"/>
      <w:szCs w:val="22"/>
    </w:rPr>
  </w:style>
  <w:style w:type="paragraph" w:styleId="10">
    <w:name w:val="heading 9"/>
    <w:basedOn w:val="1"/>
    <w:next w:val="1"/>
    <w:link w:val="35"/>
    <w:unhideWhenUsed/>
    <w:qFormat/>
    <w:uiPriority w:val="9"/>
    <w:pPr>
      <w:keepNext/>
      <w:keepLines/>
      <w:spacing w:before="80" w:after="0" w:line="240" w:lineRule="auto"/>
      <w:outlineLvl w:val="8"/>
    </w:pPr>
    <w:rPr>
      <w:rFonts w:asciiTheme="majorHAnsi" w:hAnsiTheme="majorHAnsi" w:eastAsiaTheme="majorEastAsia" w:cstheme="majorBidi"/>
      <w:i/>
      <w:iCs/>
      <w:color w:val="6B2C0B" w:themeColor="accent2" w:themeShade="80"/>
      <w:sz w:val="22"/>
      <w:szCs w:val="22"/>
    </w:rPr>
  </w:style>
  <w:style w:type="character" w:default="1" w:styleId="20">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line="240" w:lineRule="auto"/>
    </w:pPr>
    <w:rPr>
      <w:b/>
      <w:bCs/>
      <w:color w:val="404040" w:themeColor="text1" w:themeTint="BF"/>
      <w:sz w:val="16"/>
      <w:szCs w:val="16"/>
      <w14:textFill>
        <w14:solidFill>
          <w14:schemeClr w14:val="tx1">
            <w14:lumMod w14:val="75000"/>
            <w14:lumOff w14:val="25000"/>
          </w14:schemeClr>
        </w14:solidFill>
      </w14:textFill>
    </w:rPr>
  </w:style>
  <w:style w:type="paragraph" w:styleId="12">
    <w:name w:val="toc 3"/>
    <w:basedOn w:val="1"/>
    <w:next w:val="1"/>
    <w:unhideWhenUsed/>
    <w:uiPriority w:val="39"/>
    <w:pPr>
      <w:ind w:left="840" w:leftChars="400"/>
    </w:pPr>
  </w:style>
  <w:style w:type="paragraph" w:styleId="13">
    <w:name w:val="footer"/>
    <w:basedOn w:val="1"/>
    <w:link w:val="52"/>
    <w:unhideWhenUsed/>
    <w:qFormat/>
    <w:uiPriority w:val="99"/>
    <w:pPr>
      <w:tabs>
        <w:tab w:val="center" w:pos="4153"/>
        <w:tab w:val="right" w:pos="8306"/>
      </w:tabs>
      <w:snapToGrid w:val="0"/>
      <w:spacing w:line="240" w:lineRule="auto"/>
    </w:pPr>
    <w:rPr>
      <w:sz w:val="18"/>
      <w:szCs w:val="18"/>
    </w:rPr>
  </w:style>
  <w:style w:type="paragraph" w:styleId="14">
    <w:name w:val="header"/>
    <w:basedOn w:val="1"/>
    <w:link w:val="5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5">
    <w:name w:val="toc 1"/>
    <w:basedOn w:val="1"/>
    <w:next w:val="1"/>
    <w:unhideWhenUsed/>
    <w:qFormat/>
    <w:uiPriority w:val="39"/>
  </w:style>
  <w:style w:type="paragraph" w:styleId="16">
    <w:name w:val="Subtitle"/>
    <w:basedOn w:val="1"/>
    <w:next w:val="1"/>
    <w:link w:val="37"/>
    <w:qFormat/>
    <w:uiPriority w:val="11"/>
    <w:pPr>
      <w:spacing w:after="240"/>
    </w:pPr>
    <w:rPr>
      <w:caps/>
      <w:color w:val="404040" w:themeColor="text1" w:themeTint="BF"/>
      <w:spacing w:val="20"/>
      <w:sz w:val="28"/>
      <w:szCs w:val="28"/>
      <w14:textFill>
        <w14:solidFill>
          <w14:schemeClr w14:val="tx1">
            <w14:lumMod w14:val="75000"/>
            <w14:lumOff w14:val="25000"/>
          </w14:schemeClr>
        </w14:solidFill>
      </w14:textFill>
    </w:rPr>
  </w:style>
  <w:style w:type="paragraph" w:styleId="17">
    <w:name w:val="toc 2"/>
    <w:basedOn w:val="1"/>
    <w:next w:val="1"/>
    <w:unhideWhenUsed/>
    <w:uiPriority w:val="39"/>
    <w:pPr>
      <w:ind w:left="420" w:leftChars="200"/>
    </w:pPr>
  </w:style>
  <w:style w:type="paragraph" w:styleId="18">
    <w:name w:val="Normal (Web)"/>
    <w:basedOn w:val="1"/>
    <w:unhideWhenUsed/>
    <w:uiPriority w:val="99"/>
    <w:pPr>
      <w:spacing w:before="100" w:beforeAutospacing="1" w:after="100" w:afterAutospacing="1" w:line="240" w:lineRule="auto"/>
    </w:pPr>
    <w:rPr>
      <w:rFonts w:ascii="宋体" w:hAnsi="宋体" w:eastAsia="宋体" w:cs="宋体"/>
      <w:sz w:val="24"/>
      <w:szCs w:val="24"/>
    </w:rPr>
  </w:style>
  <w:style w:type="paragraph" w:styleId="19">
    <w:name w:val="Title"/>
    <w:basedOn w:val="1"/>
    <w:next w:val="1"/>
    <w:link w:val="36"/>
    <w:qFormat/>
    <w:uiPriority w:val="10"/>
    <w:pPr>
      <w:spacing w:after="0" w:line="240" w:lineRule="auto"/>
      <w:contextualSpacing/>
    </w:pPr>
    <w:rPr>
      <w:rFonts w:asciiTheme="majorHAnsi" w:hAnsiTheme="majorHAnsi" w:eastAsiaTheme="majorEastAsia" w:cstheme="majorBidi"/>
      <w:color w:val="262626" w:themeColor="text1" w:themeTint="D9"/>
      <w:sz w:val="96"/>
      <w:szCs w:val="96"/>
      <w14:textFill>
        <w14:solidFill>
          <w14:schemeClr w14:val="tx1">
            <w14:lumMod w14:val="85000"/>
            <w14:lumOff w14:val="15000"/>
          </w14:schemeClr>
        </w14:solidFill>
      </w14:textFill>
    </w:rPr>
  </w:style>
  <w:style w:type="character" w:styleId="21">
    <w:name w:val="Strong"/>
    <w:basedOn w:val="20"/>
    <w:qFormat/>
    <w:uiPriority w:val="22"/>
    <w:rPr>
      <w:b/>
      <w:bCs/>
    </w:rPr>
  </w:style>
  <w:style w:type="character" w:styleId="22">
    <w:name w:val="Emphasis"/>
    <w:basedOn w:val="20"/>
    <w:qFormat/>
    <w:uiPriority w:val="20"/>
    <w:rPr>
      <w:i/>
      <w:iCs/>
      <w:color w:val="000000" w:themeColor="text1"/>
      <w14:textFill>
        <w14:solidFill>
          <w14:schemeClr w14:val="tx1"/>
        </w14:solidFill>
      </w14:textFill>
    </w:rPr>
  </w:style>
  <w:style w:type="character" w:styleId="23">
    <w:name w:val="Hyperlink"/>
    <w:basedOn w:val="20"/>
    <w:unhideWhenUsed/>
    <w:qFormat/>
    <w:uiPriority w:val="99"/>
    <w:rPr>
      <w:color w:val="0000FF"/>
      <w:u w:val="single"/>
    </w:rPr>
  </w:style>
  <w:style w:type="table" w:styleId="25">
    <w:name w:val="Table Grid"/>
    <w:basedOn w:val="2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
    <w:name w:val="List Paragraph"/>
    <w:basedOn w:val="1"/>
    <w:qFormat/>
    <w:uiPriority w:val="34"/>
    <w:pPr>
      <w:ind w:firstLine="420" w:firstLineChars="200"/>
    </w:pPr>
  </w:style>
  <w:style w:type="character" w:customStyle="1" w:styleId="27">
    <w:name w:val="标题 1 字符"/>
    <w:basedOn w:val="20"/>
    <w:link w:val="2"/>
    <w:qFormat/>
    <w:uiPriority w:val="9"/>
    <w:rPr>
      <w:rFonts w:asciiTheme="majorHAnsi" w:hAnsiTheme="majorHAnsi" w:eastAsiaTheme="majorEastAsia" w:cstheme="majorBidi"/>
      <w:color w:val="262626" w:themeColor="text1" w:themeTint="D9"/>
      <w:sz w:val="40"/>
      <w:szCs w:val="40"/>
      <w14:textFill>
        <w14:solidFill>
          <w14:schemeClr w14:val="tx1">
            <w14:lumMod w14:val="85000"/>
            <w14:lumOff w14:val="15000"/>
          </w14:schemeClr>
        </w14:solidFill>
      </w14:textFill>
    </w:rPr>
  </w:style>
  <w:style w:type="character" w:customStyle="1" w:styleId="28">
    <w:name w:val="标题 2 字符"/>
    <w:basedOn w:val="20"/>
    <w:link w:val="3"/>
    <w:qFormat/>
    <w:uiPriority w:val="9"/>
    <w:rPr>
      <w:rFonts w:asciiTheme="majorHAnsi" w:hAnsiTheme="majorHAnsi" w:eastAsiaTheme="majorEastAsia" w:cstheme="majorBidi"/>
      <w:color w:val="D55816" w:themeColor="accent2"/>
      <w:sz w:val="36"/>
      <w:szCs w:val="36"/>
      <w14:textFill>
        <w14:solidFill>
          <w14:schemeClr w14:val="accent2"/>
        </w14:solidFill>
      </w14:textFill>
    </w:rPr>
  </w:style>
  <w:style w:type="character" w:customStyle="1" w:styleId="29">
    <w:name w:val="标题 3 字符"/>
    <w:basedOn w:val="20"/>
    <w:link w:val="4"/>
    <w:qFormat/>
    <w:uiPriority w:val="9"/>
    <w:rPr>
      <w:rFonts w:asciiTheme="majorHAnsi" w:hAnsiTheme="majorHAnsi" w:eastAsiaTheme="majorEastAsia" w:cstheme="majorBidi"/>
      <w:color w:val="A04210" w:themeColor="accent2" w:themeShade="BF"/>
      <w:sz w:val="32"/>
      <w:szCs w:val="32"/>
    </w:rPr>
  </w:style>
  <w:style w:type="character" w:customStyle="1" w:styleId="30">
    <w:name w:val="标题 4 字符"/>
    <w:basedOn w:val="20"/>
    <w:link w:val="5"/>
    <w:semiHidden/>
    <w:qFormat/>
    <w:uiPriority w:val="9"/>
    <w:rPr>
      <w:rFonts w:asciiTheme="majorHAnsi" w:hAnsiTheme="majorHAnsi" w:eastAsiaTheme="majorEastAsia" w:cstheme="majorBidi"/>
      <w:i/>
      <w:iCs/>
      <w:color w:val="6B2C0B" w:themeColor="accent2" w:themeShade="80"/>
      <w:sz w:val="28"/>
      <w:szCs w:val="28"/>
    </w:rPr>
  </w:style>
  <w:style w:type="character" w:customStyle="1" w:styleId="31">
    <w:name w:val="标题 5 字符"/>
    <w:basedOn w:val="20"/>
    <w:link w:val="6"/>
    <w:semiHidden/>
    <w:qFormat/>
    <w:uiPriority w:val="9"/>
    <w:rPr>
      <w:rFonts w:asciiTheme="majorHAnsi" w:hAnsiTheme="majorHAnsi" w:eastAsiaTheme="majorEastAsia" w:cstheme="majorBidi"/>
      <w:color w:val="A04210" w:themeColor="accent2" w:themeShade="BF"/>
      <w:sz w:val="24"/>
      <w:szCs w:val="24"/>
    </w:rPr>
  </w:style>
  <w:style w:type="character" w:customStyle="1" w:styleId="32">
    <w:name w:val="标题 6 字符"/>
    <w:basedOn w:val="20"/>
    <w:link w:val="7"/>
    <w:semiHidden/>
    <w:qFormat/>
    <w:uiPriority w:val="9"/>
    <w:rPr>
      <w:rFonts w:asciiTheme="majorHAnsi" w:hAnsiTheme="majorHAnsi" w:eastAsiaTheme="majorEastAsia" w:cstheme="majorBidi"/>
      <w:i/>
      <w:iCs/>
      <w:color w:val="6B2C0B" w:themeColor="accent2" w:themeShade="80"/>
      <w:sz w:val="24"/>
      <w:szCs w:val="24"/>
    </w:rPr>
  </w:style>
  <w:style w:type="character" w:customStyle="1" w:styleId="33">
    <w:name w:val="标题 7 字符"/>
    <w:basedOn w:val="20"/>
    <w:link w:val="8"/>
    <w:semiHidden/>
    <w:qFormat/>
    <w:uiPriority w:val="9"/>
    <w:rPr>
      <w:rFonts w:asciiTheme="majorHAnsi" w:hAnsiTheme="majorHAnsi" w:eastAsiaTheme="majorEastAsia" w:cstheme="majorBidi"/>
      <w:b/>
      <w:bCs/>
      <w:color w:val="6B2C0B" w:themeColor="accent2" w:themeShade="80"/>
      <w:sz w:val="22"/>
      <w:szCs w:val="22"/>
    </w:rPr>
  </w:style>
  <w:style w:type="character" w:customStyle="1" w:styleId="34">
    <w:name w:val="标题 8 字符"/>
    <w:basedOn w:val="20"/>
    <w:link w:val="9"/>
    <w:semiHidden/>
    <w:qFormat/>
    <w:uiPriority w:val="9"/>
    <w:rPr>
      <w:rFonts w:asciiTheme="majorHAnsi" w:hAnsiTheme="majorHAnsi" w:eastAsiaTheme="majorEastAsia" w:cstheme="majorBidi"/>
      <w:color w:val="6B2C0B" w:themeColor="accent2" w:themeShade="80"/>
      <w:sz w:val="22"/>
      <w:szCs w:val="22"/>
    </w:rPr>
  </w:style>
  <w:style w:type="character" w:customStyle="1" w:styleId="35">
    <w:name w:val="标题 9 字符"/>
    <w:basedOn w:val="20"/>
    <w:link w:val="10"/>
    <w:semiHidden/>
    <w:qFormat/>
    <w:uiPriority w:val="9"/>
    <w:rPr>
      <w:rFonts w:asciiTheme="majorHAnsi" w:hAnsiTheme="majorHAnsi" w:eastAsiaTheme="majorEastAsia" w:cstheme="majorBidi"/>
      <w:i/>
      <w:iCs/>
      <w:color w:val="6B2C0B" w:themeColor="accent2" w:themeShade="80"/>
      <w:sz w:val="22"/>
      <w:szCs w:val="22"/>
    </w:rPr>
  </w:style>
  <w:style w:type="character" w:customStyle="1" w:styleId="36">
    <w:name w:val="标题 字符"/>
    <w:basedOn w:val="20"/>
    <w:link w:val="19"/>
    <w:qFormat/>
    <w:uiPriority w:val="10"/>
    <w:rPr>
      <w:rFonts w:asciiTheme="majorHAnsi" w:hAnsiTheme="majorHAnsi" w:eastAsiaTheme="majorEastAsia" w:cstheme="majorBidi"/>
      <w:color w:val="262626" w:themeColor="text1" w:themeTint="D9"/>
      <w:sz w:val="96"/>
      <w:szCs w:val="96"/>
      <w14:textFill>
        <w14:solidFill>
          <w14:schemeClr w14:val="tx1">
            <w14:lumMod w14:val="85000"/>
            <w14:lumOff w14:val="15000"/>
          </w14:schemeClr>
        </w14:solidFill>
      </w14:textFill>
    </w:rPr>
  </w:style>
  <w:style w:type="character" w:customStyle="1" w:styleId="37">
    <w:name w:val="副标题 字符"/>
    <w:basedOn w:val="20"/>
    <w:link w:val="16"/>
    <w:qFormat/>
    <w:uiPriority w:val="11"/>
    <w:rPr>
      <w:caps/>
      <w:color w:val="404040" w:themeColor="text1" w:themeTint="BF"/>
      <w:spacing w:val="20"/>
      <w:sz w:val="28"/>
      <w:szCs w:val="28"/>
      <w14:textFill>
        <w14:solidFill>
          <w14:schemeClr w14:val="tx1">
            <w14:lumMod w14:val="75000"/>
            <w14:lumOff w14:val="25000"/>
          </w14:schemeClr>
        </w14:solidFill>
      </w14:textFill>
    </w:rPr>
  </w:style>
  <w:style w:type="paragraph" w:customStyle="1" w:styleId="38">
    <w:name w:val="No Spacing"/>
    <w:qFormat/>
    <w:uiPriority w:val="1"/>
    <w:pPr>
      <w:spacing w:after="0" w:line="240" w:lineRule="auto"/>
    </w:pPr>
    <w:rPr>
      <w:rFonts w:asciiTheme="minorHAnsi" w:hAnsiTheme="minorHAnsi" w:eastAsiaTheme="minorEastAsia" w:cstheme="minorBidi"/>
      <w:sz w:val="21"/>
      <w:szCs w:val="21"/>
      <w:lang w:val="en-US" w:eastAsia="zh-CN" w:bidi="ar-SA"/>
    </w:rPr>
  </w:style>
  <w:style w:type="paragraph" w:customStyle="1" w:styleId="39">
    <w:name w:val="Quote"/>
    <w:basedOn w:val="1"/>
    <w:next w:val="1"/>
    <w:link w:val="40"/>
    <w:qFormat/>
    <w:uiPriority w:val="29"/>
    <w:pPr>
      <w:spacing w:before="160"/>
      <w:ind w:left="720" w:right="720"/>
      <w:jc w:val="center"/>
    </w:pPr>
    <w:rPr>
      <w:rFonts w:asciiTheme="majorHAnsi" w:hAnsiTheme="majorHAnsi" w:eastAsiaTheme="majorEastAsia" w:cstheme="majorBidi"/>
      <w:color w:val="000000" w:themeColor="text1"/>
      <w:sz w:val="24"/>
      <w:szCs w:val="24"/>
      <w14:textFill>
        <w14:solidFill>
          <w14:schemeClr w14:val="tx1"/>
        </w14:solidFill>
      </w14:textFill>
    </w:rPr>
  </w:style>
  <w:style w:type="character" w:customStyle="1" w:styleId="40">
    <w:name w:val="引用 字符"/>
    <w:basedOn w:val="20"/>
    <w:link w:val="39"/>
    <w:qFormat/>
    <w:uiPriority w:val="29"/>
    <w:rPr>
      <w:rFonts w:asciiTheme="majorHAnsi" w:hAnsiTheme="majorHAnsi" w:eastAsiaTheme="majorEastAsia" w:cstheme="majorBidi"/>
      <w:color w:val="000000" w:themeColor="text1"/>
      <w:sz w:val="24"/>
      <w:szCs w:val="24"/>
      <w14:textFill>
        <w14:solidFill>
          <w14:schemeClr w14:val="tx1"/>
        </w14:solidFill>
      </w14:textFill>
    </w:rPr>
  </w:style>
  <w:style w:type="paragraph" w:customStyle="1" w:styleId="41">
    <w:name w:val="Intense Quote"/>
    <w:basedOn w:val="1"/>
    <w:next w:val="1"/>
    <w:link w:val="42"/>
    <w:qFormat/>
    <w:uiPriority w:val="30"/>
    <w:pPr>
      <w:pBdr>
        <w:top w:val="single" w:color="D55816" w:themeColor="accent2" w:sz="24" w:space="4"/>
      </w:pBdr>
      <w:spacing w:before="240" w:after="240" w:line="240" w:lineRule="auto"/>
      <w:ind w:left="936" w:right="936"/>
      <w:jc w:val="center"/>
    </w:pPr>
    <w:rPr>
      <w:rFonts w:asciiTheme="majorHAnsi" w:hAnsiTheme="majorHAnsi" w:eastAsiaTheme="majorEastAsia" w:cstheme="majorBidi"/>
      <w:sz w:val="24"/>
      <w:szCs w:val="24"/>
    </w:rPr>
  </w:style>
  <w:style w:type="character" w:customStyle="1" w:styleId="42">
    <w:name w:val="明显引用 字符"/>
    <w:basedOn w:val="20"/>
    <w:link w:val="41"/>
    <w:uiPriority w:val="30"/>
    <w:rPr>
      <w:rFonts w:asciiTheme="majorHAnsi" w:hAnsiTheme="majorHAnsi" w:eastAsiaTheme="majorEastAsia" w:cstheme="majorBidi"/>
      <w:sz w:val="24"/>
      <w:szCs w:val="24"/>
    </w:rPr>
  </w:style>
  <w:style w:type="character" w:customStyle="1" w:styleId="43">
    <w:name w:val="Subtle Emphasis"/>
    <w:basedOn w:val="20"/>
    <w:qFormat/>
    <w:uiPriority w:val="19"/>
    <w:rPr>
      <w:i/>
      <w:iCs/>
      <w:color w:val="595959" w:themeColor="text1" w:themeTint="A6"/>
      <w14:textFill>
        <w14:solidFill>
          <w14:schemeClr w14:val="tx1">
            <w14:lumMod w14:val="65000"/>
            <w14:lumOff w14:val="35000"/>
          </w14:schemeClr>
        </w14:solidFill>
      </w14:textFill>
    </w:rPr>
  </w:style>
  <w:style w:type="character" w:customStyle="1" w:styleId="44">
    <w:name w:val="Intense Emphasis"/>
    <w:basedOn w:val="20"/>
    <w:qFormat/>
    <w:uiPriority w:val="21"/>
    <w:rPr>
      <w:b/>
      <w:bCs/>
      <w:i/>
      <w:iCs/>
      <w:color w:val="D55816" w:themeColor="accent2"/>
      <w14:textFill>
        <w14:solidFill>
          <w14:schemeClr w14:val="accent2"/>
        </w14:solidFill>
      </w14:textFill>
    </w:rPr>
  </w:style>
  <w:style w:type="character" w:customStyle="1" w:styleId="45">
    <w:name w:val="Subtle Reference"/>
    <w:basedOn w:val="20"/>
    <w:qFormat/>
    <w:uiPriority w:val="31"/>
    <w:rPr>
      <w:smallCaps/>
      <w:color w:val="404040" w:themeColor="text1" w:themeTint="BF"/>
      <w:spacing w:val="0"/>
      <w:u w:val="single" w:color="7E7E7E" w:themeColor="text1" w:themeTint="80"/>
      <w14:textFill>
        <w14:solidFill>
          <w14:schemeClr w14:val="tx1">
            <w14:lumMod w14:val="75000"/>
            <w14:lumOff w14:val="25000"/>
          </w14:schemeClr>
        </w14:solidFill>
      </w14:textFill>
    </w:rPr>
  </w:style>
  <w:style w:type="character" w:customStyle="1" w:styleId="46">
    <w:name w:val="Intense Reference"/>
    <w:basedOn w:val="20"/>
    <w:qFormat/>
    <w:uiPriority w:val="32"/>
    <w:rPr>
      <w:b/>
      <w:bCs/>
      <w:smallCaps/>
      <w:color w:val="auto"/>
      <w:spacing w:val="0"/>
      <w:u w:val="single"/>
    </w:rPr>
  </w:style>
  <w:style w:type="character" w:customStyle="1" w:styleId="47">
    <w:name w:val="Book Title"/>
    <w:basedOn w:val="20"/>
    <w:qFormat/>
    <w:uiPriority w:val="33"/>
    <w:rPr>
      <w:b/>
      <w:bCs/>
      <w:smallCaps/>
      <w:spacing w:val="0"/>
    </w:rPr>
  </w:style>
  <w:style w:type="paragraph" w:customStyle="1" w:styleId="48">
    <w:name w:val="TOC Heading"/>
    <w:basedOn w:val="2"/>
    <w:next w:val="1"/>
    <w:unhideWhenUsed/>
    <w:qFormat/>
    <w:uiPriority w:val="39"/>
    <w:pPr>
      <w:outlineLvl w:val="9"/>
    </w:pPr>
  </w:style>
  <w:style w:type="table" w:customStyle="1" w:styleId="49">
    <w:name w:val="Grid Table 4 Accent 2"/>
    <w:basedOn w:val="24"/>
    <w:qFormat/>
    <w:uiPriority w:val="49"/>
    <w:pPr>
      <w:spacing w:after="0" w:line="240" w:lineRule="auto"/>
    </w:pPr>
    <w:tblPr>
      <w:tblBorders>
        <w:top w:val="single" w:color="EF9769" w:themeColor="accent2" w:themeTint="99" w:sz="4" w:space="0"/>
        <w:left w:val="single" w:color="EF9769" w:themeColor="accent2" w:themeTint="99" w:sz="4" w:space="0"/>
        <w:bottom w:val="single" w:color="EF9769" w:themeColor="accent2" w:themeTint="99" w:sz="4" w:space="0"/>
        <w:right w:val="single" w:color="EF9769" w:themeColor="accent2" w:themeTint="99" w:sz="4" w:space="0"/>
        <w:insideH w:val="single" w:color="EF9769" w:themeColor="accent2" w:themeTint="99" w:sz="4" w:space="0"/>
        <w:insideV w:val="single" w:color="EF9769" w:themeColor="accent2" w:themeTint="99" w:sz="4" w:space="0"/>
      </w:tblBorders>
    </w:tblPr>
    <w:tblStylePr w:type="firstRow">
      <w:rPr>
        <w:b/>
        <w:bCs/>
        <w:color w:val="FFFFFF" w:themeColor="background1"/>
        <w14:textFill>
          <w14:solidFill>
            <w14:schemeClr w14:val="bg1"/>
          </w14:solidFill>
        </w14:textFill>
      </w:rPr>
      <w:tcPr>
        <w:tcBorders>
          <w:top w:val="single" w:color="D55816" w:themeColor="accent2" w:sz="4" w:space="0"/>
          <w:left w:val="single" w:color="D55816" w:themeColor="accent2" w:sz="4" w:space="0"/>
          <w:bottom w:val="single" w:color="D55816" w:themeColor="accent2" w:sz="4" w:space="0"/>
          <w:right w:val="single" w:color="D55816" w:themeColor="accent2" w:sz="4" w:space="0"/>
          <w:insideH w:val="nil"/>
          <w:insideV w:val="nil"/>
        </w:tcBorders>
        <w:shd w:val="clear" w:color="auto" w:fill="D55816" w:themeFill="accent2"/>
      </w:tcPr>
    </w:tblStylePr>
    <w:tblStylePr w:type="lastRow">
      <w:rPr>
        <w:b/>
        <w:bCs/>
      </w:rPr>
      <w:tcPr>
        <w:tcBorders>
          <w:top w:val="double" w:color="D55816" w:themeColor="accent2" w:sz="4" w:space="0"/>
        </w:tcBorders>
      </w:tcPr>
    </w:tblStylePr>
    <w:tblStylePr w:type="firstCol">
      <w:rPr>
        <w:b/>
        <w:bCs/>
      </w:rPr>
    </w:tblStylePr>
    <w:tblStylePr w:type="lastCol">
      <w:rPr>
        <w:b/>
        <w:bCs/>
      </w:rPr>
    </w:tblStylePr>
    <w:tblStylePr w:type="band1Vert">
      <w:tcPr>
        <w:shd w:val="clear" w:color="auto" w:fill="F9DCCD" w:themeFill="accent2" w:themeFillTint="33"/>
      </w:tcPr>
    </w:tblStylePr>
    <w:tblStylePr w:type="band1Horz">
      <w:tcPr>
        <w:shd w:val="clear" w:color="auto" w:fill="F9DCCD" w:themeFill="accent2" w:themeFillTint="33"/>
      </w:tcPr>
    </w:tblStylePr>
  </w:style>
  <w:style w:type="table" w:customStyle="1" w:styleId="50">
    <w:name w:val="Grid Table 5 Dark Accent 2"/>
    <w:basedOn w:val="24"/>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9DCCD"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55816"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55816"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D55816"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55816" w:themeFill="accent2"/>
      </w:tcPr>
    </w:tblStylePr>
    <w:tblStylePr w:type="band1Vert">
      <w:tcPr>
        <w:shd w:val="clear" w:color="auto" w:fill="F4BA9B" w:themeFill="accent2" w:themeFillTint="66"/>
      </w:tcPr>
    </w:tblStylePr>
    <w:tblStylePr w:type="band1Horz">
      <w:tcPr>
        <w:shd w:val="clear" w:color="auto" w:fill="F4BA9B" w:themeFill="accent2" w:themeFillTint="66"/>
      </w:tcPr>
    </w:tblStylePr>
  </w:style>
  <w:style w:type="character" w:customStyle="1" w:styleId="51">
    <w:name w:val="页眉 字符"/>
    <w:basedOn w:val="20"/>
    <w:link w:val="14"/>
    <w:uiPriority w:val="99"/>
    <w:rPr>
      <w:sz w:val="18"/>
      <w:szCs w:val="18"/>
    </w:rPr>
  </w:style>
  <w:style w:type="character" w:customStyle="1" w:styleId="52">
    <w:name w:val="页脚 字符"/>
    <w:basedOn w:val="20"/>
    <w:link w:val="13"/>
    <w:uiPriority w:val="99"/>
    <w:rPr>
      <w:sz w:val="18"/>
      <w:szCs w:val="18"/>
    </w:rPr>
  </w:style>
  <w:style w:type="table" w:customStyle="1" w:styleId="53">
    <w:name w:val="网格表 5 深色 - 着色 21"/>
    <w:basedOn w:val="24"/>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9DCCD"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55816"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55816"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D55816"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55816" w:themeFill="accent2"/>
      </w:tcPr>
    </w:tblStylePr>
    <w:tblStylePr w:type="band1Vert">
      <w:tcPr>
        <w:shd w:val="clear" w:color="auto" w:fill="F4BA9B" w:themeFill="accent2" w:themeFillTint="66"/>
      </w:tcPr>
    </w:tblStylePr>
    <w:tblStylePr w:type="band1Horz">
      <w:tcPr>
        <w:shd w:val="clear" w:color="auto" w:fill="F4BA9B" w:themeFill="accent2" w:themeFillTint="66"/>
      </w:tcPr>
    </w:tblStylePr>
  </w:style>
  <w:style w:type="table" w:customStyle="1" w:styleId="54">
    <w:name w:val="Plain Table 4"/>
    <w:basedOn w:val="24"/>
    <w:uiPriority w:val="44"/>
    <w:pPr>
      <w:spacing w:after="0" w:line="240" w:lineRule="auto"/>
    </w:p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55">
    <w:name w:val="网格表 5 深色 - 着色 22"/>
    <w:basedOn w:val="24"/>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9DCCD"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55816"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55816"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D55816"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55816" w:themeFill="accent2"/>
      </w:tcPr>
    </w:tblStylePr>
    <w:tblStylePr w:type="band1Vert">
      <w:tcPr>
        <w:shd w:val="clear" w:color="auto" w:fill="F4BA9B" w:themeFill="accent2" w:themeFillTint="66"/>
      </w:tcPr>
    </w:tblStylePr>
    <w:tblStylePr w:type="band1Horz">
      <w:tcPr>
        <w:shd w:val="clear" w:color="auto" w:fill="F4BA9B" w:themeFill="accent2" w:themeFillTint="66"/>
      </w:tcPr>
    </w:tblStylePr>
  </w:style>
  <w:style w:type="table" w:customStyle="1" w:styleId="56">
    <w:name w:val="无格式表格 41"/>
    <w:basedOn w:val="24"/>
    <w:uiPriority w:val="44"/>
    <w:pPr>
      <w:spacing w:after="0" w:line="240" w:lineRule="auto"/>
    </w:p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57">
    <w:name w:val="网格表 5 深色 - 着色 23"/>
    <w:basedOn w:val="24"/>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9DCCD"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55816"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55816"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D55816"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55816" w:themeFill="accent2"/>
      </w:tcPr>
    </w:tblStylePr>
    <w:tblStylePr w:type="band1Vert">
      <w:tcPr>
        <w:shd w:val="clear" w:color="auto" w:fill="F4BA9B" w:themeFill="accent2" w:themeFillTint="66"/>
      </w:tcPr>
    </w:tblStylePr>
    <w:tblStylePr w:type="band1Horz">
      <w:tcPr>
        <w:shd w:val="clear" w:color="auto" w:fill="F4BA9B" w:themeFill="accent2" w:themeFillTint="66"/>
      </w:tcPr>
    </w:tblStylePr>
  </w:style>
  <w:style w:type="table" w:customStyle="1" w:styleId="58">
    <w:name w:val="无格式表格 42"/>
    <w:basedOn w:val="24"/>
    <w:qFormat/>
    <w:uiPriority w:val="44"/>
    <w:pPr>
      <w:spacing w:after="0" w:line="240" w:lineRule="auto"/>
    </w:p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GIF"/><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红色">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7614</Words>
  <Characters>46523</Characters>
  <Lines>949</Lines>
  <Paragraphs>309</Paragraphs>
  <TotalTime>0</TotalTime>
  <ScaleCrop>false</ScaleCrop>
  <LinksUpToDate>false</LinksUpToDate>
  <CharactersWithSpaces>53828</CharactersWithSpaces>
  <Application>WPS Office_3.9.0.6159_F1E327BC-269C-435d-A152-05C5408002CA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2022-03-18T14:14:00Z</dcterms:created>
  <dc:creator>admin admin</dc:creator>
  <cp:lastModifiedBy>lijunjie</cp:lastModifiedBy>
  <dcterms:modified xsi:type="dcterms:W3CDTF">2022-03-18T16:38:31Z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17th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http://www.zotero.org/styles/harvard-coventry-university</vt:lpwstr>
  </property>
  <property fmtid="{D5CDD505-2E9C-101B-9397-08002B2CF9AE}" pid="13" name="Mendeley Recent Style Name 5_1">
    <vt:lpwstr>Coventry University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y fmtid="{D5CDD505-2E9C-101B-9397-08002B2CF9AE}" pid="25" name="KSOProductBuildVer">
    <vt:lpwstr>2052-3.9.0.6159</vt:lpwstr>
  </property>
</Properties>
</file>