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B1510D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963FD">
              <w:rPr>
                <w:rFonts w:ascii="Times New Roman" w:hAnsi="Times New Roman" w:cs="Times New Roman"/>
                <w:b/>
                <w:color w:val="auto"/>
                <w:sz w:val="48"/>
              </w:rPr>
              <w:t xml:space="preserve">Caitlin Baxter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E09F86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963FD">
              <w:rPr>
                <w:rFonts w:ascii="Times New Roman" w:hAnsi="Times New Roman" w:cs="Times New Roman"/>
                <w:b/>
                <w:color w:val="auto"/>
                <w:sz w:val="48"/>
              </w:rPr>
              <w:t xml:space="preserve"> 1910081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C420CF3" w:rsidR="0085230E" w:rsidRDefault="006963F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1910081 </w:t>
            </w:r>
          </w:p>
          <w:p w14:paraId="08862E6F" w14:textId="77777777" w:rsidR="006963FD" w:rsidRPr="005D3F07" w:rsidRDefault="006963FD"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0797153" w14:textId="52C186E6" w:rsidR="007F312E" w:rsidRPr="00A2589E" w:rsidRDefault="00E83F91" w:rsidP="00A2589E">
      <w:pPr>
        <w:jc w:val="center"/>
        <w:rPr>
          <w:b/>
          <w:sz w:val="24"/>
          <w:szCs w:val="24"/>
        </w:rPr>
      </w:pPr>
      <w:r>
        <w:rPr>
          <w:b/>
          <w:sz w:val="24"/>
          <w:szCs w:val="24"/>
        </w:rPr>
        <w:br w:type="page"/>
      </w: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EB01252" w14:textId="77777777" w:rsidR="006963FD" w:rsidRPr="006963FD" w:rsidRDefault="006963FD" w:rsidP="006963FD">
            <w:pPr>
              <w:rPr>
                <w:sz w:val="24"/>
                <w:szCs w:val="24"/>
              </w:rPr>
            </w:pPr>
            <w:r w:rsidRPr="006963FD">
              <w:rPr>
                <w:sz w:val="24"/>
                <w:szCs w:val="24"/>
              </w:rPr>
              <w:t>Introduction</w:t>
            </w:r>
          </w:p>
          <w:p w14:paraId="63BB9DE4" w14:textId="77777777" w:rsidR="006963FD" w:rsidRPr="006963FD" w:rsidRDefault="006963FD" w:rsidP="006963FD">
            <w:pPr>
              <w:rPr>
                <w:sz w:val="24"/>
                <w:szCs w:val="24"/>
              </w:rPr>
            </w:pPr>
            <w:r w:rsidRPr="006963FD">
              <w:rPr>
                <w:sz w:val="24"/>
                <w:szCs w:val="24"/>
              </w:rPr>
              <w:t>This critically reflective case study examines my involvement in the safeguarding assessment of Individual 3, a 47-year-old woman diagnosed with anxiety and depression and supported by a Community Mental Health Team (CMHT) in Wales. Safeguarding concerns arose due to chronic self-neglect, deteriorating living conditions, poor personal hygiene, social isolation and inconsistent engagement with services. At the time I assumed responsibility as Individual 3's Care Coordinator, safeguarding enquiries were already underway under the Adult at Risk provisions of the Social Services and Well-being (Wales) Act 2014.</w:t>
            </w:r>
          </w:p>
          <w:p w14:paraId="2FA52652" w14:textId="77777777" w:rsidR="006963FD" w:rsidRPr="006963FD" w:rsidRDefault="006963FD" w:rsidP="006963FD">
            <w:pPr>
              <w:rPr>
                <w:sz w:val="24"/>
                <w:szCs w:val="24"/>
              </w:rPr>
            </w:pPr>
            <w:r w:rsidRPr="006963FD">
              <w:rPr>
                <w:sz w:val="24"/>
                <w:szCs w:val="24"/>
              </w:rPr>
              <w:t xml:space="preserve">The assessment was further complicated by Individual 3 living with her adult son, who also had care and support needs, his own social worker and separate safeguarding involvement. Although the safeguarding processes were distinct, it quickly became apparent that the risks affecting </w:t>
            </w:r>
            <w:proofErr w:type="gramStart"/>
            <w:r w:rsidRPr="006963FD">
              <w:rPr>
                <w:sz w:val="24"/>
                <w:szCs w:val="24"/>
              </w:rPr>
              <w:t>each individual</w:t>
            </w:r>
            <w:proofErr w:type="gramEnd"/>
            <w:r w:rsidRPr="006963FD">
              <w:rPr>
                <w:sz w:val="24"/>
                <w:szCs w:val="24"/>
              </w:rPr>
              <w:t xml:space="preserve"> could not be fully understood in isolation. Their relationship appeared highly co-dependent, creating both protective and risk factors within the household. While they provided emotional support to one another, the relationship also appeared to contribute to social isolation, poor engagement with services and the maintenance of unsafe living conditions.</w:t>
            </w:r>
          </w:p>
          <w:p w14:paraId="6DBBE03E" w14:textId="77777777" w:rsidR="006963FD" w:rsidRPr="006963FD" w:rsidRDefault="006963FD" w:rsidP="006963FD">
            <w:pPr>
              <w:rPr>
                <w:sz w:val="24"/>
                <w:szCs w:val="24"/>
              </w:rPr>
            </w:pPr>
            <w:r w:rsidRPr="006963FD">
              <w:rPr>
                <w:sz w:val="24"/>
                <w:szCs w:val="24"/>
              </w:rPr>
              <w:t xml:space="preserve">This case study critically reflects on the assessment process, professional judgement and decision-making involved in responding to concerns of self-neglect. </w:t>
            </w:r>
            <w:proofErr w:type="gramStart"/>
            <w:r w:rsidRPr="006963FD">
              <w:rPr>
                <w:sz w:val="24"/>
                <w:szCs w:val="24"/>
              </w:rPr>
              <w:t>Particular attention</w:t>
            </w:r>
            <w:proofErr w:type="gramEnd"/>
            <w:r w:rsidRPr="006963FD">
              <w:rPr>
                <w:sz w:val="24"/>
                <w:szCs w:val="24"/>
              </w:rPr>
              <w:t xml:space="preserve"> is given to the application of Welsh safeguarding legislation, communication and relationship-based practice, professional curiosity and risk assessment. The reflection demonstrates how safeguarding practice requires balancing an individual's rights and autonomy with responsibilities to prevent serious harm. Throughout the case, I was required to work within </w:t>
            </w:r>
            <w:r w:rsidRPr="006963FD">
              <w:rPr>
                <w:sz w:val="24"/>
                <w:szCs w:val="24"/>
              </w:rPr>
              <w:lastRenderedPageBreak/>
              <w:t>a framework that promotes wellbeing, participation, voice and control while responding to increasing concerns regarding vulnerability and risk (Welsh Government, 2024).</w:t>
            </w:r>
          </w:p>
          <w:p w14:paraId="5B969D2A" w14:textId="77777777" w:rsidR="006963FD" w:rsidRPr="006963FD" w:rsidRDefault="006963FD" w:rsidP="006963FD">
            <w:pPr>
              <w:rPr>
                <w:sz w:val="24"/>
                <w:szCs w:val="24"/>
              </w:rPr>
            </w:pPr>
            <w:r w:rsidRPr="006963FD">
              <w:rPr>
                <w:sz w:val="24"/>
                <w:szCs w:val="24"/>
              </w:rPr>
              <w:t>Confidentiality has been maintained throughout in accordance with the Code of Professional Practice for Social Care (Social Care Wales, 2024).</w:t>
            </w:r>
          </w:p>
          <w:p w14:paraId="3C182ACD" w14:textId="77777777" w:rsidR="006963FD" w:rsidRPr="006963FD" w:rsidRDefault="006963FD" w:rsidP="006963FD">
            <w:pPr>
              <w:rPr>
                <w:sz w:val="24"/>
                <w:szCs w:val="24"/>
              </w:rPr>
            </w:pPr>
          </w:p>
          <w:p w14:paraId="062ECC73" w14:textId="77777777" w:rsidR="006963FD" w:rsidRPr="006963FD" w:rsidRDefault="006963FD" w:rsidP="006963FD">
            <w:pPr>
              <w:rPr>
                <w:sz w:val="24"/>
                <w:szCs w:val="24"/>
              </w:rPr>
            </w:pPr>
            <w:r w:rsidRPr="006963FD">
              <w:rPr>
                <w:sz w:val="24"/>
                <w:szCs w:val="24"/>
              </w:rPr>
              <w:t>Background and Safeguarding Context</w:t>
            </w:r>
          </w:p>
          <w:p w14:paraId="4C660050" w14:textId="77777777" w:rsidR="006963FD" w:rsidRPr="006963FD" w:rsidRDefault="006963FD" w:rsidP="006963FD">
            <w:pPr>
              <w:rPr>
                <w:sz w:val="24"/>
                <w:szCs w:val="24"/>
              </w:rPr>
            </w:pPr>
            <w:r w:rsidRPr="006963FD">
              <w:rPr>
                <w:sz w:val="24"/>
                <w:szCs w:val="24"/>
              </w:rPr>
              <w:t>Individual 3 had a longstanding history of anxiety, depression and episodes of self-neglect. Historical records identified a recurring pattern of deterioration characterised by poor personal care, environmental neglect, social withdrawal and reduced engagement with services. Although no single trigger had been identified, records indicated previous experiences of domestic abuse and significant family bereavements. These experiences appeared to have had a continued impact on her emotional wellbeing and ability to manage daily living.</w:t>
            </w:r>
          </w:p>
          <w:p w14:paraId="0026E12C" w14:textId="77777777" w:rsidR="006963FD" w:rsidRPr="006963FD" w:rsidRDefault="006963FD" w:rsidP="006963FD">
            <w:pPr>
              <w:rPr>
                <w:sz w:val="24"/>
                <w:szCs w:val="24"/>
              </w:rPr>
            </w:pPr>
            <w:r w:rsidRPr="006963FD">
              <w:rPr>
                <w:sz w:val="24"/>
                <w:szCs w:val="24"/>
              </w:rPr>
              <w:t>Of particular concern was evidence that a previous episode of self-neglect had escalated to a level where professionals believed there was a genuine risk to her life. While intensive intervention at that time had improved the situation, the changes were not maintained. This suggested that previous interventions had focused primarily on managing immediate risk rather than addressing the underlying issues contributing to repeated deterioration.</w:t>
            </w:r>
          </w:p>
          <w:p w14:paraId="6E98FBDF" w14:textId="77777777" w:rsidR="006963FD" w:rsidRPr="006963FD" w:rsidRDefault="006963FD" w:rsidP="006963FD">
            <w:pPr>
              <w:rPr>
                <w:sz w:val="24"/>
                <w:szCs w:val="24"/>
              </w:rPr>
            </w:pPr>
            <w:r w:rsidRPr="006963FD">
              <w:rPr>
                <w:sz w:val="24"/>
                <w:szCs w:val="24"/>
              </w:rPr>
              <w:t>Current concerns included worsening home conditions, reports of poor hygiene, increasing numbers of flies within the property, concerns regarding food safety and growing social isolation. Repeated attempts were made by professionals to engage Individual 3; however, her involvement remained inconsistent. This created challenges in both understanding the extent of the risks and identifying effective interventions.</w:t>
            </w:r>
          </w:p>
          <w:p w14:paraId="7E037E44" w14:textId="77777777" w:rsidR="006963FD" w:rsidRPr="006963FD" w:rsidRDefault="006963FD" w:rsidP="006963FD">
            <w:pPr>
              <w:rPr>
                <w:sz w:val="24"/>
                <w:szCs w:val="24"/>
              </w:rPr>
            </w:pPr>
            <w:r w:rsidRPr="006963FD">
              <w:rPr>
                <w:sz w:val="24"/>
                <w:szCs w:val="24"/>
              </w:rPr>
              <w:t>The involvement of Individual 3's son added further complexity. Both individuals were experiencing vulnerabilities and were involved in safeguarding processes. Assessment indicated that their needs and risks were closely interconnected. It became increasingly difficult to separate concerns affecting one individual from those affecting the other. This reinforced the need for a holistic approach that considered the wider family context rather than focusing solely on Individual 3 as an individual.</w:t>
            </w:r>
          </w:p>
          <w:p w14:paraId="670FE046" w14:textId="77777777" w:rsidR="006963FD" w:rsidRPr="006963FD" w:rsidRDefault="006963FD" w:rsidP="006963FD">
            <w:pPr>
              <w:rPr>
                <w:sz w:val="24"/>
                <w:szCs w:val="24"/>
              </w:rPr>
            </w:pPr>
            <w:r w:rsidRPr="006963FD">
              <w:rPr>
                <w:sz w:val="24"/>
                <w:szCs w:val="24"/>
              </w:rPr>
              <w:t>Reviewing historical information became a particularly important aspect of the safeguarding assessment. A clear pattern emerged consisting of deterioration, crisis intervention, temporary improvement and eventual relapse. Understanding this pattern significantly influenced my assessment because it suggested the current concerns were not isolated incidents but formed part of a longstanding cycle.</w:t>
            </w:r>
          </w:p>
          <w:p w14:paraId="671BDB15" w14:textId="77777777" w:rsidR="006963FD" w:rsidRPr="006963FD" w:rsidRDefault="006963FD" w:rsidP="006963FD">
            <w:pPr>
              <w:rPr>
                <w:sz w:val="24"/>
                <w:szCs w:val="24"/>
              </w:rPr>
            </w:pPr>
            <w:r w:rsidRPr="006963FD">
              <w:rPr>
                <w:sz w:val="24"/>
                <w:szCs w:val="24"/>
              </w:rPr>
              <w:t>Braye, Orr and Preston-Shoot (2015) argue that self-neglect presents unique challenges for safeguarding professionals due to the tension between respecting autonomy and preventing serious harm. This tension became one of the defining features of the case. Throughout the assessment I was required to balance Individual 3's right to make decisions about her own life with professional concerns regarding the consequences of continued self-neglect. As a result, safeguarding planning extended beyond the identification of risk and required consideration of capacity, wellbeing, engagement and long-term vulnerability.</w:t>
            </w:r>
          </w:p>
          <w:p w14:paraId="32B0A5EC" w14:textId="77777777" w:rsidR="006963FD" w:rsidRPr="006963FD" w:rsidRDefault="006963FD" w:rsidP="006963FD">
            <w:pPr>
              <w:rPr>
                <w:sz w:val="24"/>
                <w:szCs w:val="24"/>
              </w:rPr>
            </w:pPr>
          </w:p>
          <w:p w14:paraId="3DDA1AC9" w14:textId="77777777" w:rsidR="006963FD" w:rsidRPr="006963FD" w:rsidRDefault="006963FD" w:rsidP="006963FD">
            <w:pPr>
              <w:rPr>
                <w:sz w:val="24"/>
                <w:szCs w:val="24"/>
              </w:rPr>
            </w:pPr>
            <w:r w:rsidRPr="006963FD">
              <w:rPr>
                <w:sz w:val="24"/>
                <w:szCs w:val="24"/>
              </w:rPr>
              <w:t>Assessment, Analysis and Professional Judgement</w:t>
            </w:r>
          </w:p>
          <w:p w14:paraId="734278DE" w14:textId="77777777" w:rsidR="006963FD" w:rsidRPr="006963FD" w:rsidRDefault="006963FD" w:rsidP="006963FD">
            <w:pPr>
              <w:rPr>
                <w:sz w:val="24"/>
                <w:szCs w:val="24"/>
              </w:rPr>
            </w:pPr>
            <w:r w:rsidRPr="006963FD">
              <w:rPr>
                <w:sz w:val="24"/>
                <w:szCs w:val="24"/>
              </w:rPr>
              <w:t xml:space="preserve">Assessment involved far more than gathering information about Individual 3's circumstances. Taylor (2017) argues that effective social work assessment requires </w:t>
            </w:r>
            <w:r w:rsidRPr="006963FD">
              <w:rPr>
                <w:sz w:val="24"/>
                <w:szCs w:val="24"/>
              </w:rPr>
              <w:lastRenderedPageBreak/>
              <w:t>practitioners to analyse information, identify patterns and form evidence-based professional judgements. This distinction became increasingly important as my involvement progressed.</w:t>
            </w:r>
          </w:p>
          <w:p w14:paraId="5823D369" w14:textId="77777777" w:rsidR="006963FD" w:rsidRPr="006963FD" w:rsidRDefault="006963FD" w:rsidP="006963FD">
            <w:pPr>
              <w:rPr>
                <w:sz w:val="24"/>
                <w:szCs w:val="24"/>
              </w:rPr>
            </w:pPr>
            <w:r w:rsidRPr="006963FD">
              <w:rPr>
                <w:sz w:val="24"/>
                <w:szCs w:val="24"/>
              </w:rPr>
              <w:t xml:space="preserve">Initially, my assessment focused heavily on the visible indicators of self-neglect, including poor hygiene, deteriorating living conditions and limited engagement with services. While these concerns were significant, reviewing historical records and information from other professionals revealed a much broader picture. Similar concerns had arisen repeatedly over </w:t>
            </w:r>
            <w:proofErr w:type="gramStart"/>
            <w:r w:rsidRPr="006963FD">
              <w:rPr>
                <w:sz w:val="24"/>
                <w:szCs w:val="24"/>
              </w:rPr>
              <w:t>a number of</w:t>
            </w:r>
            <w:proofErr w:type="gramEnd"/>
            <w:r w:rsidRPr="006963FD">
              <w:rPr>
                <w:sz w:val="24"/>
                <w:szCs w:val="24"/>
              </w:rPr>
              <w:t xml:space="preserve"> years and appeared to follow a consistent pattern of deterioration, crisis intervention, short-term improvement and relapse. This challenged my initial understanding of the case and emphasised the importance of considering historical information alongside current presentation.</w:t>
            </w:r>
          </w:p>
          <w:p w14:paraId="7172393C" w14:textId="77777777" w:rsidR="006963FD" w:rsidRPr="006963FD" w:rsidRDefault="006963FD" w:rsidP="006963FD">
            <w:pPr>
              <w:rPr>
                <w:sz w:val="24"/>
                <w:szCs w:val="24"/>
              </w:rPr>
            </w:pPr>
            <w:r w:rsidRPr="006963FD">
              <w:rPr>
                <w:sz w:val="24"/>
                <w:szCs w:val="24"/>
              </w:rPr>
              <w:t>Several factors contributed to the overall risk formulation. These included diagnosed anxiety and depression, social isolation, poor engagement with services, deteriorating home conditions, previous severe self-neglect and concerns regarding decision-making capacity. The relationship with her son also appeared relevant, as both individuals experienced vulnerabilities that seemed to reinforce one another.</w:t>
            </w:r>
          </w:p>
          <w:p w14:paraId="460AA7AF" w14:textId="77777777" w:rsidR="006963FD" w:rsidRPr="006963FD" w:rsidRDefault="006963FD" w:rsidP="006963FD">
            <w:pPr>
              <w:rPr>
                <w:sz w:val="24"/>
                <w:szCs w:val="24"/>
              </w:rPr>
            </w:pPr>
            <w:r w:rsidRPr="006963FD">
              <w:rPr>
                <w:sz w:val="24"/>
                <w:szCs w:val="24"/>
              </w:rPr>
              <w:t>When considered individually, some of these concerns may not have warranted significant intervention. However, analysing them collectively highlighted a far greater level of vulnerability than any single factor alone. This reinforced the importance of cumulative risk assessment and challenged me to move beyond a task-focused approach towards a more analytical understanding of risk.</w:t>
            </w:r>
          </w:p>
          <w:p w14:paraId="21CFCC34" w14:textId="77777777" w:rsidR="006963FD" w:rsidRPr="006963FD" w:rsidRDefault="006963FD" w:rsidP="006963FD">
            <w:pPr>
              <w:rPr>
                <w:sz w:val="24"/>
                <w:szCs w:val="24"/>
              </w:rPr>
            </w:pPr>
            <w:r w:rsidRPr="006963FD">
              <w:rPr>
                <w:sz w:val="24"/>
                <w:szCs w:val="24"/>
              </w:rPr>
              <w:t>A significant area of reflection concerns the assumptions I initially made during the assessment process. At the outset, I focused primarily on what I could observe. While visible indicators of self-neglect were important, this approach risked reducing a complex situation to a list of presenting concerns. Through supervision and discussion with colleagues, I began to recognise that focusing solely on observable risks created the potential for a deficit-based assessment.</w:t>
            </w:r>
          </w:p>
          <w:p w14:paraId="3BD9A262" w14:textId="77777777" w:rsidR="006963FD" w:rsidRPr="006963FD" w:rsidRDefault="006963FD" w:rsidP="006963FD">
            <w:pPr>
              <w:rPr>
                <w:sz w:val="24"/>
                <w:szCs w:val="24"/>
              </w:rPr>
            </w:pPr>
            <w:r w:rsidRPr="006963FD">
              <w:rPr>
                <w:sz w:val="24"/>
                <w:szCs w:val="24"/>
              </w:rPr>
              <w:t>This prompted me to think more critically about the factors driving the self-neglect. Rather than concentrating exclusively on what was happening, I began asking why the pattern continued despite repeated intervention. This shift in thinking encouraged me to consider the impact of anxiety, trauma, social isolation and previous life experiences. In doing so, I developed a more holistic understanding of Individual 3's circumstances.</w:t>
            </w:r>
          </w:p>
          <w:p w14:paraId="27376BFC" w14:textId="77777777" w:rsidR="006963FD" w:rsidRPr="006963FD" w:rsidRDefault="006963FD" w:rsidP="006963FD">
            <w:pPr>
              <w:rPr>
                <w:sz w:val="24"/>
                <w:szCs w:val="24"/>
              </w:rPr>
            </w:pPr>
            <w:r w:rsidRPr="006963FD">
              <w:rPr>
                <w:sz w:val="24"/>
                <w:szCs w:val="24"/>
              </w:rPr>
              <w:t>Professional curiosity played a crucial role throughout the assessment. Rather than accepting information at face value, I continually explored alternative explanations for the risks identified. For example, I considered whether anxiety was contributing to avoidance of professional involvement, whether poor living conditions had become normalised and whether the longstanding nature of the concerns had reduced professional sensitivity to escalating risk. These questions enabled me to move beyond description and develop a more analytical assessment.</w:t>
            </w:r>
          </w:p>
          <w:p w14:paraId="143668FC" w14:textId="77777777" w:rsidR="006963FD" w:rsidRPr="006963FD" w:rsidRDefault="006963FD" w:rsidP="006963FD">
            <w:pPr>
              <w:rPr>
                <w:sz w:val="24"/>
                <w:szCs w:val="24"/>
              </w:rPr>
            </w:pPr>
            <w:r w:rsidRPr="006963FD">
              <w:rPr>
                <w:sz w:val="24"/>
                <w:szCs w:val="24"/>
              </w:rPr>
              <w:t>The concept of professional drift became increasingly relevant. Because self-neglect had been present for many years, there was a risk that professionals could become accustomed to the situation and unintentionally minimise its seriousness. Reflecting on this possibility challenged me to continually review information critically and avoid making assumptions based on familiarity with the case. This process reinforced the importance of maintaining professional curiosity, particularly in complex safeguarding situations where risks develop gradually over time.</w:t>
            </w:r>
          </w:p>
          <w:p w14:paraId="06663523" w14:textId="77777777" w:rsidR="006963FD" w:rsidRPr="006963FD" w:rsidRDefault="006963FD" w:rsidP="006963FD">
            <w:pPr>
              <w:rPr>
                <w:sz w:val="24"/>
                <w:szCs w:val="24"/>
              </w:rPr>
            </w:pPr>
            <w:r w:rsidRPr="006963FD">
              <w:rPr>
                <w:sz w:val="24"/>
                <w:szCs w:val="24"/>
              </w:rPr>
              <w:lastRenderedPageBreak/>
              <w:t>Munro (2011) argues that safeguarding decisions are often made in conditions of uncertainty. This accurately reflected my experience. There was no single piece of evidence indicating immediate harm. However, historical information demonstrated that previous episodes of self-neglect had escalated significantly, and the combination of increasing isolation, deteriorating living conditions and limited engagement suggested a foreseeable risk of further deterioration. Consequently, professional judgement relied on analysing patterns of information rather than responding solely to immediate concerns.</w:t>
            </w:r>
          </w:p>
          <w:p w14:paraId="1A112BED" w14:textId="77777777" w:rsidR="006963FD" w:rsidRPr="006963FD" w:rsidRDefault="006963FD" w:rsidP="006963FD">
            <w:pPr>
              <w:rPr>
                <w:sz w:val="24"/>
                <w:szCs w:val="24"/>
              </w:rPr>
            </w:pPr>
            <w:r w:rsidRPr="006963FD">
              <w:rPr>
                <w:sz w:val="24"/>
                <w:szCs w:val="24"/>
              </w:rPr>
              <w:t>Another important learning point involved balancing evidence with uncertainty. I found myself wanting definitive answers regarding the causes of Individual 3's behaviour, her future level of risk and the effectiveness of potential interventions. However, safeguarding practice rarely provides certainty. Through reflection, I recognised that effective professional judgement is not about eliminating uncertainty but making reasoned decisions based on the information available while remaining open to new evidence.</w:t>
            </w:r>
          </w:p>
          <w:p w14:paraId="1FCEDD05" w14:textId="77777777" w:rsidR="006963FD" w:rsidRPr="006963FD" w:rsidRDefault="006963FD" w:rsidP="006963FD">
            <w:pPr>
              <w:rPr>
                <w:sz w:val="24"/>
                <w:szCs w:val="24"/>
              </w:rPr>
            </w:pPr>
            <w:r w:rsidRPr="006963FD">
              <w:rPr>
                <w:sz w:val="24"/>
                <w:szCs w:val="24"/>
              </w:rPr>
              <w:t>Looking back, this assessment strengthened my understanding of the importance of analytical thinking in safeguarding practice. It highlighted the value of historical information, professional curiosity and reflective supervision in developing a comprehensive understanding of risk. Most importantly, it reinforced that safeguarding assessment involves understanding the factors sustaining vulnerability, not simply identifying the risks that are immediately visible.</w:t>
            </w:r>
          </w:p>
          <w:p w14:paraId="5E01CBF3" w14:textId="77777777" w:rsidR="006963FD" w:rsidRPr="006963FD" w:rsidRDefault="006963FD" w:rsidP="006963FD">
            <w:pPr>
              <w:rPr>
                <w:sz w:val="24"/>
                <w:szCs w:val="24"/>
              </w:rPr>
            </w:pPr>
            <w:r w:rsidRPr="006963FD">
              <w:rPr>
                <w:sz w:val="24"/>
                <w:szCs w:val="24"/>
              </w:rPr>
              <w:t>Communication and Relationship-Based Practice</w:t>
            </w:r>
          </w:p>
          <w:p w14:paraId="05FA1FE5" w14:textId="77777777" w:rsidR="006963FD" w:rsidRPr="006963FD" w:rsidRDefault="006963FD" w:rsidP="006963FD">
            <w:pPr>
              <w:rPr>
                <w:sz w:val="24"/>
                <w:szCs w:val="24"/>
              </w:rPr>
            </w:pPr>
            <w:r w:rsidRPr="006963FD">
              <w:rPr>
                <w:sz w:val="24"/>
                <w:szCs w:val="24"/>
              </w:rPr>
              <w:t>Communication was central to the safeguarding assessment and became one of the most important tools for understanding risk and promoting engagement. Working with Individual 3 highlighted that effective communication is not simply about gathering information but about developing a relationship that enables difficult conversations about risk, wellbeing and support. Trevithick (2012) suggests that communication forms the foundation of effective social work practice, and this was particularly evident given Individual 3's history of disengagement from services.</w:t>
            </w:r>
          </w:p>
          <w:p w14:paraId="67A635E8" w14:textId="77777777" w:rsidR="006963FD" w:rsidRPr="006963FD" w:rsidRDefault="006963FD" w:rsidP="006963FD">
            <w:pPr>
              <w:rPr>
                <w:sz w:val="24"/>
                <w:szCs w:val="24"/>
              </w:rPr>
            </w:pPr>
            <w:r w:rsidRPr="006963FD">
              <w:rPr>
                <w:sz w:val="24"/>
                <w:szCs w:val="24"/>
              </w:rPr>
              <w:t>At the outset, engagement was challenging. Individual 3 frequently avoided appointments, was difficult to contact and often appeared reluctant to discuss concerns about her home environment and personal care. Initially, I viewed this non-engagement primarily as a barrier to assessment. My focus was on the practical implications, particularly the difficulties it created in gathering information, assessing risk and progressing safeguarding plans. Reflecting on the case, I recognise this was a narrow interpretation. By focusing on what engagement would achieve for professionals, I risked overlooking what disengagement might be communicating about Individual 3's lived experience.</w:t>
            </w:r>
          </w:p>
          <w:p w14:paraId="6E6EFB71" w14:textId="77777777" w:rsidR="006963FD" w:rsidRPr="006963FD" w:rsidRDefault="006963FD" w:rsidP="006963FD">
            <w:pPr>
              <w:rPr>
                <w:sz w:val="24"/>
                <w:szCs w:val="24"/>
              </w:rPr>
            </w:pPr>
            <w:r w:rsidRPr="006963FD">
              <w:rPr>
                <w:sz w:val="24"/>
                <w:szCs w:val="24"/>
              </w:rPr>
              <w:t>Through supervision and reflection, I began to consider whether avoidance was linked to anxiety, shame or previous experiences of professional intervention. This shifted my approach. Rather than viewing engagement as something Individual 3 was choosing not to do, I considered the factors that might be making engagement difficult. This helped me move from a compliance-focused mindset towards a more relational and person-centred approach.</w:t>
            </w:r>
          </w:p>
          <w:p w14:paraId="32B1090D" w14:textId="77777777" w:rsidR="006963FD" w:rsidRPr="006963FD" w:rsidRDefault="006963FD" w:rsidP="006963FD">
            <w:pPr>
              <w:rPr>
                <w:sz w:val="24"/>
                <w:szCs w:val="24"/>
              </w:rPr>
            </w:pPr>
            <w:r w:rsidRPr="006963FD">
              <w:rPr>
                <w:sz w:val="24"/>
                <w:szCs w:val="24"/>
              </w:rPr>
              <w:t xml:space="preserve">Relationship-based practice became increasingly important. Given the chronic nature of the concerns and Individual 3's previous experiences of service involvement, I recognised that trust would need to be developed over time. As a result, I focused on consistency, transparency and active listening. I sought to understand Individual 3's perspective rather than concentrating solely on safeguarding concerns. This approach aligned with the </w:t>
            </w:r>
            <w:r w:rsidRPr="006963FD">
              <w:rPr>
                <w:sz w:val="24"/>
                <w:szCs w:val="24"/>
              </w:rPr>
              <w:lastRenderedPageBreak/>
              <w:t>principles of the Social Services and Well-being (Wales) Act 2014, which emphasises voice, choice and participation.</w:t>
            </w:r>
          </w:p>
          <w:p w14:paraId="4CB4F9E2" w14:textId="77777777" w:rsidR="006963FD" w:rsidRPr="006963FD" w:rsidRDefault="006963FD" w:rsidP="006963FD">
            <w:pPr>
              <w:rPr>
                <w:sz w:val="24"/>
                <w:szCs w:val="24"/>
              </w:rPr>
            </w:pPr>
            <w:r w:rsidRPr="006963FD">
              <w:rPr>
                <w:sz w:val="24"/>
                <w:szCs w:val="24"/>
              </w:rPr>
              <w:t>A significant area of reflection concerns the power imbalance inherent within safeguarding work. As Individual 3's Care Coordinator, I represented statutory services and held responsibilities relating to risk management and safeguarding intervention. Whilst my intention was to provide support, I became increasingly aware that my involvement may have felt intrusive or threatening from Individual 3's perspective. Initially, I underestimated the influence of this imbalance. However, reflecting on our interactions helped me understand how statutory involvement may increase feelings of anxiety and vulnerability for individuals already struggling to engage.</w:t>
            </w:r>
          </w:p>
          <w:p w14:paraId="55E33BDA" w14:textId="77777777" w:rsidR="006963FD" w:rsidRPr="006963FD" w:rsidRDefault="006963FD" w:rsidP="006963FD">
            <w:pPr>
              <w:rPr>
                <w:sz w:val="24"/>
                <w:szCs w:val="24"/>
              </w:rPr>
            </w:pPr>
            <w:r w:rsidRPr="006963FD">
              <w:rPr>
                <w:sz w:val="24"/>
                <w:szCs w:val="24"/>
              </w:rPr>
              <w:t>This awareness influenced how I communicated throughout the assessment. Discussions were undertaken slowly and explained step-by-step. Information was broken down into manageable sections, key points were summarised and opportunities were provided for clarification. Rather than attempting to address multiple safeguarding concerns at once, conversations focused on achievable goals and understanding Individual 3's views. Reflecting on this approach, I believe it helped reduce anxiety and created opportunities for more meaningful participation in the assessment process.</w:t>
            </w:r>
          </w:p>
          <w:p w14:paraId="097BF17E" w14:textId="77777777" w:rsidR="006963FD" w:rsidRPr="006963FD" w:rsidRDefault="006963FD" w:rsidP="006963FD">
            <w:pPr>
              <w:rPr>
                <w:sz w:val="24"/>
                <w:szCs w:val="24"/>
              </w:rPr>
            </w:pPr>
            <w:r w:rsidRPr="006963FD">
              <w:rPr>
                <w:sz w:val="24"/>
                <w:szCs w:val="24"/>
              </w:rPr>
              <w:t>The gradual nature of the assessment also reinforced the importance of patience within safeguarding practice. Early in my involvement, I may have measured progress through attendance at appointments or compliance with professional recommendations. Through experience, I came to appreciate that progress can be demonstrated in much smaller ways. Returning calls, allowing professionals into the property and openly discussing concerns all represented meaningful engagement. Recognising these smaller achievements prevented me from overlooking positive developments and helped maintain a strengths-based perspective.</w:t>
            </w:r>
          </w:p>
          <w:p w14:paraId="72EC1356" w14:textId="77777777" w:rsidR="006963FD" w:rsidRPr="006963FD" w:rsidRDefault="006963FD" w:rsidP="006963FD">
            <w:pPr>
              <w:rPr>
                <w:sz w:val="24"/>
                <w:szCs w:val="24"/>
              </w:rPr>
            </w:pPr>
            <w:r w:rsidRPr="006963FD">
              <w:rPr>
                <w:sz w:val="24"/>
                <w:szCs w:val="24"/>
              </w:rPr>
              <w:t>Professional curiosity was also a key communication skill throughout the assessment. On several occasions, Individual 3 expressed a desire to improve her situation, yet little practical change followed. Initially, this felt contradictory. However, reflecting on these interactions encouraged me to avoid assumptions regarding motivation. Instead, I considered whether anxiety, low mood or a lack of confidence were reducing her ability to act on intentions. This strengthened my analysis and helped avoid simplistic conclusions about her behaviour.</w:t>
            </w:r>
          </w:p>
          <w:p w14:paraId="65AEBCA8" w14:textId="77777777" w:rsidR="006963FD" w:rsidRPr="006963FD" w:rsidRDefault="006963FD" w:rsidP="006963FD">
            <w:pPr>
              <w:rPr>
                <w:sz w:val="24"/>
                <w:szCs w:val="24"/>
              </w:rPr>
            </w:pPr>
            <w:r w:rsidRPr="006963FD">
              <w:rPr>
                <w:sz w:val="24"/>
                <w:szCs w:val="24"/>
              </w:rPr>
              <w:t>A particularly important aspect of the case was the positive feedback provided by Individual 3. As the working relationship developed, she reported feeling supported throughout the assessment process and stated that she felt listened to and respected. She also commented that I was "doing a brilliant job." While positive feedback should not be viewed as evidence that all aspects of practice were effective, it suggested that the relationship had created enough trust for honest communication to occur. This was particularly significant given her previous difficulties engaging with services.</w:t>
            </w:r>
          </w:p>
          <w:p w14:paraId="7B8860F4" w14:textId="77777777" w:rsidR="006963FD" w:rsidRPr="006963FD" w:rsidRDefault="006963FD" w:rsidP="006963FD">
            <w:pPr>
              <w:rPr>
                <w:sz w:val="24"/>
                <w:szCs w:val="24"/>
              </w:rPr>
            </w:pPr>
            <w:r w:rsidRPr="006963FD">
              <w:rPr>
                <w:sz w:val="24"/>
                <w:szCs w:val="24"/>
              </w:rPr>
              <w:t>Reflecting on the case, I learned that communication itself can be an intervention. Building trust enabled a deeper understanding of Individual 3's circumstances and strengthened the quality of the safeguarding assessment. Most importantly, the experience reinforced that safeguarding is often most effective when individuals feel heard, respected and actively involved in decision-making rather than simply being the subject of professional concern.</w:t>
            </w:r>
          </w:p>
          <w:p w14:paraId="39FC6E5F" w14:textId="77777777" w:rsidR="006963FD" w:rsidRPr="006963FD" w:rsidRDefault="006963FD" w:rsidP="006963FD">
            <w:pPr>
              <w:rPr>
                <w:sz w:val="24"/>
                <w:szCs w:val="24"/>
              </w:rPr>
            </w:pPr>
          </w:p>
          <w:p w14:paraId="2423048F" w14:textId="77777777" w:rsidR="006963FD" w:rsidRPr="006963FD" w:rsidRDefault="006963FD" w:rsidP="006963FD">
            <w:pPr>
              <w:rPr>
                <w:sz w:val="24"/>
                <w:szCs w:val="24"/>
              </w:rPr>
            </w:pPr>
            <w:r w:rsidRPr="006963FD">
              <w:rPr>
                <w:sz w:val="24"/>
                <w:szCs w:val="24"/>
              </w:rPr>
              <w:t>Mental Capacity, Autonomy and Ethical Practice</w:t>
            </w:r>
          </w:p>
          <w:p w14:paraId="6E72B7D1" w14:textId="77777777" w:rsidR="006963FD" w:rsidRPr="006963FD" w:rsidRDefault="006963FD" w:rsidP="006963FD">
            <w:pPr>
              <w:rPr>
                <w:sz w:val="24"/>
                <w:szCs w:val="24"/>
              </w:rPr>
            </w:pPr>
            <w:r w:rsidRPr="006963FD">
              <w:rPr>
                <w:sz w:val="24"/>
                <w:szCs w:val="24"/>
              </w:rPr>
              <w:lastRenderedPageBreak/>
              <w:t>One of the most complex aspects of the safeguarding assessment involved balancing concerns regarding self-neglect with Individual 3's right to make decisions about her own life. Questions arose regarding the extent to which her mental health difficulties were affecting her ability to make and implement decisions about her wellbeing. This created significant ethical and professional challenges throughout the case.</w:t>
            </w:r>
          </w:p>
          <w:p w14:paraId="4202ACE9" w14:textId="77777777" w:rsidR="006963FD" w:rsidRPr="006963FD" w:rsidRDefault="006963FD" w:rsidP="006963FD">
            <w:pPr>
              <w:rPr>
                <w:sz w:val="24"/>
                <w:szCs w:val="24"/>
              </w:rPr>
            </w:pPr>
            <w:r w:rsidRPr="006963FD">
              <w:rPr>
                <w:sz w:val="24"/>
                <w:szCs w:val="24"/>
              </w:rPr>
              <w:t>The Mental Capacity Act (2005) requires practitioners to begin with the presumption that an individual has capacity unless there is evidence to suggest otherwise. Initially, I placed substantial weight on this principle. Individual 3 was able to communicate her views, express preferences and discuss her circumstances. As a result, my early assessment tended to interpret her choices as evidence of autonomous decision-making.</w:t>
            </w:r>
          </w:p>
          <w:p w14:paraId="7BB03458" w14:textId="77777777" w:rsidR="006963FD" w:rsidRPr="006963FD" w:rsidRDefault="006963FD" w:rsidP="006963FD">
            <w:pPr>
              <w:rPr>
                <w:sz w:val="24"/>
                <w:szCs w:val="24"/>
              </w:rPr>
            </w:pPr>
            <w:r w:rsidRPr="006963FD">
              <w:rPr>
                <w:sz w:val="24"/>
                <w:szCs w:val="24"/>
              </w:rPr>
              <w:t>However, as the assessment progressed, I became increasingly aware that the situation was more complex than a simple distinction between capacity and incapacity. Historical information demonstrated repeated episodes of severe self-neglect, significant deterioration in living conditions and increasing vulnerability. Whilst Individual 3 could articulate her wishes, there appeared to be a disconnect between what she stated she wanted to achieve and the reality of her circumstances.</w:t>
            </w:r>
          </w:p>
          <w:p w14:paraId="31D4FBAC" w14:textId="77777777" w:rsidR="006963FD" w:rsidRPr="006963FD" w:rsidRDefault="006963FD" w:rsidP="006963FD">
            <w:pPr>
              <w:rPr>
                <w:sz w:val="24"/>
                <w:szCs w:val="24"/>
              </w:rPr>
            </w:pPr>
            <w:r w:rsidRPr="006963FD">
              <w:rPr>
                <w:sz w:val="24"/>
                <w:szCs w:val="24"/>
              </w:rPr>
              <w:t>This led me to reflect on the concept of executive functioning. Although there was no diagnosis affecting cognition, concerns emerged regarding her ability to initiate, organise and sustain tasks necessary for her wellbeing. Individual 3 frequently identified actions she wished to take but struggled to translate intentions into sustained change. This challenged my understanding of capacity and highlighted that having capacity does not necessarily mean an individual can consistently act upon their decisions.</w:t>
            </w:r>
          </w:p>
          <w:p w14:paraId="52C7B7F2" w14:textId="77777777" w:rsidR="006963FD" w:rsidRPr="006963FD" w:rsidRDefault="006963FD" w:rsidP="006963FD">
            <w:pPr>
              <w:rPr>
                <w:sz w:val="24"/>
                <w:szCs w:val="24"/>
              </w:rPr>
            </w:pPr>
            <w:r w:rsidRPr="006963FD">
              <w:rPr>
                <w:sz w:val="24"/>
                <w:szCs w:val="24"/>
              </w:rPr>
              <w:t>Prior to this case, I tended to view capacity in relatively binary terms. Either a person had capacity or they did not. This experience challenged that assumption. It demonstrated that safeguarding practitioners often work with individuals who have capacity but remain highly vulnerable due to the impact of mental ill-health, trauma, social isolation and reduced functioning. Consequently, I became more cautious about equating decision-making ability with an individual's overall ability to protect themselves from harm.</w:t>
            </w:r>
          </w:p>
          <w:p w14:paraId="52E89D2C" w14:textId="77777777" w:rsidR="006963FD" w:rsidRPr="006963FD" w:rsidRDefault="006963FD" w:rsidP="006963FD">
            <w:pPr>
              <w:rPr>
                <w:sz w:val="24"/>
                <w:szCs w:val="24"/>
              </w:rPr>
            </w:pPr>
            <w:r w:rsidRPr="006963FD">
              <w:rPr>
                <w:sz w:val="24"/>
                <w:szCs w:val="24"/>
              </w:rPr>
              <w:t>A further challenge arose because repeated attempts to complete formal Mental Capacity Assessments were unsuccessful due to inconsistent engagement. This created significant uncertainty. There was insufficient evidence to conclude that Individual 3 lacked capacity. Equally, there was insufficient evidence to confidently state that all decisions reflected fully informed and autonomous choice. This uncertainty was difficult to navigate and required ongoing reflection and consultation with colleagues.</w:t>
            </w:r>
          </w:p>
          <w:p w14:paraId="40E28E28" w14:textId="77777777" w:rsidR="006963FD" w:rsidRPr="006963FD" w:rsidRDefault="006963FD" w:rsidP="006963FD">
            <w:pPr>
              <w:rPr>
                <w:sz w:val="24"/>
                <w:szCs w:val="24"/>
              </w:rPr>
            </w:pPr>
            <w:r w:rsidRPr="006963FD">
              <w:rPr>
                <w:sz w:val="24"/>
                <w:szCs w:val="24"/>
              </w:rPr>
              <w:t>Munro (2011) argues that safeguarding decisions are frequently made in situations where certainty is not possible. This reflected my experience throughout the case. Initially, I found this uncomfortable and sought definitive answers regarding risk and capacity. Over time, I learned that professional judgement often involves making proportionate decisions based on incomplete information whilst remaining open to new evidence.</w:t>
            </w:r>
          </w:p>
          <w:p w14:paraId="4E7460F5" w14:textId="77777777" w:rsidR="006963FD" w:rsidRPr="006963FD" w:rsidRDefault="006963FD" w:rsidP="006963FD">
            <w:pPr>
              <w:rPr>
                <w:sz w:val="24"/>
                <w:szCs w:val="24"/>
              </w:rPr>
            </w:pPr>
            <w:r w:rsidRPr="006963FD">
              <w:rPr>
                <w:sz w:val="24"/>
                <w:szCs w:val="24"/>
              </w:rPr>
              <w:t>The ethical tension between autonomy and protection remained central throughout the assessment. Article 8 of the Human Rights Act (1998) protects an individual's right to private and family life, including the right to make choices that others may regard as unwise. Respecting autonomy was therefore an important consideration.</w:t>
            </w:r>
          </w:p>
          <w:p w14:paraId="61B87B55" w14:textId="77777777" w:rsidR="006963FD" w:rsidRPr="006963FD" w:rsidRDefault="006963FD" w:rsidP="006963FD">
            <w:pPr>
              <w:rPr>
                <w:sz w:val="24"/>
                <w:szCs w:val="24"/>
              </w:rPr>
            </w:pPr>
            <w:r w:rsidRPr="006963FD">
              <w:rPr>
                <w:sz w:val="24"/>
                <w:szCs w:val="24"/>
              </w:rPr>
              <w:t xml:space="preserve">However, Article 2 creates a positive obligation to protect life where foreseeable risks exist. Historical records indicated that previous episodes of self-neglect had become so severe that there were concerns for Individual 3's safety. This meant professionals could not simply </w:t>
            </w:r>
            <w:r w:rsidRPr="006963FD">
              <w:rPr>
                <w:sz w:val="24"/>
                <w:szCs w:val="24"/>
              </w:rPr>
              <w:lastRenderedPageBreak/>
              <w:t>accept deteriorating circumstances without challenge. Balancing these competing rights became one of the most difficult aspects of the case.</w:t>
            </w:r>
          </w:p>
          <w:p w14:paraId="7D604E08" w14:textId="77777777" w:rsidR="006963FD" w:rsidRPr="006963FD" w:rsidRDefault="006963FD" w:rsidP="006963FD">
            <w:pPr>
              <w:rPr>
                <w:sz w:val="24"/>
                <w:szCs w:val="24"/>
              </w:rPr>
            </w:pPr>
            <w:r w:rsidRPr="006963FD">
              <w:rPr>
                <w:sz w:val="24"/>
                <w:szCs w:val="24"/>
              </w:rPr>
              <w:t>Reflecting on this process, I realised that I initially viewed autonomy and protection as opposing concepts. As my understanding developed, I came to appreciate that effective safeguarding requires consideration of both. Respecting autonomy does not mean withdrawing support when risks increase, just as safeguarding does not justify unnecessarily intrusive intervention. Instead, the role of the social worker is to find proportionate responses that promote both safety and self-determination.</w:t>
            </w:r>
          </w:p>
          <w:p w14:paraId="729E8728" w14:textId="77777777" w:rsidR="006963FD" w:rsidRPr="006963FD" w:rsidRDefault="006963FD" w:rsidP="006963FD">
            <w:pPr>
              <w:rPr>
                <w:sz w:val="24"/>
                <w:szCs w:val="24"/>
              </w:rPr>
            </w:pPr>
            <w:r w:rsidRPr="006963FD">
              <w:rPr>
                <w:sz w:val="24"/>
                <w:szCs w:val="24"/>
              </w:rPr>
              <w:t>The experience strengthened my understanding of ethical decision-making and highlighted the importance of reflective practice when managing uncertainty. Most importantly, it reinforced that capacity should never be considered in isolation from the wider context of an individual's life. Understanding vulnerability requires consideration of mental health, functioning, relationships and environmental factors alongside legal principles. This broader perspective enabled a more balanced assessment and supported defensible professional decision-making throughout the safeguarding process.</w:t>
            </w:r>
          </w:p>
          <w:p w14:paraId="46B40C48" w14:textId="77777777" w:rsidR="006963FD" w:rsidRPr="006963FD" w:rsidRDefault="006963FD" w:rsidP="006963FD">
            <w:pPr>
              <w:rPr>
                <w:sz w:val="24"/>
                <w:szCs w:val="24"/>
              </w:rPr>
            </w:pPr>
          </w:p>
          <w:p w14:paraId="0447FEA7" w14:textId="77777777" w:rsidR="006963FD" w:rsidRPr="006963FD" w:rsidRDefault="006963FD" w:rsidP="006963FD">
            <w:pPr>
              <w:rPr>
                <w:sz w:val="24"/>
                <w:szCs w:val="24"/>
              </w:rPr>
            </w:pPr>
          </w:p>
          <w:p w14:paraId="5900EDA3" w14:textId="77777777" w:rsidR="006963FD" w:rsidRPr="006963FD" w:rsidRDefault="006963FD" w:rsidP="006963FD">
            <w:pPr>
              <w:rPr>
                <w:sz w:val="24"/>
                <w:szCs w:val="24"/>
              </w:rPr>
            </w:pPr>
            <w:r w:rsidRPr="006963FD">
              <w:rPr>
                <w:sz w:val="24"/>
                <w:szCs w:val="24"/>
              </w:rPr>
              <w:t>Theory Informing Practice</w:t>
            </w:r>
          </w:p>
          <w:p w14:paraId="13A95D0F" w14:textId="77777777" w:rsidR="006963FD" w:rsidRPr="006963FD" w:rsidRDefault="006963FD" w:rsidP="006963FD">
            <w:pPr>
              <w:rPr>
                <w:sz w:val="24"/>
                <w:szCs w:val="24"/>
              </w:rPr>
            </w:pPr>
            <w:r w:rsidRPr="006963FD">
              <w:rPr>
                <w:sz w:val="24"/>
                <w:szCs w:val="24"/>
              </w:rPr>
              <w:t>Social work theory helped move my assessment beyond describing concerns and supported a more analytical understanding of the factors contributing to Individual 3's vulnerability. Whilst legislation provided the framework for intervention, theory offered explanations for why risks had developed, why they persisted and why previous interventions had achieved only temporary improvement.</w:t>
            </w:r>
          </w:p>
          <w:p w14:paraId="6363CFEE" w14:textId="77777777" w:rsidR="006963FD" w:rsidRPr="006963FD" w:rsidRDefault="006963FD" w:rsidP="006963FD">
            <w:pPr>
              <w:rPr>
                <w:sz w:val="24"/>
                <w:szCs w:val="24"/>
              </w:rPr>
            </w:pPr>
            <w:r w:rsidRPr="006963FD">
              <w:rPr>
                <w:sz w:val="24"/>
                <w:szCs w:val="24"/>
              </w:rPr>
              <w:t>Systems Theory (Pincus and Minahan, 1973) was particularly useful in understanding the interconnected nature of the concerns. Initially, I focused primarily on Individual 3's self-neglect and mental health difficulties. However, applying a systems perspective helped me consider the wider influences affecting her wellbeing, including family relationships, service involvement, social isolation and previous life experiences. This broadened my assessment and encouraged me to look beyond individual behaviour when understanding risk.</w:t>
            </w:r>
          </w:p>
          <w:p w14:paraId="072CC23E" w14:textId="77777777" w:rsidR="006963FD" w:rsidRPr="006963FD" w:rsidRDefault="006963FD" w:rsidP="006963FD">
            <w:pPr>
              <w:rPr>
                <w:sz w:val="24"/>
                <w:szCs w:val="24"/>
              </w:rPr>
            </w:pPr>
            <w:r w:rsidRPr="006963FD">
              <w:rPr>
                <w:sz w:val="24"/>
                <w:szCs w:val="24"/>
              </w:rPr>
              <w:t>The theory was especially relevant when reviewing historical information. The recurring pattern of deterioration, crisis intervention and relapse suggested that previous responses had addressed immediate risks without significantly changing the wider system sustaining vulnerability. Reflecting on this challenged me to think more critically about long-term risk management rather than focusing exclusively on current concerns.</w:t>
            </w:r>
          </w:p>
          <w:p w14:paraId="5B2483C3" w14:textId="77777777" w:rsidR="006963FD" w:rsidRPr="006963FD" w:rsidRDefault="006963FD" w:rsidP="006963FD">
            <w:pPr>
              <w:rPr>
                <w:sz w:val="24"/>
                <w:szCs w:val="24"/>
              </w:rPr>
            </w:pPr>
            <w:r w:rsidRPr="006963FD">
              <w:rPr>
                <w:sz w:val="24"/>
                <w:szCs w:val="24"/>
              </w:rPr>
              <w:t>Family Systems Theory (Bowen, 1978) further enhanced my understanding of the relationship between Individual 3 and her son. Assessment suggested their relationship functioned as both a protective and risk factor. Whilst there was clear emotional support between them, there was also evidence that their dependency on one another contributed to social isolation, poor engagement and the maintenance of unsafe living conditions.</w:t>
            </w:r>
          </w:p>
          <w:p w14:paraId="22DFB55F" w14:textId="77777777" w:rsidR="006963FD" w:rsidRPr="006963FD" w:rsidRDefault="006963FD" w:rsidP="006963FD">
            <w:pPr>
              <w:rPr>
                <w:sz w:val="24"/>
                <w:szCs w:val="24"/>
              </w:rPr>
            </w:pPr>
            <w:r w:rsidRPr="006963FD">
              <w:rPr>
                <w:sz w:val="24"/>
                <w:szCs w:val="24"/>
              </w:rPr>
              <w:t>Applying Family Systems Theory challenged my early tendency to view safeguarding concerns as individual issues. Instead, it highlighted how difficulties experienced by one family member can influence the wellbeing of another. This reinforced the importance of considering the wider family context when formulating safeguarding plans.</w:t>
            </w:r>
          </w:p>
          <w:p w14:paraId="7B3DB5B4" w14:textId="77777777" w:rsidR="006963FD" w:rsidRPr="006963FD" w:rsidRDefault="006963FD" w:rsidP="006963FD">
            <w:pPr>
              <w:rPr>
                <w:sz w:val="24"/>
                <w:szCs w:val="24"/>
              </w:rPr>
            </w:pPr>
            <w:r w:rsidRPr="006963FD">
              <w:rPr>
                <w:sz w:val="24"/>
                <w:szCs w:val="24"/>
              </w:rPr>
              <w:t xml:space="preserve">Bronfenbrenner's (1979) Ecological Systems Theory provided a further layer of analysis by considering the interaction between individuals and their environment. From this perspective, Individual 3's self-neglect could not be understood solely through her mental </w:t>
            </w:r>
            <w:r w:rsidRPr="006963FD">
              <w:rPr>
                <w:sz w:val="24"/>
                <w:szCs w:val="24"/>
              </w:rPr>
              <w:lastRenderedPageBreak/>
              <w:t>health difficulties. Family relationships, service involvement, social networks and environmental conditions all contributed to her circumstances.</w:t>
            </w:r>
          </w:p>
          <w:p w14:paraId="0970C370" w14:textId="77777777" w:rsidR="006963FD" w:rsidRPr="006963FD" w:rsidRDefault="006963FD" w:rsidP="006963FD">
            <w:pPr>
              <w:rPr>
                <w:sz w:val="24"/>
                <w:szCs w:val="24"/>
              </w:rPr>
            </w:pPr>
            <w:r w:rsidRPr="006963FD">
              <w:rPr>
                <w:sz w:val="24"/>
                <w:szCs w:val="24"/>
              </w:rPr>
              <w:t>Using an ecological perspective encouraged a more holistic assessment and reduced the risk of oversimplifying the causes of self-neglect. It also highlighted the importance of considering how services and systems may influence outcomes, rather than locating responsibility solely within the individual.</w:t>
            </w:r>
          </w:p>
          <w:p w14:paraId="46065BB4" w14:textId="77777777" w:rsidR="006963FD" w:rsidRPr="006963FD" w:rsidRDefault="006963FD" w:rsidP="006963FD">
            <w:pPr>
              <w:rPr>
                <w:sz w:val="24"/>
                <w:szCs w:val="24"/>
              </w:rPr>
            </w:pPr>
            <w:r w:rsidRPr="006963FD">
              <w:rPr>
                <w:sz w:val="24"/>
                <w:szCs w:val="24"/>
              </w:rPr>
              <w:t>Reflecting on the application of theory, I learned that no single framework could fully explain Individual 3's situation. Each theory provided a different perspective and contributed to a richer understanding of risk. The experience reinforced that theory is most useful when applied critically alongside legislation, professional judgement and reflection.</w:t>
            </w:r>
          </w:p>
          <w:p w14:paraId="7CF8F52F" w14:textId="77777777" w:rsidR="006963FD" w:rsidRPr="006963FD" w:rsidRDefault="006963FD" w:rsidP="006963FD">
            <w:pPr>
              <w:rPr>
                <w:sz w:val="24"/>
                <w:szCs w:val="24"/>
              </w:rPr>
            </w:pPr>
            <w:r w:rsidRPr="006963FD">
              <w:rPr>
                <w:sz w:val="24"/>
                <w:szCs w:val="24"/>
              </w:rPr>
              <w:t>Overall, these theoretical frameworks strengthened my assessment by encouraging analytical thinking and supporting a deeper understanding of the factors contributing to vulnerability. They enabled me to move beyond describing concerns and develop a more holistic, evidence-informed understanding of risk within the safeguarding context.</w:t>
            </w:r>
          </w:p>
          <w:p w14:paraId="75E30262" w14:textId="77777777" w:rsidR="006963FD" w:rsidRPr="006963FD" w:rsidRDefault="006963FD" w:rsidP="006963FD">
            <w:pPr>
              <w:rPr>
                <w:sz w:val="24"/>
                <w:szCs w:val="24"/>
              </w:rPr>
            </w:pPr>
            <w:r w:rsidRPr="006963FD">
              <w:rPr>
                <w:sz w:val="24"/>
                <w:szCs w:val="24"/>
              </w:rPr>
              <w:t>Multidisciplinary Working, Supervision and Professional Development</w:t>
            </w:r>
          </w:p>
          <w:p w14:paraId="20DF629D" w14:textId="77777777" w:rsidR="006963FD" w:rsidRPr="006963FD" w:rsidRDefault="006963FD" w:rsidP="006963FD">
            <w:pPr>
              <w:rPr>
                <w:sz w:val="24"/>
                <w:szCs w:val="24"/>
              </w:rPr>
            </w:pPr>
            <w:r w:rsidRPr="006963FD">
              <w:rPr>
                <w:sz w:val="24"/>
                <w:szCs w:val="24"/>
              </w:rPr>
              <w:t>The complexity of Individual 3's circumstances meant that safeguarding assessment could not be undertaken effectively by a single professional. In line with the Wales Safeguarding Procedures (2024), the assessment relied upon collaborative working between mental health services, safeguarding practitioners, medical professionals, social workers and practitioners involved with Individual 3's son. This multi-agency approach was essential in developing a comprehensive understanding of risk.</w:t>
            </w:r>
          </w:p>
          <w:p w14:paraId="34D6E200" w14:textId="77777777" w:rsidR="006963FD" w:rsidRPr="006963FD" w:rsidRDefault="006963FD" w:rsidP="006963FD">
            <w:pPr>
              <w:rPr>
                <w:sz w:val="24"/>
                <w:szCs w:val="24"/>
              </w:rPr>
            </w:pPr>
            <w:r w:rsidRPr="006963FD">
              <w:rPr>
                <w:sz w:val="24"/>
                <w:szCs w:val="24"/>
              </w:rPr>
              <w:t>Initially, I viewed multidisciplinary working largely as a means of sharing information. However, through reflection, I came to appreciate that its greatest value lay in the challenge it provided to my own thinking. Professionals involved in the case occasionally held different views regarding risk, engagement and the impact of mental health on Individual 3's functioning. While these differences initially created uncertainty, they ultimately strengthened the assessment by encouraging critical discussion and preventing assumptions from going unchallenged.</w:t>
            </w:r>
          </w:p>
          <w:p w14:paraId="32A8DFFC" w14:textId="77777777" w:rsidR="006963FD" w:rsidRPr="006963FD" w:rsidRDefault="006963FD" w:rsidP="006963FD">
            <w:pPr>
              <w:rPr>
                <w:sz w:val="24"/>
                <w:szCs w:val="24"/>
              </w:rPr>
            </w:pPr>
            <w:r w:rsidRPr="006963FD">
              <w:rPr>
                <w:sz w:val="24"/>
                <w:szCs w:val="24"/>
              </w:rPr>
              <w:t>The involvement of Individual 3's son highlighted the importance of collaborative working. Information from professionals supporting him provided greater insight into the family dynamics and the extent to which risks within the household were interconnected. This strengthened my understanding of the case and reinforced the need to view safeguarding concerns through a systemic lens rather than focusing exclusively on the individual.</w:t>
            </w:r>
          </w:p>
          <w:p w14:paraId="13A5930D" w14:textId="77777777" w:rsidR="006963FD" w:rsidRPr="006963FD" w:rsidRDefault="006963FD" w:rsidP="006963FD">
            <w:pPr>
              <w:rPr>
                <w:sz w:val="24"/>
                <w:szCs w:val="24"/>
              </w:rPr>
            </w:pPr>
            <w:r w:rsidRPr="006963FD">
              <w:rPr>
                <w:sz w:val="24"/>
                <w:szCs w:val="24"/>
              </w:rPr>
              <w:t>A key learning point from multidisciplinary working was recognising the limitations of my own professional perspective. As Care Coordinator, my assessment was inevitably influenced by my professional role and the information available to me. Exposure to alternative viewpoints encouraged me to reconsider assumptions and explore different explanations for Individual 3's presentation. This was particularly important when considering issues such as capacity, non-engagement and the relationship between mental health and self-neglect.</w:t>
            </w:r>
          </w:p>
          <w:p w14:paraId="52071EA8" w14:textId="77777777" w:rsidR="006963FD" w:rsidRPr="006963FD" w:rsidRDefault="006963FD" w:rsidP="006963FD">
            <w:pPr>
              <w:rPr>
                <w:sz w:val="24"/>
                <w:szCs w:val="24"/>
              </w:rPr>
            </w:pPr>
            <w:r w:rsidRPr="006963FD">
              <w:rPr>
                <w:sz w:val="24"/>
                <w:szCs w:val="24"/>
              </w:rPr>
              <w:t>Munro (2011) argues that effective safeguarding requires practitioners to remain open to challenge and avoid premature conclusions. Reflecting on the case, I recognised that multidisciplinary discussions helped reduce the risk of confirmation bias by exposing assessments to scrutiny from professionals with different expertise and experiences. This strengthened both the quality of decision-making and the defensibility of professional judgement.</w:t>
            </w:r>
          </w:p>
          <w:p w14:paraId="762FF110" w14:textId="77777777" w:rsidR="006963FD" w:rsidRPr="006963FD" w:rsidRDefault="006963FD" w:rsidP="006963FD">
            <w:pPr>
              <w:rPr>
                <w:sz w:val="24"/>
                <w:szCs w:val="24"/>
              </w:rPr>
            </w:pPr>
            <w:r w:rsidRPr="006963FD">
              <w:rPr>
                <w:sz w:val="24"/>
                <w:szCs w:val="24"/>
              </w:rPr>
              <w:lastRenderedPageBreak/>
              <w:t>Supervision was equally important throughout the safeguarding process. The complexity of the case generated significant uncertainty and raised ethical questions regarding autonomy, risk and intervention. Supervision provided a protected space to reflect critically on my practice, explore emotional responses and examine the rationale underpinning decisions.</w:t>
            </w:r>
          </w:p>
          <w:p w14:paraId="283FF171" w14:textId="77777777" w:rsidR="006963FD" w:rsidRPr="006963FD" w:rsidRDefault="006963FD" w:rsidP="006963FD">
            <w:pPr>
              <w:rPr>
                <w:sz w:val="24"/>
                <w:szCs w:val="24"/>
              </w:rPr>
            </w:pPr>
            <w:r w:rsidRPr="006963FD">
              <w:rPr>
                <w:sz w:val="24"/>
                <w:szCs w:val="24"/>
              </w:rPr>
              <w:t>One of the most valuable aspects of supervision was the opportunity to challenge my initial interpretations of events. For example, I initially viewed Individual 3's disengagement primarily as a barrier to intervention. Through reflective discussion, I began to consider what this disengagement might communicate about her anxiety, vulnerability and previous experiences of services. This shift encouraged a more empathetic and analytical approach to assessment.</w:t>
            </w:r>
          </w:p>
          <w:p w14:paraId="381E54FE" w14:textId="77777777" w:rsidR="006963FD" w:rsidRPr="006963FD" w:rsidRDefault="006963FD" w:rsidP="006963FD">
            <w:pPr>
              <w:rPr>
                <w:sz w:val="24"/>
                <w:szCs w:val="24"/>
              </w:rPr>
            </w:pPr>
            <w:r w:rsidRPr="006963FD">
              <w:rPr>
                <w:sz w:val="24"/>
                <w:szCs w:val="24"/>
              </w:rPr>
              <w:t>Supervision also encouraged me to reflect on the potential for professional drift and case normalisation. Given the longstanding nature of the self-neglect concerns, there was a risk that professionals could become accustomed to the situation and inadvertently underestimate escalating risks. Reflective discussion helped me remain focused on the seriousness of the concerns and reinforced the importance of professional curiosity.</w:t>
            </w:r>
          </w:p>
          <w:p w14:paraId="7EAF5F0C" w14:textId="77777777" w:rsidR="006963FD" w:rsidRPr="006963FD" w:rsidRDefault="006963FD" w:rsidP="006963FD">
            <w:pPr>
              <w:rPr>
                <w:sz w:val="24"/>
                <w:szCs w:val="24"/>
              </w:rPr>
            </w:pPr>
            <w:r w:rsidRPr="006963FD">
              <w:rPr>
                <w:sz w:val="24"/>
                <w:szCs w:val="24"/>
              </w:rPr>
              <w:t>The emotional impact of the work was another area explored through supervision. Working with chronic self-neglect can create frustration and feelings of helplessness when risks persist despite intervention. Reflecting on these responses helped me understand how they could influence decision-making if left unexamined. As a result, supervision became an important mechanism for maintaining professional resilience and reflective practice.</w:t>
            </w:r>
          </w:p>
          <w:p w14:paraId="28DE5A34" w14:textId="77777777" w:rsidR="006963FD" w:rsidRPr="006963FD" w:rsidRDefault="006963FD" w:rsidP="006963FD">
            <w:pPr>
              <w:rPr>
                <w:sz w:val="24"/>
                <w:szCs w:val="24"/>
              </w:rPr>
            </w:pPr>
            <w:r w:rsidRPr="006963FD">
              <w:rPr>
                <w:sz w:val="24"/>
                <w:szCs w:val="24"/>
              </w:rPr>
              <w:t>Overall, multidisciplinary working and supervision strengthened the quality of the safeguarding assessment. They enhanced analytical thinking, supported defensible decision-making and reinforced the importance of collaboration when managing complex safeguarding concerns. Most importantly, they highlighted that effective safeguarding relies not only on individual professional judgement but also on collective expertise, reflection and constructive challenge.</w:t>
            </w:r>
          </w:p>
          <w:p w14:paraId="753746B1" w14:textId="77777777" w:rsidR="006963FD" w:rsidRPr="006963FD" w:rsidRDefault="006963FD" w:rsidP="006963FD">
            <w:pPr>
              <w:rPr>
                <w:sz w:val="24"/>
                <w:szCs w:val="24"/>
              </w:rPr>
            </w:pPr>
          </w:p>
          <w:p w14:paraId="649FF147" w14:textId="77777777" w:rsidR="006963FD" w:rsidRPr="006963FD" w:rsidRDefault="006963FD" w:rsidP="006963FD">
            <w:pPr>
              <w:rPr>
                <w:sz w:val="24"/>
                <w:szCs w:val="24"/>
              </w:rPr>
            </w:pPr>
            <w:r w:rsidRPr="006963FD">
              <w:rPr>
                <w:sz w:val="24"/>
                <w:szCs w:val="24"/>
              </w:rPr>
              <w:t>Conclusion</w:t>
            </w:r>
          </w:p>
          <w:p w14:paraId="66F83018" w14:textId="77777777" w:rsidR="006963FD" w:rsidRPr="006963FD" w:rsidRDefault="006963FD" w:rsidP="006963FD">
            <w:pPr>
              <w:rPr>
                <w:sz w:val="24"/>
                <w:szCs w:val="24"/>
              </w:rPr>
            </w:pPr>
            <w:r w:rsidRPr="006963FD">
              <w:rPr>
                <w:sz w:val="24"/>
                <w:szCs w:val="24"/>
              </w:rPr>
              <w:t>This critically reflective case study explored my involvement in the safeguarding assessment of Individual 3, a 47-year-old woman experiencing chronic self-neglect, anxiety, depression and social isolation within the context of a complex and co-dependent relationship with her adult son. The case demonstrated that safeguarding concerns rarely arise from a single issue and instead develop through the interaction of personal, relational and environmental factors.</w:t>
            </w:r>
          </w:p>
          <w:p w14:paraId="5A59F9DC" w14:textId="77777777" w:rsidR="006963FD" w:rsidRPr="006963FD" w:rsidRDefault="006963FD" w:rsidP="006963FD">
            <w:pPr>
              <w:rPr>
                <w:sz w:val="24"/>
                <w:szCs w:val="24"/>
              </w:rPr>
            </w:pPr>
            <w:r w:rsidRPr="006963FD">
              <w:rPr>
                <w:sz w:val="24"/>
                <w:szCs w:val="24"/>
              </w:rPr>
              <w:t>A key learning point was the importance of moving beyond a descriptive assessment of presenting concerns. Reviewing historical information, applying professional curiosity and analysing patterns of deterioration enabled a deeper understanding of the factors contributing to ongoing vulnerability. This challenged me to look beyond observable risks and consider the impact of mental health, trauma, social isolation and family dynamics on Individual 3's circumstances.</w:t>
            </w:r>
          </w:p>
          <w:p w14:paraId="48D35167" w14:textId="77777777" w:rsidR="006963FD" w:rsidRPr="006963FD" w:rsidRDefault="006963FD" w:rsidP="006963FD">
            <w:pPr>
              <w:rPr>
                <w:sz w:val="24"/>
                <w:szCs w:val="24"/>
              </w:rPr>
            </w:pPr>
            <w:r w:rsidRPr="006963FD">
              <w:rPr>
                <w:sz w:val="24"/>
                <w:szCs w:val="24"/>
              </w:rPr>
              <w:t>The case also strengthened my understanding of communication as a safeguarding intervention. Developing a trusting relationship, undertaking the assessment at a pace that reflected Individual 3's needs and ensuring information was explained clearly supported engagement and enabled a more meaningful understanding of risk. Reflecting on the positive feedback received reinforced the value of relationship-based practice when working with individuals who may be reluctant to engage with services.</w:t>
            </w:r>
          </w:p>
          <w:p w14:paraId="6DE6A625" w14:textId="77777777" w:rsidR="006963FD" w:rsidRPr="006963FD" w:rsidRDefault="006963FD" w:rsidP="006963FD">
            <w:pPr>
              <w:rPr>
                <w:sz w:val="24"/>
                <w:szCs w:val="24"/>
              </w:rPr>
            </w:pPr>
            <w:r w:rsidRPr="006963FD">
              <w:rPr>
                <w:sz w:val="24"/>
                <w:szCs w:val="24"/>
              </w:rPr>
              <w:lastRenderedPageBreak/>
              <w:t>Concerns regarding mental capacity highlighted the complexity of balancing autonomy with safeguarding responsibilities. The inability to complete a formal Mental Capacity Assessment required careful consideration of risk, vulnerability and human rights principles. Through reflection, I developed a greater appreciation of the uncertainty that often characterises safeguarding practice and the importance of making proportionate decisions based on the information available while also utilising resources available to me within the local authority such as contact with the MCA champion and legal team for guidance.</w:t>
            </w:r>
          </w:p>
          <w:p w14:paraId="4480CF74" w14:textId="77777777" w:rsidR="006963FD" w:rsidRPr="006963FD" w:rsidRDefault="006963FD" w:rsidP="006963FD">
            <w:pPr>
              <w:rPr>
                <w:sz w:val="24"/>
                <w:szCs w:val="24"/>
              </w:rPr>
            </w:pPr>
            <w:r w:rsidRPr="006963FD">
              <w:rPr>
                <w:sz w:val="24"/>
                <w:szCs w:val="24"/>
              </w:rPr>
              <w:t>The application of Systems Theory, Family Systems Theory and Ecological Systems Theory broadened my understanding of risk by encouraging consideration of the wider systems influencing Individual 3's wellbeing. These frameworks supported a more holistic assessment and reinforced the importance of understanding individuals within the context of their relationships and environment.</w:t>
            </w:r>
          </w:p>
          <w:p w14:paraId="1CA37247" w14:textId="77777777" w:rsidR="006963FD" w:rsidRPr="006963FD" w:rsidRDefault="006963FD" w:rsidP="006963FD">
            <w:pPr>
              <w:rPr>
                <w:sz w:val="24"/>
                <w:szCs w:val="24"/>
              </w:rPr>
            </w:pPr>
            <w:r w:rsidRPr="006963FD">
              <w:rPr>
                <w:sz w:val="24"/>
                <w:szCs w:val="24"/>
              </w:rPr>
              <w:t>Finally, the case demonstrated the value of multidisciplinary working and reflective supervision. Both strengthened professional judgement, challenged assumptions and supported defensible decision-making in the face of uncertainty.</w:t>
            </w:r>
          </w:p>
          <w:p w14:paraId="4563DF2A" w14:textId="77777777" w:rsidR="006963FD" w:rsidRPr="006963FD" w:rsidRDefault="006963FD" w:rsidP="006963FD">
            <w:pPr>
              <w:rPr>
                <w:sz w:val="24"/>
                <w:szCs w:val="24"/>
              </w:rPr>
            </w:pPr>
            <w:r w:rsidRPr="006963FD">
              <w:rPr>
                <w:sz w:val="24"/>
                <w:szCs w:val="24"/>
              </w:rPr>
              <w:t>Overall, this experience has enhanced my development as a reflective social worker and strengthened my ability to undertake complex safeguarding assessments within the Welsh legislative context. Most importantly, it reinforced that effective safeguarding requires critical analysis, professional curiosity and the ability to balance rights, risks and professional responsibilities whilst maintaining a person-centred focus on wellbeing and empowerment.</w:t>
            </w:r>
          </w:p>
          <w:p w14:paraId="20370495" w14:textId="79B79501" w:rsidR="00D3203C" w:rsidRPr="006963FD" w:rsidRDefault="00D3203C" w:rsidP="00FF7EBB">
            <w:pPr>
              <w:jc w:val="both"/>
              <w:rPr>
                <w:iCs/>
                <w:sz w:val="24"/>
                <w:szCs w:val="24"/>
              </w:rPr>
            </w:pPr>
          </w:p>
          <w:p w14:paraId="12DC2F24" w14:textId="5D8E9F67" w:rsidR="00D3203C" w:rsidRPr="006963FD" w:rsidRDefault="006963FD" w:rsidP="00FF7EBB">
            <w:pPr>
              <w:jc w:val="both"/>
              <w:rPr>
                <w:iCs/>
                <w:sz w:val="24"/>
                <w:szCs w:val="24"/>
              </w:rPr>
            </w:pPr>
            <w:r>
              <w:rPr>
                <w:iCs/>
                <w:sz w:val="24"/>
                <w:szCs w:val="24"/>
              </w:rPr>
              <w:t>(4373 words)</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3B779" w14:textId="77777777" w:rsidR="00E46689" w:rsidRDefault="00E46689">
      <w:r>
        <w:separator/>
      </w:r>
    </w:p>
  </w:endnote>
  <w:endnote w:type="continuationSeparator" w:id="0">
    <w:p w14:paraId="2D9A05C7" w14:textId="77777777" w:rsidR="00E46689" w:rsidRDefault="00E46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46850" w14:textId="77777777" w:rsidR="00E46689" w:rsidRDefault="00E46689">
      <w:r>
        <w:separator/>
      </w:r>
    </w:p>
  </w:footnote>
  <w:footnote w:type="continuationSeparator" w:id="0">
    <w:p w14:paraId="17813B36" w14:textId="77777777" w:rsidR="00E46689" w:rsidRDefault="00E466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0DB5"/>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3FD"/>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48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89E"/>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6689"/>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5109</Words>
  <Characters>29122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Cait Baxter</cp:lastModifiedBy>
  <cp:revision>4</cp:revision>
  <cp:lastPrinted>2020-02-11T19:20:00Z</cp:lastPrinted>
  <dcterms:created xsi:type="dcterms:W3CDTF">2025-08-04T09:11:00Z</dcterms:created>
  <dcterms:modified xsi:type="dcterms:W3CDTF">2026-09-23T14:03:00Z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