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692A" w:rsidRDefault="00A2692A" w:rsidP="00A2692A">
      <w:pPr>
        <w:pStyle w:val="Heading1"/>
        <w:tabs>
          <w:tab w:val="left" w:pos="7965"/>
        </w:tabs>
        <w:jc w:val="center"/>
        <w:rPr>
          <w:rFonts w:cs="Arial"/>
          <w:color w:val="373A3C"/>
          <w:sz w:val="42"/>
          <w:szCs w:val="42"/>
          <w:lang w:val="en"/>
        </w:rPr>
      </w:pPr>
      <w:bookmarkStart w:id="0" w:name="_Toc501715433"/>
      <w:r>
        <w:rPr>
          <w:rFonts w:cs="Arial"/>
          <w:color w:val="373A3C"/>
          <w:sz w:val="42"/>
          <w:szCs w:val="42"/>
          <w:lang w:val="en"/>
        </w:rPr>
        <w:t>Problem Solving (EMP_L4008_LON)</w:t>
      </w:r>
    </w:p>
    <w:p w:rsidR="00A2692A" w:rsidRDefault="00A2692A" w:rsidP="00A2692A">
      <w:pPr>
        <w:rPr>
          <w:lang w:val="en"/>
        </w:rPr>
      </w:pPr>
    </w:p>
    <w:p w:rsidR="00A2692A" w:rsidRPr="00295F18" w:rsidRDefault="00295F18" w:rsidP="00295F18">
      <w:pPr>
        <w:jc w:val="center"/>
        <w:rPr>
          <w:sz w:val="32"/>
          <w:szCs w:val="32"/>
          <w:lang w:val="en"/>
        </w:rPr>
      </w:pPr>
      <w:r w:rsidRPr="00295F18">
        <w:rPr>
          <w:sz w:val="32"/>
          <w:szCs w:val="32"/>
          <w:lang w:val="en"/>
        </w:rPr>
        <w:t xml:space="preserve">Syed </w:t>
      </w:r>
      <w:bookmarkStart w:id="1" w:name="_GoBack"/>
      <w:bookmarkEnd w:id="1"/>
      <w:r w:rsidRPr="00295F18">
        <w:rPr>
          <w:sz w:val="32"/>
          <w:szCs w:val="32"/>
          <w:lang w:val="en"/>
        </w:rPr>
        <w:t xml:space="preserve">Muhammad </w:t>
      </w:r>
      <w:proofErr w:type="spellStart"/>
      <w:r w:rsidRPr="00295F18">
        <w:rPr>
          <w:sz w:val="32"/>
          <w:szCs w:val="32"/>
          <w:lang w:val="en"/>
        </w:rPr>
        <w:t>Hammad</w:t>
      </w:r>
      <w:proofErr w:type="spellEnd"/>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Default="00A2692A" w:rsidP="00A2692A">
      <w:pPr>
        <w:rPr>
          <w:lang w:val="en"/>
        </w:rPr>
      </w:pPr>
    </w:p>
    <w:p w:rsidR="00A2692A" w:rsidRPr="00A2692A" w:rsidRDefault="00A2692A" w:rsidP="00A2692A">
      <w:pPr>
        <w:rPr>
          <w:lang w:val="en"/>
        </w:rPr>
      </w:pPr>
    </w:p>
    <w:p w:rsidR="00A2692A" w:rsidRPr="00A2692A" w:rsidRDefault="00A2692A" w:rsidP="00A2692A">
      <w:pPr>
        <w:pStyle w:val="Heading1"/>
        <w:jc w:val="center"/>
        <w:rPr>
          <w:rFonts w:ascii="Times New Roman" w:hAnsi="Times New Roman" w:cs="Times New Roman"/>
        </w:rPr>
      </w:pPr>
      <w:r w:rsidRPr="00A2692A">
        <w:rPr>
          <w:rFonts w:ascii="Times New Roman" w:hAnsi="Times New Roman" w:cs="Times New Roman"/>
          <w:b/>
          <w:sz w:val="48"/>
          <w:szCs w:val="48"/>
        </w:rPr>
        <w:t xml:space="preserve">Abu Hana Md. </w:t>
      </w:r>
      <w:proofErr w:type="spellStart"/>
      <w:r w:rsidRPr="00A2692A">
        <w:rPr>
          <w:rFonts w:ascii="Times New Roman" w:hAnsi="Times New Roman" w:cs="Times New Roman"/>
          <w:b/>
          <w:sz w:val="48"/>
          <w:szCs w:val="48"/>
        </w:rPr>
        <w:t>Iqubul</w:t>
      </w:r>
      <w:proofErr w:type="spellEnd"/>
      <w:r w:rsidRPr="00A2692A">
        <w:rPr>
          <w:rFonts w:ascii="Times New Roman" w:hAnsi="Times New Roman" w:cs="Times New Roman"/>
          <w:b/>
          <w:sz w:val="48"/>
          <w:szCs w:val="48"/>
        </w:rPr>
        <w:t xml:space="preserve"> </w:t>
      </w:r>
      <w:proofErr w:type="spellStart"/>
      <w:r w:rsidRPr="00A2692A">
        <w:rPr>
          <w:rFonts w:ascii="Times New Roman" w:hAnsi="Times New Roman" w:cs="Times New Roman"/>
          <w:b/>
          <w:sz w:val="48"/>
          <w:szCs w:val="48"/>
        </w:rPr>
        <w:t>Yousuf</w:t>
      </w:r>
      <w:proofErr w:type="spellEnd"/>
    </w:p>
    <w:p w:rsidR="00A2692A" w:rsidRPr="00A2692A" w:rsidRDefault="00A2692A" w:rsidP="00A2692A">
      <w:pPr>
        <w:spacing w:line="259" w:lineRule="auto"/>
        <w:jc w:val="center"/>
        <w:rPr>
          <w:rFonts w:cs="Times New Roman"/>
          <w:b/>
          <w:sz w:val="48"/>
          <w:szCs w:val="48"/>
        </w:rPr>
      </w:pPr>
      <w:r w:rsidRPr="00A2692A">
        <w:rPr>
          <w:rFonts w:cs="Times New Roman"/>
          <w:b/>
          <w:sz w:val="48"/>
          <w:szCs w:val="48"/>
        </w:rPr>
        <w:t>1605383</w:t>
      </w:r>
    </w:p>
    <w:p w:rsidR="00A2692A" w:rsidRPr="00A2692A" w:rsidRDefault="00A2692A" w:rsidP="00A2692A">
      <w:pPr>
        <w:spacing w:line="259" w:lineRule="auto"/>
        <w:jc w:val="center"/>
        <w:rPr>
          <w:rFonts w:cs="Times New Roman"/>
          <w:b/>
          <w:sz w:val="48"/>
          <w:szCs w:val="48"/>
        </w:rPr>
      </w:pPr>
      <w:r w:rsidRPr="00A2692A">
        <w:rPr>
          <w:rFonts w:cs="Times New Roman"/>
          <w:b/>
          <w:sz w:val="48"/>
          <w:szCs w:val="48"/>
        </w:rPr>
        <w:t>University of Wales Trinity saint David</w:t>
      </w:r>
    </w:p>
    <w:p w:rsidR="00C832A4" w:rsidRDefault="00C832A4" w:rsidP="00C832A4"/>
    <w:p w:rsidR="00A2692A" w:rsidRDefault="00A2692A" w:rsidP="00C832A4"/>
    <w:p w:rsidR="00A2692A" w:rsidRDefault="00A2692A" w:rsidP="00C832A4"/>
    <w:p w:rsidR="00A2692A" w:rsidRDefault="00A2692A" w:rsidP="00C832A4">
      <w:pPr>
        <w:rPr>
          <w:rFonts w:ascii="Arial Black" w:eastAsiaTheme="majorEastAsia" w:hAnsi="Arial Black" w:cstheme="majorBidi"/>
          <w:sz w:val="32"/>
          <w:szCs w:val="32"/>
        </w:rPr>
      </w:pPr>
    </w:p>
    <w:sdt>
      <w:sdtPr>
        <w:rPr>
          <w:rFonts w:ascii="Times New Roman" w:eastAsiaTheme="minorHAnsi" w:hAnsi="Times New Roman" w:cstheme="minorBidi"/>
          <w:color w:val="auto"/>
          <w:sz w:val="24"/>
          <w:szCs w:val="22"/>
          <w:lang w:val="en-GB"/>
        </w:rPr>
        <w:id w:val="-1564247037"/>
        <w:docPartObj>
          <w:docPartGallery w:val="Table of Contents"/>
          <w:docPartUnique/>
        </w:docPartObj>
      </w:sdtPr>
      <w:sdtContent>
        <w:p w:rsidR="00C832A4" w:rsidRDefault="00C832A4" w:rsidP="00C832A4">
          <w:pPr>
            <w:pStyle w:val="TOCHeading"/>
          </w:pPr>
          <w:r>
            <w:t>Table of Contents</w:t>
          </w:r>
        </w:p>
        <w:p w:rsidR="00C832A4" w:rsidRDefault="00C832A4" w:rsidP="00C832A4">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r:id="rId5" w:anchor="_Toc501735727" w:history="1">
            <w:r>
              <w:rPr>
                <w:rStyle w:val="Hyperlink"/>
                <w:noProof/>
              </w:rPr>
              <w:t>1.</w:t>
            </w:r>
            <w:r>
              <w:rPr>
                <w:rStyle w:val="Hyperlink"/>
                <w:rFonts w:asciiTheme="minorHAnsi" w:eastAsiaTheme="minorEastAsia" w:hAnsiTheme="minorHAnsi"/>
                <w:noProof/>
                <w:sz w:val="22"/>
                <w:lang w:eastAsia="en-GB"/>
              </w:rPr>
              <w:tab/>
            </w:r>
            <w:r>
              <w:rPr>
                <w:rStyle w:val="Hyperlink"/>
                <w:noProof/>
              </w:rPr>
              <w:t>Company Background</w:t>
            </w:r>
            <w:r>
              <w:rPr>
                <w:rStyle w:val="Hyperlink"/>
                <w:noProof/>
                <w:webHidden/>
              </w:rPr>
              <w:tab/>
            </w:r>
            <w:r>
              <w:rPr>
                <w:rStyle w:val="Hyperlink"/>
              </w:rPr>
              <w:fldChar w:fldCharType="begin"/>
            </w:r>
            <w:r>
              <w:rPr>
                <w:rStyle w:val="Hyperlink"/>
                <w:noProof/>
                <w:webHidden/>
              </w:rPr>
              <w:instrText xml:space="preserve"> PAGEREF _Toc501735727 \h </w:instrText>
            </w:r>
            <w:r>
              <w:rPr>
                <w:rStyle w:val="Hyperlink"/>
              </w:rPr>
            </w:r>
            <w:r>
              <w:rPr>
                <w:rStyle w:val="Hyperlink"/>
              </w:rPr>
              <w:fldChar w:fldCharType="separate"/>
            </w:r>
            <w:r>
              <w:rPr>
                <w:rStyle w:val="Hyperlink"/>
                <w:noProof/>
                <w:webHidden/>
              </w:rPr>
              <w:t>3</w:t>
            </w:r>
            <w:r>
              <w:rPr>
                <w:rStyle w:val="Hyperlink"/>
              </w:rPr>
              <w:fldChar w:fldCharType="end"/>
            </w:r>
          </w:hyperlink>
        </w:p>
        <w:p w:rsidR="00C832A4" w:rsidRDefault="00C832A4" w:rsidP="00C832A4">
          <w:pPr>
            <w:pStyle w:val="TOC1"/>
            <w:tabs>
              <w:tab w:val="left" w:pos="480"/>
              <w:tab w:val="right" w:leader="dot" w:pos="9016"/>
            </w:tabs>
            <w:rPr>
              <w:rFonts w:asciiTheme="minorHAnsi" w:eastAsiaTheme="minorEastAsia" w:hAnsiTheme="minorHAnsi"/>
              <w:noProof/>
              <w:sz w:val="22"/>
              <w:lang w:eastAsia="en-GB"/>
            </w:rPr>
          </w:pPr>
          <w:hyperlink r:id="rId6" w:anchor="_Toc501735728" w:history="1">
            <w:r>
              <w:rPr>
                <w:rStyle w:val="Hyperlink"/>
                <w:noProof/>
              </w:rPr>
              <w:t>2.</w:t>
            </w:r>
            <w:r>
              <w:rPr>
                <w:rStyle w:val="Hyperlink"/>
                <w:rFonts w:asciiTheme="minorHAnsi" w:eastAsiaTheme="minorEastAsia" w:hAnsiTheme="minorHAnsi"/>
                <w:noProof/>
                <w:sz w:val="22"/>
                <w:lang w:eastAsia="en-GB"/>
              </w:rPr>
              <w:tab/>
            </w:r>
            <w:r>
              <w:rPr>
                <w:rStyle w:val="Hyperlink"/>
                <w:noProof/>
              </w:rPr>
              <w:t>Critical Thinking</w:t>
            </w:r>
            <w:r>
              <w:rPr>
                <w:rStyle w:val="Hyperlink"/>
                <w:noProof/>
                <w:webHidden/>
              </w:rPr>
              <w:tab/>
            </w:r>
            <w:r>
              <w:rPr>
                <w:rStyle w:val="Hyperlink"/>
              </w:rPr>
              <w:fldChar w:fldCharType="begin"/>
            </w:r>
            <w:r>
              <w:rPr>
                <w:rStyle w:val="Hyperlink"/>
                <w:noProof/>
                <w:webHidden/>
              </w:rPr>
              <w:instrText xml:space="preserve"> PAGEREF _Toc501735728 \h </w:instrText>
            </w:r>
            <w:r>
              <w:rPr>
                <w:rStyle w:val="Hyperlink"/>
              </w:rPr>
            </w:r>
            <w:r>
              <w:rPr>
                <w:rStyle w:val="Hyperlink"/>
              </w:rPr>
              <w:fldChar w:fldCharType="separate"/>
            </w:r>
            <w:r>
              <w:rPr>
                <w:rStyle w:val="Hyperlink"/>
                <w:noProof/>
                <w:webHidden/>
              </w:rPr>
              <w:t>4</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7" w:anchor="_Toc501735729" w:history="1">
            <w:r>
              <w:rPr>
                <w:rStyle w:val="Hyperlink"/>
                <w:noProof/>
              </w:rPr>
              <w:t>2.1</w:t>
            </w:r>
            <w:r>
              <w:rPr>
                <w:rStyle w:val="Hyperlink"/>
                <w:rFonts w:asciiTheme="minorHAnsi" w:eastAsiaTheme="minorEastAsia" w:hAnsiTheme="minorHAnsi"/>
                <w:noProof/>
                <w:sz w:val="22"/>
                <w:lang w:eastAsia="en-GB"/>
              </w:rPr>
              <w:tab/>
            </w:r>
            <w:r>
              <w:rPr>
                <w:rStyle w:val="Hyperlink"/>
                <w:noProof/>
              </w:rPr>
              <w:t>Definition of Problems and Stages of Problem-solving</w:t>
            </w:r>
            <w:r>
              <w:rPr>
                <w:rStyle w:val="Hyperlink"/>
                <w:noProof/>
                <w:webHidden/>
              </w:rPr>
              <w:tab/>
            </w:r>
            <w:r>
              <w:rPr>
                <w:rStyle w:val="Hyperlink"/>
              </w:rPr>
              <w:fldChar w:fldCharType="begin"/>
            </w:r>
            <w:r>
              <w:rPr>
                <w:rStyle w:val="Hyperlink"/>
                <w:noProof/>
                <w:webHidden/>
              </w:rPr>
              <w:instrText xml:space="preserve"> PAGEREF _Toc501735729 \h </w:instrText>
            </w:r>
            <w:r>
              <w:rPr>
                <w:rStyle w:val="Hyperlink"/>
              </w:rPr>
            </w:r>
            <w:r>
              <w:rPr>
                <w:rStyle w:val="Hyperlink"/>
              </w:rPr>
              <w:fldChar w:fldCharType="separate"/>
            </w:r>
            <w:r>
              <w:rPr>
                <w:rStyle w:val="Hyperlink"/>
                <w:noProof/>
                <w:webHidden/>
              </w:rPr>
              <w:t>4</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8" w:anchor="_Toc501735730" w:history="1">
            <w:r>
              <w:rPr>
                <w:rStyle w:val="Hyperlink"/>
                <w:noProof/>
              </w:rPr>
              <w:t>2.2</w:t>
            </w:r>
            <w:r>
              <w:rPr>
                <w:rStyle w:val="Hyperlink"/>
                <w:rFonts w:asciiTheme="minorHAnsi" w:eastAsiaTheme="minorEastAsia" w:hAnsiTheme="minorHAnsi"/>
                <w:noProof/>
                <w:sz w:val="22"/>
                <w:lang w:eastAsia="en-GB"/>
              </w:rPr>
              <w:tab/>
            </w:r>
            <w:r>
              <w:rPr>
                <w:rStyle w:val="Hyperlink"/>
                <w:noProof/>
              </w:rPr>
              <w:t>Potential effects of problems on individuals and companies</w:t>
            </w:r>
            <w:r>
              <w:rPr>
                <w:rStyle w:val="Hyperlink"/>
                <w:noProof/>
                <w:webHidden/>
              </w:rPr>
              <w:tab/>
            </w:r>
            <w:r>
              <w:rPr>
                <w:rStyle w:val="Hyperlink"/>
              </w:rPr>
              <w:fldChar w:fldCharType="begin"/>
            </w:r>
            <w:r>
              <w:rPr>
                <w:rStyle w:val="Hyperlink"/>
                <w:noProof/>
                <w:webHidden/>
              </w:rPr>
              <w:instrText xml:space="preserve"> PAGEREF _Toc501735730 \h </w:instrText>
            </w:r>
            <w:r>
              <w:rPr>
                <w:rStyle w:val="Hyperlink"/>
              </w:rPr>
            </w:r>
            <w:r>
              <w:rPr>
                <w:rStyle w:val="Hyperlink"/>
              </w:rPr>
              <w:fldChar w:fldCharType="separate"/>
            </w:r>
            <w:r>
              <w:rPr>
                <w:rStyle w:val="Hyperlink"/>
                <w:noProof/>
                <w:webHidden/>
              </w:rPr>
              <w:t>4</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9" w:anchor="_Toc501735731" w:history="1">
            <w:r>
              <w:rPr>
                <w:rStyle w:val="Hyperlink"/>
                <w:noProof/>
              </w:rPr>
              <w:t>2.3</w:t>
            </w:r>
            <w:r>
              <w:rPr>
                <w:rStyle w:val="Hyperlink"/>
                <w:rFonts w:asciiTheme="minorHAnsi" w:eastAsiaTheme="minorEastAsia" w:hAnsiTheme="minorHAnsi"/>
                <w:noProof/>
                <w:sz w:val="22"/>
                <w:lang w:eastAsia="en-GB"/>
              </w:rPr>
              <w:tab/>
            </w:r>
            <w:r>
              <w:rPr>
                <w:rStyle w:val="Hyperlink"/>
                <w:noProof/>
              </w:rPr>
              <w:t>Examples of problems faced by BT</w:t>
            </w:r>
            <w:r>
              <w:rPr>
                <w:rStyle w:val="Hyperlink"/>
                <w:noProof/>
                <w:webHidden/>
              </w:rPr>
              <w:tab/>
            </w:r>
            <w:r>
              <w:rPr>
                <w:rStyle w:val="Hyperlink"/>
              </w:rPr>
              <w:fldChar w:fldCharType="begin"/>
            </w:r>
            <w:r>
              <w:rPr>
                <w:rStyle w:val="Hyperlink"/>
                <w:noProof/>
                <w:webHidden/>
              </w:rPr>
              <w:instrText xml:space="preserve"> PAGEREF _Toc501735731 \h </w:instrText>
            </w:r>
            <w:r>
              <w:rPr>
                <w:rStyle w:val="Hyperlink"/>
              </w:rPr>
            </w:r>
            <w:r>
              <w:rPr>
                <w:rStyle w:val="Hyperlink"/>
              </w:rPr>
              <w:fldChar w:fldCharType="separate"/>
            </w:r>
            <w:r>
              <w:rPr>
                <w:rStyle w:val="Hyperlink"/>
                <w:noProof/>
                <w:webHidden/>
              </w:rPr>
              <w:t>5</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10" w:anchor="_Toc501735732" w:history="1">
            <w:r>
              <w:rPr>
                <w:rStyle w:val="Hyperlink"/>
                <w:noProof/>
              </w:rPr>
              <w:t>2.4</w:t>
            </w:r>
            <w:r>
              <w:rPr>
                <w:rStyle w:val="Hyperlink"/>
                <w:rFonts w:asciiTheme="minorHAnsi" w:eastAsiaTheme="minorEastAsia" w:hAnsiTheme="minorHAnsi"/>
                <w:noProof/>
                <w:sz w:val="22"/>
                <w:lang w:eastAsia="en-GB"/>
              </w:rPr>
              <w:tab/>
            </w:r>
            <w:r>
              <w:rPr>
                <w:rStyle w:val="Hyperlink"/>
                <w:noProof/>
              </w:rPr>
              <w:t>Definition and stages of critical thinking</w:t>
            </w:r>
            <w:r>
              <w:rPr>
                <w:rStyle w:val="Hyperlink"/>
                <w:noProof/>
                <w:webHidden/>
              </w:rPr>
              <w:tab/>
            </w:r>
            <w:r>
              <w:rPr>
                <w:rStyle w:val="Hyperlink"/>
              </w:rPr>
              <w:fldChar w:fldCharType="begin"/>
            </w:r>
            <w:r>
              <w:rPr>
                <w:rStyle w:val="Hyperlink"/>
                <w:noProof/>
                <w:webHidden/>
              </w:rPr>
              <w:instrText xml:space="preserve"> PAGEREF _Toc501735732 \h </w:instrText>
            </w:r>
            <w:r>
              <w:rPr>
                <w:rStyle w:val="Hyperlink"/>
              </w:rPr>
            </w:r>
            <w:r>
              <w:rPr>
                <w:rStyle w:val="Hyperlink"/>
              </w:rPr>
              <w:fldChar w:fldCharType="separate"/>
            </w:r>
            <w:r>
              <w:rPr>
                <w:rStyle w:val="Hyperlink"/>
                <w:noProof/>
                <w:webHidden/>
              </w:rPr>
              <w:t>6</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11" w:anchor="_Toc501735733" w:history="1">
            <w:r>
              <w:rPr>
                <w:rStyle w:val="Hyperlink"/>
                <w:noProof/>
              </w:rPr>
              <w:t>2.5</w:t>
            </w:r>
            <w:r>
              <w:rPr>
                <w:rStyle w:val="Hyperlink"/>
                <w:rFonts w:asciiTheme="minorHAnsi" w:eastAsiaTheme="minorEastAsia" w:hAnsiTheme="minorHAnsi"/>
                <w:noProof/>
                <w:sz w:val="22"/>
                <w:lang w:eastAsia="en-GB"/>
              </w:rPr>
              <w:tab/>
            </w:r>
            <w:r>
              <w:rPr>
                <w:rStyle w:val="Hyperlink"/>
                <w:noProof/>
              </w:rPr>
              <w:t>Using critical thinking at BT</w:t>
            </w:r>
            <w:r>
              <w:rPr>
                <w:rStyle w:val="Hyperlink"/>
                <w:noProof/>
                <w:webHidden/>
              </w:rPr>
              <w:tab/>
            </w:r>
            <w:r>
              <w:rPr>
                <w:rStyle w:val="Hyperlink"/>
              </w:rPr>
              <w:fldChar w:fldCharType="begin"/>
            </w:r>
            <w:r>
              <w:rPr>
                <w:rStyle w:val="Hyperlink"/>
                <w:noProof/>
                <w:webHidden/>
              </w:rPr>
              <w:instrText xml:space="preserve"> PAGEREF _Toc501735733 \h </w:instrText>
            </w:r>
            <w:r>
              <w:rPr>
                <w:rStyle w:val="Hyperlink"/>
              </w:rPr>
            </w:r>
            <w:r>
              <w:rPr>
                <w:rStyle w:val="Hyperlink"/>
              </w:rPr>
              <w:fldChar w:fldCharType="separate"/>
            </w:r>
            <w:r>
              <w:rPr>
                <w:rStyle w:val="Hyperlink"/>
                <w:noProof/>
                <w:webHidden/>
              </w:rPr>
              <w:t>6</w:t>
            </w:r>
            <w:r>
              <w:rPr>
                <w:rStyle w:val="Hyperlink"/>
              </w:rPr>
              <w:fldChar w:fldCharType="end"/>
            </w:r>
          </w:hyperlink>
        </w:p>
        <w:p w:rsidR="00C832A4" w:rsidRDefault="00C832A4" w:rsidP="00C832A4">
          <w:pPr>
            <w:pStyle w:val="TOC1"/>
            <w:tabs>
              <w:tab w:val="left" w:pos="480"/>
              <w:tab w:val="right" w:leader="dot" w:pos="9016"/>
            </w:tabs>
            <w:rPr>
              <w:rFonts w:asciiTheme="minorHAnsi" w:eastAsiaTheme="minorEastAsia" w:hAnsiTheme="minorHAnsi"/>
              <w:noProof/>
              <w:sz w:val="22"/>
              <w:lang w:eastAsia="en-GB"/>
            </w:rPr>
          </w:pPr>
          <w:hyperlink r:id="rId12" w:anchor="_Toc501735734" w:history="1">
            <w:r>
              <w:rPr>
                <w:rStyle w:val="Hyperlink"/>
                <w:noProof/>
              </w:rPr>
              <w:t>3.</w:t>
            </w:r>
            <w:r>
              <w:rPr>
                <w:rStyle w:val="Hyperlink"/>
                <w:rFonts w:asciiTheme="minorHAnsi" w:eastAsiaTheme="minorEastAsia" w:hAnsiTheme="minorHAnsi"/>
                <w:noProof/>
                <w:sz w:val="22"/>
                <w:lang w:eastAsia="en-GB"/>
              </w:rPr>
              <w:tab/>
            </w:r>
            <w:r>
              <w:rPr>
                <w:rStyle w:val="Hyperlink"/>
                <w:noProof/>
              </w:rPr>
              <w:t>BT - PEST Analysis</w:t>
            </w:r>
            <w:r>
              <w:rPr>
                <w:rStyle w:val="Hyperlink"/>
                <w:noProof/>
                <w:webHidden/>
              </w:rPr>
              <w:tab/>
            </w:r>
            <w:r>
              <w:rPr>
                <w:rStyle w:val="Hyperlink"/>
              </w:rPr>
              <w:fldChar w:fldCharType="begin"/>
            </w:r>
            <w:r>
              <w:rPr>
                <w:rStyle w:val="Hyperlink"/>
                <w:noProof/>
                <w:webHidden/>
              </w:rPr>
              <w:instrText xml:space="preserve"> PAGEREF _Toc501735734 \h </w:instrText>
            </w:r>
            <w:r>
              <w:rPr>
                <w:rStyle w:val="Hyperlink"/>
              </w:rPr>
            </w:r>
            <w:r>
              <w:rPr>
                <w:rStyle w:val="Hyperlink"/>
              </w:rPr>
              <w:fldChar w:fldCharType="separate"/>
            </w:r>
            <w:r>
              <w:rPr>
                <w:rStyle w:val="Hyperlink"/>
                <w:noProof/>
                <w:webHidden/>
              </w:rPr>
              <w:t>7</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13" w:anchor="_Toc501735735" w:history="1">
            <w:r>
              <w:rPr>
                <w:rStyle w:val="Hyperlink"/>
                <w:noProof/>
              </w:rPr>
              <w:t>3.1</w:t>
            </w:r>
            <w:r>
              <w:rPr>
                <w:rStyle w:val="Hyperlink"/>
                <w:rFonts w:asciiTheme="minorHAnsi" w:eastAsiaTheme="minorEastAsia" w:hAnsiTheme="minorHAnsi"/>
                <w:noProof/>
                <w:sz w:val="22"/>
                <w:lang w:eastAsia="en-GB"/>
              </w:rPr>
              <w:tab/>
            </w:r>
            <w:r>
              <w:rPr>
                <w:rStyle w:val="Hyperlink"/>
                <w:noProof/>
              </w:rPr>
              <w:t>PEST Analysis</w:t>
            </w:r>
            <w:r>
              <w:rPr>
                <w:rStyle w:val="Hyperlink"/>
                <w:noProof/>
                <w:webHidden/>
              </w:rPr>
              <w:tab/>
            </w:r>
            <w:r>
              <w:rPr>
                <w:rStyle w:val="Hyperlink"/>
              </w:rPr>
              <w:fldChar w:fldCharType="begin"/>
            </w:r>
            <w:r>
              <w:rPr>
                <w:rStyle w:val="Hyperlink"/>
                <w:noProof/>
                <w:webHidden/>
              </w:rPr>
              <w:instrText xml:space="preserve"> PAGEREF _Toc501735735 \h </w:instrText>
            </w:r>
            <w:r>
              <w:rPr>
                <w:rStyle w:val="Hyperlink"/>
              </w:rPr>
            </w:r>
            <w:r>
              <w:rPr>
                <w:rStyle w:val="Hyperlink"/>
              </w:rPr>
              <w:fldChar w:fldCharType="separate"/>
            </w:r>
            <w:r>
              <w:rPr>
                <w:rStyle w:val="Hyperlink"/>
                <w:noProof/>
                <w:webHidden/>
              </w:rPr>
              <w:t>7</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14" w:anchor="_Toc501735736" w:history="1">
            <w:r>
              <w:rPr>
                <w:rStyle w:val="Hyperlink"/>
                <w:noProof/>
              </w:rPr>
              <w:t>3.2</w:t>
            </w:r>
            <w:r>
              <w:rPr>
                <w:rStyle w:val="Hyperlink"/>
                <w:rFonts w:asciiTheme="minorHAnsi" w:eastAsiaTheme="minorEastAsia" w:hAnsiTheme="minorHAnsi"/>
                <w:noProof/>
                <w:sz w:val="22"/>
                <w:lang w:eastAsia="en-GB"/>
              </w:rPr>
              <w:tab/>
            </w:r>
            <w:r>
              <w:rPr>
                <w:rStyle w:val="Hyperlink"/>
                <w:noProof/>
              </w:rPr>
              <w:t>Line Manager Briefing</w:t>
            </w:r>
            <w:r>
              <w:rPr>
                <w:rStyle w:val="Hyperlink"/>
                <w:noProof/>
                <w:webHidden/>
              </w:rPr>
              <w:tab/>
            </w:r>
            <w:r>
              <w:rPr>
                <w:rStyle w:val="Hyperlink"/>
              </w:rPr>
              <w:fldChar w:fldCharType="begin"/>
            </w:r>
            <w:r>
              <w:rPr>
                <w:rStyle w:val="Hyperlink"/>
                <w:noProof/>
                <w:webHidden/>
              </w:rPr>
              <w:instrText xml:space="preserve"> PAGEREF _Toc501735736 \h </w:instrText>
            </w:r>
            <w:r>
              <w:rPr>
                <w:rStyle w:val="Hyperlink"/>
              </w:rPr>
            </w:r>
            <w:r>
              <w:rPr>
                <w:rStyle w:val="Hyperlink"/>
              </w:rPr>
              <w:fldChar w:fldCharType="separate"/>
            </w:r>
            <w:r>
              <w:rPr>
                <w:rStyle w:val="Hyperlink"/>
                <w:noProof/>
                <w:webHidden/>
              </w:rPr>
              <w:t>8</w:t>
            </w:r>
            <w:r>
              <w:rPr>
                <w:rStyle w:val="Hyperlink"/>
              </w:rPr>
              <w:fldChar w:fldCharType="end"/>
            </w:r>
          </w:hyperlink>
        </w:p>
        <w:p w:rsidR="00C832A4" w:rsidRDefault="00C832A4" w:rsidP="00C832A4">
          <w:pPr>
            <w:pStyle w:val="TOC1"/>
            <w:tabs>
              <w:tab w:val="left" w:pos="480"/>
              <w:tab w:val="right" w:leader="dot" w:pos="9016"/>
            </w:tabs>
            <w:rPr>
              <w:rFonts w:asciiTheme="minorHAnsi" w:eastAsiaTheme="minorEastAsia" w:hAnsiTheme="minorHAnsi"/>
              <w:noProof/>
              <w:sz w:val="22"/>
              <w:lang w:eastAsia="en-GB"/>
            </w:rPr>
          </w:pPr>
          <w:hyperlink r:id="rId15" w:anchor="_Toc501735737" w:history="1">
            <w:r>
              <w:rPr>
                <w:rStyle w:val="Hyperlink"/>
                <w:noProof/>
              </w:rPr>
              <w:t>4.</w:t>
            </w:r>
            <w:r>
              <w:rPr>
                <w:rStyle w:val="Hyperlink"/>
                <w:rFonts w:asciiTheme="minorHAnsi" w:eastAsiaTheme="minorEastAsia" w:hAnsiTheme="minorHAnsi"/>
                <w:noProof/>
                <w:sz w:val="22"/>
                <w:lang w:eastAsia="en-GB"/>
              </w:rPr>
              <w:tab/>
            </w:r>
            <w:r>
              <w:rPr>
                <w:rStyle w:val="Hyperlink"/>
                <w:noProof/>
              </w:rPr>
              <w:t>Employee Behaviour</w:t>
            </w:r>
            <w:r>
              <w:rPr>
                <w:rStyle w:val="Hyperlink"/>
                <w:noProof/>
                <w:webHidden/>
              </w:rPr>
              <w:tab/>
            </w:r>
            <w:r>
              <w:rPr>
                <w:rStyle w:val="Hyperlink"/>
              </w:rPr>
              <w:fldChar w:fldCharType="begin"/>
            </w:r>
            <w:r>
              <w:rPr>
                <w:rStyle w:val="Hyperlink"/>
                <w:noProof/>
                <w:webHidden/>
              </w:rPr>
              <w:instrText xml:space="preserve"> PAGEREF _Toc501735737 \h </w:instrText>
            </w:r>
            <w:r>
              <w:rPr>
                <w:rStyle w:val="Hyperlink"/>
              </w:rPr>
            </w:r>
            <w:r>
              <w:rPr>
                <w:rStyle w:val="Hyperlink"/>
              </w:rPr>
              <w:fldChar w:fldCharType="separate"/>
            </w:r>
            <w:r>
              <w:rPr>
                <w:rStyle w:val="Hyperlink"/>
                <w:noProof/>
                <w:webHidden/>
              </w:rPr>
              <w:t>10</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16" w:anchor="_Toc501735738" w:history="1">
            <w:r>
              <w:rPr>
                <w:rStyle w:val="Hyperlink"/>
                <w:noProof/>
              </w:rPr>
              <w:t>4.1</w:t>
            </w:r>
            <w:r>
              <w:rPr>
                <w:rStyle w:val="Hyperlink"/>
                <w:rFonts w:asciiTheme="minorHAnsi" w:eastAsiaTheme="minorEastAsia" w:hAnsiTheme="minorHAnsi"/>
                <w:noProof/>
                <w:sz w:val="22"/>
                <w:lang w:eastAsia="en-GB"/>
              </w:rPr>
              <w:tab/>
            </w:r>
            <w:r>
              <w:rPr>
                <w:rStyle w:val="Hyperlink"/>
                <w:noProof/>
              </w:rPr>
              <w:t>Definition and Types</w:t>
            </w:r>
            <w:r>
              <w:rPr>
                <w:rStyle w:val="Hyperlink"/>
                <w:noProof/>
                <w:webHidden/>
              </w:rPr>
              <w:tab/>
            </w:r>
            <w:r>
              <w:rPr>
                <w:rStyle w:val="Hyperlink"/>
              </w:rPr>
              <w:fldChar w:fldCharType="begin"/>
            </w:r>
            <w:r>
              <w:rPr>
                <w:rStyle w:val="Hyperlink"/>
                <w:noProof/>
                <w:webHidden/>
              </w:rPr>
              <w:instrText xml:space="preserve"> PAGEREF _Toc501735738 \h </w:instrText>
            </w:r>
            <w:r>
              <w:rPr>
                <w:rStyle w:val="Hyperlink"/>
              </w:rPr>
            </w:r>
            <w:r>
              <w:rPr>
                <w:rStyle w:val="Hyperlink"/>
              </w:rPr>
              <w:fldChar w:fldCharType="separate"/>
            </w:r>
            <w:r>
              <w:rPr>
                <w:rStyle w:val="Hyperlink"/>
                <w:noProof/>
                <w:webHidden/>
              </w:rPr>
              <w:t>10</w:t>
            </w:r>
            <w:r>
              <w:rPr>
                <w:rStyle w:val="Hyperlink"/>
              </w:rPr>
              <w:fldChar w:fldCharType="end"/>
            </w:r>
          </w:hyperlink>
        </w:p>
        <w:p w:rsidR="00C832A4" w:rsidRDefault="00C832A4" w:rsidP="00C832A4">
          <w:pPr>
            <w:pStyle w:val="TOC2"/>
            <w:tabs>
              <w:tab w:val="left" w:pos="880"/>
              <w:tab w:val="right" w:leader="dot" w:pos="9016"/>
            </w:tabs>
            <w:rPr>
              <w:rFonts w:asciiTheme="minorHAnsi" w:eastAsiaTheme="minorEastAsia" w:hAnsiTheme="minorHAnsi"/>
              <w:noProof/>
              <w:sz w:val="22"/>
              <w:lang w:eastAsia="en-GB"/>
            </w:rPr>
          </w:pPr>
          <w:hyperlink r:id="rId17" w:anchor="_Toc501735739" w:history="1">
            <w:r>
              <w:rPr>
                <w:rStyle w:val="Hyperlink"/>
                <w:noProof/>
              </w:rPr>
              <w:t>4.2</w:t>
            </w:r>
            <w:r>
              <w:rPr>
                <w:rStyle w:val="Hyperlink"/>
                <w:rFonts w:asciiTheme="minorHAnsi" w:eastAsiaTheme="minorEastAsia" w:hAnsiTheme="minorHAnsi"/>
                <w:noProof/>
                <w:sz w:val="22"/>
                <w:lang w:eastAsia="en-GB"/>
              </w:rPr>
              <w:tab/>
            </w:r>
            <w:r>
              <w:rPr>
                <w:rStyle w:val="Hyperlink"/>
                <w:noProof/>
              </w:rPr>
              <w:t>Factors affecting employee behaviour</w:t>
            </w:r>
            <w:r>
              <w:rPr>
                <w:rStyle w:val="Hyperlink"/>
                <w:noProof/>
                <w:webHidden/>
              </w:rPr>
              <w:tab/>
            </w:r>
            <w:r>
              <w:rPr>
                <w:rStyle w:val="Hyperlink"/>
              </w:rPr>
              <w:fldChar w:fldCharType="begin"/>
            </w:r>
            <w:r>
              <w:rPr>
                <w:rStyle w:val="Hyperlink"/>
                <w:noProof/>
                <w:webHidden/>
              </w:rPr>
              <w:instrText xml:space="preserve"> PAGEREF _Toc501735739 \h </w:instrText>
            </w:r>
            <w:r>
              <w:rPr>
                <w:rStyle w:val="Hyperlink"/>
              </w:rPr>
            </w:r>
            <w:r>
              <w:rPr>
                <w:rStyle w:val="Hyperlink"/>
              </w:rPr>
              <w:fldChar w:fldCharType="separate"/>
            </w:r>
            <w:r>
              <w:rPr>
                <w:rStyle w:val="Hyperlink"/>
                <w:noProof/>
                <w:webHidden/>
              </w:rPr>
              <w:t>10</w:t>
            </w:r>
            <w:r>
              <w:rPr>
                <w:rStyle w:val="Hyperlink"/>
              </w:rPr>
              <w:fldChar w:fldCharType="end"/>
            </w:r>
          </w:hyperlink>
        </w:p>
        <w:p w:rsidR="00C832A4" w:rsidRDefault="00C832A4" w:rsidP="00C832A4">
          <w:pPr>
            <w:pStyle w:val="TOC1"/>
            <w:tabs>
              <w:tab w:val="right" w:leader="dot" w:pos="9016"/>
            </w:tabs>
            <w:rPr>
              <w:rFonts w:asciiTheme="minorHAnsi" w:eastAsiaTheme="minorEastAsia" w:hAnsiTheme="minorHAnsi"/>
              <w:noProof/>
              <w:sz w:val="22"/>
              <w:lang w:eastAsia="en-GB"/>
            </w:rPr>
          </w:pPr>
          <w:hyperlink r:id="rId18" w:anchor="_Toc501735740" w:history="1">
            <w:r>
              <w:rPr>
                <w:rStyle w:val="Hyperlink"/>
                <w:noProof/>
              </w:rPr>
              <w:t>References</w:t>
            </w:r>
            <w:r>
              <w:rPr>
                <w:rStyle w:val="Hyperlink"/>
                <w:noProof/>
                <w:webHidden/>
              </w:rPr>
              <w:tab/>
            </w:r>
            <w:r>
              <w:rPr>
                <w:rStyle w:val="Hyperlink"/>
              </w:rPr>
              <w:fldChar w:fldCharType="begin"/>
            </w:r>
            <w:r>
              <w:rPr>
                <w:rStyle w:val="Hyperlink"/>
                <w:noProof/>
                <w:webHidden/>
              </w:rPr>
              <w:instrText xml:space="preserve"> PAGEREF _Toc501735740 \h </w:instrText>
            </w:r>
            <w:r>
              <w:rPr>
                <w:rStyle w:val="Hyperlink"/>
              </w:rPr>
            </w:r>
            <w:r>
              <w:rPr>
                <w:rStyle w:val="Hyperlink"/>
              </w:rPr>
              <w:fldChar w:fldCharType="separate"/>
            </w:r>
            <w:r>
              <w:rPr>
                <w:rStyle w:val="Hyperlink"/>
                <w:noProof/>
                <w:webHidden/>
              </w:rPr>
              <w:t>12</w:t>
            </w:r>
            <w:r>
              <w:rPr>
                <w:rStyle w:val="Hyperlink"/>
              </w:rPr>
              <w:fldChar w:fldCharType="end"/>
            </w:r>
          </w:hyperlink>
        </w:p>
        <w:p w:rsidR="00C832A4" w:rsidRDefault="00C832A4" w:rsidP="00C832A4">
          <w:r>
            <w:fldChar w:fldCharType="end"/>
          </w:r>
        </w:p>
      </w:sdtContent>
    </w:sdt>
    <w:p w:rsidR="00C832A4" w:rsidRDefault="00C832A4" w:rsidP="00C832A4">
      <w:pPr>
        <w:pStyle w:val="Heading1"/>
      </w:pPr>
    </w:p>
    <w:p w:rsidR="00C832A4" w:rsidRDefault="00C832A4" w:rsidP="00C832A4">
      <w:pPr>
        <w:rPr>
          <w:rFonts w:ascii="Arial Black" w:eastAsiaTheme="majorEastAsia" w:hAnsi="Arial Black" w:cstheme="majorBidi"/>
          <w:sz w:val="32"/>
          <w:szCs w:val="32"/>
        </w:rPr>
      </w:pPr>
      <w:r>
        <w:br w:type="page"/>
      </w:r>
    </w:p>
    <w:p w:rsidR="00C832A4" w:rsidRDefault="00C832A4" w:rsidP="00C832A4">
      <w:pPr>
        <w:pStyle w:val="Heading1"/>
      </w:pPr>
      <w:bookmarkStart w:id="2" w:name="_Toc501735727"/>
      <w:r>
        <w:lastRenderedPageBreak/>
        <w:t>1.</w:t>
      </w:r>
      <w:r>
        <w:tab/>
      </w:r>
      <w:bookmarkEnd w:id="0"/>
      <w:r>
        <w:t>Company Background</w:t>
      </w:r>
      <w:bookmarkEnd w:id="2"/>
    </w:p>
    <w:p w:rsidR="00C832A4" w:rsidRDefault="00C832A4" w:rsidP="00C832A4">
      <w:r>
        <w:t xml:space="preserve">As shown by figure 1 below, BT is the UK’s largest telecommunication company. Its latest financial statements show that the company had revenues of £24 billion and profits of £3.5 billion </w:t>
      </w:r>
      <w:sdt>
        <w:sdtPr>
          <w:id w:val="1839956711"/>
          <w:citation/>
        </w:sdtPr>
        <w:sdtContent>
          <w:r>
            <w:fldChar w:fldCharType="begin"/>
          </w:r>
          <w:r>
            <w:instrText xml:space="preserve"> CITATION BT17 \l 2057 </w:instrText>
          </w:r>
          <w:r>
            <w:fldChar w:fldCharType="separate"/>
          </w:r>
          <w:r>
            <w:rPr>
              <w:noProof/>
            </w:rPr>
            <w:t>(BT, 2017)</w:t>
          </w:r>
          <w:r>
            <w:fldChar w:fldCharType="end"/>
          </w:r>
        </w:sdtContent>
      </w:sdt>
      <w:r>
        <w:t xml:space="preserve">. BT’s </w:t>
      </w:r>
      <w:proofErr w:type="spellStart"/>
      <w:r>
        <w:t>Openreach</w:t>
      </w:r>
      <w:proofErr w:type="spellEnd"/>
      <w:r>
        <w:t xml:space="preserve"> division is one of only two telecommunication companies that own telecommunication infrastructure (the other one is BT). This means BT’s competitors (Sky, TalkTalk) have to lease lines and infrastructure from BT </w:t>
      </w:r>
      <w:sdt>
        <w:sdtPr>
          <w:id w:val="-1819031831"/>
          <w:citation/>
        </w:sdtPr>
        <w:sdtContent>
          <w:r>
            <w:fldChar w:fldCharType="begin"/>
          </w:r>
          <w:r>
            <w:instrText xml:space="preserve"> CITATION Ofc17 \l 2057 </w:instrText>
          </w:r>
          <w:r>
            <w:fldChar w:fldCharType="separate"/>
          </w:r>
          <w:r>
            <w:rPr>
              <w:noProof/>
            </w:rPr>
            <w:t>(Ofcom, 2017)</w:t>
          </w:r>
          <w:r>
            <w:fldChar w:fldCharType="end"/>
          </w:r>
        </w:sdtContent>
      </w:sdt>
      <w:r>
        <w:t xml:space="preserve">. This gave BT a significant advantage. However, the company has been criticised for lagging behind in updating telecommunication infrastructure </w:t>
      </w:r>
      <w:sdt>
        <w:sdtPr>
          <w:id w:val="2012877616"/>
          <w:citation/>
        </w:sdtPr>
        <w:sdtContent>
          <w:r>
            <w:fldChar w:fldCharType="begin"/>
          </w:r>
          <w:r>
            <w:instrText xml:space="preserve"> CITATION Mil17 \l 2057 </w:instrText>
          </w:r>
          <w:r>
            <w:fldChar w:fldCharType="separate"/>
          </w:r>
          <w:r>
            <w:rPr>
              <w:noProof/>
            </w:rPr>
            <w:t>(Millet, 2017)</w:t>
          </w:r>
          <w:r>
            <w:fldChar w:fldCharType="end"/>
          </w:r>
        </w:sdtContent>
      </w:sdt>
      <w:r>
        <w:t xml:space="preserve">. Hence, Ofcom has ruled that </w:t>
      </w:r>
      <w:proofErr w:type="spellStart"/>
      <w:r>
        <w:t>Openreach</w:t>
      </w:r>
      <w:proofErr w:type="spellEnd"/>
      <w:r>
        <w:t xml:space="preserve"> needs to be spun-off into a separate legal entity; however, BT will remain 100% ownership of </w:t>
      </w:r>
      <w:proofErr w:type="spellStart"/>
      <w:r>
        <w:t>Openreach</w:t>
      </w:r>
      <w:proofErr w:type="spellEnd"/>
      <w:r>
        <w:t xml:space="preserve"> </w:t>
      </w:r>
      <w:sdt>
        <w:sdtPr>
          <w:id w:val="1482190176"/>
          <w:citation/>
        </w:sdtPr>
        <w:sdtContent>
          <w:r>
            <w:fldChar w:fldCharType="begin"/>
          </w:r>
          <w:r>
            <w:instrText xml:space="preserve"> CITATION Mooml \l 2057 </w:instrText>
          </w:r>
          <w:r>
            <w:fldChar w:fldCharType="separate"/>
          </w:r>
          <w:r>
            <w:rPr>
              <w:noProof/>
            </w:rPr>
            <w:t>(Moore, 2017)</w:t>
          </w:r>
          <w:r>
            <w:fldChar w:fldCharType="end"/>
          </w:r>
        </w:sdtContent>
      </w:sdt>
      <w:r>
        <w:t>. This could present a challenge in the future.</w:t>
      </w:r>
    </w:p>
    <w:p w:rsidR="00C832A4" w:rsidRDefault="00C832A4" w:rsidP="00C832A4">
      <w:pPr>
        <w:keepNext/>
      </w:pPr>
      <w:r>
        <w:rPr>
          <w:noProof/>
          <w:lang w:eastAsia="en-GB"/>
        </w:rPr>
        <w:drawing>
          <wp:inline distT="0" distB="0" distL="0" distR="0">
            <wp:extent cx="5734050" cy="3057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057525"/>
                    </a:xfrm>
                    <a:prstGeom prst="rect">
                      <a:avLst/>
                    </a:prstGeom>
                    <a:noFill/>
                    <a:ln>
                      <a:noFill/>
                    </a:ln>
                  </pic:spPr>
                </pic:pic>
              </a:graphicData>
            </a:graphic>
          </wp:inline>
        </w:drawing>
      </w:r>
    </w:p>
    <w:p w:rsidR="00C832A4" w:rsidRDefault="00C832A4" w:rsidP="00C832A4">
      <w:pPr>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1</w:t>
      </w:r>
      <w:r>
        <w:rPr>
          <w:b/>
        </w:rPr>
        <w:fldChar w:fldCharType="end"/>
      </w:r>
      <w:r>
        <w:rPr>
          <w:b/>
        </w:rPr>
        <w:t xml:space="preserve">: Telecommunication Industry Market Share (Source: </w:t>
      </w:r>
      <w:sdt>
        <w:sdtPr>
          <w:rPr>
            <w:b/>
          </w:rPr>
          <w:id w:val="-2020385377"/>
          <w:citation/>
        </w:sdtPr>
        <w:sdtContent>
          <w:r>
            <w:rPr>
              <w:b/>
            </w:rPr>
            <w:fldChar w:fldCharType="begin"/>
          </w:r>
          <w:r>
            <w:rPr>
              <w:b/>
            </w:rPr>
            <w:instrText xml:space="preserve"> CITATION Ofc17 \l 2057 </w:instrText>
          </w:r>
          <w:r>
            <w:rPr>
              <w:b/>
            </w:rPr>
            <w:fldChar w:fldCharType="separate"/>
          </w:r>
          <w:r>
            <w:rPr>
              <w:b/>
              <w:noProof/>
            </w:rPr>
            <w:t>(Ofcom, 2017)</w:t>
          </w:r>
          <w:r>
            <w:rPr>
              <w:b/>
            </w:rPr>
            <w:fldChar w:fldCharType="end"/>
          </w:r>
        </w:sdtContent>
      </w:sdt>
      <w:r>
        <w:rPr>
          <w:b/>
        </w:rPr>
        <w:t>)</w:t>
      </w:r>
    </w:p>
    <w:p w:rsidR="00C832A4" w:rsidRDefault="00C832A4" w:rsidP="00C832A4">
      <w:pPr>
        <w:spacing w:line="256" w:lineRule="auto"/>
        <w:jc w:val="left"/>
        <w:rPr>
          <w:rFonts w:ascii="Arial Black" w:eastAsiaTheme="majorEastAsia" w:hAnsi="Arial Black" w:cstheme="majorBidi"/>
          <w:sz w:val="32"/>
          <w:szCs w:val="32"/>
        </w:rPr>
      </w:pPr>
      <w:r>
        <w:br w:type="page"/>
      </w:r>
      <w:bookmarkStart w:id="3" w:name="_Toc501715434"/>
    </w:p>
    <w:p w:rsidR="00C832A4" w:rsidRDefault="00C832A4" w:rsidP="00C832A4">
      <w:pPr>
        <w:pStyle w:val="Heading1"/>
      </w:pPr>
      <w:bookmarkStart w:id="4" w:name="_Toc501735728"/>
      <w:r>
        <w:lastRenderedPageBreak/>
        <w:t>2.</w:t>
      </w:r>
      <w:r>
        <w:tab/>
        <w:t>Critical Thinking</w:t>
      </w:r>
      <w:bookmarkEnd w:id="3"/>
      <w:bookmarkEnd w:id="4"/>
    </w:p>
    <w:p w:rsidR="00C832A4" w:rsidRDefault="00C832A4" w:rsidP="00C832A4">
      <w:pPr>
        <w:pStyle w:val="Heading2"/>
      </w:pPr>
      <w:bookmarkStart w:id="5" w:name="_Toc501715435"/>
      <w:bookmarkStart w:id="6" w:name="_Toc501735729"/>
      <w:r>
        <w:t>2.1</w:t>
      </w:r>
      <w:r>
        <w:tab/>
      </w:r>
      <w:bookmarkEnd w:id="5"/>
      <w:r>
        <w:t>Definition of Problems and Stages of Problem-solving</w:t>
      </w:r>
      <w:bookmarkEnd w:id="6"/>
    </w:p>
    <w:p w:rsidR="00C832A4" w:rsidRDefault="00C832A4" w:rsidP="00C832A4">
      <w:r>
        <w:t xml:space="preserve">Problems can be defined as situations which are potentially detrimental to a company or an individual </w:t>
      </w:r>
      <w:sdt>
        <w:sdtPr>
          <w:id w:val="1051039133"/>
          <w:citation/>
        </w:sdtPr>
        <w:sdtContent>
          <w:r>
            <w:fldChar w:fldCharType="begin"/>
          </w:r>
          <w:r>
            <w:instrText xml:space="preserve"> CITATION McC15 \l 2057 </w:instrText>
          </w:r>
          <w:r>
            <w:fldChar w:fldCharType="separate"/>
          </w:r>
          <w:r>
            <w:rPr>
              <w:noProof/>
            </w:rPr>
            <w:t>(McCormick , et al., 2015)</w:t>
          </w:r>
          <w:r>
            <w:fldChar w:fldCharType="end"/>
          </w:r>
        </w:sdtContent>
      </w:sdt>
      <w:r>
        <w:t xml:space="preserve">. Thus, the existence of problems demands that companies and individuals look for solutions that can reduce or eliminate the harmful effects of a problem </w:t>
      </w:r>
      <w:sdt>
        <w:sdtPr>
          <w:id w:val="-494880556"/>
          <w:citation/>
        </w:sdtPr>
        <w:sdtContent>
          <w:r>
            <w:fldChar w:fldCharType="begin"/>
          </w:r>
          <w:r>
            <w:instrText xml:space="preserve"> CITATION McW16 \l 2057 </w:instrText>
          </w:r>
          <w:r>
            <w:fldChar w:fldCharType="separate"/>
          </w:r>
          <w:r>
            <w:rPr>
              <w:noProof/>
            </w:rPr>
            <w:t>(McWhorter, 2016)</w:t>
          </w:r>
          <w:r>
            <w:fldChar w:fldCharType="end"/>
          </w:r>
        </w:sdtContent>
      </w:sdt>
      <w:r>
        <w:t xml:space="preserve">. </w:t>
      </w:r>
    </w:p>
    <w:p w:rsidR="00C832A4" w:rsidRDefault="00C832A4" w:rsidP="00C832A4">
      <w:r>
        <w:t xml:space="preserve">Solving problems requires the application of a clear, structured approach </w:t>
      </w:r>
      <w:sdt>
        <w:sdtPr>
          <w:id w:val="-1867816502"/>
          <w:citation/>
        </w:sdtPr>
        <w:sdtContent>
          <w:r>
            <w:fldChar w:fldCharType="begin"/>
          </w:r>
          <w:r>
            <w:instrText xml:space="preserve"> CITATION Fac15 \l 2057 </w:instrText>
          </w:r>
          <w:r>
            <w:fldChar w:fldCharType="separate"/>
          </w:r>
          <w:r>
            <w:rPr>
              <w:noProof/>
            </w:rPr>
            <w:t>(Facione &amp; Gittens, 2015)</w:t>
          </w:r>
          <w:r>
            <w:fldChar w:fldCharType="end"/>
          </w:r>
        </w:sdtContent>
      </w:sdt>
      <w:r>
        <w:t xml:space="preserve">. Firstly, the problem should be clearly defined in a precise manner </w:t>
      </w:r>
      <w:sdt>
        <w:sdtPr>
          <w:id w:val="-1468503170"/>
          <w:citation/>
        </w:sdtPr>
        <w:sdtContent>
          <w:r>
            <w:fldChar w:fldCharType="begin"/>
          </w:r>
          <w:r>
            <w:instrText xml:space="preserve"> CITATION McW16 \l 2057 </w:instrText>
          </w:r>
          <w:r>
            <w:fldChar w:fldCharType="separate"/>
          </w:r>
          <w:r>
            <w:rPr>
              <w:noProof/>
            </w:rPr>
            <w:t>(McWhorter, 2016)</w:t>
          </w:r>
          <w:r>
            <w:fldChar w:fldCharType="end"/>
          </w:r>
        </w:sdtContent>
      </w:sdt>
      <w:r>
        <w:t xml:space="preserve">. For example, the UK telecom industry regulator has ruled that BT needs to spin-off its </w:t>
      </w:r>
      <w:proofErr w:type="spellStart"/>
      <w:r>
        <w:t>Openreach</w:t>
      </w:r>
      <w:proofErr w:type="spellEnd"/>
      <w:r>
        <w:t xml:space="preserve"> division into a separate legal entity </w:t>
      </w:r>
      <w:sdt>
        <w:sdtPr>
          <w:id w:val="-1107894346"/>
          <w:citation/>
        </w:sdtPr>
        <w:sdtContent>
          <w:r>
            <w:fldChar w:fldCharType="begin"/>
          </w:r>
          <w:r>
            <w:instrText xml:space="preserve"> CITATION Mooml \l 2057 </w:instrText>
          </w:r>
          <w:r>
            <w:fldChar w:fldCharType="separate"/>
          </w:r>
          <w:r>
            <w:rPr>
              <w:noProof/>
            </w:rPr>
            <w:t>(Moore, 2017)</w:t>
          </w:r>
          <w:r>
            <w:fldChar w:fldCharType="end"/>
          </w:r>
        </w:sdtContent>
      </w:sdt>
      <w:r>
        <w:t xml:space="preserve">. In this case, the problem is how the division should be spun-off since such a move will lead to operational, strategic and legal challenges for BT. </w:t>
      </w:r>
    </w:p>
    <w:p w:rsidR="00C832A4" w:rsidRDefault="00C832A4" w:rsidP="00C832A4">
      <w:r>
        <w:t xml:space="preserve">Once the problem has been identified, the key stakeholders should brainstorm in order to identify a list of solutions that could be applied </w:t>
      </w:r>
      <w:sdt>
        <w:sdtPr>
          <w:id w:val="-1645342303"/>
          <w:citation/>
        </w:sdtPr>
        <w:sdtContent>
          <w:r>
            <w:fldChar w:fldCharType="begin"/>
          </w:r>
          <w:r>
            <w:instrText xml:space="preserve"> CITATION Fac15 \l 2057 </w:instrText>
          </w:r>
          <w:r>
            <w:fldChar w:fldCharType="separate"/>
          </w:r>
          <w:r>
            <w:rPr>
              <w:noProof/>
            </w:rPr>
            <w:t>(Facione &amp; Gittens, 2015)</w:t>
          </w:r>
          <w:r>
            <w:fldChar w:fldCharType="end"/>
          </w:r>
        </w:sdtContent>
      </w:sdt>
      <w:r>
        <w:t xml:space="preserve">. Thirdly, the solutions are evaluated in terms of their potential ability to address the identified issues </w:t>
      </w:r>
      <w:sdt>
        <w:sdtPr>
          <w:id w:val="-1958396180"/>
          <w:citation/>
        </w:sdtPr>
        <w:sdtContent>
          <w:r>
            <w:fldChar w:fldCharType="begin"/>
          </w:r>
          <w:r>
            <w:instrText xml:space="preserve"> CITATION Sav15 \l 2057 </w:instrText>
          </w:r>
          <w:r>
            <w:fldChar w:fldCharType="separate"/>
          </w:r>
          <w:r>
            <w:rPr>
              <w:noProof/>
            </w:rPr>
            <w:t>(Savery, 2015)</w:t>
          </w:r>
          <w:r>
            <w:fldChar w:fldCharType="end"/>
          </w:r>
        </w:sdtContent>
      </w:sdt>
      <w:r>
        <w:t xml:space="preserve">. In the final stage of the process, a solution is selected and implemented. It is important to constantly evaluate the solution to ensure its success; if it is found that the solution is not effective, an alternative should be applied </w:t>
      </w:r>
      <w:sdt>
        <w:sdtPr>
          <w:id w:val="-253203610"/>
          <w:citation/>
        </w:sdtPr>
        <w:sdtContent>
          <w:r>
            <w:fldChar w:fldCharType="begin"/>
          </w:r>
          <w:r>
            <w:instrText xml:space="preserve"> CITATION Sav15 \l 2057 </w:instrText>
          </w:r>
          <w:r>
            <w:fldChar w:fldCharType="separate"/>
          </w:r>
          <w:r>
            <w:rPr>
              <w:noProof/>
            </w:rPr>
            <w:t>(Savery, 2015)</w:t>
          </w:r>
          <w:r>
            <w:fldChar w:fldCharType="end"/>
          </w:r>
        </w:sdtContent>
      </w:sdt>
      <w:r>
        <w:t xml:space="preserve">. </w:t>
      </w:r>
    </w:p>
    <w:p w:rsidR="00C832A4" w:rsidRDefault="00C832A4" w:rsidP="00C832A4">
      <w:pPr>
        <w:pStyle w:val="Heading2"/>
      </w:pPr>
      <w:bookmarkStart w:id="7" w:name="_Toc501715437"/>
      <w:bookmarkStart w:id="8" w:name="_Toc501735730"/>
      <w:r>
        <w:t>2.2</w:t>
      </w:r>
      <w:r>
        <w:tab/>
        <w:t>Potential effects of problems</w:t>
      </w:r>
      <w:bookmarkEnd w:id="7"/>
      <w:r>
        <w:t xml:space="preserve"> on individuals and companies</w:t>
      </w:r>
      <w:bookmarkEnd w:id="8"/>
    </w:p>
    <w:p w:rsidR="00C832A4" w:rsidRDefault="00C832A4" w:rsidP="00C832A4">
      <w:r>
        <w:t xml:space="preserve">The existence of problems has adverse impacts on both individuals and organisations. With regards to individuals, problems can lead to a deterioration in general well-being and cause mental health issues </w:t>
      </w:r>
      <w:sdt>
        <w:sdtPr>
          <w:id w:val="1074163385"/>
          <w:citation/>
        </w:sdtPr>
        <w:sdtContent>
          <w:r>
            <w:fldChar w:fldCharType="begin"/>
          </w:r>
          <w:r>
            <w:instrText xml:space="preserve"> CITATION McC15 \l 2057 </w:instrText>
          </w:r>
          <w:r>
            <w:fldChar w:fldCharType="separate"/>
          </w:r>
          <w:r>
            <w:rPr>
              <w:noProof/>
            </w:rPr>
            <w:t>(McCormick , et al., 2015)</w:t>
          </w:r>
          <w:r>
            <w:fldChar w:fldCharType="end"/>
          </w:r>
        </w:sdtContent>
      </w:sdt>
      <w:r>
        <w:t xml:space="preserve">. Unsolved problems often lead to stress and may cause the person to do things that are harmful to them. For example, stress can lead to alcohol and drug addiction which can further exacerbate the existing problem. As an example, if a person if facing relationship problems, they may turn to alcohol which could further harm the relationship. In many cases, people find it difficult to solve personal problems if they do not seek the required support and guidance; however, it is often difficult to share personal issues with others. Despite this, people facing serious problems should seek assistance before the problem mushrooms into something bigger. </w:t>
      </w:r>
    </w:p>
    <w:p w:rsidR="00C832A4" w:rsidRDefault="00C832A4" w:rsidP="00C832A4">
      <w:r>
        <w:lastRenderedPageBreak/>
        <w:t xml:space="preserve">In the case of companies, unidentified and unsolved problems can have adverse short-term and long-term effects </w:t>
      </w:r>
      <w:sdt>
        <w:sdtPr>
          <w:id w:val="218485648"/>
          <w:citation/>
        </w:sdtPr>
        <w:sdtContent>
          <w:r>
            <w:fldChar w:fldCharType="begin"/>
          </w:r>
          <w:r>
            <w:instrText xml:space="preserve"> CITATION Car13 \l 2057 </w:instrText>
          </w:r>
          <w:r>
            <w:fldChar w:fldCharType="separate"/>
          </w:r>
          <w:r>
            <w:rPr>
              <w:noProof/>
            </w:rPr>
            <w:t>(Carpenter, et al., 2013)</w:t>
          </w:r>
          <w:r>
            <w:fldChar w:fldCharType="end"/>
          </w:r>
        </w:sdtContent>
      </w:sdt>
      <w:r>
        <w:t xml:space="preserve">. These can lead to inefficient operations, loss of customers and financial losses </w:t>
      </w:r>
      <w:sdt>
        <w:sdtPr>
          <w:id w:val="2144471003"/>
          <w:citation/>
        </w:sdtPr>
        <w:sdtContent>
          <w:r>
            <w:fldChar w:fldCharType="begin"/>
          </w:r>
          <w:r>
            <w:instrText xml:space="preserve"> CITATION Car13 \l 2057 </w:instrText>
          </w:r>
          <w:r>
            <w:fldChar w:fldCharType="separate"/>
          </w:r>
          <w:r>
            <w:rPr>
              <w:noProof/>
            </w:rPr>
            <w:t>(Carpenter, et al., 2013)</w:t>
          </w:r>
          <w:r>
            <w:fldChar w:fldCharType="end"/>
          </w:r>
        </w:sdtContent>
      </w:sdt>
      <w:r>
        <w:t xml:space="preserve">. Thus, in the case of BT, if the segregation of </w:t>
      </w:r>
      <w:proofErr w:type="spellStart"/>
      <w:r>
        <w:t>Openreach</w:t>
      </w:r>
      <w:proofErr w:type="spellEnd"/>
      <w:r>
        <w:t xml:space="preserve"> is not carried out in an efficient manner, and, also, as prescribed by Ofcom, the company’s operations may be affected. Moreover, there is a risk that the company might get fined by Ofcom for not complying with the regulator’s instructions. </w:t>
      </w:r>
    </w:p>
    <w:p w:rsidR="00C832A4" w:rsidRDefault="00C832A4" w:rsidP="00C832A4">
      <w:pPr>
        <w:pStyle w:val="Heading2"/>
      </w:pPr>
      <w:bookmarkStart w:id="9" w:name="_Toc501715438"/>
      <w:bookmarkStart w:id="10" w:name="_Toc501735731"/>
      <w:r>
        <w:t>2.3</w:t>
      </w:r>
      <w:r>
        <w:tab/>
        <w:t xml:space="preserve">Examples of </w:t>
      </w:r>
      <w:bookmarkEnd w:id="9"/>
      <w:r>
        <w:t>problems faced by BT</w:t>
      </w:r>
      <w:bookmarkEnd w:id="10"/>
    </w:p>
    <w:p w:rsidR="00C832A4" w:rsidRDefault="00C832A4" w:rsidP="00C832A4">
      <w:r>
        <w:t xml:space="preserve">Problems faced by companies can be simple or complex. Simple problems are those that occur routinely and have set procedures to deal with them; on the other hand, complex problems are non-routine and usually have the potential to have a long term strategic impact on the company </w:t>
      </w:r>
      <w:sdt>
        <w:sdtPr>
          <w:id w:val="1141385983"/>
          <w:citation/>
        </w:sdtPr>
        <w:sdtContent>
          <w:r>
            <w:fldChar w:fldCharType="begin"/>
          </w:r>
          <w:r>
            <w:instrText xml:space="preserve"> CITATION Car13 \l 2057 </w:instrText>
          </w:r>
          <w:r>
            <w:fldChar w:fldCharType="separate"/>
          </w:r>
          <w:r>
            <w:rPr>
              <w:noProof/>
            </w:rPr>
            <w:t>(Carpenter, et al., 2013)</w:t>
          </w:r>
          <w:r>
            <w:fldChar w:fldCharType="end"/>
          </w:r>
        </w:sdtContent>
      </w:sdt>
      <w:r>
        <w:t xml:space="preserve">. Table 1 below shows examples of such problems in the case of BT. </w:t>
      </w:r>
    </w:p>
    <w:p w:rsidR="00C832A4" w:rsidRDefault="00C832A4" w:rsidP="00C832A4">
      <w:pPr>
        <w:jc w:val="center"/>
        <w:rPr>
          <w:b/>
          <w:i/>
        </w:rPr>
      </w:pPr>
      <w:r>
        <w:rPr>
          <w:b/>
          <w:i/>
        </w:rPr>
        <w:t xml:space="preserve">Table </w:t>
      </w:r>
      <w:r>
        <w:rPr>
          <w:b/>
          <w:i/>
        </w:rPr>
        <w:fldChar w:fldCharType="begin"/>
      </w:r>
      <w:r>
        <w:rPr>
          <w:b/>
          <w:i/>
        </w:rPr>
        <w:instrText xml:space="preserve"> SEQ Table \* ARABIC </w:instrText>
      </w:r>
      <w:r>
        <w:rPr>
          <w:b/>
          <w:i/>
        </w:rPr>
        <w:fldChar w:fldCharType="separate"/>
      </w:r>
      <w:r>
        <w:rPr>
          <w:b/>
          <w:i/>
          <w:noProof/>
        </w:rPr>
        <w:t>1</w:t>
      </w:r>
      <w:r>
        <w:rPr>
          <w:b/>
          <w:i/>
        </w:rPr>
        <w:fldChar w:fldCharType="end"/>
      </w:r>
      <w:r>
        <w:rPr>
          <w:b/>
          <w:i/>
        </w:rPr>
        <w:t>: Examples of potential problems at BT (source: created by author)</w:t>
      </w:r>
    </w:p>
    <w:tbl>
      <w:tblPr>
        <w:tblStyle w:val="TableGrid"/>
        <w:tblW w:w="0" w:type="auto"/>
        <w:tblInd w:w="0" w:type="dxa"/>
        <w:tblLook w:val="04A0" w:firstRow="1" w:lastRow="0" w:firstColumn="1" w:lastColumn="0" w:noHBand="0" w:noVBand="1"/>
      </w:tblPr>
      <w:tblGrid>
        <w:gridCol w:w="4508"/>
        <w:gridCol w:w="4508"/>
      </w:tblGrid>
      <w:tr w:rsidR="00C832A4" w:rsidTr="00C832A4">
        <w:tc>
          <w:tcPr>
            <w:tcW w:w="4508" w:type="dxa"/>
            <w:tcBorders>
              <w:top w:val="single" w:sz="4" w:space="0" w:color="auto"/>
              <w:left w:val="single" w:sz="4" w:space="0" w:color="auto"/>
              <w:bottom w:val="single" w:sz="4" w:space="0" w:color="auto"/>
              <w:right w:val="single" w:sz="4" w:space="0" w:color="auto"/>
            </w:tcBorders>
            <w:hideMark/>
          </w:tcPr>
          <w:p w:rsidR="00C832A4" w:rsidRDefault="00C832A4">
            <w:pPr>
              <w:jc w:val="center"/>
              <w:rPr>
                <w:b/>
              </w:rPr>
            </w:pPr>
            <w:r>
              <w:rPr>
                <w:b/>
              </w:rPr>
              <w:t>Simple Problems</w:t>
            </w:r>
          </w:p>
        </w:tc>
        <w:tc>
          <w:tcPr>
            <w:tcW w:w="4508" w:type="dxa"/>
            <w:tcBorders>
              <w:top w:val="single" w:sz="4" w:space="0" w:color="auto"/>
              <w:left w:val="single" w:sz="4" w:space="0" w:color="auto"/>
              <w:bottom w:val="single" w:sz="4" w:space="0" w:color="auto"/>
              <w:right w:val="single" w:sz="4" w:space="0" w:color="auto"/>
            </w:tcBorders>
            <w:hideMark/>
          </w:tcPr>
          <w:p w:rsidR="00C832A4" w:rsidRDefault="00C832A4">
            <w:pPr>
              <w:jc w:val="center"/>
              <w:rPr>
                <w:b/>
              </w:rPr>
            </w:pPr>
            <w:r>
              <w:rPr>
                <w:b/>
              </w:rPr>
              <w:t>Complex Problems</w:t>
            </w:r>
          </w:p>
        </w:tc>
      </w:tr>
      <w:tr w:rsidR="00C832A4" w:rsidTr="00C832A4">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Dealing with customer’s technical problems</w:t>
            </w:r>
          </w:p>
        </w:tc>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 xml:space="preserve">Ofcom requirement to spin-off </w:t>
            </w:r>
            <w:proofErr w:type="spellStart"/>
            <w:r>
              <w:t>Openreach</w:t>
            </w:r>
            <w:proofErr w:type="spellEnd"/>
          </w:p>
        </w:tc>
      </w:tr>
      <w:tr w:rsidR="00C832A4" w:rsidTr="00C832A4">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Handling late and missed deliveries to customers</w:t>
            </w:r>
          </w:p>
        </w:tc>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 xml:space="preserve">Implications of </w:t>
            </w:r>
            <w:proofErr w:type="spellStart"/>
            <w:r>
              <w:t>Brexit</w:t>
            </w:r>
            <w:proofErr w:type="spellEnd"/>
            <w:r>
              <w:t xml:space="preserve"> for the telecommunications industry</w:t>
            </w:r>
          </w:p>
        </w:tc>
      </w:tr>
      <w:tr w:rsidR="00C832A4" w:rsidTr="00C832A4">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Routine infrastructure maintenance issues</w:t>
            </w:r>
          </w:p>
        </w:tc>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 xml:space="preserve">Major infrastructure failure that has the potential to disrupt services to multiple customers. </w:t>
            </w:r>
          </w:p>
        </w:tc>
      </w:tr>
      <w:tr w:rsidR="00C832A4" w:rsidTr="00C832A4">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Recruitment for lower level employees</w:t>
            </w:r>
          </w:p>
        </w:tc>
        <w:tc>
          <w:tcPr>
            <w:tcW w:w="4508" w:type="dxa"/>
            <w:tcBorders>
              <w:top w:val="single" w:sz="4" w:space="0" w:color="auto"/>
              <w:left w:val="single" w:sz="4" w:space="0" w:color="auto"/>
              <w:bottom w:val="single" w:sz="4" w:space="0" w:color="auto"/>
              <w:right w:val="single" w:sz="4" w:space="0" w:color="auto"/>
            </w:tcBorders>
            <w:hideMark/>
          </w:tcPr>
          <w:p w:rsidR="00C832A4" w:rsidRDefault="00C832A4">
            <w:r>
              <w:t xml:space="preserve">Hacking and cyber-attacks that can result in the loss of confidential client or company data. </w:t>
            </w:r>
          </w:p>
        </w:tc>
      </w:tr>
    </w:tbl>
    <w:p w:rsidR="00C832A4" w:rsidRDefault="00C832A4" w:rsidP="00C832A4"/>
    <w:p w:rsidR="00C832A4" w:rsidRDefault="00C832A4" w:rsidP="00C832A4"/>
    <w:p w:rsidR="00C832A4" w:rsidRDefault="00C832A4" w:rsidP="00C832A4">
      <w:pPr>
        <w:spacing w:line="256" w:lineRule="auto"/>
        <w:jc w:val="left"/>
        <w:rPr>
          <w:rFonts w:ascii="Arial Black" w:eastAsiaTheme="majorEastAsia" w:hAnsi="Arial Black" w:cstheme="majorBidi"/>
          <w:color w:val="000000" w:themeColor="text1"/>
          <w:sz w:val="28"/>
          <w:szCs w:val="26"/>
        </w:rPr>
      </w:pPr>
      <w:r>
        <w:br w:type="page"/>
      </w:r>
      <w:bookmarkStart w:id="11" w:name="_Toc501715439"/>
    </w:p>
    <w:p w:rsidR="00C832A4" w:rsidRDefault="00C832A4" w:rsidP="00C832A4">
      <w:pPr>
        <w:pStyle w:val="Heading2"/>
      </w:pPr>
      <w:bookmarkStart w:id="12" w:name="_Toc501735732"/>
      <w:r>
        <w:lastRenderedPageBreak/>
        <w:t>2.4</w:t>
      </w:r>
      <w:r>
        <w:tab/>
      </w:r>
      <w:bookmarkEnd w:id="11"/>
      <w:r>
        <w:t>Definition and stages of critical thinking</w:t>
      </w:r>
      <w:bookmarkEnd w:id="12"/>
    </w:p>
    <w:p w:rsidR="00C832A4" w:rsidRDefault="00C832A4" w:rsidP="00C832A4">
      <w:r>
        <w:t xml:space="preserve">Critical thinking can be considered as a logical analysis of a problem so that the problem can be evaluated in an objective manner </w:t>
      </w:r>
      <w:sdt>
        <w:sdtPr>
          <w:id w:val="277381012"/>
          <w:citation/>
        </w:sdtPr>
        <w:sdtContent>
          <w:r>
            <w:fldChar w:fldCharType="begin"/>
          </w:r>
          <w:r>
            <w:instrText xml:space="preserve"> CITATION Fac15 \l 2057 </w:instrText>
          </w:r>
          <w:r>
            <w:fldChar w:fldCharType="separate"/>
          </w:r>
          <w:r>
            <w:rPr>
              <w:noProof/>
            </w:rPr>
            <w:t>(Facione &amp; Gittens, 2015)</w:t>
          </w:r>
          <w:r>
            <w:fldChar w:fldCharType="end"/>
          </w:r>
        </w:sdtContent>
      </w:sdt>
      <w:r>
        <w:t xml:space="preserve">. A critical thinker has an excellent ability to rationalise a situation in a logical manner </w:t>
      </w:r>
      <w:sdt>
        <w:sdtPr>
          <w:id w:val="442348145"/>
          <w:citation/>
        </w:sdtPr>
        <w:sdtContent>
          <w:r>
            <w:fldChar w:fldCharType="begin"/>
          </w:r>
          <w:r>
            <w:instrText xml:space="preserve"> CITATION McC15 \l 2057 </w:instrText>
          </w:r>
          <w:r>
            <w:fldChar w:fldCharType="separate"/>
          </w:r>
          <w:r>
            <w:rPr>
              <w:noProof/>
            </w:rPr>
            <w:t>(McCormick , et al., 2015)</w:t>
          </w:r>
          <w:r>
            <w:fldChar w:fldCharType="end"/>
          </w:r>
        </w:sdtContent>
      </w:sdt>
      <w:r>
        <w:t xml:space="preserve">. Furthermore, the use of critical thinking techniques can reveal relationships between factors, concepts and ideas. A critical thinker can also effectively evaluate arguments and construct coherent responses which can often spot inaccuracies in opposing views and ideas </w:t>
      </w:r>
      <w:sdt>
        <w:sdtPr>
          <w:id w:val="155657799"/>
          <w:citation/>
        </w:sdtPr>
        <w:sdtContent>
          <w:r>
            <w:fldChar w:fldCharType="begin"/>
          </w:r>
          <w:r>
            <w:instrText xml:space="preserve"> CITATION McC15 \l 2057 </w:instrText>
          </w:r>
          <w:r>
            <w:fldChar w:fldCharType="separate"/>
          </w:r>
          <w:r>
            <w:rPr>
              <w:noProof/>
            </w:rPr>
            <w:t>(McCormick , et al., 2015)</w:t>
          </w:r>
          <w:r>
            <w:fldChar w:fldCharType="end"/>
          </w:r>
        </w:sdtContent>
      </w:sdt>
      <w:r>
        <w:t xml:space="preserve">. </w:t>
      </w:r>
    </w:p>
    <w:p w:rsidR="00C832A4" w:rsidRDefault="00C832A4" w:rsidP="00C832A4">
      <w:pPr>
        <w:pStyle w:val="Heading2"/>
      </w:pPr>
      <w:bookmarkStart w:id="13" w:name="_Toc501735733"/>
      <w:r>
        <w:t>2.5</w:t>
      </w:r>
      <w:r>
        <w:tab/>
        <w:t>Using critical thinking at BT</w:t>
      </w:r>
      <w:bookmarkEnd w:id="13"/>
    </w:p>
    <w:p w:rsidR="00C832A4" w:rsidRDefault="00C832A4" w:rsidP="00C832A4">
      <w:r>
        <w:t xml:space="preserve">Critical thinking can assist BT is solving the problems exemplified in table 1 above. Critical thinking techniques can be used to develop procedures to deal with routine problems </w:t>
      </w:r>
      <w:sdt>
        <w:sdtPr>
          <w:id w:val="710458671"/>
          <w:citation/>
        </w:sdtPr>
        <w:sdtContent>
          <w:r>
            <w:fldChar w:fldCharType="begin"/>
          </w:r>
          <w:r>
            <w:instrText xml:space="preserve"> CITATION McC15 \l 2057 </w:instrText>
          </w:r>
          <w:r>
            <w:fldChar w:fldCharType="separate"/>
          </w:r>
          <w:r>
            <w:rPr>
              <w:noProof/>
            </w:rPr>
            <w:t>(McCormick , et al., 2015)</w:t>
          </w:r>
          <w:r>
            <w:fldChar w:fldCharType="end"/>
          </w:r>
        </w:sdtContent>
      </w:sdt>
      <w:r>
        <w:t xml:space="preserve">. Thus, for example, using critical thinking might result in a more efficient manner to address missed and late client deliveries. Such procedures may also result in a reduction of such instances which would be beneficial for the overall reputation of the company. </w:t>
      </w:r>
    </w:p>
    <w:p w:rsidR="00C832A4" w:rsidRDefault="00C832A4" w:rsidP="00C832A4">
      <w:r>
        <w:t xml:space="preserve">Critical thinking is especially useful with regards to complex problems. Such problems tend to be involve many different variables, scenarios and people. Critical thinking can enable BT’s management to understand different variables and evaluate relationships between the variables in order to ascertain how the variables affect each other </w:t>
      </w:r>
      <w:sdt>
        <w:sdtPr>
          <w:id w:val="1786303768"/>
          <w:citation/>
        </w:sdtPr>
        <w:sdtContent>
          <w:r>
            <w:fldChar w:fldCharType="begin"/>
          </w:r>
          <w:r>
            <w:instrText xml:space="preserve"> CITATION Fac15 \l 2057 </w:instrText>
          </w:r>
          <w:r>
            <w:fldChar w:fldCharType="separate"/>
          </w:r>
          <w:r>
            <w:rPr>
              <w:noProof/>
            </w:rPr>
            <w:t>(Facione &amp; Gittens, 2015)</w:t>
          </w:r>
          <w:r>
            <w:fldChar w:fldCharType="end"/>
          </w:r>
        </w:sdtContent>
      </w:sdt>
      <w:r>
        <w:t xml:space="preserve">. Furthermore, critical thinking can also enable BT’s management to logically evaluate the viewpoints of different stakeholders so that the correct decisions can be taken </w:t>
      </w:r>
      <w:sdt>
        <w:sdtPr>
          <w:id w:val="-631865978"/>
          <w:citation/>
        </w:sdtPr>
        <w:sdtContent>
          <w:r>
            <w:fldChar w:fldCharType="begin"/>
          </w:r>
          <w:r>
            <w:instrText xml:space="preserve"> CITATION McW16 \l 2057 </w:instrText>
          </w:r>
          <w:r>
            <w:fldChar w:fldCharType="separate"/>
          </w:r>
          <w:r>
            <w:rPr>
              <w:noProof/>
            </w:rPr>
            <w:t>(McWhorter, 2016)</w:t>
          </w:r>
          <w:r>
            <w:fldChar w:fldCharType="end"/>
          </w:r>
        </w:sdtContent>
      </w:sdt>
      <w:r>
        <w:t xml:space="preserve">. </w:t>
      </w:r>
    </w:p>
    <w:p w:rsidR="00C832A4" w:rsidRDefault="00C832A4" w:rsidP="00C832A4">
      <w:pPr>
        <w:spacing w:line="256" w:lineRule="auto"/>
        <w:jc w:val="left"/>
        <w:rPr>
          <w:rFonts w:ascii="Arial Black" w:eastAsiaTheme="majorEastAsia" w:hAnsi="Arial Black" w:cstheme="majorBidi"/>
          <w:sz w:val="32"/>
          <w:szCs w:val="32"/>
        </w:rPr>
      </w:pPr>
      <w:r>
        <w:br w:type="page"/>
      </w:r>
      <w:bookmarkStart w:id="14" w:name="_Toc501715442"/>
    </w:p>
    <w:p w:rsidR="00C832A4" w:rsidRDefault="00C832A4" w:rsidP="00C832A4">
      <w:pPr>
        <w:pStyle w:val="Heading1"/>
      </w:pPr>
      <w:bookmarkStart w:id="15" w:name="_Toc501735734"/>
      <w:r>
        <w:lastRenderedPageBreak/>
        <w:t>3.</w:t>
      </w:r>
      <w:r>
        <w:tab/>
        <w:t>BT - PEST Analysis</w:t>
      </w:r>
      <w:bookmarkEnd w:id="14"/>
      <w:bookmarkEnd w:id="15"/>
    </w:p>
    <w:p w:rsidR="00C832A4" w:rsidRDefault="00C832A4" w:rsidP="00C832A4">
      <w:pPr>
        <w:pStyle w:val="Heading2"/>
      </w:pPr>
      <w:bookmarkStart w:id="16" w:name="_Toc501735735"/>
      <w:bookmarkStart w:id="17" w:name="_Toc501715443"/>
      <w:r>
        <w:t>3.1</w:t>
      </w:r>
      <w:r>
        <w:tab/>
        <w:t>PEST Analysis</w:t>
      </w:r>
      <w:bookmarkEnd w:id="16"/>
      <w:bookmarkEnd w:id="17"/>
    </w:p>
    <w:p w:rsidR="00C832A4" w:rsidRDefault="00C832A4" w:rsidP="00C832A4">
      <w:pPr>
        <w:rPr>
          <w:b/>
          <w:i/>
        </w:rPr>
      </w:pPr>
      <w:r>
        <w:rPr>
          <w:b/>
          <w:i/>
        </w:rPr>
        <w:t>Political Factors</w:t>
      </w:r>
    </w:p>
    <w:p w:rsidR="00C832A4" w:rsidRDefault="00C832A4" w:rsidP="00C832A4">
      <w:r>
        <w:t>The one political factor that is likely to affect all British companies is the country’s impending exit from the European Union. There is no clear indication that the UK government has engaged in serious post-</w:t>
      </w:r>
      <w:proofErr w:type="spellStart"/>
      <w:r>
        <w:t>Brexit</w:t>
      </w:r>
      <w:proofErr w:type="spellEnd"/>
      <w:r>
        <w:t xml:space="preserve"> planning and there is significant uncertainty with regards to any future relationship between the EU and UK </w:t>
      </w:r>
      <w:sdt>
        <w:sdtPr>
          <w:id w:val="-887493527"/>
          <w:citation/>
        </w:sdtPr>
        <w:sdtContent>
          <w:r>
            <w:fldChar w:fldCharType="begin"/>
          </w:r>
          <w:r>
            <w:instrText xml:space="preserve"> CITATION Mil17 \l 2057 </w:instrText>
          </w:r>
          <w:r>
            <w:fldChar w:fldCharType="separate"/>
          </w:r>
          <w:r>
            <w:rPr>
              <w:noProof/>
            </w:rPr>
            <w:t>(Millet, 2017)</w:t>
          </w:r>
          <w:r>
            <w:fldChar w:fldCharType="end"/>
          </w:r>
        </w:sdtContent>
      </w:sdt>
      <w:r>
        <w:t xml:space="preserve">. This level of uncertainty makes it difficult for companies, including BT, to formulate long term strategy. Furthermore, there are also indications that business risks might increase following </w:t>
      </w:r>
      <w:proofErr w:type="spellStart"/>
      <w:r>
        <w:t>Brexit</w:t>
      </w:r>
      <w:proofErr w:type="spellEnd"/>
      <w:r>
        <w:t xml:space="preserve"> and an increase in risks could affect BT’s operations </w:t>
      </w:r>
      <w:sdt>
        <w:sdtPr>
          <w:id w:val="512115178"/>
          <w:citation/>
        </w:sdtPr>
        <w:sdtContent>
          <w:r>
            <w:fldChar w:fldCharType="begin"/>
          </w:r>
          <w:r>
            <w:instrText xml:space="preserve"> CITATION PwC16 \l 2057 </w:instrText>
          </w:r>
          <w:r>
            <w:fldChar w:fldCharType="separate"/>
          </w:r>
          <w:r>
            <w:rPr>
              <w:noProof/>
            </w:rPr>
            <w:t>(PwC, 2016)</w:t>
          </w:r>
          <w:r>
            <w:fldChar w:fldCharType="end"/>
          </w:r>
        </w:sdtContent>
      </w:sdt>
      <w:r>
        <w:t xml:space="preserve">. </w:t>
      </w:r>
    </w:p>
    <w:p w:rsidR="00C832A4" w:rsidRDefault="00C832A4" w:rsidP="00C832A4">
      <w:pPr>
        <w:rPr>
          <w:b/>
          <w:i/>
        </w:rPr>
      </w:pPr>
      <w:r>
        <w:rPr>
          <w:b/>
          <w:i/>
        </w:rPr>
        <w:t>Economic Factors</w:t>
      </w:r>
    </w:p>
    <w:p w:rsidR="00C832A4" w:rsidRDefault="00C832A4" w:rsidP="00C832A4">
      <w:r>
        <w:t xml:space="preserve">One of the effects of the </w:t>
      </w:r>
      <w:proofErr w:type="spellStart"/>
      <w:r>
        <w:t>Brexit</w:t>
      </w:r>
      <w:proofErr w:type="spellEnd"/>
      <w:r>
        <w:t xml:space="preserve"> referendum has been economic especially in terms of exchange rates and inflation. The </w:t>
      </w:r>
      <w:proofErr w:type="spellStart"/>
      <w:r>
        <w:t>Brexit</w:t>
      </w:r>
      <w:proofErr w:type="spellEnd"/>
      <w:r>
        <w:t xml:space="preserve"> vote resulted in a devaluation of the pound </w:t>
      </w:r>
      <w:sdt>
        <w:sdtPr>
          <w:id w:val="2132047652"/>
          <w:citation/>
        </w:sdtPr>
        <w:sdtContent>
          <w:r>
            <w:fldChar w:fldCharType="begin"/>
          </w:r>
          <w:r>
            <w:instrText xml:space="preserve"> CITATION Cha17 \l 2057 </w:instrText>
          </w:r>
          <w:r>
            <w:fldChar w:fldCharType="separate"/>
          </w:r>
          <w:r>
            <w:rPr>
              <w:noProof/>
            </w:rPr>
            <w:t>(Chapman, 2017)</w:t>
          </w:r>
          <w:r>
            <w:fldChar w:fldCharType="end"/>
          </w:r>
        </w:sdtContent>
      </w:sdt>
      <w:r>
        <w:t xml:space="preserve">. The UK is an overall net importer and the devaluation of the pound has led to an increase in inflation which reached a high of 2.9% in 2017 </w:t>
      </w:r>
      <w:sdt>
        <w:sdtPr>
          <w:id w:val="1594900964"/>
          <w:citation/>
        </w:sdtPr>
        <w:sdtContent>
          <w:r>
            <w:fldChar w:fldCharType="begin"/>
          </w:r>
          <w:r>
            <w:instrText xml:space="preserve"> CITATION How17 \l 2057 </w:instrText>
          </w:r>
          <w:r>
            <w:fldChar w:fldCharType="separate"/>
          </w:r>
          <w:r>
            <w:rPr>
              <w:noProof/>
            </w:rPr>
            <w:t>(Howes, 2017)</w:t>
          </w:r>
          <w:r>
            <w:fldChar w:fldCharType="end"/>
          </w:r>
        </w:sdtContent>
      </w:sdt>
      <w:r>
        <w:t xml:space="preserve">. Furthermore, the devaluation also contributed to record trade deficit of £11 billion </w:t>
      </w:r>
      <w:sdt>
        <w:sdtPr>
          <w:id w:val="1039705726"/>
          <w:citation/>
        </w:sdtPr>
        <w:sdtContent>
          <w:r>
            <w:fldChar w:fldCharType="begin"/>
          </w:r>
          <w:r>
            <w:instrText xml:space="preserve"> CITATION ONS171 \l 2057 </w:instrText>
          </w:r>
          <w:r>
            <w:fldChar w:fldCharType="separate"/>
          </w:r>
          <w:r>
            <w:rPr>
              <w:noProof/>
            </w:rPr>
            <w:t>(ONS, 2017)</w:t>
          </w:r>
          <w:r>
            <w:fldChar w:fldCharType="end"/>
          </w:r>
        </w:sdtContent>
      </w:sdt>
      <w:r>
        <w:t xml:space="preserve">. Some analysts note that if the trade deficit continues to rise, the pound could fall by a further 7% which will cause further increases in inflation </w:t>
      </w:r>
      <w:sdt>
        <w:sdtPr>
          <w:id w:val="-1458716484"/>
          <w:citation/>
        </w:sdtPr>
        <w:sdtContent>
          <w:r>
            <w:fldChar w:fldCharType="begin"/>
          </w:r>
          <w:r>
            <w:instrText xml:space="preserve"> CITATION How17 \l 2057 </w:instrText>
          </w:r>
          <w:r>
            <w:fldChar w:fldCharType="separate"/>
          </w:r>
          <w:r>
            <w:rPr>
              <w:noProof/>
            </w:rPr>
            <w:t>(Howes, 2017)</w:t>
          </w:r>
          <w:r>
            <w:fldChar w:fldCharType="end"/>
          </w:r>
        </w:sdtContent>
      </w:sdt>
      <w:r>
        <w:t xml:space="preserve">. This could lead to a fall in the demand for BT’s services if consumers seek to reduce expenditure. </w:t>
      </w:r>
    </w:p>
    <w:p w:rsidR="00C832A4" w:rsidRDefault="00C832A4" w:rsidP="00C832A4">
      <w:pPr>
        <w:rPr>
          <w:b/>
          <w:i/>
        </w:rPr>
      </w:pPr>
      <w:r>
        <w:rPr>
          <w:b/>
          <w:i/>
        </w:rPr>
        <w:t>Social Factors</w:t>
      </w:r>
    </w:p>
    <w:p w:rsidR="00C832A4" w:rsidRDefault="00C832A4" w:rsidP="00C832A4">
      <w:r>
        <w:t xml:space="preserve">Market analysis conducted by Ofcom shows that the UK consumer is increasing reliant on smartphones which are owned by 70% of the population </w:t>
      </w:r>
      <w:sdt>
        <w:sdtPr>
          <w:id w:val="-120764183"/>
          <w:citation/>
        </w:sdtPr>
        <w:sdtContent>
          <w:r>
            <w:fldChar w:fldCharType="begin"/>
          </w:r>
          <w:r>
            <w:instrText xml:space="preserve"> CITATION Ofc17 \l 2057 </w:instrText>
          </w:r>
          <w:r>
            <w:fldChar w:fldCharType="separate"/>
          </w:r>
          <w:r>
            <w:rPr>
              <w:noProof/>
            </w:rPr>
            <w:t>(Ofcom, 2017)</w:t>
          </w:r>
          <w:r>
            <w:fldChar w:fldCharType="end"/>
          </w:r>
        </w:sdtContent>
      </w:sdt>
      <w:r>
        <w:t xml:space="preserve">. Furthermore, approximately 40% of consumers state that they use smartphones rather than computers to access the internet and social media </w:t>
      </w:r>
      <w:sdt>
        <w:sdtPr>
          <w:id w:val="-101806304"/>
          <w:citation/>
        </w:sdtPr>
        <w:sdtContent>
          <w:r>
            <w:fldChar w:fldCharType="begin"/>
          </w:r>
          <w:r>
            <w:instrText xml:space="preserve"> CITATION Ofc17 \l 2057 </w:instrText>
          </w:r>
          <w:r>
            <w:fldChar w:fldCharType="separate"/>
          </w:r>
          <w:r>
            <w:rPr>
              <w:noProof/>
            </w:rPr>
            <w:t>(Ofcom, 2017)</w:t>
          </w:r>
          <w:r>
            <w:fldChar w:fldCharType="end"/>
          </w:r>
        </w:sdtContent>
      </w:sdt>
      <w:r>
        <w:t xml:space="preserve">. These trends suggest that BT should focus on smartphone packages, especially those that can appeal to the millennial generation who use smartphones as the primary means to access the internet and social media. Furthermore, these consumers are heavy social media users and, thus, could fuel further demand for BT’s services. </w:t>
      </w:r>
    </w:p>
    <w:p w:rsidR="00C832A4" w:rsidRDefault="00C832A4" w:rsidP="00C832A4">
      <w:pPr>
        <w:spacing w:line="256" w:lineRule="auto"/>
        <w:jc w:val="left"/>
        <w:rPr>
          <w:b/>
          <w:i/>
        </w:rPr>
      </w:pPr>
      <w:r>
        <w:rPr>
          <w:b/>
          <w:i/>
        </w:rPr>
        <w:br w:type="page"/>
      </w:r>
    </w:p>
    <w:p w:rsidR="00C832A4" w:rsidRDefault="00C832A4" w:rsidP="00C832A4">
      <w:pPr>
        <w:rPr>
          <w:b/>
          <w:i/>
        </w:rPr>
      </w:pPr>
      <w:r>
        <w:rPr>
          <w:b/>
          <w:i/>
        </w:rPr>
        <w:lastRenderedPageBreak/>
        <w:t>Technological Factors</w:t>
      </w:r>
    </w:p>
    <w:p w:rsidR="00C832A4" w:rsidRDefault="00C832A4" w:rsidP="00C832A4">
      <w:r>
        <w:rPr>
          <w:noProof/>
        </w:rPr>
        <w:t xml:space="preserve">Ofcom (2017) notes increasing demand for 4G mobile coverage and fibre-optic broadband coverage. However, industry analysts argue that the country is significant behind other developed countries in terms of infrastructure investment and development </w:t>
      </w:r>
      <w:sdt>
        <w:sdtPr>
          <w:rPr>
            <w:noProof/>
          </w:rPr>
          <w:id w:val="-1645351780"/>
          <w:citation/>
        </w:sdtPr>
        <w:sdtContent>
          <w:r>
            <w:rPr>
              <w:noProof/>
            </w:rPr>
            <w:fldChar w:fldCharType="begin"/>
          </w:r>
          <w:r>
            <w:rPr>
              <w:noProof/>
            </w:rPr>
            <w:instrText xml:space="preserve"> CITATION Mil17 \l 2057 </w:instrText>
          </w:r>
          <w:r>
            <w:rPr>
              <w:noProof/>
            </w:rPr>
            <w:fldChar w:fldCharType="separate"/>
          </w:r>
          <w:r>
            <w:rPr>
              <w:noProof/>
            </w:rPr>
            <w:t>(Millet, 2017)</w:t>
          </w:r>
          <w:r>
            <w:rPr>
              <w:noProof/>
            </w:rPr>
            <w:fldChar w:fldCharType="end"/>
          </w:r>
        </w:sdtContent>
      </w:sdt>
      <w:r>
        <w:rPr>
          <w:noProof/>
        </w:rPr>
        <w:t>. Millet (2017) further notes that the UK is the lowest of EU countries in terms of fibe-optic network coverage and is only 54</w:t>
      </w:r>
      <w:r>
        <w:rPr>
          <w:noProof/>
          <w:vertAlign w:val="superscript"/>
        </w:rPr>
        <w:t>th</w:t>
      </w:r>
      <w:r>
        <w:rPr>
          <w:noProof/>
        </w:rPr>
        <w:t xml:space="preserve"> globally in terms of availiability of 4G coverage. Lack of adequate infrastructure development will become a more serious </w:t>
      </w:r>
      <w:r>
        <w:t xml:space="preserve">as the demand for new technology, like augmented reality increases </w:t>
      </w:r>
      <w:sdt>
        <w:sdtPr>
          <w:id w:val="-2083122776"/>
          <w:citation/>
        </w:sdtPr>
        <w:sdtContent>
          <w:r>
            <w:fldChar w:fldCharType="begin"/>
          </w:r>
          <w:r>
            <w:instrText xml:space="preserve"> CITATION Pli17 \l 2057 </w:instrText>
          </w:r>
          <w:r>
            <w:fldChar w:fldCharType="separate"/>
          </w:r>
          <w:r>
            <w:rPr>
              <w:noProof/>
            </w:rPr>
            <w:t>(Plimmer &amp; Tetlow, 2017)</w:t>
          </w:r>
          <w:r>
            <w:fldChar w:fldCharType="end"/>
          </w:r>
        </w:sdtContent>
      </w:sdt>
      <w:r>
        <w:t xml:space="preserve">. BT’s </w:t>
      </w:r>
      <w:proofErr w:type="spellStart"/>
      <w:r>
        <w:t>Openreach</w:t>
      </w:r>
      <w:proofErr w:type="spellEnd"/>
      <w:r>
        <w:t xml:space="preserve"> division is one of only two British telecommunication companies that install the actual network infrastructure. Hence, these arguments would suggest a need for BT to speed up infrastructure development. </w:t>
      </w:r>
    </w:p>
    <w:p w:rsidR="00C832A4" w:rsidRDefault="00C832A4" w:rsidP="00C832A4">
      <w:pPr>
        <w:pStyle w:val="Heading2"/>
      </w:pPr>
      <w:bookmarkStart w:id="18" w:name="_Toc501715444"/>
      <w:bookmarkStart w:id="19" w:name="_Toc501735736"/>
      <w:r>
        <w:t>3.2</w:t>
      </w:r>
      <w:r>
        <w:tab/>
      </w:r>
      <w:bookmarkEnd w:id="18"/>
      <w:r>
        <w:t>Line Manager Briefing</w:t>
      </w:r>
      <w:bookmarkEnd w:id="19"/>
    </w:p>
    <w:p w:rsidR="00C832A4" w:rsidRDefault="00C832A4" w:rsidP="00C832A4">
      <w:pPr>
        <w:spacing w:line="240" w:lineRule="auto"/>
        <w:rPr>
          <w:b/>
        </w:rPr>
      </w:pPr>
      <w:r>
        <w:rPr>
          <w:b/>
        </w:rPr>
        <w:t>To:</w:t>
      </w:r>
      <w:r>
        <w:rPr>
          <w:b/>
        </w:rPr>
        <w:tab/>
        <w:t>M. Antonio</w:t>
      </w:r>
    </w:p>
    <w:p w:rsidR="00C832A4" w:rsidRDefault="00C832A4" w:rsidP="00C832A4">
      <w:pPr>
        <w:spacing w:line="240" w:lineRule="auto"/>
        <w:rPr>
          <w:b/>
        </w:rPr>
      </w:pPr>
      <w:r>
        <w:rPr>
          <w:b/>
        </w:rPr>
        <w:tab/>
        <w:t>(Manager)</w:t>
      </w:r>
    </w:p>
    <w:p w:rsidR="00C832A4" w:rsidRDefault="00C832A4" w:rsidP="00C832A4">
      <w:pPr>
        <w:spacing w:line="240" w:lineRule="auto"/>
        <w:rPr>
          <w:b/>
        </w:rPr>
      </w:pPr>
      <w:r>
        <w:rPr>
          <w:b/>
        </w:rPr>
        <w:t xml:space="preserve">From: [] </w:t>
      </w:r>
    </w:p>
    <w:p w:rsidR="00C832A4" w:rsidRDefault="00C832A4" w:rsidP="00C832A4">
      <w:pPr>
        <w:spacing w:line="240" w:lineRule="auto"/>
        <w:rPr>
          <w:b/>
        </w:rPr>
      </w:pPr>
      <w:r>
        <w:rPr>
          <w:b/>
        </w:rPr>
        <w:tab/>
        <w:t>(Asst. Manager)</w:t>
      </w:r>
    </w:p>
    <w:p w:rsidR="00C832A4" w:rsidRDefault="00C832A4" w:rsidP="00C832A4">
      <w:pPr>
        <w:spacing w:line="240" w:lineRule="auto"/>
        <w:rPr>
          <w:b/>
        </w:rPr>
      </w:pPr>
      <w:r>
        <w:rPr>
          <w:b/>
        </w:rPr>
        <w:t>Subject:</w:t>
      </w:r>
      <w:r>
        <w:rPr>
          <w:b/>
        </w:rPr>
        <w:tab/>
        <w:t>PEST Analysis Results and Conclusions.</w:t>
      </w:r>
    </w:p>
    <w:p w:rsidR="00C832A4" w:rsidRDefault="00C832A4" w:rsidP="00C832A4">
      <w:r>
        <w:t xml:space="preserve">We have conducted a detailed macroeconomic analysis of BT’s operating environment using the PEST model. This brief highlights the main conclusions reach and its purpose is to inform management prior to the meeting next month. </w:t>
      </w:r>
    </w:p>
    <w:p w:rsidR="00C832A4" w:rsidRDefault="00C832A4" w:rsidP="00C832A4">
      <w:proofErr w:type="spellStart"/>
      <w:r>
        <w:t>Brexit</w:t>
      </w:r>
      <w:proofErr w:type="spellEnd"/>
      <w:r>
        <w:t xml:space="preserve"> is likely to pose a serious issue for the company primarily because the current uncertainty makes it difficult to conduct long term planning. Moreover, depending on the nature of the UK’s post-</w:t>
      </w:r>
      <w:proofErr w:type="spellStart"/>
      <w:r>
        <w:t>Brexit</w:t>
      </w:r>
      <w:proofErr w:type="spellEnd"/>
      <w:r>
        <w:t xml:space="preserve"> relationship with the EU, further operational risks could materialise. For example; if EU citizens are prevented from working freely in the UK, BT will have difficulties in recruiting skilled employees. BT can also face import and supply chain problems if either party enacts any form of trade barriers. </w:t>
      </w:r>
    </w:p>
    <w:p w:rsidR="00C832A4" w:rsidRDefault="00C832A4" w:rsidP="00C832A4">
      <w:pPr>
        <w:spacing w:line="256" w:lineRule="auto"/>
        <w:jc w:val="left"/>
      </w:pPr>
      <w:r>
        <w:br w:type="page"/>
      </w:r>
    </w:p>
    <w:p w:rsidR="00C832A4" w:rsidRDefault="00C832A4" w:rsidP="00C832A4">
      <w:r>
        <w:lastRenderedPageBreak/>
        <w:t xml:space="preserve">Our research also indicates that, in addition to these issues, </w:t>
      </w:r>
      <w:proofErr w:type="spellStart"/>
      <w:r>
        <w:t>Brexit</w:t>
      </w:r>
      <w:proofErr w:type="spellEnd"/>
      <w:r>
        <w:t xml:space="preserve"> could also cause serious regulatory disruption. As you are aware, BT is currently governed under EU telecommunications regulations and directives which are part of the Communications Act of 2003 </w:t>
      </w:r>
      <w:sdt>
        <w:sdtPr>
          <w:id w:val="327331861"/>
          <w:citation/>
        </w:sdtPr>
        <w:sdtContent>
          <w:r>
            <w:fldChar w:fldCharType="begin"/>
          </w:r>
          <w:r>
            <w:instrText xml:space="preserve"> CITATION Tem17 \l 2057 </w:instrText>
          </w:r>
          <w:r>
            <w:fldChar w:fldCharType="separate"/>
          </w:r>
          <w:r>
            <w:rPr>
              <w:noProof/>
            </w:rPr>
            <w:t>(Tempelman, 2017)</w:t>
          </w:r>
          <w:r>
            <w:fldChar w:fldCharType="end"/>
          </w:r>
        </w:sdtContent>
      </w:sdt>
      <w:r>
        <w:t xml:space="preserve">. Once, the UK formally leaves the EU, this act will be repealed. There is no indication from Ofcom or the UK government about what any future regulatory regime will hold. Hence, BT might be exposed to regulatory risk and uncertainty. </w:t>
      </w:r>
    </w:p>
    <w:p w:rsidR="00C832A4" w:rsidRDefault="00C832A4" w:rsidP="00C832A4">
      <w:r>
        <w:t xml:space="preserve">Economically, we note that rising inflation can lead to a decline in the demand for our products as consumers’ disposable incomes fall and value for money becomes important. BT could potentially target these consumers through our </w:t>
      </w:r>
      <w:proofErr w:type="spellStart"/>
      <w:r>
        <w:t>Plusnet</w:t>
      </w:r>
      <w:proofErr w:type="spellEnd"/>
      <w:r>
        <w:t xml:space="preserve"> subsidiary which offers value for money while the BT brand can be used to target higher income consumers. Penetration into the millennial segment can be increased by offering better smartphone deals. </w:t>
      </w:r>
    </w:p>
    <w:p w:rsidR="00C832A4" w:rsidRDefault="00C832A4" w:rsidP="00C832A4">
      <w:r>
        <w:t xml:space="preserve">Technology is the area of greatest concern to my team of analysts at the present. We noted that the UK lags behind other countries in terms of up-to-date telecommunications infrastructure. BT’s </w:t>
      </w:r>
      <w:proofErr w:type="spellStart"/>
      <w:r>
        <w:t>Openreach</w:t>
      </w:r>
      <w:proofErr w:type="spellEnd"/>
      <w:r>
        <w:t xml:space="preserve"> division is one of only two British companies that owns and maintains telecommunication infrastructure. As such, BT is likely to face increasing pressure to improve 4G and fibre-optic coverage. Furthermore, since all our competitors lease network lines, they might lobby the government to put pressure on BT to improve the existing telecommunication infrastructure. </w:t>
      </w:r>
    </w:p>
    <w:p w:rsidR="00C832A4" w:rsidRDefault="00C832A4" w:rsidP="00C832A4">
      <w:r>
        <w:t xml:space="preserve">This briefing will be further explained and developed as part of my team’s presentation in next month’s meeting. </w:t>
      </w:r>
    </w:p>
    <w:p w:rsidR="00C832A4" w:rsidRDefault="00C832A4" w:rsidP="00C832A4">
      <w:pPr>
        <w:spacing w:line="256" w:lineRule="auto"/>
        <w:jc w:val="left"/>
        <w:rPr>
          <w:rFonts w:ascii="Arial Black" w:eastAsiaTheme="majorEastAsia" w:hAnsi="Arial Black" w:cstheme="majorBidi"/>
          <w:sz w:val="32"/>
          <w:szCs w:val="32"/>
        </w:rPr>
      </w:pPr>
      <w:r>
        <w:br w:type="page"/>
      </w:r>
      <w:bookmarkStart w:id="20" w:name="_Toc501715445"/>
    </w:p>
    <w:p w:rsidR="00C832A4" w:rsidRDefault="00C832A4" w:rsidP="00C832A4">
      <w:pPr>
        <w:pStyle w:val="Heading1"/>
      </w:pPr>
      <w:bookmarkStart w:id="21" w:name="_Toc501735737"/>
      <w:r>
        <w:lastRenderedPageBreak/>
        <w:t>4.</w:t>
      </w:r>
      <w:r>
        <w:tab/>
        <w:t>Employee Behaviour</w:t>
      </w:r>
      <w:bookmarkEnd w:id="20"/>
      <w:bookmarkEnd w:id="21"/>
    </w:p>
    <w:p w:rsidR="00C832A4" w:rsidRDefault="00C832A4" w:rsidP="00C832A4">
      <w:pPr>
        <w:pStyle w:val="Heading2"/>
      </w:pPr>
      <w:bookmarkStart w:id="22" w:name="_Toc501715446"/>
      <w:bookmarkStart w:id="23" w:name="_Toc501735738"/>
      <w:r>
        <w:t>4.1</w:t>
      </w:r>
      <w:r>
        <w:tab/>
      </w:r>
      <w:bookmarkEnd w:id="22"/>
      <w:r>
        <w:t>Definition and Types</w:t>
      </w:r>
      <w:bookmarkEnd w:id="23"/>
    </w:p>
    <w:p w:rsidR="00C832A4" w:rsidRDefault="00C832A4" w:rsidP="00C832A4">
      <w:r>
        <w:t xml:space="preserve">Armstrong (2009) defines employee behaviour as the manner in which employees react at work. Most companies expect employees to behave in way that is appropriate to others and leads to a productive work environment. The behaviour of an employee can be positive or negative </w:t>
      </w:r>
      <w:sdt>
        <w:sdtPr>
          <w:id w:val="1192730777"/>
          <w:citation/>
        </w:sdtPr>
        <w:sdtContent>
          <w:r>
            <w:fldChar w:fldCharType="begin"/>
          </w:r>
          <w:r>
            <w:instrText xml:space="preserve"> CITATION Ash14 \l 2057 </w:instrText>
          </w:r>
          <w:r>
            <w:fldChar w:fldCharType="separate"/>
          </w:r>
          <w:r>
            <w:rPr>
              <w:noProof/>
            </w:rPr>
            <w:t>(Ashkanasy, et al., 2014)</w:t>
          </w:r>
          <w:r>
            <w:fldChar w:fldCharType="end"/>
          </w:r>
        </w:sdtContent>
      </w:sdt>
      <w:r>
        <w:t xml:space="preserve">. In general, positive behaviour is shown by committed and motivated employees. Such individuals are driven to set goals and work hard to achieve organisational and personal goals </w:t>
      </w:r>
      <w:sdt>
        <w:sdtPr>
          <w:id w:val="-907383289"/>
          <w:citation/>
        </w:sdtPr>
        <w:sdtContent>
          <w:r>
            <w:fldChar w:fldCharType="begin"/>
          </w:r>
          <w:r>
            <w:instrText xml:space="preserve"> CITATION Bra00 \l 2057 </w:instrText>
          </w:r>
          <w:r>
            <w:fldChar w:fldCharType="separate"/>
          </w:r>
          <w:r>
            <w:rPr>
              <w:noProof/>
            </w:rPr>
            <w:t>(Bratton &amp; Gold, 2012)</w:t>
          </w:r>
          <w:r>
            <w:fldChar w:fldCharType="end"/>
          </w:r>
        </w:sdtContent>
      </w:sdt>
      <w:r>
        <w:t xml:space="preserve">. They work well with colleagues and clients and are willing to understand different viewpoints. Positive employee behaviour results Bin collaborative organisations that are efficient and productive with well-motivated and trained staff </w:t>
      </w:r>
      <w:sdt>
        <w:sdtPr>
          <w:id w:val="1614011615"/>
          <w:citation/>
        </w:sdtPr>
        <w:sdtContent>
          <w:r>
            <w:fldChar w:fldCharType="begin"/>
          </w:r>
          <w:r>
            <w:instrText xml:space="preserve"> CITATION Min15 \l 2057 </w:instrText>
          </w:r>
          <w:r>
            <w:fldChar w:fldCharType="separate"/>
          </w:r>
          <w:r>
            <w:rPr>
              <w:noProof/>
            </w:rPr>
            <w:t>(Miner, 2015)</w:t>
          </w:r>
          <w:r>
            <w:fldChar w:fldCharType="end"/>
          </w:r>
        </w:sdtContent>
      </w:sdt>
      <w:r>
        <w:t xml:space="preserve">. </w:t>
      </w:r>
    </w:p>
    <w:p w:rsidR="00C832A4" w:rsidRDefault="00C832A4" w:rsidP="00C832A4">
      <w:r>
        <w:t xml:space="preserve">Negative employee behaviour includes counterproductive behaviour. Individuals exhibiting such behaviour tend to harm the overall workplace culture. They may behave in inappropriate ways and engage in unproductive tasks that harm the organisation </w:t>
      </w:r>
      <w:sdt>
        <w:sdtPr>
          <w:id w:val="-340088489"/>
          <w:citation/>
        </w:sdtPr>
        <w:sdtContent>
          <w:r>
            <w:fldChar w:fldCharType="begin"/>
          </w:r>
          <w:r>
            <w:instrText xml:space="preserve"> CITATION Bra00 \l 2057 </w:instrText>
          </w:r>
          <w:r>
            <w:fldChar w:fldCharType="separate"/>
          </w:r>
          <w:r>
            <w:rPr>
              <w:noProof/>
            </w:rPr>
            <w:t>(Bratton &amp; Gold, 2012)</w:t>
          </w:r>
          <w:r>
            <w:fldChar w:fldCharType="end"/>
          </w:r>
        </w:sdtContent>
      </w:sdt>
      <w:r>
        <w:t xml:space="preserve">. Such employees may have high levels of absenteeism which further reduces their contribution to the company. In extreme cases, counterproductive behaviour can be serious and could involve; thefts, release of confidential information; and, fraud </w:t>
      </w:r>
      <w:sdt>
        <w:sdtPr>
          <w:id w:val="1591351919"/>
          <w:citation/>
        </w:sdtPr>
        <w:sdtContent>
          <w:r>
            <w:fldChar w:fldCharType="begin"/>
          </w:r>
          <w:r>
            <w:instrText xml:space="preserve"> CITATION Ash14 \l 2057 </w:instrText>
          </w:r>
          <w:r>
            <w:fldChar w:fldCharType="separate"/>
          </w:r>
          <w:r>
            <w:rPr>
              <w:noProof/>
            </w:rPr>
            <w:t>(Ashkanasy, et al., 2014)</w:t>
          </w:r>
          <w:r>
            <w:fldChar w:fldCharType="end"/>
          </w:r>
        </w:sdtContent>
      </w:sdt>
      <w:r>
        <w:t xml:space="preserve">. Organisations should seek to consul such employees; however, if there is no change in the employee behaviour, then these individuals should be fired. </w:t>
      </w:r>
    </w:p>
    <w:p w:rsidR="00C832A4" w:rsidRDefault="00C832A4" w:rsidP="00C832A4">
      <w:pPr>
        <w:pStyle w:val="Heading2"/>
      </w:pPr>
      <w:bookmarkStart w:id="24" w:name="_Toc501735739"/>
      <w:bookmarkStart w:id="25" w:name="_Toc501715447"/>
      <w:r>
        <w:t>4.2</w:t>
      </w:r>
      <w:r>
        <w:tab/>
        <w:t>Factors affecting employee behaviour</w:t>
      </w:r>
      <w:bookmarkEnd w:id="24"/>
      <w:bookmarkEnd w:id="25"/>
    </w:p>
    <w:p w:rsidR="00C832A4" w:rsidRDefault="00C832A4" w:rsidP="00C832A4">
      <w:r>
        <w:t xml:space="preserve">Several factors can affect employee behaviour including; leadership, work culture, job responsibilities, communication, work relationships, and, personal relationships. Managers play a significant role in influencing employee behaviour by providing leadership and setting the direction for the organisation and the employee </w:t>
      </w:r>
      <w:sdt>
        <w:sdtPr>
          <w:id w:val="-1018627708"/>
          <w:citation/>
        </w:sdtPr>
        <w:sdtContent>
          <w:r>
            <w:fldChar w:fldCharType="begin"/>
          </w:r>
          <w:r>
            <w:instrText xml:space="preserve"> CITATION Arm09 \l 2057 </w:instrText>
          </w:r>
          <w:r>
            <w:fldChar w:fldCharType="separate"/>
          </w:r>
          <w:r>
            <w:rPr>
              <w:noProof/>
            </w:rPr>
            <w:t>(Armstrong, 2009)</w:t>
          </w:r>
          <w:r>
            <w:fldChar w:fldCharType="end"/>
          </w:r>
        </w:sdtContent>
      </w:sdt>
      <w:r>
        <w:t xml:space="preserve">. In particular, negative employee behaviour has been linked to strict, inflexible management </w:t>
      </w:r>
      <w:sdt>
        <w:sdtPr>
          <w:id w:val="-1078133942"/>
          <w:citation/>
        </w:sdtPr>
        <w:sdtContent>
          <w:r>
            <w:fldChar w:fldCharType="begin"/>
          </w:r>
          <w:r>
            <w:instrText xml:space="preserve"> CITATION Yao14 \l 2057 </w:instrText>
          </w:r>
          <w:r>
            <w:fldChar w:fldCharType="separate"/>
          </w:r>
          <w:r>
            <w:rPr>
              <w:noProof/>
            </w:rPr>
            <w:t>(Yao, et al., 2014)</w:t>
          </w:r>
          <w:r>
            <w:fldChar w:fldCharType="end"/>
          </w:r>
        </w:sdtContent>
      </w:sdt>
      <w:r>
        <w:t xml:space="preserve">. Hence, BT’s managers should be supportive and provide guidance and inspiration. They should provide sufficient opportunities for employees to develop their skills. </w:t>
      </w:r>
    </w:p>
    <w:p w:rsidR="00C832A4" w:rsidRDefault="00C832A4" w:rsidP="00C832A4">
      <w:r>
        <w:t xml:space="preserve">Secondly, BT needs to ensure that the organisational work culture supports and encourages positive employee behaviour. Workplace regulations should be the same for every individual </w:t>
      </w:r>
      <w:sdt>
        <w:sdtPr>
          <w:id w:val="761269620"/>
          <w:citation/>
        </w:sdtPr>
        <w:sdtContent>
          <w:r>
            <w:fldChar w:fldCharType="begin"/>
          </w:r>
          <w:r>
            <w:instrText xml:space="preserve"> CITATION Ash14 \l 2057 </w:instrText>
          </w:r>
          <w:r>
            <w:fldChar w:fldCharType="separate"/>
          </w:r>
          <w:r>
            <w:rPr>
              <w:noProof/>
            </w:rPr>
            <w:t>(Ashkanasy, et al., 2014)</w:t>
          </w:r>
          <w:r>
            <w:fldChar w:fldCharType="end"/>
          </w:r>
        </w:sdtContent>
      </w:sdt>
      <w:r>
        <w:t xml:space="preserve">. Managers and employees should be encouraged to show mutual respect. Moreover, a manager who supports team members is likely to encourage high levels </w:t>
      </w:r>
      <w:r>
        <w:lastRenderedPageBreak/>
        <w:t xml:space="preserve">of positive employee behaviour </w:t>
      </w:r>
      <w:sdt>
        <w:sdtPr>
          <w:id w:val="-1606798586"/>
          <w:citation/>
        </w:sdtPr>
        <w:sdtContent>
          <w:r>
            <w:fldChar w:fldCharType="begin"/>
          </w:r>
          <w:r>
            <w:instrText xml:space="preserve"> CITATION Min15 \l 2057 </w:instrText>
          </w:r>
          <w:r>
            <w:fldChar w:fldCharType="separate"/>
          </w:r>
          <w:r>
            <w:rPr>
              <w:noProof/>
            </w:rPr>
            <w:t>(Miner, 2015)</w:t>
          </w:r>
          <w:r>
            <w:fldChar w:fldCharType="end"/>
          </w:r>
        </w:sdtContent>
      </w:sdt>
      <w:r>
        <w:t xml:space="preserve">. BT should also ensure that employee responsibilities are according to their qualifications and experience. Employees should not feel overburdened as this can lead to absenteeism and unmotivated employees </w:t>
      </w:r>
      <w:sdt>
        <w:sdtPr>
          <w:id w:val="290337869"/>
          <w:citation/>
        </w:sdtPr>
        <w:sdtContent>
          <w:r>
            <w:fldChar w:fldCharType="begin"/>
          </w:r>
          <w:r>
            <w:instrText xml:space="preserve"> CITATION Yao14 \l 2057 </w:instrText>
          </w:r>
          <w:r>
            <w:fldChar w:fldCharType="separate"/>
          </w:r>
          <w:r>
            <w:rPr>
              <w:noProof/>
            </w:rPr>
            <w:t>(Yao, et al., 2014)</w:t>
          </w:r>
          <w:r>
            <w:fldChar w:fldCharType="end"/>
          </w:r>
        </w:sdtContent>
      </w:sdt>
      <w:r>
        <w:t xml:space="preserve">. </w:t>
      </w:r>
    </w:p>
    <w:p w:rsidR="00C832A4" w:rsidRDefault="00C832A4" w:rsidP="00C832A4">
      <w:r>
        <w:t xml:space="preserve">Thirdly, managers should communicate openly and regularly with employees </w:t>
      </w:r>
      <w:sdt>
        <w:sdtPr>
          <w:id w:val="109559936"/>
          <w:citation/>
        </w:sdtPr>
        <w:sdtContent>
          <w:r>
            <w:fldChar w:fldCharType="begin"/>
          </w:r>
          <w:r>
            <w:instrText xml:space="preserve"> CITATION Arm09 \l 2057 </w:instrText>
          </w:r>
          <w:r>
            <w:fldChar w:fldCharType="separate"/>
          </w:r>
          <w:r>
            <w:rPr>
              <w:noProof/>
            </w:rPr>
            <w:t>(Armstrong, 2009)</w:t>
          </w:r>
          <w:r>
            <w:fldChar w:fldCharType="end"/>
          </w:r>
        </w:sdtContent>
      </w:sdt>
      <w:r>
        <w:t xml:space="preserve">. Transparent and positive feedback should be provided on a regular basis so that the employee feels appreciated and can identify development and knowledge gaps </w:t>
      </w:r>
      <w:sdt>
        <w:sdtPr>
          <w:id w:val="-1701697198"/>
          <w:citation/>
        </w:sdtPr>
        <w:sdtContent>
          <w:r>
            <w:fldChar w:fldCharType="begin"/>
          </w:r>
          <w:r>
            <w:instrText xml:space="preserve"> CITATION Arm09 \l 2057 </w:instrText>
          </w:r>
          <w:r>
            <w:fldChar w:fldCharType="separate"/>
          </w:r>
          <w:r>
            <w:rPr>
              <w:noProof/>
            </w:rPr>
            <w:t>(Armstrong, 2009)</w:t>
          </w:r>
          <w:r>
            <w:fldChar w:fldCharType="end"/>
          </w:r>
        </w:sdtContent>
      </w:sdt>
      <w:r>
        <w:t xml:space="preserve">. Employees should be encouraged to express their views and BT should ensure that there are procedures for handling grievances. Fourthly, employees should be encouraged to network throughout the company and develop work place relationships </w:t>
      </w:r>
      <w:sdt>
        <w:sdtPr>
          <w:id w:val="303511371"/>
          <w:citation/>
        </w:sdtPr>
        <w:sdtContent>
          <w:r>
            <w:fldChar w:fldCharType="begin"/>
          </w:r>
          <w:r>
            <w:instrText xml:space="preserve"> CITATION Min15 \l 2057 </w:instrText>
          </w:r>
          <w:r>
            <w:fldChar w:fldCharType="separate"/>
          </w:r>
          <w:r>
            <w:rPr>
              <w:noProof/>
            </w:rPr>
            <w:t>(Miner, 2015)</w:t>
          </w:r>
          <w:r>
            <w:fldChar w:fldCharType="end"/>
          </w:r>
        </w:sdtContent>
      </w:sdt>
      <w:r>
        <w:t xml:space="preserve">. This can lead to an improvement in collaborative working and team performance. Finally, employee behaviour can be affected by events in their personal life </w:t>
      </w:r>
      <w:sdt>
        <w:sdtPr>
          <w:id w:val="-1338388477"/>
          <w:citation/>
        </w:sdtPr>
        <w:sdtContent>
          <w:r>
            <w:fldChar w:fldCharType="begin"/>
          </w:r>
          <w:r>
            <w:instrText xml:space="preserve"> CITATION Yao14 \l 2057 </w:instrText>
          </w:r>
          <w:r>
            <w:fldChar w:fldCharType="separate"/>
          </w:r>
          <w:r>
            <w:rPr>
              <w:noProof/>
            </w:rPr>
            <w:t>(Yao, et al., 2014)</w:t>
          </w:r>
          <w:r>
            <w:fldChar w:fldCharType="end"/>
          </w:r>
        </w:sdtContent>
      </w:sdt>
      <w:r>
        <w:t xml:space="preserve">. BT’s managers should attempt to identify employees who behaviour appears to have changed for the worse. Managers can communicate with such employees to ascertain if their personal life has had an impact on work behaviour and performance. </w:t>
      </w:r>
    </w:p>
    <w:p w:rsidR="00C832A4" w:rsidRDefault="00C832A4" w:rsidP="00C832A4">
      <w:pPr>
        <w:spacing w:line="256" w:lineRule="auto"/>
        <w:jc w:val="left"/>
      </w:pPr>
      <w:r>
        <w:br w:type="page"/>
      </w:r>
    </w:p>
    <w:bookmarkStart w:id="26" w:name="_Toc501735740" w:displacedByCustomXml="next"/>
    <w:sdt>
      <w:sdtPr>
        <w:rPr>
          <w:rFonts w:ascii="Times New Roman" w:eastAsiaTheme="minorHAnsi" w:hAnsi="Times New Roman" w:cstheme="minorBidi"/>
          <w:sz w:val="24"/>
          <w:szCs w:val="22"/>
        </w:rPr>
        <w:id w:val="495781295"/>
        <w:docPartObj>
          <w:docPartGallery w:val="Bibliographies"/>
          <w:docPartUnique/>
        </w:docPartObj>
      </w:sdtPr>
      <w:sdtContent>
        <w:p w:rsidR="00C832A4" w:rsidRDefault="00C832A4" w:rsidP="00C832A4">
          <w:pPr>
            <w:pStyle w:val="Heading1"/>
          </w:pPr>
          <w:r>
            <w:t>References</w:t>
          </w:r>
          <w:bookmarkEnd w:id="26"/>
        </w:p>
        <w:sdt>
          <w:sdtPr>
            <w:id w:val="-573587230"/>
            <w:bibliography/>
          </w:sdtPr>
          <w:sdtContent>
            <w:p w:rsidR="00C832A4" w:rsidRDefault="00C832A4" w:rsidP="00C832A4">
              <w:pPr>
                <w:pStyle w:val="Bibliography"/>
                <w:jc w:val="left"/>
                <w:rPr>
                  <w:noProof/>
                  <w:szCs w:val="24"/>
                </w:rPr>
              </w:pPr>
              <w:r>
                <w:fldChar w:fldCharType="begin"/>
              </w:r>
              <w:r>
                <w:instrText xml:space="preserve"> BIBLIOGRAPHY </w:instrText>
              </w:r>
              <w:r>
                <w:fldChar w:fldCharType="separate"/>
              </w:r>
              <w:r>
                <w:rPr>
                  <w:noProof/>
                </w:rPr>
                <w:t xml:space="preserve">Armstrong, M., 2009. </w:t>
              </w:r>
              <w:r>
                <w:rPr>
                  <w:i/>
                  <w:iCs/>
                  <w:noProof/>
                </w:rPr>
                <w:t xml:space="preserve">Armstrong's Handbook of Human Resource Management Practice. </w:t>
              </w:r>
              <w:r>
                <w:rPr>
                  <w:noProof/>
                </w:rPr>
                <w:t>11th ed. London: Kogan Page.</w:t>
              </w:r>
            </w:p>
            <w:p w:rsidR="00C832A4" w:rsidRDefault="00C832A4" w:rsidP="00C832A4">
              <w:pPr>
                <w:pStyle w:val="Bibliography"/>
                <w:jc w:val="left"/>
                <w:rPr>
                  <w:noProof/>
                </w:rPr>
              </w:pPr>
              <w:r>
                <w:rPr>
                  <w:noProof/>
                </w:rPr>
                <w:t xml:space="preserve">Ashkanasy, N. M., Ayoko, O. B. &amp; Jehn, K. A., 2014. Understanding the physical environment of work and employee behaviour: An affective events perspective. </w:t>
              </w:r>
              <w:r>
                <w:rPr>
                  <w:i/>
                  <w:iCs/>
                  <w:noProof/>
                </w:rPr>
                <w:t xml:space="preserve">Journal of Organisational Behaviour, </w:t>
              </w:r>
              <w:r>
                <w:rPr>
                  <w:noProof/>
                </w:rPr>
                <w:t>35(8), pp. 1169-1184.</w:t>
              </w:r>
            </w:p>
            <w:p w:rsidR="00C832A4" w:rsidRDefault="00C832A4" w:rsidP="00C832A4">
              <w:pPr>
                <w:pStyle w:val="Bibliography"/>
                <w:jc w:val="left"/>
                <w:rPr>
                  <w:noProof/>
                </w:rPr>
              </w:pPr>
              <w:r>
                <w:rPr>
                  <w:noProof/>
                </w:rPr>
                <w:t xml:space="preserve">Bratton, J. &amp; Gold, J., 2012. </w:t>
              </w:r>
              <w:r>
                <w:rPr>
                  <w:i/>
                  <w:iCs/>
                  <w:noProof/>
                </w:rPr>
                <w:t xml:space="preserve">Human Resource Management: Theory and Practice. </w:t>
              </w:r>
              <w:r>
                <w:rPr>
                  <w:noProof/>
                </w:rPr>
                <w:t>4nd ed. Mahwah, NJ: Lawrence Erlbaum.</w:t>
              </w:r>
            </w:p>
            <w:p w:rsidR="00C832A4" w:rsidRDefault="00C832A4" w:rsidP="00C832A4">
              <w:pPr>
                <w:pStyle w:val="Bibliography"/>
                <w:jc w:val="left"/>
                <w:rPr>
                  <w:noProof/>
                </w:rPr>
              </w:pPr>
              <w:r>
                <w:rPr>
                  <w:noProof/>
                </w:rPr>
                <w:t xml:space="preserve">BT, 2017. </w:t>
              </w:r>
              <w:r>
                <w:rPr>
                  <w:i/>
                  <w:iCs/>
                  <w:noProof/>
                </w:rPr>
                <w:t xml:space="preserve">Annual Report and Financial Statements 2016/17, </w:t>
              </w:r>
              <w:r>
                <w:rPr>
                  <w:noProof/>
                </w:rPr>
                <w:t>London: BT plc.</w:t>
              </w:r>
            </w:p>
            <w:p w:rsidR="00C832A4" w:rsidRDefault="00C832A4" w:rsidP="00C832A4">
              <w:pPr>
                <w:pStyle w:val="Bibliography"/>
                <w:jc w:val="left"/>
                <w:rPr>
                  <w:noProof/>
                </w:rPr>
              </w:pPr>
              <w:r>
                <w:rPr>
                  <w:noProof/>
                </w:rPr>
                <w:t xml:space="preserve">Carpenter, M. et al., 2013. </w:t>
              </w:r>
              <w:r>
                <w:rPr>
                  <w:i/>
                  <w:iCs/>
                  <w:noProof/>
                </w:rPr>
                <w:t xml:space="preserve">Strategic Management: Concepts and Cases. </w:t>
              </w:r>
              <w:r>
                <w:rPr>
                  <w:noProof/>
                </w:rPr>
                <w:t>Basingstoke: Pearson.</w:t>
              </w:r>
            </w:p>
            <w:p w:rsidR="00C832A4" w:rsidRDefault="00C832A4" w:rsidP="00C832A4">
              <w:pPr>
                <w:pStyle w:val="Bibliography"/>
                <w:jc w:val="left"/>
                <w:rPr>
                  <w:noProof/>
                </w:rPr>
              </w:pPr>
              <w:r>
                <w:rPr>
                  <w:noProof/>
                </w:rPr>
                <w:t xml:space="preserve">Chapman, B., 2017. </w:t>
              </w:r>
              <w:r>
                <w:rPr>
                  <w:i/>
                  <w:iCs/>
                  <w:noProof/>
                </w:rPr>
                <w:t xml:space="preserve">Pound sterling falls to almost eight year low against the Euro as inflation comes in lower than expected. </w:t>
              </w:r>
              <w:r>
                <w:rPr>
                  <w:noProof/>
                </w:rPr>
                <w:t xml:space="preserve">[Online] </w:t>
              </w:r>
              <w:r>
                <w:rPr>
                  <w:noProof/>
                </w:rPr>
                <w:br/>
                <w:t xml:space="preserve">Available at: </w:t>
              </w:r>
              <w:r>
                <w:rPr>
                  <w:noProof/>
                  <w:u w:val="single"/>
                </w:rPr>
                <w:t>http://www.independent.co.uk/news/business/news/pound-sterling-latest-exchange-rate-us-dollar-euro-uk-inflation-ons-bank-england-a7894716.html</w:t>
              </w:r>
              <w:r>
                <w:rPr>
                  <w:noProof/>
                </w:rPr>
                <w:br/>
                <w:t>[Accessed 18 December 2017].</w:t>
              </w:r>
            </w:p>
            <w:p w:rsidR="00C832A4" w:rsidRDefault="00C832A4" w:rsidP="00C832A4">
              <w:pPr>
                <w:pStyle w:val="Bibliography"/>
                <w:jc w:val="left"/>
                <w:rPr>
                  <w:noProof/>
                </w:rPr>
              </w:pPr>
              <w:r>
                <w:rPr>
                  <w:noProof/>
                </w:rPr>
                <w:t xml:space="preserve">Facione, P. &amp; Gittens, C. A., 2015. </w:t>
              </w:r>
              <w:r>
                <w:rPr>
                  <w:i/>
                  <w:iCs/>
                  <w:noProof/>
                </w:rPr>
                <w:t xml:space="preserve">Think Critically. </w:t>
              </w:r>
              <w:r>
                <w:rPr>
                  <w:noProof/>
                </w:rPr>
                <w:t>Basingstoke: Pearson.</w:t>
              </w:r>
            </w:p>
            <w:p w:rsidR="00C832A4" w:rsidRDefault="00C832A4" w:rsidP="00C832A4">
              <w:pPr>
                <w:pStyle w:val="Bibliography"/>
                <w:jc w:val="left"/>
                <w:rPr>
                  <w:noProof/>
                </w:rPr>
              </w:pPr>
              <w:r>
                <w:rPr>
                  <w:noProof/>
                </w:rPr>
                <w:t xml:space="preserve">Farrell, S., 2015. </w:t>
              </w:r>
              <w:r>
                <w:rPr>
                  <w:i/>
                  <w:iCs/>
                  <w:noProof/>
                </w:rPr>
                <w:t xml:space="preserve">Nearly 157,000 had data breached in TalkTalk cyber-attack. </w:t>
              </w:r>
              <w:r>
                <w:rPr>
                  <w:noProof/>
                </w:rPr>
                <w:t xml:space="preserve">[Online] </w:t>
              </w:r>
              <w:r>
                <w:rPr>
                  <w:noProof/>
                </w:rPr>
                <w:br/>
                <w:t xml:space="preserve">Available at: </w:t>
              </w:r>
              <w:r>
                <w:rPr>
                  <w:noProof/>
                  <w:u w:val="single"/>
                </w:rPr>
                <w:t>https://www.theguardian.com/business/2015/nov/06/nearly-157000-had-data-breached-in-talktalk-cyber-attack</w:t>
              </w:r>
              <w:r>
                <w:rPr>
                  <w:noProof/>
                </w:rPr>
                <w:br/>
                <w:t>[Accessed 12 December 2017].</w:t>
              </w:r>
            </w:p>
            <w:p w:rsidR="00C832A4" w:rsidRDefault="00C832A4" w:rsidP="00C832A4">
              <w:pPr>
                <w:pStyle w:val="Bibliography"/>
                <w:jc w:val="left"/>
                <w:rPr>
                  <w:noProof/>
                </w:rPr>
              </w:pPr>
              <w:r>
                <w:rPr>
                  <w:noProof/>
                </w:rPr>
                <w:t xml:space="preserve">Howes, G., 2017. </w:t>
              </w:r>
              <w:r>
                <w:rPr>
                  <w:i/>
                  <w:iCs/>
                  <w:noProof/>
                </w:rPr>
                <w:t xml:space="preserve">UK trade data confirms significant deficit, lays conditions for Pound-Euro parity. </w:t>
              </w:r>
              <w:r>
                <w:rPr>
                  <w:noProof/>
                </w:rPr>
                <w:t xml:space="preserve">[Online] </w:t>
              </w:r>
              <w:r>
                <w:rPr>
                  <w:noProof/>
                </w:rPr>
                <w:br/>
                <w:t xml:space="preserve">Available at: </w:t>
              </w:r>
              <w:r>
                <w:rPr>
                  <w:noProof/>
                  <w:u w:val="single"/>
                </w:rPr>
                <w:t>https://www.poundsterlinglive.com/economics/7509-uk-trade-balance-and-pound-euro-parity</w:t>
              </w:r>
              <w:r>
                <w:rPr>
                  <w:noProof/>
                </w:rPr>
                <w:br/>
                <w:t>[Accessed 18 December 2017].</w:t>
              </w:r>
            </w:p>
            <w:p w:rsidR="00C832A4" w:rsidRDefault="00C832A4" w:rsidP="00C832A4">
              <w:pPr>
                <w:pStyle w:val="Bibliography"/>
                <w:jc w:val="left"/>
                <w:rPr>
                  <w:noProof/>
                </w:rPr>
              </w:pPr>
              <w:r>
                <w:rPr>
                  <w:noProof/>
                </w:rPr>
                <w:t xml:space="preserve">ICO, 2016. </w:t>
              </w:r>
              <w:r>
                <w:rPr>
                  <w:i/>
                  <w:iCs/>
                  <w:noProof/>
                </w:rPr>
                <w:t xml:space="preserve">TalkTalk gets record £400,000 fine for failing to prevent October 2015 attack, </w:t>
              </w:r>
              <w:r>
                <w:rPr>
                  <w:noProof/>
                </w:rPr>
                <w:t>Wilmslow: Information Commissioner's Office.</w:t>
              </w:r>
            </w:p>
            <w:p w:rsidR="00C832A4" w:rsidRDefault="00C832A4" w:rsidP="00C832A4">
              <w:pPr>
                <w:pStyle w:val="Bibliography"/>
                <w:jc w:val="left"/>
                <w:rPr>
                  <w:noProof/>
                </w:rPr>
              </w:pPr>
              <w:r>
                <w:rPr>
                  <w:noProof/>
                </w:rPr>
                <w:lastRenderedPageBreak/>
                <w:t xml:space="preserve">Maguire, G., Eccles, R., Wheeler, J. &amp; Flynn, C., 2016. </w:t>
              </w:r>
              <w:r>
                <w:rPr>
                  <w:i/>
                  <w:iCs/>
                  <w:noProof/>
                </w:rPr>
                <w:t xml:space="preserve">Brexit: Telecommunications regulation in the UK implications. </w:t>
              </w:r>
              <w:r>
                <w:rPr>
                  <w:noProof/>
                </w:rPr>
                <w:t xml:space="preserve">[Online] </w:t>
              </w:r>
              <w:r>
                <w:rPr>
                  <w:noProof/>
                </w:rPr>
                <w:br/>
                <w:t xml:space="preserve">Available at: </w:t>
              </w:r>
              <w:r>
                <w:rPr>
                  <w:noProof/>
                  <w:u w:val="single"/>
                </w:rPr>
                <w:t>https://www.twobirds.com/en/news/articles/2016/uk/brexit-telecommunications-regulation-in-the-uk</w:t>
              </w:r>
              <w:r>
                <w:rPr>
                  <w:noProof/>
                </w:rPr>
                <w:br/>
                <w:t>[Accessed 8 December 2017].</w:t>
              </w:r>
            </w:p>
            <w:p w:rsidR="00C832A4" w:rsidRDefault="00C832A4" w:rsidP="00C832A4">
              <w:pPr>
                <w:pStyle w:val="Bibliography"/>
                <w:jc w:val="left"/>
                <w:rPr>
                  <w:noProof/>
                </w:rPr>
              </w:pPr>
              <w:r>
                <w:rPr>
                  <w:noProof/>
                </w:rPr>
                <w:t xml:space="preserve">McCormick , N. J., Clark, L. M. &amp; Raines, J. M., 2015. Engaging students in critical thinking and problem solving: A brief review of the literature. </w:t>
              </w:r>
              <w:r>
                <w:rPr>
                  <w:i/>
                  <w:iCs/>
                  <w:noProof/>
                </w:rPr>
                <w:t xml:space="preserve">Journal of Studies in Education, </w:t>
              </w:r>
              <w:r>
                <w:rPr>
                  <w:noProof/>
                </w:rPr>
                <w:t>5(4), pp. 100-113.</w:t>
              </w:r>
            </w:p>
            <w:p w:rsidR="00C832A4" w:rsidRDefault="00C832A4" w:rsidP="00C832A4">
              <w:pPr>
                <w:pStyle w:val="Bibliography"/>
                <w:jc w:val="left"/>
                <w:rPr>
                  <w:noProof/>
                </w:rPr>
              </w:pPr>
              <w:r>
                <w:rPr>
                  <w:noProof/>
                </w:rPr>
                <w:t xml:space="preserve">McWhorter, K. T., 2016. </w:t>
              </w:r>
              <w:r>
                <w:rPr>
                  <w:i/>
                  <w:iCs/>
                  <w:noProof/>
                </w:rPr>
                <w:t xml:space="preserve">Study and Critical Thinking Skills in College. </w:t>
              </w:r>
              <w:r>
                <w:rPr>
                  <w:noProof/>
                </w:rPr>
                <w:t>Basingstoke: Pearson.</w:t>
              </w:r>
            </w:p>
            <w:p w:rsidR="00C832A4" w:rsidRDefault="00C832A4" w:rsidP="00C832A4">
              <w:pPr>
                <w:pStyle w:val="Bibliography"/>
                <w:jc w:val="left"/>
                <w:rPr>
                  <w:noProof/>
                </w:rPr>
              </w:pPr>
              <w:r>
                <w:rPr>
                  <w:noProof/>
                </w:rPr>
                <w:t xml:space="preserve">Millet, D., 2017. </w:t>
              </w:r>
              <w:r>
                <w:rPr>
                  <w:i/>
                  <w:iCs/>
                  <w:noProof/>
                </w:rPr>
                <w:t xml:space="preserve">A look at the future of the UK's telecoms in 2017, </w:t>
              </w:r>
              <w:r>
                <w:rPr>
                  <w:noProof/>
                </w:rPr>
                <w:t>London: Training Journal .</w:t>
              </w:r>
            </w:p>
            <w:p w:rsidR="00C832A4" w:rsidRDefault="00C832A4" w:rsidP="00C832A4">
              <w:pPr>
                <w:pStyle w:val="Bibliography"/>
                <w:jc w:val="left"/>
                <w:rPr>
                  <w:noProof/>
                </w:rPr>
              </w:pPr>
              <w:r>
                <w:rPr>
                  <w:noProof/>
                </w:rPr>
                <w:t xml:space="preserve">Miner, J. B., 2015. </w:t>
              </w:r>
              <w:r>
                <w:rPr>
                  <w:i/>
                  <w:iCs/>
                  <w:noProof/>
                </w:rPr>
                <w:t xml:space="preserve">Organisational behaviour 1: Essential theories of motivation and leadership. </w:t>
              </w:r>
              <w:r>
                <w:rPr>
                  <w:noProof/>
                </w:rPr>
                <w:t>New York: Routledge.</w:t>
              </w:r>
            </w:p>
            <w:p w:rsidR="00C832A4" w:rsidRDefault="00C832A4" w:rsidP="00C832A4">
              <w:pPr>
                <w:pStyle w:val="Bibliography"/>
                <w:jc w:val="left"/>
                <w:rPr>
                  <w:noProof/>
                </w:rPr>
              </w:pPr>
              <w:r>
                <w:rPr>
                  <w:noProof/>
                </w:rPr>
                <w:t xml:space="preserve">Moore, J., 2017. </w:t>
              </w:r>
              <w:r>
                <w:rPr>
                  <w:i/>
                  <w:iCs/>
                  <w:noProof/>
                </w:rPr>
                <w:t xml:space="preserve">BT and Ofcom reach a deal. Will it work for Britain?. </w:t>
              </w:r>
              <w:r>
                <w:rPr>
                  <w:noProof/>
                </w:rPr>
                <w:t xml:space="preserve">[Online] </w:t>
              </w:r>
              <w:r>
                <w:rPr>
                  <w:noProof/>
                </w:rPr>
                <w:br/>
                <w:t xml:space="preserve">Available at: </w:t>
              </w:r>
              <w:r>
                <w:rPr>
                  <w:noProof/>
                  <w:u w:val="single"/>
                </w:rPr>
                <w:t>http://www.independent.co.uk/news/business/comment/bt-and-ofcom-reach-a-deal-will-it-work-for-britain-a7622481.html</w:t>
              </w:r>
              <w:r>
                <w:rPr>
                  <w:noProof/>
                </w:rPr>
                <w:br/>
                <w:t>[Accessed 10 December 2017].</w:t>
              </w:r>
            </w:p>
            <w:p w:rsidR="00C832A4" w:rsidRDefault="00C832A4" w:rsidP="00C832A4">
              <w:pPr>
                <w:pStyle w:val="Bibliography"/>
                <w:jc w:val="left"/>
                <w:rPr>
                  <w:noProof/>
                </w:rPr>
              </w:pPr>
              <w:r>
                <w:rPr>
                  <w:noProof/>
                </w:rPr>
                <w:t xml:space="preserve">Ofcom, 2017. </w:t>
              </w:r>
              <w:r>
                <w:rPr>
                  <w:i/>
                  <w:iCs/>
                  <w:noProof/>
                </w:rPr>
                <w:t xml:space="preserve">Communications Market Report: United Kingdom, </w:t>
              </w:r>
              <w:r>
                <w:rPr>
                  <w:noProof/>
                </w:rPr>
                <w:t>London: Ofcom.</w:t>
              </w:r>
            </w:p>
            <w:p w:rsidR="00C832A4" w:rsidRDefault="00C832A4" w:rsidP="00C832A4">
              <w:pPr>
                <w:pStyle w:val="Bibliography"/>
                <w:jc w:val="left"/>
                <w:rPr>
                  <w:noProof/>
                </w:rPr>
              </w:pPr>
              <w:r>
                <w:rPr>
                  <w:noProof/>
                </w:rPr>
                <w:t xml:space="preserve">ONS, 2017. </w:t>
              </w:r>
              <w:r>
                <w:rPr>
                  <w:i/>
                  <w:iCs/>
                  <w:noProof/>
                </w:rPr>
                <w:t xml:space="preserve">UK consumer price inflation: November 2017, </w:t>
              </w:r>
              <w:r>
                <w:rPr>
                  <w:noProof/>
                </w:rPr>
                <w:t>London: Office for National Statistics.</w:t>
              </w:r>
            </w:p>
            <w:p w:rsidR="00C832A4" w:rsidRDefault="00C832A4" w:rsidP="00C832A4">
              <w:pPr>
                <w:pStyle w:val="Bibliography"/>
                <w:jc w:val="left"/>
                <w:rPr>
                  <w:noProof/>
                </w:rPr>
              </w:pPr>
              <w:r>
                <w:rPr>
                  <w:noProof/>
                </w:rPr>
                <w:t xml:space="preserve">Plimmer, G. &amp; Tetlow, G., 2017. </w:t>
              </w:r>
              <w:r>
                <w:rPr>
                  <w:i/>
                  <w:iCs/>
                  <w:noProof/>
                </w:rPr>
                <w:t xml:space="preserve">Why the UK is struggling with poor infrastructure. </w:t>
              </w:r>
              <w:r>
                <w:rPr>
                  <w:noProof/>
                </w:rPr>
                <w:t xml:space="preserve">[Online] </w:t>
              </w:r>
              <w:r>
                <w:rPr>
                  <w:noProof/>
                </w:rPr>
                <w:br/>
                <w:t xml:space="preserve">Available at: </w:t>
              </w:r>
              <w:r>
                <w:rPr>
                  <w:noProof/>
                  <w:u w:val="single"/>
                </w:rPr>
                <w:t>https://www.ft.com/content/c907081e-80c7-11e7-94e2-c5b903247afd</w:t>
              </w:r>
              <w:r>
                <w:rPr>
                  <w:noProof/>
                </w:rPr>
                <w:br/>
                <w:t>[Accessed 18 December 2017].</w:t>
              </w:r>
            </w:p>
            <w:p w:rsidR="00C832A4" w:rsidRDefault="00C832A4" w:rsidP="00C832A4">
              <w:pPr>
                <w:pStyle w:val="Bibliography"/>
                <w:jc w:val="left"/>
                <w:rPr>
                  <w:noProof/>
                </w:rPr>
              </w:pPr>
              <w:r>
                <w:rPr>
                  <w:noProof/>
                </w:rPr>
                <w:t xml:space="preserve">PwC, 2016. </w:t>
              </w:r>
              <w:r>
                <w:rPr>
                  <w:i/>
                  <w:iCs/>
                  <w:noProof/>
                </w:rPr>
                <w:t xml:space="preserve">Telecommunications providers should plan for Brexit, </w:t>
              </w:r>
              <w:r>
                <w:rPr>
                  <w:noProof/>
                </w:rPr>
                <w:t>London: PricewaterhouseCoopers.</w:t>
              </w:r>
            </w:p>
            <w:p w:rsidR="00C832A4" w:rsidRDefault="00C832A4" w:rsidP="00C832A4">
              <w:pPr>
                <w:pStyle w:val="Bibliography"/>
                <w:jc w:val="left"/>
                <w:rPr>
                  <w:noProof/>
                </w:rPr>
              </w:pPr>
              <w:r>
                <w:rPr>
                  <w:noProof/>
                </w:rPr>
                <w:t xml:space="preserve">Savery, J. R., 2015. Overview of problem-based learning: Definitions and distinctions. In: A. Walker, H. Leary, C. E. Hmelo-Silver &amp; P. A. Ertmer, eds. </w:t>
              </w:r>
              <w:r>
                <w:rPr>
                  <w:i/>
                  <w:iCs/>
                  <w:noProof/>
                </w:rPr>
                <w:t xml:space="preserve">Essential Readings in Problem-based Learning: Exploring and Extending the work of Howard S Barrows. </w:t>
              </w:r>
              <w:r>
                <w:rPr>
                  <w:noProof/>
                </w:rPr>
                <w:t>West Lafayette, IN: Purdue University Press, pp. 5-15.</w:t>
              </w:r>
            </w:p>
            <w:p w:rsidR="00C832A4" w:rsidRDefault="00C832A4" w:rsidP="00C832A4">
              <w:pPr>
                <w:pStyle w:val="Bibliography"/>
                <w:jc w:val="left"/>
                <w:rPr>
                  <w:noProof/>
                </w:rPr>
              </w:pPr>
              <w:r>
                <w:rPr>
                  <w:noProof/>
                </w:rPr>
                <w:lastRenderedPageBreak/>
                <w:t xml:space="preserve">Tempelman, J., 2017. </w:t>
              </w:r>
              <w:r>
                <w:rPr>
                  <w:i/>
                  <w:iCs/>
                  <w:noProof/>
                </w:rPr>
                <w:t xml:space="preserve">Brexit impact on the telecommunications industry: A regulatory perspective. </w:t>
              </w:r>
              <w:r>
                <w:rPr>
                  <w:noProof/>
                </w:rPr>
                <w:t xml:space="preserve">[Online] </w:t>
              </w:r>
              <w:r>
                <w:rPr>
                  <w:noProof/>
                </w:rPr>
                <w:br/>
                <w:t xml:space="preserve">Available at: </w:t>
              </w:r>
              <w:r>
                <w:rPr>
                  <w:noProof/>
                  <w:u w:val="single"/>
                </w:rPr>
                <w:t>https://talkingtech.cliffordchance.com/en/tmt/telecoms/brexit-impact-on-the-telecoms-industry--a-regulatory-perspective.html</w:t>
              </w:r>
              <w:r>
                <w:rPr>
                  <w:noProof/>
                </w:rPr>
                <w:br/>
                <w:t>[Accessed 8 December 2017].</w:t>
              </w:r>
            </w:p>
            <w:p w:rsidR="00C832A4" w:rsidRDefault="00C832A4" w:rsidP="00C832A4">
              <w:pPr>
                <w:pStyle w:val="Bibliography"/>
                <w:jc w:val="left"/>
                <w:rPr>
                  <w:noProof/>
                </w:rPr>
              </w:pPr>
              <w:r>
                <w:rPr>
                  <w:noProof/>
                </w:rPr>
                <w:t xml:space="preserve">Yao, Y. H., Fan, Y. Y., Guo, X. Y. &amp; Li, Y., 2014. Leadership, work stress and employee behaviour. </w:t>
              </w:r>
              <w:r>
                <w:rPr>
                  <w:i/>
                  <w:iCs/>
                  <w:noProof/>
                </w:rPr>
                <w:t xml:space="preserve">Chinese Management Studies, </w:t>
              </w:r>
              <w:r>
                <w:rPr>
                  <w:noProof/>
                </w:rPr>
                <w:t>8(1), pp. 109-126.</w:t>
              </w:r>
            </w:p>
            <w:p w:rsidR="00C832A4" w:rsidRDefault="00C832A4" w:rsidP="00C832A4">
              <w:pPr>
                <w:jc w:val="left"/>
              </w:pPr>
              <w:r>
                <w:rPr>
                  <w:b/>
                  <w:bCs/>
                  <w:noProof/>
                </w:rPr>
                <w:fldChar w:fldCharType="end"/>
              </w:r>
            </w:p>
          </w:sdtContent>
        </w:sdt>
      </w:sdtContent>
    </w:sdt>
    <w:p w:rsidR="00C832A4" w:rsidRDefault="00C832A4" w:rsidP="00C832A4"/>
    <w:p w:rsidR="00C832A4" w:rsidRDefault="00C832A4" w:rsidP="00C832A4"/>
    <w:p w:rsidR="00C832A4" w:rsidRDefault="00C832A4" w:rsidP="00C832A4"/>
    <w:p w:rsidR="00C832A4" w:rsidRDefault="00C832A4" w:rsidP="00C832A4"/>
    <w:p w:rsidR="00C832A4" w:rsidRDefault="00C832A4" w:rsidP="00C832A4"/>
    <w:p w:rsidR="00C832A4" w:rsidRDefault="00C832A4" w:rsidP="00C832A4"/>
    <w:p w:rsidR="00C832A4" w:rsidRDefault="00C832A4" w:rsidP="00C832A4"/>
    <w:p w:rsidR="00C832A4" w:rsidRDefault="00C832A4" w:rsidP="00C832A4"/>
    <w:p w:rsidR="00C832A4" w:rsidRDefault="00C832A4" w:rsidP="00C832A4">
      <w:r>
        <w:t xml:space="preserve"> </w:t>
      </w:r>
    </w:p>
    <w:p w:rsidR="00204B45" w:rsidRDefault="00204B45"/>
    <w:sectPr w:rsidR="00204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2A4"/>
    <w:rsid w:val="00204B45"/>
    <w:rsid w:val="00295F18"/>
    <w:rsid w:val="00A2692A"/>
    <w:rsid w:val="00C83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6A9404-C3E4-4DAC-A366-141B2E7F2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32A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832A4"/>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semiHidden/>
    <w:unhideWhenUsed/>
    <w:qFormat/>
    <w:rsid w:val="00C832A4"/>
    <w:pPr>
      <w:keepNext/>
      <w:keepLines/>
      <w:spacing w:before="40" w:after="0"/>
      <w:outlineLvl w:val="1"/>
    </w:pPr>
    <w:rPr>
      <w:rFonts w:ascii="Arial Black" w:eastAsiaTheme="majorEastAsia" w:hAnsi="Arial Black"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2A4"/>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semiHidden/>
    <w:rsid w:val="00C832A4"/>
    <w:rPr>
      <w:rFonts w:ascii="Arial Black" w:eastAsiaTheme="majorEastAsia" w:hAnsi="Arial Black" w:cstheme="majorBidi"/>
      <w:color w:val="000000" w:themeColor="text1"/>
      <w:sz w:val="28"/>
      <w:szCs w:val="26"/>
    </w:rPr>
  </w:style>
  <w:style w:type="character" w:styleId="Hyperlink">
    <w:name w:val="Hyperlink"/>
    <w:basedOn w:val="DefaultParagraphFont"/>
    <w:uiPriority w:val="99"/>
    <w:semiHidden/>
    <w:unhideWhenUsed/>
    <w:rsid w:val="00C832A4"/>
    <w:rPr>
      <w:color w:val="0563C1" w:themeColor="hyperlink"/>
      <w:u w:val="single"/>
    </w:rPr>
  </w:style>
  <w:style w:type="paragraph" w:styleId="TOC1">
    <w:name w:val="toc 1"/>
    <w:basedOn w:val="Normal"/>
    <w:next w:val="Normal"/>
    <w:autoRedefine/>
    <w:uiPriority w:val="39"/>
    <w:semiHidden/>
    <w:unhideWhenUsed/>
    <w:rsid w:val="00C832A4"/>
    <w:pPr>
      <w:spacing w:after="100"/>
    </w:pPr>
  </w:style>
  <w:style w:type="paragraph" w:styleId="TOC2">
    <w:name w:val="toc 2"/>
    <w:basedOn w:val="Normal"/>
    <w:next w:val="Normal"/>
    <w:autoRedefine/>
    <w:uiPriority w:val="39"/>
    <w:semiHidden/>
    <w:unhideWhenUsed/>
    <w:rsid w:val="00C832A4"/>
    <w:pPr>
      <w:spacing w:after="100"/>
      <w:ind w:left="240"/>
    </w:pPr>
  </w:style>
  <w:style w:type="paragraph" w:styleId="Bibliography">
    <w:name w:val="Bibliography"/>
    <w:basedOn w:val="Normal"/>
    <w:next w:val="Normal"/>
    <w:uiPriority w:val="37"/>
    <w:semiHidden/>
    <w:unhideWhenUsed/>
    <w:rsid w:val="00C832A4"/>
  </w:style>
  <w:style w:type="paragraph" w:styleId="TOCHeading">
    <w:name w:val="TOC Heading"/>
    <w:basedOn w:val="Heading1"/>
    <w:next w:val="Normal"/>
    <w:uiPriority w:val="39"/>
    <w:semiHidden/>
    <w:unhideWhenUsed/>
    <w:qFormat/>
    <w:rsid w:val="00C832A4"/>
    <w:pPr>
      <w:spacing w:line="256" w:lineRule="auto"/>
      <w:jc w:val="left"/>
      <w:outlineLvl w:val="9"/>
    </w:pPr>
    <w:rPr>
      <w:rFonts w:asciiTheme="majorHAnsi" w:hAnsiTheme="majorHAnsi"/>
      <w:color w:val="2E74B5" w:themeColor="accent1" w:themeShade="BF"/>
      <w:lang w:val="en-US"/>
    </w:rPr>
  </w:style>
  <w:style w:type="table" w:styleId="TableGrid">
    <w:name w:val="Table Grid"/>
    <w:basedOn w:val="TableNormal"/>
    <w:uiPriority w:val="39"/>
    <w:rsid w:val="00C832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696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Documents\problem%20solving%20-%202.docx" TargetMode="External"/><Relationship Id="rId13" Type="http://schemas.openxmlformats.org/officeDocument/2006/relationships/hyperlink" Target="file:///C:\Users\home\Documents\problem%20solving%20-%202.docx" TargetMode="External"/><Relationship Id="rId18" Type="http://schemas.openxmlformats.org/officeDocument/2006/relationships/hyperlink" Target="file:///C:\Users\home\Documents\problem%20solving%20-%202.doc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home\Documents\problem%20solving%20-%202.docx" TargetMode="External"/><Relationship Id="rId12" Type="http://schemas.openxmlformats.org/officeDocument/2006/relationships/hyperlink" Target="file:///C:\Users\home\Documents\problem%20solving%20-%202.docx" TargetMode="External"/><Relationship Id="rId17" Type="http://schemas.openxmlformats.org/officeDocument/2006/relationships/hyperlink" Target="file:///C:\Users\home\Documents\problem%20solving%20-%202.docx" TargetMode="External"/><Relationship Id="rId2" Type="http://schemas.openxmlformats.org/officeDocument/2006/relationships/styles" Target="styles.xml"/><Relationship Id="rId16" Type="http://schemas.openxmlformats.org/officeDocument/2006/relationships/hyperlink" Target="file:///C:\Users\home\Documents\problem%20solving%20-%202.doc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file:///C:\Users\home\Documents\problem%20solving%20-%202.docx" TargetMode="External"/><Relationship Id="rId11" Type="http://schemas.openxmlformats.org/officeDocument/2006/relationships/hyperlink" Target="file:///C:\Users\home\Documents\problem%20solving%20-%202.docx" TargetMode="External"/><Relationship Id="rId5" Type="http://schemas.openxmlformats.org/officeDocument/2006/relationships/hyperlink" Target="file:///C:\Users\home\Documents\problem%20solving%20-%202.docx" TargetMode="External"/><Relationship Id="rId15" Type="http://schemas.openxmlformats.org/officeDocument/2006/relationships/hyperlink" Target="file:///C:\Users\home\Documents\problem%20solving%20-%202.docx" TargetMode="External"/><Relationship Id="rId10" Type="http://schemas.openxmlformats.org/officeDocument/2006/relationships/hyperlink" Target="file:///C:\Users\home\Documents\problem%20solving%20-%202.docx" TargetMode="External"/><Relationship Id="rId19"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hyperlink" Target="file:///C:\Users\home\Documents\problem%20solving%20-%202.docx" TargetMode="External"/><Relationship Id="rId14" Type="http://schemas.openxmlformats.org/officeDocument/2006/relationships/hyperlink" Target="file:///C:\Users\home\Documents\problem%20solving%20-%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73D7B5-9EC4-4268-88F0-91681C24A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3495</Words>
  <Characters>19926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cp:revision>
  <dcterms:created xsi:type="dcterms:W3CDTF">2018-01-02T19:58:00Z</dcterms:created>
  <dcterms:modified xsi:type="dcterms:W3CDTF">2018-01-02T20:28:00Z</dcterms:modified>
</cp:coreProperties>
</file>