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0E1D1"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5DD3E46B"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24EEC061"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7657051A"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036BBBAC"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570B6776"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6B8CF9A0"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1A514E36"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3C32346D"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6D120606" w14:textId="77777777" w:rsidR="009B06C3" w:rsidRPr="009B06C3" w:rsidRDefault="009B06C3" w:rsidP="009B06C3">
      <w:pPr>
        <w:spacing w:line="360" w:lineRule="auto"/>
        <w:jc w:val="center"/>
        <w:rPr>
          <w:rStyle w:val="Strong"/>
          <w:rFonts w:asciiTheme="majorBidi" w:hAnsiTheme="majorBidi" w:cstheme="majorBidi"/>
          <w:b w:val="0"/>
          <w:bCs w:val="0"/>
          <w:sz w:val="24"/>
          <w:szCs w:val="24"/>
        </w:rPr>
      </w:pPr>
    </w:p>
    <w:p w14:paraId="2749BBA5" w14:textId="1233B92D" w:rsidR="009B06C3" w:rsidRPr="009B06C3" w:rsidRDefault="009B06C3" w:rsidP="00142917">
      <w:pPr>
        <w:spacing w:line="360" w:lineRule="auto"/>
        <w:rPr>
          <w:rStyle w:val="Strong"/>
          <w:rFonts w:asciiTheme="majorBidi" w:hAnsiTheme="majorBidi" w:cstheme="majorBidi"/>
          <w:b w:val="0"/>
          <w:bCs w:val="0"/>
          <w:sz w:val="24"/>
          <w:szCs w:val="24"/>
        </w:rPr>
      </w:pPr>
    </w:p>
    <w:p w14:paraId="52B069E7" w14:textId="77777777" w:rsidR="009B06C3" w:rsidRDefault="009B06C3" w:rsidP="009B06C3">
      <w:pPr>
        <w:spacing w:line="360" w:lineRule="auto"/>
        <w:rPr>
          <w:rFonts w:asciiTheme="majorBidi" w:hAnsiTheme="majorBidi" w:cstheme="majorBidi"/>
          <w:sz w:val="24"/>
          <w:szCs w:val="24"/>
        </w:rPr>
      </w:pPr>
    </w:p>
    <w:p w14:paraId="54DBAF43" w14:textId="77777777" w:rsidR="009B06C3" w:rsidRDefault="009B06C3">
      <w:pPr>
        <w:spacing w:after="200" w:line="276" w:lineRule="auto"/>
        <w:rPr>
          <w:rFonts w:asciiTheme="majorBidi" w:hAnsiTheme="majorBidi" w:cstheme="majorBidi"/>
          <w:sz w:val="24"/>
          <w:szCs w:val="24"/>
        </w:rPr>
      </w:pPr>
      <w:r>
        <w:rPr>
          <w:rFonts w:asciiTheme="majorBidi" w:hAnsiTheme="majorBidi" w:cstheme="majorBidi"/>
          <w:sz w:val="24"/>
          <w:szCs w:val="24"/>
        </w:rPr>
        <w:br w:type="page"/>
      </w:r>
    </w:p>
    <w:sdt>
      <w:sdtPr>
        <w:rPr>
          <w:rFonts w:asciiTheme="minorHAnsi" w:eastAsiaTheme="minorHAnsi" w:hAnsiTheme="minorHAnsi" w:cstheme="minorBidi"/>
          <w:b w:val="0"/>
          <w:bCs w:val="0"/>
          <w:color w:val="auto"/>
          <w:sz w:val="22"/>
          <w:szCs w:val="22"/>
          <w:lang w:val="en-GB" w:eastAsia="en-US"/>
        </w:rPr>
        <w:id w:val="1029685786"/>
        <w:docPartObj>
          <w:docPartGallery w:val="Table of Contents"/>
          <w:docPartUnique/>
        </w:docPartObj>
      </w:sdtPr>
      <w:sdtEndPr>
        <w:rPr>
          <w:noProof/>
        </w:rPr>
      </w:sdtEndPr>
      <w:sdtContent>
        <w:p w14:paraId="0ADF9035" w14:textId="77777777" w:rsidR="009B06C3" w:rsidRDefault="009B06C3" w:rsidP="009B06C3">
          <w:pPr>
            <w:pStyle w:val="TOCHeading"/>
            <w:spacing w:line="360" w:lineRule="auto"/>
            <w:jc w:val="center"/>
          </w:pPr>
          <w:r>
            <w:t>Table of Contents</w:t>
          </w:r>
        </w:p>
        <w:p w14:paraId="3DAC0630" w14:textId="77777777" w:rsidR="009B06C3" w:rsidRDefault="009B06C3" w:rsidP="009B06C3">
          <w:pPr>
            <w:pStyle w:val="TOC1"/>
            <w:rPr>
              <w:noProof/>
            </w:rPr>
          </w:pPr>
          <w:r>
            <w:fldChar w:fldCharType="begin"/>
          </w:r>
          <w:r>
            <w:instrText xml:space="preserve"> TOC \o "1-3" \h \z \u </w:instrText>
          </w:r>
          <w:r>
            <w:fldChar w:fldCharType="separate"/>
          </w:r>
          <w:hyperlink w:anchor="_Toc214673479" w:history="1">
            <w:r w:rsidRPr="004D2297">
              <w:rPr>
                <w:rStyle w:val="Hyperlink"/>
                <w:rFonts w:asciiTheme="majorBidi" w:hAnsiTheme="majorBidi"/>
                <w:noProof/>
              </w:rPr>
              <w:t>1. Introduction</w:t>
            </w:r>
            <w:r>
              <w:rPr>
                <w:noProof/>
                <w:webHidden/>
              </w:rPr>
              <w:tab/>
            </w:r>
            <w:r>
              <w:rPr>
                <w:noProof/>
                <w:webHidden/>
              </w:rPr>
              <w:fldChar w:fldCharType="begin"/>
            </w:r>
            <w:r>
              <w:rPr>
                <w:noProof/>
                <w:webHidden/>
              </w:rPr>
              <w:instrText xml:space="preserve"> PAGEREF _Toc214673479 \h </w:instrText>
            </w:r>
            <w:r>
              <w:rPr>
                <w:noProof/>
                <w:webHidden/>
              </w:rPr>
            </w:r>
            <w:r>
              <w:rPr>
                <w:noProof/>
                <w:webHidden/>
              </w:rPr>
              <w:fldChar w:fldCharType="separate"/>
            </w:r>
            <w:r>
              <w:rPr>
                <w:noProof/>
                <w:webHidden/>
              </w:rPr>
              <w:t>3</w:t>
            </w:r>
            <w:r>
              <w:rPr>
                <w:noProof/>
                <w:webHidden/>
              </w:rPr>
              <w:fldChar w:fldCharType="end"/>
            </w:r>
          </w:hyperlink>
        </w:p>
        <w:p w14:paraId="0B763D7A" w14:textId="77777777" w:rsidR="009B06C3" w:rsidRDefault="009B06C3">
          <w:pPr>
            <w:pStyle w:val="TOC2"/>
            <w:tabs>
              <w:tab w:val="right" w:leader="dot" w:pos="9016"/>
            </w:tabs>
            <w:rPr>
              <w:noProof/>
            </w:rPr>
          </w:pPr>
          <w:hyperlink w:anchor="_Toc214673480" w:history="1">
            <w:r w:rsidRPr="004D2297">
              <w:rPr>
                <w:rStyle w:val="Hyperlink"/>
                <w:rFonts w:asciiTheme="majorBidi" w:hAnsiTheme="majorBidi"/>
                <w:noProof/>
              </w:rPr>
              <w:t>2. Employability Skills for Role 1: Nurse</w:t>
            </w:r>
            <w:r>
              <w:rPr>
                <w:noProof/>
                <w:webHidden/>
              </w:rPr>
              <w:tab/>
            </w:r>
            <w:r>
              <w:rPr>
                <w:noProof/>
                <w:webHidden/>
              </w:rPr>
              <w:fldChar w:fldCharType="begin"/>
            </w:r>
            <w:r>
              <w:rPr>
                <w:noProof/>
                <w:webHidden/>
              </w:rPr>
              <w:instrText xml:space="preserve"> PAGEREF _Toc214673480 \h </w:instrText>
            </w:r>
            <w:r>
              <w:rPr>
                <w:noProof/>
                <w:webHidden/>
              </w:rPr>
            </w:r>
            <w:r>
              <w:rPr>
                <w:noProof/>
                <w:webHidden/>
              </w:rPr>
              <w:fldChar w:fldCharType="separate"/>
            </w:r>
            <w:r>
              <w:rPr>
                <w:noProof/>
                <w:webHidden/>
              </w:rPr>
              <w:t>3</w:t>
            </w:r>
            <w:r>
              <w:rPr>
                <w:noProof/>
                <w:webHidden/>
              </w:rPr>
              <w:fldChar w:fldCharType="end"/>
            </w:r>
          </w:hyperlink>
        </w:p>
        <w:p w14:paraId="52212339" w14:textId="77777777" w:rsidR="009B06C3" w:rsidRDefault="009B06C3">
          <w:pPr>
            <w:pStyle w:val="TOC3"/>
            <w:tabs>
              <w:tab w:val="right" w:leader="dot" w:pos="9016"/>
            </w:tabs>
            <w:rPr>
              <w:noProof/>
            </w:rPr>
          </w:pPr>
          <w:hyperlink w:anchor="_Toc214673481" w:history="1">
            <w:r w:rsidRPr="004D2297">
              <w:rPr>
                <w:rStyle w:val="Hyperlink"/>
                <w:rFonts w:asciiTheme="majorBidi" w:hAnsiTheme="majorBidi" w:cstheme="majorBidi"/>
                <w:noProof/>
              </w:rPr>
              <w:t>2.1 Communication Skills</w:t>
            </w:r>
            <w:r>
              <w:rPr>
                <w:noProof/>
                <w:webHidden/>
              </w:rPr>
              <w:tab/>
            </w:r>
            <w:r>
              <w:rPr>
                <w:noProof/>
                <w:webHidden/>
              </w:rPr>
              <w:fldChar w:fldCharType="begin"/>
            </w:r>
            <w:r>
              <w:rPr>
                <w:noProof/>
                <w:webHidden/>
              </w:rPr>
              <w:instrText xml:space="preserve"> PAGEREF _Toc214673481 \h </w:instrText>
            </w:r>
            <w:r>
              <w:rPr>
                <w:noProof/>
                <w:webHidden/>
              </w:rPr>
            </w:r>
            <w:r>
              <w:rPr>
                <w:noProof/>
                <w:webHidden/>
              </w:rPr>
              <w:fldChar w:fldCharType="separate"/>
            </w:r>
            <w:r>
              <w:rPr>
                <w:noProof/>
                <w:webHidden/>
              </w:rPr>
              <w:t>3</w:t>
            </w:r>
            <w:r>
              <w:rPr>
                <w:noProof/>
                <w:webHidden/>
              </w:rPr>
              <w:fldChar w:fldCharType="end"/>
            </w:r>
          </w:hyperlink>
        </w:p>
        <w:p w14:paraId="5C511A7F" w14:textId="77777777" w:rsidR="009B06C3" w:rsidRDefault="009B06C3">
          <w:pPr>
            <w:pStyle w:val="TOC3"/>
            <w:tabs>
              <w:tab w:val="right" w:leader="dot" w:pos="9016"/>
            </w:tabs>
            <w:rPr>
              <w:noProof/>
            </w:rPr>
          </w:pPr>
          <w:hyperlink w:anchor="_Toc214673482" w:history="1">
            <w:r w:rsidRPr="004D2297">
              <w:rPr>
                <w:rStyle w:val="Hyperlink"/>
                <w:rFonts w:asciiTheme="majorBidi" w:hAnsiTheme="majorBidi" w:cstheme="majorBidi"/>
                <w:noProof/>
              </w:rPr>
              <w:t>2.2 Teamwork and Collaboration</w:t>
            </w:r>
            <w:r>
              <w:rPr>
                <w:noProof/>
                <w:webHidden/>
              </w:rPr>
              <w:tab/>
            </w:r>
            <w:r>
              <w:rPr>
                <w:noProof/>
                <w:webHidden/>
              </w:rPr>
              <w:fldChar w:fldCharType="begin"/>
            </w:r>
            <w:r>
              <w:rPr>
                <w:noProof/>
                <w:webHidden/>
              </w:rPr>
              <w:instrText xml:space="preserve"> PAGEREF _Toc214673482 \h </w:instrText>
            </w:r>
            <w:r>
              <w:rPr>
                <w:noProof/>
                <w:webHidden/>
              </w:rPr>
            </w:r>
            <w:r>
              <w:rPr>
                <w:noProof/>
                <w:webHidden/>
              </w:rPr>
              <w:fldChar w:fldCharType="separate"/>
            </w:r>
            <w:r>
              <w:rPr>
                <w:noProof/>
                <w:webHidden/>
              </w:rPr>
              <w:t>3</w:t>
            </w:r>
            <w:r>
              <w:rPr>
                <w:noProof/>
                <w:webHidden/>
              </w:rPr>
              <w:fldChar w:fldCharType="end"/>
            </w:r>
          </w:hyperlink>
        </w:p>
        <w:p w14:paraId="2E725D58" w14:textId="77777777" w:rsidR="009B06C3" w:rsidRDefault="009B06C3">
          <w:pPr>
            <w:pStyle w:val="TOC3"/>
            <w:tabs>
              <w:tab w:val="right" w:leader="dot" w:pos="9016"/>
            </w:tabs>
            <w:rPr>
              <w:noProof/>
            </w:rPr>
          </w:pPr>
          <w:hyperlink w:anchor="_Toc214673483" w:history="1">
            <w:r w:rsidRPr="004D2297">
              <w:rPr>
                <w:rStyle w:val="Hyperlink"/>
                <w:rFonts w:asciiTheme="majorBidi" w:hAnsiTheme="majorBidi" w:cstheme="majorBidi"/>
                <w:noProof/>
              </w:rPr>
              <w:t>2.3 Problem-Solving and Decision-Making</w:t>
            </w:r>
            <w:r>
              <w:rPr>
                <w:noProof/>
                <w:webHidden/>
              </w:rPr>
              <w:tab/>
            </w:r>
            <w:r>
              <w:rPr>
                <w:noProof/>
                <w:webHidden/>
              </w:rPr>
              <w:fldChar w:fldCharType="begin"/>
            </w:r>
            <w:r>
              <w:rPr>
                <w:noProof/>
                <w:webHidden/>
              </w:rPr>
              <w:instrText xml:space="preserve"> PAGEREF _Toc214673483 \h </w:instrText>
            </w:r>
            <w:r>
              <w:rPr>
                <w:noProof/>
                <w:webHidden/>
              </w:rPr>
            </w:r>
            <w:r>
              <w:rPr>
                <w:noProof/>
                <w:webHidden/>
              </w:rPr>
              <w:fldChar w:fldCharType="separate"/>
            </w:r>
            <w:r>
              <w:rPr>
                <w:noProof/>
                <w:webHidden/>
              </w:rPr>
              <w:t>4</w:t>
            </w:r>
            <w:r>
              <w:rPr>
                <w:noProof/>
                <w:webHidden/>
              </w:rPr>
              <w:fldChar w:fldCharType="end"/>
            </w:r>
          </w:hyperlink>
        </w:p>
        <w:p w14:paraId="7473BF53" w14:textId="77777777" w:rsidR="009B06C3" w:rsidRDefault="009B06C3">
          <w:pPr>
            <w:pStyle w:val="TOC3"/>
            <w:tabs>
              <w:tab w:val="right" w:leader="dot" w:pos="9016"/>
            </w:tabs>
            <w:rPr>
              <w:noProof/>
            </w:rPr>
          </w:pPr>
          <w:hyperlink w:anchor="_Toc214673484" w:history="1">
            <w:r w:rsidRPr="004D2297">
              <w:rPr>
                <w:rStyle w:val="Hyperlink"/>
                <w:rFonts w:asciiTheme="majorBidi" w:hAnsiTheme="majorBidi" w:cstheme="majorBidi"/>
                <w:noProof/>
              </w:rPr>
              <w:t>2.4 Empathy and Person-Centred Care</w:t>
            </w:r>
            <w:r>
              <w:rPr>
                <w:noProof/>
                <w:webHidden/>
              </w:rPr>
              <w:tab/>
            </w:r>
            <w:r>
              <w:rPr>
                <w:noProof/>
                <w:webHidden/>
              </w:rPr>
              <w:fldChar w:fldCharType="begin"/>
            </w:r>
            <w:r>
              <w:rPr>
                <w:noProof/>
                <w:webHidden/>
              </w:rPr>
              <w:instrText xml:space="preserve"> PAGEREF _Toc214673484 \h </w:instrText>
            </w:r>
            <w:r>
              <w:rPr>
                <w:noProof/>
                <w:webHidden/>
              </w:rPr>
            </w:r>
            <w:r>
              <w:rPr>
                <w:noProof/>
                <w:webHidden/>
              </w:rPr>
              <w:fldChar w:fldCharType="separate"/>
            </w:r>
            <w:r>
              <w:rPr>
                <w:noProof/>
                <w:webHidden/>
              </w:rPr>
              <w:t>4</w:t>
            </w:r>
            <w:r>
              <w:rPr>
                <w:noProof/>
                <w:webHidden/>
              </w:rPr>
              <w:fldChar w:fldCharType="end"/>
            </w:r>
          </w:hyperlink>
        </w:p>
        <w:p w14:paraId="177FC280" w14:textId="77777777" w:rsidR="009B06C3" w:rsidRDefault="009B06C3">
          <w:pPr>
            <w:pStyle w:val="TOC3"/>
            <w:tabs>
              <w:tab w:val="right" w:leader="dot" w:pos="9016"/>
            </w:tabs>
            <w:rPr>
              <w:noProof/>
            </w:rPr>
          </w:pPr>
          <w:hyperlink w:anchor="_Toc214673485" w:history="1">
            <w:r w:rsidRPr="004D2297">
              <w:rPr>
                <w:rStyle w:val="Hyperlink"/>
                <w:rFonts w:asciiTheme="majorBidi" w:hAnsiTheme="majorBidi" w:cstheme="majorBidi"/>
                <w:noProof/>
              </w:rPr>
              <w:t>2.5 Technical and Clinical Skills</w:t>
            </w:r>
            <w:r>
              <w:rPr>
                <w:noProof/>
                <w:webHidden/>
              </w:rPr>
              <w:tab/>
            </w:r>
            <w:r>
              <w:rPr>
                <w:noProof/>
                <w:webHidden/>
              </w:rPr>
              <w:fldChar w:fldCharType="begin"/>
            </w:r>
            <w:r>
              <w:rPr>
                <w:noProof/>
                <w:webHidden/>
              </w:rPr>
              <w:instrText xml:space="preserve"> PAGEREF _Toc214673485 \h </w:instrText>
            </w:r>
            <w:r>
              <w:rPr>
                <w:noProof/>
                <w:webHidden/>
              </w:rPr>
            </w:r>
            <w:r>
              <w:rPr>
                <w:noProof/>
                <w:webHidden/>
              </w:rPr>
              <w:fldChar w:fldCharType="separate"/>
            </w:r>
            <w:r>
              <w:rPr>
                <w:noProof/>
                <w:webHidden/>
              </w:rPr>
              <w:t>4</w:t>
            </w:r>
            <w:r>
              <w:rPr>
                <w:noProof/>
                <w:webHidden/>
              </w:rPr>
              <w:fldChar w:fldCharType="end"/>
            </w:r>
          </w:hyperlink>
        </w:p>
        <w:p w14:paraId="1B5558FB" w14:textId="77777777" w:rsidR="009B06C3" w:rsidRDefault="009B06C3">
          <w:pPr>
            <w:pStyle w:val="TOC2"/>
            <w:tabs>
              <w:tab w:val="right" w:leader="dot" w:pos="9016"/>
            </w:tabs>
            <w:rPr>
              <w:noProof/>
            </w:rPr>
          </w:pPr>
          <w:hyperlink w:anchor="_Toc214673486" w:history="1">
            <w:r w:rsidRPr="004D2297">
              <w:rPr>
                <w:rStyle w:val="Hyperlink"/>
                <w:rFonts w:asciiTheme="majorBidi" w:hAnsiTheme="majorBidi"/>
                <w:noProof/>
              </w:rPr>
              <w:t>3. Employability Skills for Role 2: Social Worker</w:t>
            </w:r>
            <w:r>
              <w:rPr>
                <w:noProof/>
                <w:webHidden/>
              </w:rPr>
              <w:tab/>
            </w:r>
            <w:r>
              <w:rPr>
                <w:noProof/>
                <w:webHidden/>
              </w:rPr>
              <w:fldChar w:fldCharType="begin"/>
            </w:r>
            <w:r>
              <w:rPr>
                <w:noProof/>
                <w:webHidden/>
              </w:rPr>
              <w:instrText xml:space="preserve"> PAGEREF _Toc214673486 \h </w:instrText>
            </w:r>
            <w:r>
              <w:rPr>
                <w:noProof/>
                <w:webHidden/>
              </w:rPr>
            </w:r>
            <w:r>
              <w:rPr>
                <w:noProof/>
                <w:webHidden/>
              </w:rPr>
              <w:fldChar w:fldCharType="separate"/>
            </w:r>
            <w:r>
              <w:rPr>
                <w:noProof/>
                <w:webHidden/>
              </w:rPr>
              <w:t>5</w:t>
            </w:r>
            <w:r>
              <w:rPr>
                <w:noProof/>
                <w:webHidden/>
              </w:rPr>
              <w:fldChar w:fldCharType="end"/>
            </w:r>
          </w:hyperlink>
        </w:p>
        <w:p w14:paraId="34435CAB" w14:textId="77777777" w:rsidR="009B06C3" w:rsidRDefault="009B06C3">
          <w:pPr>
            <w:pStyle w:val="TOC3"/>
            <w:tabs>
              <w:tab w:val="right" w:leader="dot" w:pos="9016"/>
            </w:tabs>
            <w:rPr>
              <w:noProof/>
            </w:rPr>
          </w:pPr>
          <w:hyperlink w:anchor="_Toc214673487" w:history="1">
            <w:r w:rsidRPr="004D2297">
              <w:rPr>
                <w:rStyle w:val="Hyperlink"/>
                <w:rFonts w:asciiTheme="majorBidi" w:hAnsiTheme="majorBidi" w:cstheme="majorBidi"/>
                <w:noProof/>
              </w:rPr>
              <w:t>3.1 Communication Skills</w:t>
            </w:r>
            <w:r>
              <w:rPr>
                <w:noProof/>
                <w:webHidden/>
              </w:rPr>
              <w:tab/>
            </w:r>
            <w:r>
              <w:rPr>
                <w:noProof/>
                <w:webHidden/>
              </w:rPr>
              <w:fldChar w:fldCharType="begin"/>
            </w:r>
            <w:r>
              <w:rPr>
                <w:noProof/>
                <w:webHidden/>
              </w:rPr>
              <w:instrText xml:space="preserve"> PAGEREF _Toc214673487 \h </w:instrText>
            </w:r>
            <w:r>
              <w:rPr>
                <w:noProof/>
                <w:webHidden/>
              </w:rPr>
            </w:r>
            <w:r>
              <w:rPr>
                <w:noProof/>
                <w:webHidden/>
              </w:rPr>
              <w:fldChar w:fldCharType="separate"/>
            </w:r>
            <w:r>
              <w:rPr>
                <w:noProof/>
                <w:webHidden/>
              </w:rPr>
              <w:t>5</w:t>
            </w:r>
            <w:r>
              <w:rPr>
                <w:noProof/>
                <w:webHidden/>
              </w:rPr>
              <w:fldChar w:fldCharType="end"/>
            </w:r>
          </w:hyperlink>
        </w:p>
        <w:p w14:paraId="1746CA8A" w14:textId="77777777" w:rsidR="009B06C3" w:rsidRDefault="009B06C3">
          <w:pPr>
            <w:pStyle w:val="TOC3"/>
            <w:tabs>
              <w:tab w:val="right" w:leader="dot" w:pos="9016"/>
            </w:tabs>
            <w:rPr>
              <w:noProof/>
            </w:rPr>
          </w:pPr>
          <w:hyperlink w:anchor="_Toc214673488" w:history="1">
            <w:r w:rsidRPr="004D2297">
              <w:rPr>
                <w:rStyle w:val="Hyperlink"/>
                <w:rFonts w:asciiTheme="majorBidi" w:hAnsiTheme="majorBidi" w:cstheme="majorBidi"/>
                <w:noProof/>
              </w:rPr>
              <w:t>3.2 Professionalism and Ethics</w:t>
            </w:r>
            <w:r>
              <w:rPr>
                <w:noProof/>
                <w:webHidden/>
              </w:rPr>
              <w:tab/>
            </w:r>
            <w:r>
              <w:rPr>
                <w:noProof/>
                <w:webHidden/>
              </w:rPr>
              <w:fldChar w:fldCharType="begin"/>
            </w:r>
            <w:r>
              <w:rPr>
                <w:noProof/>
                <w:webHidden/>
              </w:rPr>
              <w:instrText xml:space="preserve"> PAGEREF _Toc214673488 \h </w:instrText>
            </w:r>
            <w:r>
              <w:rPr>
                <w:noProof/>
                <w:webHidden/>
              </w:rPr>
            </w:r>
            <w:r>
              <w:rPr>
                <w:noProof/>
                <w:webHidden/>
              </w:rPr>
              <w:fldChar w:fldCharType="separate"/>
            </w:r>
            <w:r>
              <w:rPr>
                <w:noProof/>
                <w:webHidden/>
              </w:rPr>
              <w:t>5</w:t>
            </w:r>
            <w:r>
              <w:rPr>
                <w:noProof/>
                <w:webHidden/>
              </w:rPr>
              <w:fldChar w:fldCharType="end"/>
            </w:r>
          </w:hyperlink>
        </w:p>
        <w:p w14:paraId="11D4CF60" w14:textId="77777777" w:rsidR="009B06C3" w:rsidRDefault="009B06C3">
          <w:pPr>
            <w:pStyle w:val="TOC3"/>
            <w:tabs>
              <w:tab w:val="right" w:leader="dot" w:pos="9016"/>
            </w:tabs>
            <w:rPr>
              <w:noProof/>
            </w:rPr>
          </w:pPr>
          <w:hyperlink w:anchor="_Toc214673489" w:history="1">
            <w:r w:rsidRPr="004D2297">
              <w:rPr>
                <w:rStyle w:val="Hyperlink"/>
                <w:rFonts w:asciiTheme="majorBidi" w:hAnsiTheme="majorBidi" w:cstheme="majorBidi"/>
                <w:noProof/>
              </w:rPr>
              <w:t>3.3 Record-Keeping and Digital Skills</w:t>
            </w:r>
            <w:r>
              <w:rPr>
                <w:noProof/>
                <w:webHidden/>
              </w:rPr>
              <w:tab/>
            </w:r>
            <w:r>
              <w:rPr>
                <w:noProof/>
                <w:webHidden/>
              </w:rPr>
              <w:fldChar w:fldCharType="begin"/>
            </w:r>
            <w:r>
              <w:rPr>
                <w:noProof/>
                <w:webHidden/>
              </w:rPr>
              <w:instrText xml:space="preserve"> PAGEREF _Toc214673489 \h </w:instrText>
            </w:r>
            <w:r>
              <w:rPr>
                <w:noProof/>
                <w:webHidden/>
              </w:rPr>
            </w:r>
            <w:r>
              <w:rPr>
                <w:noProof/>
                <w:webHidden/>
              </w:rPr>
              <w:fldChar w:fldCharType="separate"/>
            </w:r>
            <w:r>
              <w:rPr>
                <w:noProof/>
                <w:webHidden/>
              </w:rPr>
              <w:t>5</w:t>
            </w:r>
            <w:r>
              <w:rPr>
                <w:noProof/>
                <w:webHidden/>
              </w:rPr>
              <w:fldChar w:fldCharType="end"/>
            </w:r>
          </w:hyperlink>
        </w:p>
        <w:p w14:paraId="2C24550B" w14:textId="77777777" w:rsidR="009B06C3" w:rsidRDefault="009B06C3">
          <w:pPr>
            <w:pStyle w:val="TOC3"/>
            <w:tabs>
              <w:tab w:val="right" w:leader="dot" w:pos="9016"/>
            </w:tabs>
            <w:rPr>
              <w:noProof/>
            </w:rPr>
          </w:pPr>
          <w:hyperlink w:anchor="_Toc214673490" w:history="1">
            <w:r w:rsidRPr="004D2297">
              <w:rPr>
                <w:rStyle w:val="Hyperlink"/>
                <w:rFonts w:asciiTheme="majorBidi" w:hAnsiTheme="majorBidi" w:cstheme="majorBidi"/>
                <w:noProof/>
              </w:rPr>
              <w:t>3.4 Risk Assessment and Safeguarding</w:t>
            </w:r>
            <w:r>
              <w:rPr>
                <w:noProof/>
                <w:webHidden/>
              </w:rPr>
              <w:tab/>
            </w:r>
            <w:r>
              <w:rPr>
                <w:noProof/>
                <w:webHidden/>
              </w:rPr>
              <w:fldChar w:fldCharType="begin"/>
            </w:r>
            <w:r>
              <w:rPr>
                <w:noProof/>
                <w:webHidden/>
              </w:rPr>
              <w:instrText xml:space="preserve"> PAGEREF _Toc214673490 \h </w:instrText>
            </w:r>
            <w:r>
              <w:rPr>
                <w:noProof/>
                <w:webHidden/>
              </w:rPr>
            </w:r>
            <w:r>
              <w:rPr>
                <w:noProof/>
                <w:webHidden/>
              </w:rPr>
              <w:fldChar w:fldCharType="separate"/>
            </w:r>
            <w:r>
              <w:rPr>
                <w:noProof/>
                <w:webHidden/>
              </w:rPr>
              <w:t>6</w:t>
            </w:r>
            <w:r>
              <w:rPr>
                <w:noProof/>
                <w:webHidden/>
              </w:rPr>
              <w:fldChar w:fldCharType="end"/>
            </w:r>
          </w:hyperlink>
        </w:p>
        <w:p w14:paraId="08DF3F32" w14:textId="77777777" w:rsidR="009B06C3" w:rsidRDefault="009B06C3">
          <w:pPr>
            <w:pStyle w:val="TOC3"/>
            <w:tabs>
              <w:tab w:val="right" w:leader="dot" w:pos="9016"/>
            </w:tabs>
            <w:rPr>
              <w:noProof/>
            </w:rPr>
          </w:pPr>
          <w:hyperlink w:anchor="_Toc214673491" w:history="1">
            <w:r w:rsidRPr="004D2297">
              <w:rPr>
                <w:rStyle w:val="Hyperlink"/>
                <w:rFonts w:asciiTheme="majorBidi" w:hAnsiTheme="majorBidi" w:cstheme="majorBidi"/>
                <w:noProof/>
              </w:rPr>
              <w:t>3.5 Role-Specific Knowledge</w:t>
            </w:r>
            <w:r>
              <w:rPr>
                <w:noProof/>
                <w:webHidden/>
              </w:rPr>
              <w:tab/>
            </w:r>
            <w:r>
              <w:rPr>
                <w:noProof/>
                <w:webHidden/>
              </w:rPr>
              <w:fldChar w:fldCharType="begin"/>
            </w:r>
            <w:r>
              <w:rPr>
                <w:noProof/>
                <w:webHidden/>
              </w:rPr>
              <w:instrText xml:space="preserve"> PAGEREF _Toc214673491 \h </w:instrText>
            </w:r>
            <w:r>
              <w:rPr>
                <w:noProof/>
                <w:webHidden/>
              </w:rPr>
            </w:r>
            <w:r>
              <w:rPr>
                <w:noProof/>
                <w:webHidden/>
              </w:rPr>
              <w:fldChar w:fldCharType="separate"/>
            </w:r>
            <w:r>
              <w:rPr>
                <w:noProof/>
                <w:webHidden/>
              </w:rPr>
              <w:t>6</w:t>
            </w:r>
            <w:r>
              <w:rPr>
                <w:noProof/>
                <w:webHidden/>
              </w:rPr>
              <w:fldChar w:fldCharType="end"/>
            </w:r>
          </w:hyperlink>
        </w:p>
        <w:p w14:paraId="77881D7A" w14:textId="77777777" w:rsidR="009B06C3" w:rsidRDefault="009B06C3">
          <w:pPr>
            <w:pStyle w:val="TOC2"/>
            <w:tabs>
              <w:tab w:val="right" w:leader="dot" w:pos="9016"/>
            </w:tabs>
            <w:rPr>
              <w:noProof/>
            </w:rPr>
          </w:pPr>
          <w:hyperlink w:anchor="_Toc214673492" w:history="1">
            <w:r w:rsidRPr="004D2297">
              <w:rPr>
                <w:rStyle w:val="Hyperlink"/>
                <w:rFonts w:asciiTheme="majorBidi" w:hAnsiTheme="majorBidi"/>
                <w:noProof/>
              </w:rPr>
              <w:t>4. Challenges for Both Roles</w:t>
            </w:r>
            <w:r>
              <w:rPr>
                <w:noProof/>
                <w:webHidden/>
              </w:rPr>
              <w:tab/>
            </w:r>
            <w:r>
              <w:rPr>
                <w:noProof/>
                <w:webHidden/>
              </w:rPr>
              <w:fldChar w:fldCharType="begin"/>
            </w:r>
            <w:r>
              <w:rPr>
                <w:noProof/>
                <w:webHidden/>
              </w:rPr>
              <w:instrText xml:space="preserve"> PAGEREF _Toc214673492 \h </w:instrText>
            </w:r>
            <w:r>
              <w:rPr>
                <w:noProof/>
                <w:webHidden/>
              </w:rPr>
            </w:r>
            <w:r>
              <w:rPr>
                <w:noProof/>
                <w:webHidden/>
              </w:rPr>
              <w:fldChar w:fldCharType="separate"/>
            </w:r>
            <w:r>
              <w:rPr>
                <w:noProof/>
                <w:webHidden/>
              </w:rPr>
              <w:t>6</w:t>
            </w:r>
            <w:r>
              <w:rPr>
                <w:noProof/>
                <w:webHidden/>
              </w:rPr>
              <w:fldChar w:fldCharType="end"/>
            </w:r>
          </w:hyperlink>
        </w:p>
        <w:p w14:paraId="3BDFD9FD" w14:textId="77777777" w:rsidR="009B06C3" w:rsidRDefault="009B06C3">
          <w:pPr>
            <w:pStyle w:val="TOC2"/>
            <w:tabs>
              <w:tab w:val="right" w:leader="dot" w:pos="9016"/>
            </w:tabs>
            <w:rPr>
              <w:noProof/>
            </w:rPr>
          </w:pPr>
          <w:hyperlink w:anchor="_Toc214673493" w:history="1">
            <w:r w:rsidRPr="004D2297">
              <w:rPr>
                <w:rStyle w:val="Hyperlink"/>
                <w:rFonts w:asciiTheme="majorBidi" w:hAnsiTheme="majorBidi"/>
                <w:noProof/>
              </w:rPr>
              <w:t>5. Strategies to Improve Employability Skills</w:t>
            </w:r>
            <w:r>
              <w:rPr>
                <w:noProof/>
                <w:webHidden/>
              </w:rPr>
              <w:tab/>
            </w:r>
            <w:r>
              <w:rPr>
                <w:noProof/>
                <w:webHidden/>
              </w:rPr>
              <w:fldChar w:fldCharType="begin"/>
            </w:r>
            <w:r>
              <w:rPr>
                <w:noProof/>
                <w:webHidden/>
              </w:rPr>
              <w:instrText xml:space="preserve"> PAGEREF _Toc214673493 \h </w:instrText>
            </w:r>
            <w:r>
              <w:rPr>
                <w:noProof/>
                <w:webHidden/>
              </w:rPr>
            </w:r>
            <w:r>
              <w:rPr>
                <w:noProof/>
                <w:webHidden/>
              </w:rPr>
              <w:fldChar w:fldCharType="separate"/>
            </w:r>
            <w:r>
              <w:rPr>
                <w:noProof/>
                <w:webHidden/>
              </w:rPr>
              <w:t>7</w:t>
            </w:r>
            <w:r>
              <w:rPr>
                <w:noProof/>
                <w:webHidden/>
              </w:rPr>
              <w:fldChar w:fldCharType="end"/>
            </w:r>
          </w:hyperlink>
        </w:p>
        <w:p w14:paraId="15BAA4BE" w14:textId="77777777" w:rsidR="009B06C3" w:rsidRDefault="009B06C3" w:rsidP="009B06C3">
          <w:pPr>
            <w:pStyle w:val="TOC1"/>
            <w:rPr>
              <w:noProof/>
            </w:rPr>
          </w:pPr>
          <w:hyperlink w:anchor="_Toc214673494" w:history="1">
            <w:r w:rsidRPr="004D2297">
              <w:rPr>
                <w:rStyle w:val="Hyperlink"/>
                <w:rFonts w:asciiTheme="majorBidi" w:hAnsiTheme="majorBidi"/>
                <w:noProof/>
              </w:rPr>
              <w:t>6. Conclusion</w:t>
            </w:r>
            <w:r>
              <w:rPr>
                <w:noProof/>
                <w:webHidden/>
              </w:rPr>
              <w:tab/>
            </w:r>
            <w:r>
              <w:rPr>
                <w:noProof/>
                <w:webHidden/>
              </w:rPr>
              <w:fldChar w:fldCharType="begin"/>
            </w:r>
            <w:r>
              <w:rPr>
                <w:noProof/>
                <w:webHidden/>
              </w:rPr>
              <w:instrText xml:space="preserve"> PAGEREF _Toc214673494 \h </w:instrText>
            </w:r>
            <w:r>
              <w:rPr>
                <w:noProof/>
                <w:webHidden/>
              </w:rPr>
            </w:r>
            <w:r>
              <w:rPr>
                <w:noProof/>
                <w:webHidden/>
              </w:rPr>
              <w:fldChar w:fldCharType="separate"/>
            </w:r>
            <w:r>
              <w:rPr>
                <w:noProof/>
                <w:webHidden/>
              </w:rPr>
              <w:t>7</w:t>
            </w:r>
            <w:r>
              <w:rPr>
                <w:noProof/>
                <w:webHidden/>
              </w:rPr>
              <w:fldChar w:fldCharType="end"/>
            </w:r>
          </w:hyperlink>
        </w:p>
        <w:p w14:paraId="344EBABB" w14:textId="77777777" w:rsidR="009B06C3" w:rsidRDefault="009B06C3" w:rsidP="009B06C3">
          <w:pPr>
            <w:pStyle w:val="TOC1"/>
            <w:rPr>
              <w:noProof/>
            </w:rPr>
          </w:pPr>
          <w:hyperlink w:anchor="_Toc214673495" w:history="1">
            <w:r w:rsidRPr="004D2297">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_Toc214673495 \h </w:instrText>
            </w:r>
            <w:r>
              <w:rPr>
                <w:noProof/>
                <w:webHidden/>
              </w:rPr>
            </w:r>
            <w:r>
              <w:rPr>
                <w:noProof/>
                <w:webHidden/>
              </w:rPr>
              <w:fldChar w:fldCharType="separate"/>
            </w:r>
            <w:r>
              <w:rPr>
                <w:noProof/>
                <w:webHidden/>
              </w:rPr>
              <w:t>8</w:t>
            </w:r>
            <w:r>
              <w:rPr>
                <w:noProof/>
                <w:webHidden/>
              </w:rPr>
              <w:fldChar w:fldCharType="end"/>
            </w:r>
          </w:hyperlink>
        </w:p>
        <w:p w14:paraId="4B5E6A21" w14:textId="77777777" w:rsidR="009B06C3" w:rsidRDefault="009B06C3">
          <w:r>
            <w:rPr>
              <w:b/>
              <w:bCs/>
              <w:noProof/>
            </w:rPr>
            <w:fldChar w:fldCharType="end"/>
          </w:r>
        </w:p>
      </w:sdtContent>
    </w:sdt>
    <w:p w14:paraId="001A57CC" w14:textId="77777777" w:rsidR="009B06C3" w:rsidRPr="009B06C3" w:rsidRDefault="009B06C3" w:rsidP="009B06C3">
      <w:pPr>
        <w:spacing w:after="200" w:line="276" w:lineRule="auto"/>
        <w:rPr>
          <w:rFonts w:asciiTheme="majorBidi" w:hAnsiTheme="majorBidi" w:cstheme="majorBidi"/>
          <w:sz w:val="24"/>
          <w:szCs w:val="24"/>
        </w:rPr>
      </w:pPr>
      <w:r>
        <w:rPr>
          <w:rFonts w:asciiTheme="majorBidi" w:hAnsiTheme="majorBidi" w:cstheme="majorBidi"/>
          <w:sz w:val="24"/>
          <w:szCs w:val="24"/>
        </w:rPr>
        <w:br w:type="page"/>
      </w:r>
    </w:p>
    <w:p w14:paraId="0DA6DE7E" w14:textId="77777777" w:rsidR="00615B75" w:rsidRPr="009B06C3" w:rsidRDefault="00615B75" w:rsidP="009B06C3">
      <w:pPr>
        <w:pStyle w:val="Heading1"/>
        <w:spacing w:line="360" w:lineRule="auto"/>
        <w:rPr>
          <w:rFonts w:asciiTheme="majorBidi" w:hAnsiTheme="majorBidi"/>
          <w:color w:val="auto"/>
          <w:sz w:val="24"/>
          <w:szCs w:val="24"/>
        </w:rPr>
      </w:pPr>
      <w:bookmarkStart w:id="0" w:name="_Toc214673479"/>
      <w:r w:rsidRPr="009B06C3">
        <w:rPr>
          <w:rStyle w:val="Strong"/>
          <w:rFonts w:asciiTheme="majorBidi" w:hAnsiTheme="majorBidi"/>
          <w:b/>
          <w:bCs/>
          <w:color w:val="auto"/>
          <w:sz w:val="24"/>
          <w:szCs w:val="24"/>
        </w:rPr>
        <w:lastRenderedPageBreak/>
        <w:t>1. Introduction</w:t>
      </w:r>
      <w:bookmarkEnd w:id="0"/>
    </w:p>
    <w:p w14:paraId="55B22FC9"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Skills in employability are essential in the good practise in health and social care beyond qualifications as well as communication, teamwork, professionalism, flexibility and making sound decisions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(World Health Organization, 2023)</w:t>
      </w:r>
      <w:r w:rsidRPr="009B06C3">
        <w:rPr>
          <w:rStyle w:val="Strong"/>
          <w:rFonts w:asciiTheme="majorBidi" w:hAnsiTheme="majorBidi" w:cstheme="majorBidi"/>
          <w:b w:val="0"/>
          <w:bCs w:val="0"/>
          <w:sz w:val="24"/>
          <w:szCs w:val="24"/>
        </w:rPr>
        <w:t>. Such competencies have a direct influence on the safety, quality and compassion of care availed to vulnerable people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(Orlova, 2021)</w:t>
      </w:r>
      <w:r w:rsidRPr="009B06C3">
        <w:rPr>
          <w:rStyle w:val="Strong"/>
          <w:rFonts w:asciiTheme="majorBidi" w:hAnsiTheme="majorBidi" w:cstheme="majorBidi"/>
          <w:b w:val="0"/>
          <w:bCs w:val="0"/>
          <w:sz w:val="24"/>
          <w:szCs w:val="24"/>
        </w:rPr>
        <w:t xml:space="preserve">. In this report, the author will discuss the jobs of a nurse and a social worker who both collaborate in working with individuals with various physical, emotional and social needs. Although they vary in their areas of work, </w:t>
      </w:r>
      <w:proofErr w:type="gramStart"/>
      <w:r w:rsidRPr="009B06C3">
        <w:rPr>
          <w:rStyle w:val="Strong"/>
          <w:rFonts w:asciiTheme="majorBidi" w:hAnsiTheme="majorBidi" w:cstheme="majorBidi"/>
          <w:b w:val="0"/>
          <w:bCs w:val="0"/>
          <w:sz w:val="24"/>
          <w:szCs w:val="24"/>
        </w:rPr>
        <w:t>both of them</w:t>
      </w:r>
      <w:proofErr w:type="gramEnd"/>
      <w:r w:rsidRPr="009B06C3">
        <w:rPr>
          <w:rStyle w:val="Strong"/>
          <w:rFonts w:asciiTheme="majorBidi" w:hAnsiTheme="majorBidi" w:cstheme="majorBidi"/>
          <w:b w:val="0"/>
          <w:bCs w:val="0"/>
          <w:sz w:val="24"/>
          <w:szCs w:val="24"/>
        </w:rPr>
        <w:t xml:space="preserve"> require a good sense of interpersonal and analytical skills. The report presents all the essential employability skills necessary, the comparison of the two jobs, the types of challenges encountered regularly, and the ways that professional capability can be developed.</w:t>
      </w:r>
    </w:p>
    <w:p w14:paraId="2FE01A14" w14:textId="77777777" w:rsidR="00615B75" w:rsidRPr="009B06C3" w:rsidRDefault="00615B75" w:rsidP="009B06C3">
      <w:pPr>
        <w:pStyle w:val="Heading2"/>
        <w:spacing w:line="360" w:lineRule="auto"/>
        <w:rPr>
          <w:rFonts w:asciiTheme="majorBidi" w:hAnsiTheme="majorBidi"/>
          <w:color w:val="auto"/>
          <w:sz w:val="24"/>
          <w:szCs w:val="24"/>
        </w:rPr>
      </w:pPr>
      <w:bookmarkStart w:id="1" w:name="_Toc214673480"/>
      <w:r w:rsidRPr="009B06C3">
        <w:rPr>
          <w:rStyle w:val="Strong"/>
          <w:rFonts w:asciiTheme="majorBidi" w:hAnsiTheme="majorBidi"/>
          <w:b/>
          <w:bCs/>
          <w:color w:val="auto"/>
          <w:sz w:val="24"/>
          <w:szCs w:val="24"/>
        </w:rPr>
        <w:t>2. Employability Skills for Role 1: Nurse</w:t>
      </w:r>
      <w:bookmarkEnd w:id="1"/>
    </w:p>
    <w:p w14:paraId="43553813"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 xml:space="preserve">The nursing profession demands an extensive range of employability skills due to its highly dynamic, fast-paced and person-centred nature. As a nurse, one </w:t>
      </w:r>
      <w:proofErr w:type="gramStart"/>
      <w:r w:rsidRPr="009B06C3">
        <w:rPr>
          <w:rStyle w:val="Strong"/>
          <w:rFonts w:asciiTheme="majorBidi" w:hAnsiTheme="majorBidi" w:cstheme="majorBidi"/>
          <w:b w:val="0"/>
          <w:bCs w:val="0"/>
          <w:sz w:val="24"/>
          <w:szCs w:val="24"/>
        </w:rPr>
        <w:t>has to</w:t>
      </w:r>
      <w:proofErr w:type="gramEnd"/>
      <w:r w:rsidRPr="009B06C3">
        <w:rPr>
          <w:rStyle w:val="Strong"/>
          <w:rFonts w:asciiTheme="majorBidi" w:hAnsiTheme="majorBidi" w:cstheme="majorBidi"/>
          <w:b w:val="0"/>
          <w:bCs w:val="0"/>
          <w:sz w:val="24"/>
          <w:szCs w:val="24"/>
        </w:rPr>
        <w:t xml:space="preserve"> provide clinical care and be competent and compassionate in responding to emergencies and working effectively with others and communicating</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(Liu et al., 2023)</w:t>
      </w:r>
      <w:r w:rsidRPr="009B06C3">
        <w:rPr>
          <w:rStyle w:val="Strong"/>
          <w:rFonts w:asciiTheme="majorBidi" w:hAnsiTheme="majorBidi" w:cstheme="majorBidi"/>
          <w:b w:val="0"/>
          <w:bCs w:val="0"/>
          <w:sz w:val="24"/>
          <w:szCs w:val="24"/>
        </w:rPr>
        <w:t>.</w:t>
      </w:r>
    </w:p>
    <w:p w14:paraId="3754FD54" w14:textId="77777777" w:rsidR="00615B75" w:rsidRPr="009B06C3" w:rsidRDefault="00615B75" w:rsidP="009B06C3">
      <w:pPr>
        <w:pStyle w:val="Heading3"/>
        <w:spacing w:line="360" w:lineRule="auto"/>
        <w:rPr>
          <w:rFonts w:asciiTheme="majorBidi" w:hAnsiTheme="majorBidi" w:cstheme="majorBidi"/>
          <w:sz w:val="24"/>
          <w:szCs w:val="24"/>
        </w:rPr>
      </w:pPr>
      <w:bookmarkStart w:id="2" w:name="_Toc214673481"/>
      <w:r w:rsidRPr="009B06C3">
        <w:rPr>
          <w:rStyle w:val="Strong"/>
          <w:rFonts w:asciiTheme="majorBidi" w:hAnsiTheme="majorBidi" w:cstheme="majorBidi"/>
          <w:b/>
          <w:bCs/>
          <w:sz w:val="24"/>
          <w:szCs w:val="24"/>
        </w:rPr>
        <w:t>2.1 Communication Skills</w:t>
      </w:r>
      <w:bookmarkEnd w:id="2"/>
    </w:p>
    <w:p w14:paraId="528763D8"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Communication is among the most vital skills that nurses have since it involves safe exchange of information among professionals, patients and families. Verbal communication can be used by nurses to clarify treatment, offer reassurance and give instructions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(Anderson et al., 2021)</w:t>
      </w:r>
      <w:r w:rsidRPr="009B06C3">
        <w:rPr>
          <w:rStyle w:val="Strong"/>
          <w:rFonts w:asciiTheme="majorBidi" w:hAnsiTheme="majorBidi" w:cstheme="majorBidi"/>
          <w:b w:val="0"/>
          <w:bCs w:val="0"/>
          <w:sz w:val="24"/>
          <w:szCs w:val="24"/>
        </w:rPr>
        <w:t xml:space="preserve">. Body language, eye contact and active listening are also non-verbal skills important in the development of trust and identification of emotional or physical distress. The written communication is essential to produce effective and thorough records, handover notes and care plans to be of legal and professional quality. The role of digital communication is also </w:t>
      </w:r>
      <w:proofErr w:type="gramStart"/>
      <w:r w:rsidRPr="009B06C3">
        <w:rPr>
          <w:rStyle w:val="Strong"/>
          <w:rFonts w:asciiTheme="majorBidi" w:hAnsiTheme="majorBidi" w:cstheme="majorBidi"/>
          <w:b w:val="0"/>
          <w:bCs w:val="0"/>
          <w:sz w:val="24"/>
          <w:szCs w:val="24"/>
        </w:rPr>
        <w:t>increasing</w:t>
      </w:r>
      <w:proofErr w:type="gramEnd"/>
      <w:r w:rsidRPr="009B06C3">
        <w:rPr>
          <w:rStyle w:val="Strong"/>
          <w:rFonts w:asciiTheme="majorBidi" w:hAnsiTheme="majorBidi" w:cstheme="majorBidi"/>
          <w:b w:val="0"/>
          <w:bCs w:val="0"/>
          <w:sz w:val="24"/>
          <w:szCs w:val="24"/>
        </w:rPr>
        <w:t xml:space="preserve"> and nurses are being increasingly mandated to utilise electronic health records and online communication</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(Goulart et al., 2022)</w:t>
      </w:r>
      <w:r w:rsidRPr="009B06C3">
        <w:rPr>
          <w:rStyle w:val="Strong"/>
          <w:rFonts w:asciiTheme="majorBidi" w:hAnsiTheme="majorBidi" w:cstheme="majorBidi"/>
          <w:b w:val="0"/>
          <w:bCs w:val="0"/>
          <w:sz w:val="24"/>
          <w:szCs w:val="24"/>
        </w:rPr>
        <w:t>. Effective communication contributes to the decreased number of errors, enhanced patient safety, as well as reinforced interdisciplinary ties.</w:t>
      </w:r>
    </w:p>
    <w:p w14:paraId="2F0E37A0" w14:textId="77777777" w:rsidR="00615B75" w:rsidRPr="009B06C3" w:rsidRDefault="00615B75" w:rsidP="009B06C3">
      <w:pPr>
        <w:pStyle w:val="Heading3"/>
        <w:spacing w:line="360" w:lineRule="auto"/>
        <w:rPr>
          <w:rFonts w:asciiTheme="majorBidi" w:hAnsiTheme="majorBidi" w:cstheme="majorBidi"/>
          <w:sz w:val="24"/>
          <w:szCs w:val="24"/>
        </w:rPr>
      </w:pPr>
      <w:bookmarkStart w:id="3" w:name="_Toc214673482"/>
      <w:r w:rsidRPr="009B06C3">
        <w:rPr>
          <w:rStyle w:val="Strong"/>
          <w:rFonts w:asciiTheme="majorBidi" w:hAnsiTheme="majorBidi" w:cstheme="majorBidi"/>
          <w:b/>
          <w:bCs/>
          <w:sz w:val="24"/>
          <w:szCs w:val="24"/>
        </w:rPr>
        <w:t>2.2 Teamwork and Collaboration</w:t>
      </w:r>
      <w:bookmarkEnd w:id="3"/>
    </w:p>
    <w:p w14:paraId="4F78CD04"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Nurses do not work alone most of the time, and their position presupposes close cooperation with the doctors, therapists, health-care assistants, pharmacists, and relatives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 xml:space="preserve">(Detgen et al., </w:t>
      </w:r>
      <w:r w:rsidR="009B06C3" w:rsidRPr="009B06C3">
        <w:rPr>
          <w:rFonts w:asciiTheme="majorBidi" w:hAnsiTheme="majorBidi" w:cstheme="majorBidi"/>
          <w:sz w:val="24"/>
          <w:szCs w:val="24"/>
        </w:rPr>
        <w:lastRenderedPageBreak/>
        <w:t>2021)</w:t>
      </w:r>
      <w:r w:rsidRPr="009B06C3">
        <w:rPr>
          <w:rStyle w:val="Strong"/>
          <w:rFonts w:asciiTheme="majorBidi" w:hAnsiTheme="majorBidi" w:cstheme="majorBidi"/>
          <w:b w:val="0"/>
          <w:bCs w:val="0"/>
          <w:sz w:val="24"/>
          <w:szCs w:val="24"/>
        </w:rPr>
        <w:t>. Teamwork also facilitates organised care provision, minimises redundancy and holistic patient care provision. In multidisciplinary teams, nurses represent patients, exchange vital information and participate in care planning. Respect is also essential in collaboration and reliability and an aptitude to comprehend various professional views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(Mahajan et al., 2022)</w:t>
      </w:r>
      <w:r w:rsidRPr="009B06C3">
        <w:rPr>
          <w:rStyle w:val="Strong"/>
          <w:rFonts w:asciiTheme="majorBidi" w:hAnsiTheme="majorBidi" w:cstheme="majorBidi"/>
          <w:b w:val="0"/>
          <w:bCs w:val="0"/>
          <w:sz w:val="24"/>
          <w:szCs w:val="24"/>
        </w:rPr>
        <w:t>. Teamwork is also essential in high-pressure conditions particularly in emergency care that requires quick, structured and safe responses.</w:t>
      </w:r>
    </w:p>
    <w:p w14:paraId="685DEEC3" w14:textId="77777777" w:rsidR="00615B75" w:rsidRPr="009B06C3" w:rsidRDefault="00615B75" w:rsidP="009B06C3">
      <w:pPr>
        <w:pStyle w:val="Heading3"/>
        <w:spacing w:line="360" w:lineRule="auto"/>
        <w:rPr>
          <w:rFonts w:asciiTheme="majorBidi" w:hAnsiTheme="majorBidi" w:cstheme="majorBidi"/>
          <w:sz w:val="24"/>
          <w:szCs w:val="24"/>
        </w:rPr>
      </w:pPr>
      <w:bookmarkStart w:id="4" w:name="_Toc214673483"/>
      <w:r w:rsidRPr="009B06C3">
        <w:rPr>
          <w:rStyle w:val="Strong"/>
          <w:rFonts w:asciiTheme="majorBidi" w:hAnsiTheme="majorBidi" w:cstheme="majorBidi"/>
          <w:b/>
          <w:bCs/>
          <w:sz w:val="24"/>
          <w:szCs w:val="24"/>
        </w:rPr>
        <w:t>2.3 Problem-Solving and Decision-Making</w:t>
      </w:r>
      <w:bookmarkEnd w:id="4"/>
    </w:p>
    <w:p w14:paraId="769DA6A6"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 xml:space="preserve">Nurses face unpredictable situations in which they </w:t>
      </w:r>
      <w:proofErr w:type="gramStart"/>
      <w:r w:rsidRPr="009B06C3">
        <w:rPr>
          <w:rStyle w:val="Strong"/>
          <w:rFonts w:asciiTheme="majorBidi" w:hAnsiTheme="majorBidi" w:cstheme="majorBidi"/>
          <w:b w:val="0"/>
          <w:bCs w:val="0"/>
          <w:sz w:val="24"/>
          <w:szCs w:val="24"/>
        </w:rPr>
        <w:t>have to</w:t>
      </w:r>
      <w:proofErr w:type="gramEnd"/>
      <w:r w:rsidRPr="009B06C3">
        <w:rPr>
          <w:rStyle w:val="Strong"/>
          <w:rFonts w:asciiTheme="majorBidi" w:hAnsiTheme="majorBidi" w:cstheme="majorBidi"/>
          <w:b w:val="0"/>
          <w:bCs w:val="0"/>
          <w:sz w:val="24"/>
          <w:szCs w:val="24"/>
        </w:rPr>
        <w:t xml:space="preserve"> prioritise tasks, discover risks and hasty decisions. Problem-solving includes how to interpret symptoms, symptom changes, how to respond during an emergency and how to manage when to escalate the issue to senior staff. Nurses should be able to make rational judgments based on clinical knowledge and patient information available to them to make the right decisions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(Mahajan et al., 2022)</w:t>
      </w:r>
      <w:r w:rsidRPr="009B06C3">
        <w:rPr>
          <w:rStyle w:val="Strong"/>
          <w:rFonts w:asciiTheme="majorBidi" w:hAnsiTheme="majorBidi" w:cstheme="majorBidi"/>
          <w:b w:val="0"/>
          <w:bCs w:val="0"/>
          <w:sz w:val="24"/>
          <w:szCs w:val="24"/>
        </w:rPr>
        <w:t>. Critical thinking is directly connected with decision-making that aids nurses to weigh options, foresee consequences and act out of the best interest of patients.</w:t>
      </w:r>
    </w:p>
    <w:p w14:paraId="190F1928" w14:textId="77777777" w:rsidR="00615B75" w:rsidRPr="009B06C3" w:rsidRDefault="00615B75" w:rsidP="009B06C3">
      <w:pPr>
        <w:pStyle w:val="Heading3"/>
        <w:spacing w:line="360" w:lineRule="auto"/>
        <w:rPr>
          <w:rFonts w:asciiTheme="majorBidi" w:hAnsiTheme="majorBidi" w:cstheme="majorBidi"/>
          <w:sz w:val="24"/>
          <w:szCs w:val="24"/>
        </w:rPr>
      </w:pPr>
      <w:bookmarkStart w:id="5" w:name="_Toc214673484"/>
      <w:r w:rsidRPr="009B06C3">
        <w:rPr>
          <w:rStyle w:val="Strong"/>
          <w:rFonts w:asciiTheme="majorBidi" w:hAnsiTheme="majorBidi" w:cstheme="majorBidi"/>
          <w:b/>
          <w:bCs/>
          <w:sz w:val="24"/>
          <w:szCs w:val="24"/>
        </w:rPr>
        <w:t>2.4 Empathy and Person-</w:t>
      </w:r>
      <w:proofErr w:type="spellStart"/>
      <w:r w:rsidRPr="009B06C3">
        <w:rPr>
          <w:rStyle w:val="Strong"/>
          <w:rFonts w:asciiTheme="majorBidi" w:hAnsiTheme="majorBidi" w:cstheme="majorBidi"/>
          <w:b/>
          <w:bCs/>
          <w:sz w:val="24"/>
          <w:szCs w:val="24"/>
        </w:rPr>
        <w:t>Centred</w:t>
      </w:r>
      <w:proofErr w:type="spellEnd"/>
      <w:r w:rsidRPr="009B06C3">
        <w:rPr>
          <w:rStyle w:val="Strong"/>
          <w:rFonts w:asciiTheme="majorBidi" w:hAnsiTheme="majorBidi" w:cstheme="majorBidi"/>
          <w:b/>
          <w:bCs/>
          <w:sz w:val="24"/>
          <w:szCs w:val="24"/>
        </w:rPr>
        <w:t xml:space="preserve"> Care</w:t>
      </w:r>
      <w:bookmarkEnd w:id="5"/>
    </w:p>
    <w:p w14:paraId="7344C7E7"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 xml:space="preserve">Nursing practise is all about empathy since patients often undergo pain, fear, uncertainty and vulnerability. Person-centred care ensures that nurses get to know personal preferences, values and cultural backgrounds </w:t>
      </w:r>
      <w:proofErr w:type="gramStart"/>
      <w:r w:rsidRPr="009B06C3">
        <w:rPr>
          <w:rStyle w:val="Strong"/>
          <w:rFonts w:asciiTheme="majorBidi" w:hAnsiTheme="majorBidi" w:cstheme="majorBidi"/>
          <w:b w:val="0"/>
          <w:bCs w:val="0"/>
          <w:sz w:val="24"/>
          <w:szCs w:val="24"/>
        </w:rPr>
        <w:t>in order to</w:t>
      </w:r>
      <w:proofErr w:type="gramEnd"/>
      <w:r w:rsidRPr="009B06C3">
        <w:rPr>
          <w:rStyle w:val="Strong"/>
          <w:rFonts w:asciiTheme="majorBidi" w:hAnsiTheme="majorBidi" w:cstheme="majorBidi"/>
          <w:b w:val="0"/>
          <w:bCs w:val="0"/>
          <w:sz w:val="24"/>
          <w:szCs w:val="24"/>
        </w:rPr>
        <w:t xml:space="preserve"> provide care in a way that is respectable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(Edwards-</w:t>
      </w:r>
      <w:proofErr w:type="spellStart"/>
      <w:r w:rsidR="009B06C3" w:rsidRPr="009B06C3">
        <w:rPr>
          <w:rFonts w:asciiTheme="majorBidi" w:hAnsiTheme="majorBidi" w:cstheme="majorBidi"/>
          <w:sz w:val="24"/>
          <w:szCs w:val="24"/>
        </w:rPr>
        <w:t>Fapohunda</w:t>
      </w:r>
      <w:proofErr w:type="spellEnd"/>
      <w:r w:rsidR="009B06C3" w:rsidRPr="009B06C3">
        <w:rPr>
          <w:rFonts w:asciiTheme="majorBidi" w:hAnsiTheme="majorBidi" w:cstheme="majorBidi"/>
          <w:sz w:val="24"/>
          <w:szCs w:val="24"/>
        </w:rPr>
        <w:t>, 2024)</w:t>
      </w:r>
      <w:r w:rsidRPr="009B06C3">
        <w:rPr>
          <w:rStyle w:val="Strong"/>
          <w:rFonts w:asciiTheme="majorBidi" w:hAnsiTheme="majorBidi" w:cstheme="majorBidi"/>
          <w:b w:val="0"/>
          <w:bCs w:val="0"/>
          <w:sz w:val="24"/>
          <w:szCs w:val="24"/>
        </w:rPr>
        <w:t>. Showing empathy assists in establishing therapeutic relationships and improves emotional health and motivates patients to engage in decision-making. Nurses should strike a balance between emotional and professional limits so that they do not become too emotional but are still caring.</w:t>
      </w:r>
    </w:p>
    <w:p w14:paraId="30B5E7D9" w14:textId="77777777" w:rsidR="00615B75" w:rsidRPr="009B06C3" w:rsidRDefault="00615B75" w:rsidP="009B06C3">
      <w:pPr>
        <w:pStyle w:val="Heading3"/>
        <w:spacing w:line="360" w:lineRule="auto"/>
        <w:rPr>
          <w:rFonts w:asciiTheme="majorBidi" w:hAnsiTheme="majorBidi" w:cstheme="majorBidi"/>
          <w:sz w:val="24"/>
          <w:szCs w:val="24"/>
        </w:rPr>
      </w:pPr>
      <w:bookmarkStart w:id="6" w:name="_Toc214673485"/>
      <w:r w:rsidRPr="009B06C3">
        <w:rPr>
          <w:rStyle w:val="Strong"/>
          <w:rFonts w:asciiTheme="majorBidi" w:hAnsiTheme="majorBidi" w:cstheme="majorBidi"/>
          <w:b/>
          <w:bCs/>
          <w:sz w:val="24"/>
          <w:szCs w:val="24"/>
        </w:rPr>
        <w:t>2.5 Technical and Clinical Skills</w:t>
      </w:r>
      <w:bookmarkEnd w:id="6"/>
    </w:p>
    <w:p w14:paraId="4D8C3E48" w14:textId="77777777" w:rsidR="00615B75" w:rsidRPr="009B06C3" w:rsidRDefault="00615B75" w:rsidP="009B06C3">
      <w:pPr>
        <w:spacing w:line="360" w:lineRule="auto"/>
        <w:jc w:val="both"/>
        <w:rPr>
          <w:rFonts w:asciiTheme="majorBidi" w:hAnsiTheme="majorBidi" w:cstheme="majorBidi"/>
          <w:b/>
          <w:bCs/>
          <w:sz w:val="24"/>
          <w:szCs w:val="24"/>
        </w:rPr>
      </w:pPr>
      <w:r w:rsidRPr="009B06C3">
        <w:rPr>
          <w:rStyle w:val="Strong"/>
          <w:rFonts w:asciiTheme="majorBidi" w:hAnsiTheme="majorBidi" w:cstheme="majorBidi"/>
          <w:b w:val="0"/>
          <w:bCs w:val="0"/>
          <w:sz w:val="24"/>
          <w:szCs w:val="24"/>
        </w:rPr>
        <w:t>Nursing has an extensive set of technical competencies accompanying interpersonal competencies. They are taking of medicine safely, cheque-ups on vital signs, assessment, and control of infection management and handling of clinical equipment</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Bikse</w:t>
      </w:r>
      <w:proofErr w:type="spellEnd"/>
      <w:r w:rsidR="009B06C3" w:rsidRPr="009B06C3">
        <w:rPr>
          <w:rFonts w:asciiTheme="majorBidi" w:hAnsiTheme="majorBidi" w:cstheme="majorBidi"/>
          <w:sz w:val="24"/>
          <w:szCs w:val="24"/>
        </w:rPr>
        <w:t xml:space="preserve"> et al., 2022)</w:t>
      </w:r>
      <w:r w:rsidRPr="009B06C3">
        <w:rPr>
          <w:rStyle w:val="Strong"/>
          <w:rFonts w:asciiTheme="majorBidi" w:hAnsiTheme="majorBidi" w:cstheme="majorBidi"/>
          <w:b w:val="0"/>
          <w:bCs w:val="0"/>
          <w:sz w:val="24"/>
          <w:szCs w:val="24"/>
        </w:rPr>
        <w:t>. Evidence-based guidelines should be adhered to by a nurse to be accurate and safe to the patient. Clinical skills also entail the knowledge of anatomy, physiology, pharmacology and disease processes. These domains are vital to the provision of quality care and harm avoidance.</w:t>
      </w:r>
    </w:p>
    <w:p w14:paraId="183E30D1" w14:textId="77777777" w:rsidR="00615B75" w:rsidRPr="009B06C3" w:rsidRDefault="00615B75" w:rsidP="009B06C3">
      <w:pPr>
        <w:pStyle w:val="Heading2"/>
        <w:spacing w:line="360" w:lineRule="auto"/>
        <w:rPr>
          <w:rFonts w:asciiTheme="majorBidi" w:hAnsiTheme="majorBidi"/>
          <w:color w:val="auto"/>
          <w:sz w:val="24"/>
          <w:szCs w:val="24"/>
        </w:rPr>
      </w:pPr>
      <w:bookmarkStart w:id="7" w:name="_Toc214673486"/>
      <w:r w:rsidRPr="009B06C3">
        <w:rPr>
          <w:rStyle w:val="Strong"/>
          <w:rFonts w:asciiTheme="majorBidi" w:hAnsiTheme="majorBidi"/>
          <w:b/>
          <w:bCs/>
          <w:color w:val="auto"/>
          <w:sz w:val="24"/>
          <w:szCs w:val="24"/>
        </w:rPr>
        <w:lastRenderedPageBreak/>
        <w:t>3. Employability Skills for Role 2: Social Worker</w:t>
      </w:r>
      <w:bookmarkEnd w:id="7"/>
    </w:p>
    <w:p w14:paraId="24E3818B"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Social workers assist those who face social, emotional or protecting difficulties in individuals, families and communities. Their work makes them think critically, communicate effectively, be professionally upright and full of knowledge in social policies and legal frameworks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(Kamau et al., 2022)</w:t>
      </w:r>
      <w:r w:rsidRPr="009B06C3">
        <w:rPr>
          <w:rStyle w:val="Strong"/>
          <w:rFonts w:asciiTheme="majorBidi" w:hAnsiTheme="majorBidi" w:cstheme="majorBidi"/>
          <w:b w:val="0"/>
          <w:bCs w:val="0"/>
          <w:sz w:val="24"/>
          <w:szCs w:val="24"/>
        </w:rPr>
        <w:t xml:space="preserve">. </w:t>
      </w:r>
      <w:proofErr w:type="gramStart"/>
      <w:r w:rsidRPr="009B06C3">
        <w:rPr>
          <w:rStyle w:val="Strong"/>
          <w:rFonts w:asciiTheme="majorBidi" w:hAnsiTheme="majorBidi" w:cstheme="majorBidi"/>
          <w:b w:val="0"/>
          <w:bCs w:val="0"/>
          <w:sz w:val="24"/>
          <w:szCs w:val="24"/>
        </w:rPr>
        <w:t>Despite the fact that</w:t>
      </w:r>
      <w:proofErr w:type="gramEnd"/>
      <w:r w:rsidRPr="009B06C3">
        <w:rPr>
          <w:rStyle w:val="Strong"/>
          <w:rFonts w:asciiTheme="majorBidi" w:hAnsiTheme="majorBidi" w:cstheme="majorBidi"/>
          <w:b w:val="0"/>
          <w:bCs w:val="0"/>
          <w:sz w:val="24"/>
          <w:szCs w:val="24"/>
        </w:rPr>
        <w:t xml:space="preserve"> social workers are not that involved in clinical practises as nurses, their choices are equally complicated and influence the lives and safety of vulnerable individuals.</w:t>
      </w:r>
    </w:p>
    <w:p w14:paraId="46ED6D24" w14:textId="77777777" w:rsidR="00615B75" w:rsidRPr="009B06C3" w:rsidRDefault="00615B75" w:rsidP="009B06C3">
      <w:pPr>
        <w:pStyle w:val="Heading3"/>
        <w:spacing w:line="360" w:lineRule="auto"/>
        <w:rPr>
          <w:rFonts w:asciiTheme="majorBidi" w:hAnsiTheme="majorBidi" w:cstheme="majorBidi"/>
          <w:sz w:val="24"/>
          <w:szCs w:val="24"/>
        </w:rPr>
      </w:pPr>
      <w:bookmarkStart w:id="8" w:name="_Toc214673487"/>
      <w:r w:rsidRPr="009B06C3">
        <w:rPr>
          <w:rStyle w:val="Strong"/>
          <w:rFonts w:asciiTheme="majorBidi" w:hAnsiTheme="majorBidi" w:cstheme="majorBidi"/>
          <w:b/>
          <w:bCs/>
          <w:sz w:val="24"/>
          <w:szCs w:val="24"/>
        </w:rPr>
        <w:t>3.1 Communication Skills</w:t>
      </w:r>
      <w:bookmarkEnd w:id="8"/>
    </w:p>
    <w:p w14:paraId="1D80C809"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Social work includes communication as its basic challenge since social workers need to establish trust in people in challenging situations. Active listening will allow them to know what concerns them, note risks and collect correct information</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Leadbeatter</w:t>
      </w:r>
      <w:proofErr w:type="spellEnd"/>
      <w:r w:rsidR="009B06C3" w:rsidRPr="009B06C3">
        <w:rPr>
          <w:rFonts w:asciiTheme="majorBidi" w:hAnsiTheme="majorBidi" w:cstheme="majorBidi"/>
          <w:sz w:val="24"/>
          <w:szCs w:val="24"/>
        </w:rPr>
        <w:t xml:space="preserve"> et al., 2023)</w:t>
      </w:r>
      <w:r w:rsidRPr="009B06C3">
        <w:rPr>
          <w:rStyle w:val="Strong"/>
          <w:rFonts w:asciiTheme="majorBidi" w:hAnsiTheme="majorBidi" w:cstheme="majorBidi"/>
          <w:b w:val="0"/>
          <w:bCs w:val="0"/>
          <w:sz w:val="24"/>
          <w:szCs w:val="24"/>
        </w:rPr>
        <w:t xml:space="preserve">. Social workers are sometimes dealing with angry people or in a stressful situation, and one </w:t>
      </w:r>
      <w:proofErr w:type="gramStart"/>
      <w:r w:rsidRPr="009B06C3">
        <w:rPr>
          <w:rStyle w:val="Strong"/>
          <w:rFonts w:asciiTheme="majorBidi" w:hAnsiTheme="majorBidi" w:cstheme="majorBidi"/>
          <w:b w:val="0"/>
          <w:bCs w:val="0"/>
          <w:sz w:val="24"/>
          <w:szCs w:val="24"/>
        </w:rPr>
        <w:t>has to</w:t>
      </w:r>
      <w:proofErr w:type="gramEnd"/>
      <w:r w:rsidRPr="009B06C3">
        <w:rPr>
          <w:rStyle w:val="Strong"/>
          <w:rFonts w:asciiTheme="majorBidi" w:hAnsiTheme="majorBidi" w:cstheme="majorBidi"/>
          <w:b w:val="0"/>
          <w:bCs w:val="0"/>
          <w:sz w:val="24"/>
          <w:szCs w:val="24"/>
        </w:rPr>
        <w:t xml:space="preserve"> be calm and possess good de-escalation techniques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(Shiri et al., 2023)</w:t>
      </w:r>
      <w:r w:rsidRPr="009B06C3">
        <w:rPr>
          <w:rStyle w:val="Strong"/>
          <w:rFonts w:asciiTheme="majorBidi" w:hAnsiTheme="majorBidi" w:cstheme="majorBidi"/>
          <w:b w:val="0"/>
          <w:bCs w:val="0"/>
          <w:sz w:val="24"/>
          <w:szCs w:val="24"/>
        </w:rPr>
        <w:t>. They also need to deliver sensitive decisions, e.g. child protection interventions or care planning recommendations, in a clear and sensitive manner.</w:t>
      </w:r>
    </w:p>
    <w:p w14:paraId="7086BF75" w14:textId="77777777" w:rsidR="00615B75" w:rsidRPr="009B06C3" w:rsidRDefault="00615B75" w:rsidP="009B06C3">
      <w:pPr>
        <w:pStyle w:val="Heading3"/>
        <w:spacing w:line="360" w:lineRule="auto"/>
        <w:rPr>
          <w:rFonts w:asciiTheme="majorBidi" w:hAnsiTheme="majorBidi" w:cstheme="majorBidi"/>
          <w:sz w:val="24"/>
          <w:szCs w:val="24"/>
        </w:rPr>
      </w:pPr>
      <w:bookmarkStart w:id="9" w:name="_Toc214673488"/>
      <w:r w:rsidRPr="009B06C3">
        <w:rPr>
          <w:rStyle w:val="Strong"/>
          <w:rFonts w:asciiTheme="majorBidi" w:hAnsiTheme="majorBidi" w:cstheme="majorBidi"/>
          <w:b/>
          <w:bCs/>
          <w:sz w:val="24"/>
          <w:szCs w:val="24"/>
        </w:rPr>
        <w:t>3.2 Professionalism and Ethics</w:t>
      </w:r>
      <w:bookmarkEnd w:id="9"/>
    </w:p>
    <w:p w14:paraId="7C6BE290"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Social workers are bound with rigid ethical codes to safeguard the rights and wellbeing of people. Professionalism entails respecting boundaries, respecting, adhering to confidentiality protocols as well as codes of practise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Mtawa</w:t>
      </w:r>
      <w:proofErr w:type="spellEnd"/>
      <w:r w:rsidR="009B06C3" w:rsidRPr="009B06C3">
        <w:rPr>
          <w:rFonts w:asciiTheme="majorBidi" w:hAnsiTheme="majorBidi" w:cstheme="majorBidi"/>
          <w:sz w:val="24"/>
          <w:szCs w:val="24"/>
        </w:rPr>
        <w:t xml:space="preserve"> et al., 2021)</w:t>
      </w:r>
      <w:r w:rsidRPr="009B06C3">
        <w:rPr>
          <w:rStyle w:val="Strong"/>
          <w:rFonts w:asciiTheme="majorBidi" w:hAnsiTheme="majorBidi" w:cstheme="majorBidi"/>
          <w:b w:val="0"/>
          <w:bCs w:val="0"/>
          <w:sz w:val="24"/>
          <w:szCs w:val="24"/>
        </w:rPr>
        <w:t>. This is an ethical dilemma that is frequent especially when there is risk, consent or safeguarding. Social workers are required to be magnanimous, just and responsible.</w:t>
      </w:r>
    </w:p>
    <w:p w14:paraId="51DFA047" w14:textId="77777777" w:rsidR="00615B75" w:rsidRPr="009B06C3" w:rsidRDefault="00615B75" w:rsidP="009B06C3">
      <w:pPr>
        <w:pStyle w:val="Heading3"/>
        <w:spacing w:line="360" w:lineRule="auto"/>
        <w:rPr>
          <w:rFonts w:asciiTheme="majorBidi" w:hAnsiTheme="majorBidi" w:cstheme="majorBidi"/>
          <w:sz w:val="24"/>
          <w:szCs w:val="24"/>
        </w:rPr>
      </w:pPr>
      <w:bookmarkStart w:id="10" w:name="_Toc214673489"/>
      <w:r w:rsidRPr="009B06C3">
        <w:rPr>
          <w:rStyle w:val="Strong"/>
          <w:rFonts w:asciiTheme="majorBidi" w:hAnsiTheme="majorBidi" w:cstheme="majorBidi"/>
          <w:b/>
          <w:bCs/>
          <w:sz w:val="24"/>
          <w:szCs w:val="24"/>
        </w:rPr>
        <w:t>3.3 Record-Keeping and Digital Skills</w:t>
      </w:r>
      <w:bookmarkEnd w:id="10"/>
    </w:p>
    <w:p w14:paraId="0B14A846"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The documentation must be accurate as it is easy to note that most social work decisions involve critical legal consequences. Assessment and care plan, along with case notes should be factual, well written and clear. Information is highly recorded using digital systems, to facilitate caseloads and updates sharing with other services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Mtawa</w:t>
      </w:r>
      <w:proofErr w:type="spellEnd"/>
      <w:r w:rsidR="009B06C3" w:rsidRPr="009B06C3">
        <w:rPr>
          <w:rFonts w:asciiTheme="majorBidi" w:hAnsiTheme="majorBidi" w:cstheme="majorBidi"/>
          <w:sz w:val="24"/>
          <w:szCs w:val="24"/>
        </w:rPr>
        <w:t xml:space="preserve"> et al., 2021)</w:t>
      </w:r>
      <w:r w:rsidRPr="009B06C3">
        <w:rPr>
          <w:rStyle w:val="Strong"/>
          <w:rFonts w:asciiTheme="majorBidi" w:hAnsiTheme="majorBidi" w:cstheme="majorBidi"/>
          <w:b w:val="0"/>
          <w:bCs w:val="0"/>
          <w:sz w:val="24"/>
          <w:szCs w:val="24"/>
        </w:rPr>
        <w:t>. The social workers should be well digitally literate to operate these systems in a safe and efficient manner. Poor record keeping lead to confusion, escalation of risk or legal impact, which explains its role in making people employable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(Kamau et al., 2022)</w:t>
      </w:r>
      <w:r w:rsidRPr="009B06C3">
        <w:rPr>
          <w:rStyle w:val="Strong"/>
          <w:rFonts w:asciiTheme="majorBidi" w:hAnsiTheme="majorBidi" w:cstheme="majorBidi"/>
          <w:b w:val="0"/>
          <w:bCs w:val="0"/>
          <w:sz w:val="24"/>
          <w:szCs w:val="24"/>
        </w:rPr>
        <w:t>.</w:t>
      </w:r>
    </w:p>
    <w:p w14:paraId="32884F29" w14:textId="77777777" w:rsidR="00615B75" w:rsidRPr="009B06C3" w:rsidRDefault="00615B75" w:rsidP="009B06C3">
      <w:pPr>
        <w:pStyle w:val="Heading3"/>
        <w:spacing w:line="360" w:lineRule="auto"/>
        <w:rPr>
          <w:rFonts w:asciiTheme="majorBidi" w:hAnsiTheme="majorBidi" w:cstheme="majorBidi"/>
          <w:sz w:val="24"/>
          <w:szCs w:val="24"/>
        </w:rPr>
      </w:pPr>
      <w:bookmarkStart w:id="11" w:name="_Toc214673490"/>
      <w:r w:rsidRPr="009B06C3">
        <w:rPr>
          <w:rStyle w:val="Strong"/>
          <w:rFonts w:asciiTheme="majorBidi" w:hAnsiTheme="majorBidi" w:cstheme="majorBidi"/>
          <w:b/>
          <w:bCs/>
          <w:sz w:val="24"/>
          <w:szCs w:val="24"/>
        </w:rPr>
        <w:lastRenderedPageBreak/>
        <w:t>3.4 Risk Assessment and Safeguarding</w:t>
      </w:r>
      <w:bookmarkEnd w:id="11"/>
    </w:p>
    <w:p w14:paraId="3251A78B"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Detection and reaction to safeguarding concerns are one of the most important roles of social workers. They should evaluate the threats of abuse, neglect, exploitation or self-harm and decide on what should be done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Bikse</w:t>
      </w:r>
      <w:proofErr w:type="spellEnd"/>
      <w:r w:rsidR="009B06C3" w:rsidRPr="009B06C3">
        <w:rPr>
          <w:rFonts w:asciiTheme="majorBidi" w:hAnsiTheme="majorBidi" w:cstheme="majorBidi"/>
          <w:sz w:val="24"/>
          <w:szCs w:val="24"/>
        </w:rPr>
        <w:t xml:space="preserve"> et al., 2022)</w:t>
      </w:r>
      <w:r w:rsidRPr="009B06C3">
        <w:rPr>
          <w:rStyle w:val="Strong"/>
          <w:rFonts w:asciiTheme="majorBidi" w:hAnsiTheme="majorBidi" w:cstheme="majorBidi"/>
          <w:b w:val="0"/>
          <w:bCs w:val="0"/>
          <w:sz w:val="24"/>
          <w:szCs w:val="24"/>
        </w:rPr>
        <w:t>. Protection needs the awareness of the legal systems, multi-agencies protocols and pre-warning indications. Social workers work hand in hand with the police, health care workers, education providers and community organisations so that they become secure.</w:t>
      </w:r>
    </w:p>
    <w:p w14:paraId="01955C90" w14:textId="77777777" w:rsidR="00615B75" w:rsidRPr="009B06C3" w:rsidRDefault="00615B75" w:rsidP="009B06C3">
      <w:pPr>
        <w:pStyle w:val="Heading3"/>
        <w:spacing w:line="360" w:lineRule="auto"/>
        <w:rPr>
          <w:rFonts w:asciiTheme="majorBidi" w:hAnsiTheme="majorBidi" w:cstheme="majorBidi"/>
          <w:sz w:val="24"/>
          <w:szCs w:val="24"/>
        </w:rPr>
      </w:pPr>
      <w:bookmarkStart w:id="12" w:name="_Toc214673491"/>
      <w:r w:rsidRPr="009B06C3">
        <w:rPr>
          <w:rStyle w:val="Strong"/>
          <w:rFonts w:asciiTheme="majorBidi" w:hAnsiTheme="majorBidi" w:cstheme="majorBidi"/>
          <w:b/>
          <w:bCs/>
          <w:sz w:val="24"/>
          <w:szCs w:val="24"/>
        </w:rPr>
        <w:t>3.5 Role-Specific Knowledge</w:t>
      </w:r>
      <w:bookmarkEnd w:id="12"/>
    </w:p>
    <w:p w14:paraId="5A0CA45A" w14:textId="77777777" w:rsidR="00615B75" w:rsidRPr="009B06C3" w:rsidRDefault="00615B75" w:rsidP="009B06C3">
      <w:pPr>
        <w:spacing w:line="360" w:lineRule="auto"/>
        <w:jc w:val="both"/>
        <w:rPr>
          <w:rFonts w:asciiTheme="majorBidi" w:hAnsiTheme="majorBidi" w:cstheme="majorBidi"/>
          <w:sz w:val="24"/>
          <w:szCs w:val="24"/>
        </w:rPr>
      </w:pPr>
      <w:r w:rsidRPr="009B06C3">
        <w:rPr>
          <w:rStyle w:val="Strong"/>
          <w:rFonts w:asciiTheme="majorBidi" w:hAnsiTheme="majorBidi" w:cstheme="majorBidi"/>
          <w:b w:val="0"/>
          <w:bCs w:val="0"/>
          <w:sz w:val="24"/>
          <w:szCs w:val="24"/>
        </w:rPr>
        <w:t xml:space="preserve">Social workers must have in-depth understanding of the legislation, the social policies, social services systems, the mental health laws and </w:t>
      </w:r>
      <w:proofErr w:type="gramStart"/>
      <w:r w:rsidRPr="009B06C3">
        <w:rPr>
          <w:rStyle w:val="Strong"/>
          <w:rFonts w:asciiTheme="majorBidi" w:hAnsiTheme="majorBidi" w:cstheme="majorBidi"/>
          <w:b w:val="0"/>
          <w:bCs w:val="0"/>
          <w:sz w:val="24"/>
          <w:szCs w:val="24"/>
        </w:rPr>
        <w:t>community based</w:t>
      </w:r>
      <w:proofErr w:type="gramEnd"/>
      <w:r w:rsidRPr="009B06C3">
        <w:rPr>
          <w:rStyle w:val="Strong"/>
          <w:rFonts w:asciiTheme="majorBidi" w:hAnsiTheme="majorBidi" w:cstheme="majorBidi"/>
          <w:b w:val="0"/>
          <w:bCs w:val="0"/>
          <w:sz w:val="24"/>
          <w:szCs w:val="24"/>
        </w:rPr>
        <w:t xml:space="preserve"> support systems. They should know the impact of poverty, discrimination, family dynamics, and trauma to wellbeing. This expertise will enable them to develop meaningful interventions, as well as represent vulnerable people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(Edwards-</w:t>
      </w:r>
      <w:proofErr w:type="spellStart"/>
      <w:r w:rsidR="009B06C3" w:rsidRPr="009B06C3">
        <w:rPr>
          <w:rFonts w:asciiTheme="majorBidi" w:hAnsiTheme="majorBidi" w:cstheme="majorBidi"/>
          <w:sz w:val="24"/>
          <w:szCs w:val="24"/>
        </w:rPr>
        <w:t>Fapohunda</w:t>
      </w:r>
      <w:proofErr w:type="spellEnd"/>
      <w:r w:rsidR="009B06C3" w:rsidRPr="009B06C3">
        <w:rPr>
          <w:rFonts w:asciiTheme="majorBidi" w:hAnsiTheme="majorBidi" w:cstheme="majorBidi"/>
          <w:sz w:val="24"/>
          <w:szCs w:val="24"/>
        </w:rPr>
        <w:t>, 2024)</w:t>
      </w:r>
      <w:r w:rsidRPr="009B06C3">
        <w:rPr>
          <w:rStyle w:val="Strong"/>
          <w:rFonts w:asciiTheme="majorBidi" w:hAnsiTheme="majorBidi" w:cstheme="majorBidi"/>
          <w:b w:val="0"/>
          <w:bCs w:val="0"/>
          <w:sz w:val="24"/>
          <w:szCs w:val="24"/>
        </w:rPr>
        <w:t>. Social workers are overly concerned with social, psychological and environmental aspects compared to the nurses whose focus is more on clinical and physical health requirements.</w:t>
      </w:r>
    </w:p>
    <w:p w14:paraId="3209F8B3" w14:textId="77777777" w:rsidR="00615B75" w:rsidRPr="009B06C3" w:rsidRDefault="00615B75" w:rsidP="009B06C3">
      <w:pPr>
        <w:pStyle w:val="Heading2"/>
        <w:spacing w:line="360" w:lineRule="auto"/>
        <w:rPr>
          <w:rFonts w:asciiTheme="majorBidi" w:hAnsiTheme="majorBidi"/>
          <w:color w:val="auto"/>
          <w:sz w:val="24"/>
          <w:szCs w:val="24"/>
        </w:rPr>
      </w:pPr>
      <w:bookmarkStart w:id="13" w:name="_Toc214673492"/>
      <w:r w:rsidRPr="009B06C3">
        <w:rPr>
          <w:rStyle w:val="Strong"/>
          <w:rFonts w:asciiTheme="majorBidi" w:hAnsiTheme="majorBidi"/>
          <w:b/>
          <w:bCs/>
          <w:color w:val="auto"/>
          <w:sz w:val="24"/>
          <w:szCs w:val="24"/>
        </w:rPr>
        <w:t>4. Challenges for Both Roles</w:t>
      </w:r>
      <w:bookmarkEnd w:id="13"/>
    </w:p>
    <w:p w14:paraId="4396AE77"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Workloads remain one of the most critical issues in nursing and social work professions as these two fields are emotionally and intellectually demanding</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(World Health Organization, 2023)</w:t>
      </w:r>
      <w:r w:rsidRPr="009B06C3">
        <w:rPr>
          <w:rStyle w:val="Strong"/>
          <w:rFonts w:asciiTheme="majorBidi" w:hAnsiTheme="majorBidi" w:cstheme="majorBidi"/>
          <w:b w:val="0"/>
          <w:bCs w:val="0"/>
          <w:sz w:val="24"/>
          <w:szCs w:val="24"/>
        </w:rPr>
        <w:t>. The shortage of staff, increased service requests and tight time constraints frequently leave the nurse in charge of several patients and accomplishing clinical duties, paperwork and emotional care. The caseloads of the social workers are comparably heavy and demand extensive assessment and liaising with the various agencies, leaving less time to provide personalised care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(Orlova, 2021)</w:t>
      </w:r>
      <w:r w:rsidRPr="009B06C3">
        <w:rPr>
          <w:rStyle w:val="Strong"/>
          <w:rFonts w:asciiTheme="majorBidi" w:hAnsiTheme="majorBidi" w:cstheme="majorBidi"/>
          <w:b w:val="0"/>
          <w:bCs w:val="0"/>
          <w:sz w:val="24"/>
          <w:szCs w:val="24"/>
        </w:rPr>
        <w:t xml:space="preserve">. The emotional strain and burnout are a common occurrence because nurses often observe traumatic medical incidents when social workers assist people in meeting abuse, crisis or neglect. The prolonged </w:t>
      </w:r>
      <w:r w:rsidR="009B06C3" w:rsidRPr="009B06C3">
        <w:rPr>
          <w:rStyle w:val="Strong"/>
          <w:rFonts w:asciiTheme="majorBidi" w:hAnsiTheme="majorBidi" w:cstheme="majorBidi"/>
          <w:b w:val="0"/>
          <w:bCs w:val="0"/>
          <w:sz w:val="24"/>
          <w:szCs w:val="24"/>
        </w:rPr>
        <w:t>stress leads</w:t>
      </w:r>
      <w:r w:rsidRPr="009B06C3">
        <w:rPr>
          <w:rStyle w:val="Strong"/>
          <w:rFonts w:asciiTheme="majorBidi" w:hAnsiTheme="majorBidi" w:cstheme="majorBidi"/>
          <w:b w:val="0"/>
          <w:bCs w:val="0"/>
          <w:sz w:val="24"/>
          <w:szCs w:val="24"/>
        </w:rPr>
        <w:t xml:space="preserve"> to compassion </w:t>
      </w:r>
      <w:r w:rsidR="009B06C3" w:rsidRPr="009B06C3">
        <w:rPr>
          <w:rStyle w:val="Strong"/>
          <w:rFonts w:asciiTheme="majorBidi" w:hAnsiTheme="majorBidi" w:cstheme="majorBidi"/>
          <w:b w:val="0"/>
          <w:bCs w:val="0"/>
          <w:sz w:val="24"/>
          <w:szCs w:val="24"/>
        </w:rPr>
        <w:t>fatigue that impairs</w:t>
      </w:r>
      <w:r w:rsidRPr="009B06C3">
        <w:rPr>
          <w:rStyle w:val="Strong"/>
          <w:rFonts w:asciiTheme="majorBidi" w:hAnsiTheme="majorBidi" w:cstheme="majorBidi"/>
          <w:b w:val="0"/>
          <w:bCs w:val="0"/>
          <w:sz w:val="24"/>
          <w:szCs w:val="24"/>
        </w:rPr>
        <w:t xml:space="preserve"> the empathy and decision-making ability. Language barriers also cause problems such as cognitive impairments or complicated family issues. Also, the two occupations are faced with the issue of ethical dilemmas based on confidentiality, consent and protection, which must be judged carefully and in accordance with professional ethics.</w:t>
      </w:r>
    </w:p>
    <w:p w14:paraId="06AFD0FE" w14:textId="77777777" w:rsidR="00615B75" w:rsidRPr="009B06C3" w:rsidRDefault="00615B75" w:rsidP="009B06C3">
      <w:pPr>
        <w:pStyle w:val="Heading2"/>
        <w:spacing w:line="360" w:lineRule="auto"/>
        <w:rPr>
          <w:rFonts w:asciiTheme="majorBidi" w:hAnsiTheme="majorBidi"/>
          <w:color w:val="auto"/>
          <w:sz w:val="24"/>
          <w:szCs w:val="24"/>
        </w:rPr>
      </w:pPr>
      <w:bookmarkStart w:id="14" w:name="_Toc214673493"/>
      <w:r w:rsidRPr="009B06C3">
        <w:rPr>
          <w:rStyle w:val="Strong"/>
          <w:rFonts w:asciiTheme="majorBidi" w:hAnsiTheme="majorBidi"/>
          <w:b/>
          <w:bCs/>
          <w:color w:val="auto"/>
          <w:sz w:val="24"/>
          <w:szCs w:val="24"/>
        </w:rPr>
        <w:lastRenderedPageBreak/>
        <w:t>5. Strategies to Improve Employability Skills</w:t>
      </w:r>
      <w:bookmarkEnd w:id="14"/>
    </w:p>
    <w:p w14:paraId="21F157DF" w14:textId="77777777" w:rsidR="00615B75" w:rsidRPr="009B06C3" w:rsidRDefault="00615B75" w:rsidP="009B06C3">
      <w:pPr>
        <w:spacing w:line="360" w:lineRule="auto"/>
        <w:jc w:val="both"/>
        <w:rPr>
          <w:rStyle w:val="Strong"/>
          <w:rFonts w:asciiTheme="majorBidi" w:hAnsiTheme="majorBidi" w:cstheme="majorBidi"/>
          <w:b w:val="0"/>
          <w:bCs w:val="0"/>
          <w:sz w:val="24"/>
          <w:szCs w:val="24"/>
        </w:rPr>
      </w:pPr>
      <w:r w:rsidRPr="009B06C3">
        <w:rPr>
          <w:rStyle w:val="Strong"/>
          <w:rFonts w:asciiTheme="majorBidi" w:hAnsiTheme="majorBidi" w:cstheme="majorBidi"/>
          <w:b w:val="0"/>
          <w:bCs w:val="0"/>
          <w:sz w:val="24"/>
          <w:szCs w:val="24"/>
        </w:rPr>
        <w:t>The enhancement of employability in nursing and social work is a process that needs continuous dedication and personal growth</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(Liu et al., 2023)</w:t>
      </w:r>
      <w:r w:rsidRPr="009B06C3">
        <w:rPr>
          <w:rStyle w:val="Strong"/>
          <w:rFonts w:asciiTheme="majorBidi" w:hAnsiTheme="majorBidi" w:cstheme="majorBidi"/>
          <w:b w:val="0"/>
          <w:bCs w:val="0"/>
          <w:sz w:val="24"/>
          <w:szCs w:val="24"/>
        </w:rPr>
        <w:t xml:space="preserve">. Constant Professional Development is a necessity, which helps one to enhance clinical, communication and digital skills via workshops, training and online education. The models that are used to facilitate the reflective practise include Gibbs and Schoen which enable practitioners to analyse their experiences, identify areas of development, and improve their critical thinking. Mentorship and supervision </w:t>
      </w:r>
      <w:proofErr w:type="gramStart"/>
      <w:r w:rsidRPr="009B06C3">
        <w:rPr>
          <w:rStyle w:val="Strong"/>
          <w:rFonts w:asciiTheme="majorBidi" w:hAnsiTheme="majorBidi" w:cstheme="majorBidi"/>
          <w:b w:val="0"/>
          <w:bCs w:val="0"/>
          <w:sz w:val="24"/>
          <w:szCs w:val="24"/>
        </w:rPr>
        <w:t>is</w:t>
      </w:r>
      <w:proofErr w:type="gramEnd"/>
      <w:r w:rsidRPr="009B06C3">
        <w:rPr>
          <w:rStyle w:val="Strong"/>
          <w:rFonts w:asciiTheme="majorBidi" w:hAnsiTheme="majorBidi" w:cstheme="majorBidi"/>
          <w:b w:val="0"/>
          <w:bCs w:val="0"/>
          <w:sz w:val="24"/>
          <w:szCs w:val="24"/>
        </w:rPr>
        <w:t xml:space="preserve"> also significant, as it offers instructions, emotional support and professional advice, especially to the novices. Practical experience at the placements, in the form of volunteering or part-time jobs builds confidence, flexibility and problem-solving skills as the individuals are introduced to the actual situation of real life</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(Goulart et al., 2022)</w:t>
      </w:r>
      <w:r w:rsidRPr="009B06C3">
        <w:rPr>
          <w:rStyle w:val="Strong"/>
          <w:rFonts w:asciiTheme="majorBidi" w:hAnsiTheme="majorBidi" w:cstheme="majorBidi"/>
          <w:b w:val="0"/>
          <w:bCs w:val="0"/>
          <w:sz w:val="24"/>
          <w:szCs w:val="24"/>
        </w:rPr>
        <w:t>. Enhancement of digital literacy is becoming more important, as the two professions are dependent on electronic health records, safe data management and electronic communication tools</w:t>
      </w:r>
      <w:r w:rsidR="009B06C3" w:rsidRPr="009B06C3">
        <w:rPr>
          <w:rStyle w:val="Strong"/>
          <w:rFonts w:asciiTheme="majorBidi" w:hAnsiTheme="majorBidi" w:cstheme="majorBidi"/>
          <w:b w:val="0"/>
          <w:bCs w:val="0"/>
          <w:sz w:val="24"/>
          <w:szCs w:val="24"/>
        </w:rPr>
        <w:t xml:space="preserve"> </w:t>
      </w:r>
      <w:r w:rsidR="009B06C3" w:rsidRPr="009B06C3">
        <w:rPr>
          <w:rFonts w:asciiTheme="majorBidi" w:hAnsiTheme="majorBidi" w:cstheme="majorBidi"/>
          <w:sz w:val="24"/>
          <w:szCs w:val="24"/>
        </w:rPr>
        <w:t>(</w:t>
      </w:r>
      <w:proofErr w:type="spellStart"/>
      <w:r w:rsidR="009B06C3" w:rsidRPr="009B06C3">
        <w:rPr>
          <w:rFonts w:asciiTheme="majorBidi" w:hAnsiTheme="majorBidi" w:cstheme="majorBidi"/>
          <w:sz w:val="24"/>
          <w:szCs w:val="24"/>
        </w:rPr>
        <w:t>Bikse</w:t>
      </w:r>
      <w:proofErr w:type="spellEnd"/>
      <w:r w:rsidR="009B06C3" w:rsidRPr="009B06C3">
        <w:rPr>
          <w:rFonts w:asciiTheme="majorBidi" w:hAnsiTheme="majorBidi" w:cstheme="majorBidi"/>
          <w:sz w:val="24"/>
          <w:szCs w:val="24"/>
        </w:rPr>
        <w:t xml:space="preserve"> et al., 2022)</w:t>
      </w:r>
      <w:r w:rsidRPr="009B06C3">
        <w:rPr>
          <w:rStyle w:val="Strong"/>
          <w:rFonts w:asciiTheme="majorBidi" w:hAnsiTheme="majorBidi" w:cstheme="majorBidi"/>
          <w:b w:val="0"/>
          <w:bCs w:val="0"/>
          <w:sz w:val="24"/>
          <w:szCs w:val="24"/>
        </w:rPr>
        <w:t>. These strategies collectively can contribute to professional competence, support and be prepared to meet the expectations of the modern care setting.</w:t>
      </w:r>
    </w:p>
    <w:p w14:paraId="42C4D74F" w14:textId="77777777" w:rsidR="00615B75" w:rsidRPr="009B06C3" w:rsidRDefault="00615B75" w:rsidP="009B06C3">
      <w:pPr>
        <w:pStyle w:val="Heading1"/>
        <w:spacing w:line="360" w:lineRule="auto"/>
        <w:rPr>
          <w:rFonts w:asciiTheme="majorBidi" w:hAnsiTheme="majorBidi"/>
          <w:color w:val="auto"/>
          <w:sz w:val="24"/>
          <w:szCs w:val="24"/>
        </w:rPr>
      </w:pPr>
      <w:bookmarkStart w:id="15" w:name="_Toc214673494"/>
      <w:r w:rsidRPr="009B06C3">
        <w:rPr>
          <w:rStyle w:val="Strong"/>
          <w:rFonts w:asciiTheme="majorBidi" w:hAnsiTheme="majorBidi"/>
          <w:b/>
          <w:bCs/>
          <w:color w:val="auto"/>
          <w:sz w:val="24"/>
          <w:szCs w:val="24"/>
        </w:rPr>
        <w:t>6. Conclusion</w:t>
      </w:r>
      <w:bookmarkEnd w:id="15"/>
    </w:p>
    <w:p w14:paraId="1484CE9D" w14:textId="77777777" w:rsidR="00615B75" w:rsidRPr="00FF07BC" w:rsidRDefault="00615B75" w:rsidP="009B06C3">
      <w:pPr>
        <w:spacing w:line="360" w:lineRule="auto"/>
        <w:jc w:val="both"/>
        <w:rPr>
          <w:rFonts w:asciiTheme="majorBidi" w:hAnsiTheme="majorBidi" w:cstheme="majorBidi"/>
          <w:sz w:val="24"/>
          <w:szCs w:val="24"/>
        </w:rPr>
      </w:pPr>
      <w:r w:rsidRPr="009B06C3">
        <w:rPr>
          <w:rStyle w:val="Strong"/>
          <w:rFonts w:asciiTheme="majorBidi" w:hAnsiTheme="majorBidi" w:cstheme="majorBidi"/>
          <w:b w:val="0"/>
          <w:bCs w:val="0"/>
          <w:sz w:val="24"/>
          <w:szCs w:val="24"/>
        </w:rPr>
        <w:t xml:space="preserve">Employability skills are vital for effective practise in nursing and social work because they influence patient safety, service quality and the wellbeing of vulnerable individuals. Nurses need effective communication, clinical skill, team and empathy to be able to provide holistic care whereas social workers need critical thinking, knowledge protection, professionalism and communication to assist and defend people. Despite the difference in their duties, both jobs require one to be strong, ethically conscious and capable of making sound judgement. Workload demands, emotional stress and communication distance are just some of the challenges that emphasise the necessity of constant improvement. Through ongoing learning, reflection practise, supervision and skill development, one </w:t>
      </w:r>
      <w:proofErr w:type="gramStart"/>
      <w:r w:rsidRPr="009B06C3">
        <w:rPr>
          <w:rStyle w:val="Strong"/>
          <w:rFonts w:asciiTheme="majorBidi" w:hAnsiTheme="majorBidi" w:cstheme="majorBidi"/>
          <w:b w:val="0"/>
          <w:bCs w:val="0"/>
          <w:sz w:val="24"/>
          <w:szCs w:val="24"/>
        </w:rPr>
        <w:t>is able to</w:t>
      </w:r>
      <w:proofErr w:type="gramEnd"/>
      <w:r w:rsidRPr="009B06C3">
        <w:rPr>
          <w:rStyle w:val="Strong"/>
          <w:rFonts w:asciiTheme="majorBidi" w:hAnsiTheme="majorBidi" w:cstheme="majorBidi"/>
          <w:b w:val="0"/>
          <w:bCs w:val="0"/>
          <w:sz w:val="24"/>
          <w:szCs w:val="24"/>
        </w:rPr>
        <w:t xml:space="preserve"> enhance their employability competencies and help to deliver safe, caring and quality care.</w:t>
      </w:r>
    </w:p>
    <w:p w14:paraId="45F71981" w14:textId="77777777" w:rsidR="009520EC" w:rsidRPr="009B06C3" w:rsidRDefault="009520EC" w:rsidP="009B06C3">
      <w:pPr>
        <w:spacing w:line="360" w:lineRule="auto"/>
        <w:jc w:val="both"/>
        <w:rPr>
          <w:rFonts w:asciiTheme="majorBidi" w:hAnsiTheme="majorBidi" w:cstheme="majorBidi"/>
          <w:sz w:val="24"/>
          <w:szCs w:val="24"/>
        </w:rPr>
      </w:pPr>
    </w:p>
    <w:p w14:paraId="339A33BE" w14:textId="77777777" w:rsidR="009B06C3" w:rsidRPr="009B06C3" w:rsidRDefault="009B06C3" w:rsidP="009B06C3">
      <w:pPr>
        <w:spacing w:after="200" w:line="360" w:lineRule="auto"/>
        <w:rPr>
          <w:rFonts w:asciiTheme="majorBidi" w:hAnsiTheme="majorBidi" w:cstheme="majorBidi"/>
          <w:sz w:val="24"/>
          <w:szCs w:val="24"/>
        </w:rPr>
      </w:pPr>
      <w:r w:rsidRPr="009B06C3">
        <w:rPr>
          <w:rFonts w:asciiTheme="majorBidi" w:hAnsiTheme="majorBidi" w:cstheme="majorBidi"/>
          <w:sz w:val="24"/>
          <w:szCs w:val="24"/>
        </w:rPr>
        <w:br w:type="page"/>
      </w:r>
    </w:p>
    <w:p w14:paraId="3DBFDD9C" w14:textId="77777777" w:rsidR="009520EC" w:rsidRPr="009B06C3" w:rsidRDefault="009B06C3" w:rsidP="009B06C3">
      <w:pPr>
        <w:pStyle w:val="Heading1"/>
        <w:spacing w:line="360" w:lineRule="auto"/>
        <w:jc w:val="center"/>
        <w:rPr>
          <w:rFonts w:asciiTheme="majorBidi" w:hAnsiTheme="majorBidi"/>
          <w:color w:val="auto"/>
          <w:sz w:val="24"/>
          <w:szCs w:val="24"/>
        </w:rPr>
      </w:pPr>
      <w:bookmarkStart w:id="16" w:name="_Toc214673495"/>
      <w:r w:rsidRPr="009B06C3">
        <w:rPr>
          <w:rFonts w:asciiTheme="majorBidi" w:hAnsiTheme="majorBidi"/>
          <w:color w:val="auto"/>
          <w:sz w:val="24"/>
          <w:szCs w:val="24"/>
        </w:rPr>
        <w:lastRenderedPageBreak/>
        <w:t>References</w:t>
      </w:r>
      <w:bookmarkEnd w:id="16"/>
    </w:p>
    <w:p w14:paraId="04A57E7F" w14:textId="77777777" w:rsidR="009520EC" w:rsidRPr="009B06C3" w:rsidRDefault="009520EC" w:rsidP="009B06C3">
      <w:pPr>
        <w:spacing w:line="360" w:lineRule="auto"/>
        <w:jc w:val="both"/>
        <w:rPr>
          <w:rFonts w:asciiTheme="majorBidi" w:hAnsiTheme="majorBidi" w:cstheme="majorBidi"/>
          <w:sz w:val="24"/>
          <w:szCs w:val="24"/>
        </w:rPr>
      </w:pPr>
    </w:p>
    <w:p w14:paraId="5BF272ED"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Anderson, M., O'Neill, C., Clark, J.M., Street, A., Woods, M., Johnston-Webber, C., Charlesworth, A., Whyte, M., Foster, M., Majeed, A. and Pitchforth, E., 2021. Securing a sustainable and fit-for-purpose UK health and care workforce. </w:t>
      </w:r>
      <w:r w:rsidRPr="009B06C3">
        <w:rPr>
          <w:rFonts w:asciiTheme="majorBidi" w:hAnsiTheme="majorBidi" w:cstheme="majorBidi"/>
          <w:i/>
          <w:iCs/>
          <w:color w:val="222222"/>
          <w:sz w:val="24"/>
          <w:szCs w:val="24"/>
          <w:shd w:val="clear" w:color="auto" w:fill="FFFFFF"/>
        </w:rPr>
        <w:t>The Lancet</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397</w:t>
      </w:r>
      <w:r w:rsidRPr="009B06C3">
        <w:rPr>
          <w:rFonts w:asciiTheme="majorBidi" w:hAnsiTheme="majorBidi" w:cstheme="majorBidi"/>
          <w:color w:val="222222"/>
          <w:sz w:val="24"/>
          <w:szCs w:val="24"/>
          <w:shd w:val="clear" w:color="auto" w:fill="FFFFFF"/>
        </w:rPr>
        <w:t>(10288), pp.1992-2011.</w:t>
      </w:r>
    </w:p>
    <w:p w14:paraId="7F2FCF0D"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proofErr w:type="spellStart"/>
      <w:r w:rsidRPr="009B06C3">
        <w:rPr>
          <w:rFonts w:asciiTheme="majorBidi" w:hAnsiTheme="majorBidi" w:cstheme="majorBidi"/>
          <w:color w:val="222222"/>
          <w:sz w:val="24"/>
          <w:szCs w:val="24"/>
          <w:shd w:val="clear" w:color="auto" w:fill="FFFFFF"/>
        </w:rPr>
        <w:t>Bikse</w:t>
      </w:r>
      <w:proofErr w:type="spellEnd"/>
      <w:r w:rsidRPr="009B06C3">
        <w:rPr>
          <w:rFonts w:asciiTheme="majorBidi" w:hAnsiTheme="majorBidi" w:cstheme="majorBidi"/>
          <w:color w:val="222222"/>
          <w:sz w:val="24"/>
          <w:szCs w:val="24"/>
          <w:shd w:val="clear" w:color="auto" w:fill="FFFFFF"/>
        </w:rPr>
        <w:t xml:space="preserve">, V., Grinevica, L., </w:t>
      </w:r>
      <w:proofErr w:type="spellStart"/>
      <w:r w:rsidRPr="009B06C3">
        <w:rPr>
          <w:rFonts w:asciiTheme="majorBidi" w:hAnsiTheme="majorBidi" w:cstheme="majorBidi"/>
          <w:color w:val="222222"/>
          <w:sz w:val="24"/>
          <w:szCs w:val="24"/>
          <w:shd w:val="clear" w:color="auto" w:fill="FFFFFF"/>
        </w:rPr>
        <w:t>Rivza</w:t>
      </w:r>
      <w:proofErr w:type="spellEnd"/>
      <w:r w:rsidRPr="009B06C3">
        <w:rPr>
          <w:rFonts w:asciiTheme="majorBidi" w:hAnsiTheme="majorBidi" w:cstheme="majorBidi"/>
          <w:color w:val="222222"/>
          <w:sz w:val="24"/>
          <w:szCs w:val="24"/>
          <w:shd w:val="clear" w:color="auto" w:fill="FFFFFF"/>
        </w:rPr>
        <w:t xml:space="preserve">, B. and </w:t>
      </w:r>
      <w:proofErr w:type="spellStart"/>
      <w:r w:rsidRPr="009B06C3">
        <w:rPr>
          <w:rFonts w:asciiTheme="majorBidi" w:hAnsiTheme="majorBidi" w:cstheme="majorBidi"/>
          <w:color w:val="222222"/>
          <w:sz w:val="24"/>
          <w:szCs w:val="24"/>
          <w:shd w:val="clear" w:color="auto" w:fill="FFFFFF"/>
        </w:rPr>
        <w:t>Rivza</w:t>
      </w:r>
      <w:proofErr w:type="spellEnd"/>
      <w:r w:rsidRPr="009B06C3">
        <w:rPr>
          <w:rFonts w:asciiTheme="majorBidi" w:hAnsiTheme="majorBidi" w:cstheme="majorBidi"/>
          <w:color w:val="222222"/>
          <w:sz w:val="24"/>
          <w:szCs w:val="24"/>
          <w:shd w:val="clear" w:color="auto" w:fill="FFFFFF"/>
        </w:rPr>
        <w:t>, P., 2022. Consequences and challenges of the fourth industrial revolution and the impact on the development of employability skills. </w:t>
      </w:r>
      <w:r w:rsidRPr="009B06C3">
        <w:rPr>
          <w:rFonts w:asciiTheme="majorBidi" w:hAnsiTheme="majorBidi" w:cstheme="majorBidi"/>
          <w:i/>
          <w:iCs/>
          <w:color w:val="222222"/>
          <w:sz w:val="24"/>
          <w:szCs w:val="24"/>
          <w:shd w:val="clear" w:color="auto" w:fill="FFFFFF"/>
        </w:rPr>
        <w:t>Sustainability</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14</w:t>
      </w:r>
      <w:r w:rsidRPr="009B06C3">
        <w:rPr>
          <w:rFonts w:asciiTheme="majorBidi" w:hAnsiTheme="majorBidi" w:cstheme="majorBidi"/>
          <w:color w:val="222222"/>
          <w:sz w:val="24"/>
          <w:szCs w:val="24"/>
          <w:shd w:val="clear" w:color="auto" w:fill="FFFFFF"/>
        </w:rPr>
        <w:t>(12), p.6970.</w:t>
      </w:r>
    </w:p>
    <w:p w14:paraId="68272792"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Detgen, A., Fernandez, F., McMahon, A., Johnson, L. and Dailey, C.R., 2021. Efficacy of a college and career readiness program: Bridge to employment. </w:t>
      </w:r>
      <w:r w:rsidRPr="009B06C3">
        <w:rPr>
          <w:rFonts w:asciiTheme="majorBidi" w:hAnsiTheme="majorBidi" w:cstheme="majorBidi"/>
          <w:i/>
          <w:iCs/>
          <w:color w:val="222222"/>
          <w:sz w:val="24"/>
          <w:szCs w:val="24"/>
          <w:shd w:val="clear" w:color="auto" w:fill="FFFFFF"/>
        </w:rPr>
        <w:t>The Career development quarterly</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69</w:t>
      </w:r>
      <w:r w:rsidRPr="009B06C3">
        <w:rPr>
          <w:rFonts w:asciiTheme="majorBidi" w:hAnsiTheme="majorBidi" w:cstheme="majorBidi"/>
          <w:color w:val="222222"/>
          <w:sz w:val="24"/>
          <w:szCs w:val="24"/>
          <w:shd w:val="clear" w:color="auto" w:fill="FFFFFF"/>
        </w:rPr>
        <w:t>(3), pp.231-247.</w:t>
      </w:r>
    </w:p>
    <w:p w14:paraId="41260400"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Edwards-</w:t>
      </w:r>
      <w:proofErr w:type="spellStart"/>
      <w:r w:rsidRPr="009B06C3">
        <w:rPr>
          <w:rFonts w:asciiTheme="majorBidi" w:hAnsiTheme="majorBidi" w:cstheme="majorBidi"/>
          <w:color w:val="222222"/>
          <w:sz w:val="24"/>
          <w:szCs w:val="24"/>
          <w:shd w:val="clear" w:color="auto" w:fill="FFFFFF"/>
        </w:rPr>
        <w:t>Fapohunda</w:t>
      </w:r>
      <w:proofErr w:type="spellEnd"/>
      <w:r w:rsidRPr="009B06C3">
        <w:rPr>
          <w:rFonts w:asciiTheme="majorBidi" w:hAnsiTheme="majorBidi" w:cstheme="majorBidi"/>
          <w:color w:val="222222"/>
          <w:sz w:val="24"/>
          <w:szCs w:val="24"/>
          <w:shd w:val="clear" w:color="auto" w:fill="FFFFFF"/>
        </w:rPr>
        <w:t>, D.M.O., 2024. The role of adult learning and education in community development: A case study of New York. </w:t>
      </w:r>
      <w:r w:rsidRPr="009B06C3">
        <w:rPr>
          <w:rFonts w:asciiTheme="majorBidi" w:hAnsiTheme="majorBidi" w:cstheme="majorBidi"/>
          <w:i/>
          <w:iCs/>
          <w:color w:val="222222"/>
          <w:sz w:val="24"/>
          <w:szCs w:val="24"/>
          <w:shd w:val="clear" w:color="auto" w:fill="FFFFFF"/>
        </w:rPr>
        <w:t xml:space="preserve">Iconic Research </w:t>
      </w:r>
      <w:proofErr w:type="gramStart"/>
      <w:r w:rsidRPr="009B06C3">
        <w:rPr>
          <w:rFonts w:asciiTheme="majorBidi" w:hAnsiTheme="majorBidi" w:cstheme="majorBidi"/>
          <w:i/>
          <w:iCs/>
          <w:color w:val="222222"/>
          <w:sz w:val="24"/>
          <w:szCs w:val="24"/>
          <w:shd w:val="clear" w:color="auto" w:fill="FFFFFF"/>
        </w:rPr>
        <w:t>And</w:t>
      </w:r>
      <w:proofErr w:type="gramEnd"/>
      <w:r w:rsidRPr="009B06C3">
        <w:rPr>
          <w:rFonts w:asciiTheme="majorBidi" w:hAnsiTheme="majorBidi" w:cstheme="majorBidi"/>
          <w:i/>
          <w:iCs/>
          <w:color w:val="222222"/>
          <w:sz w:val="24"/>
          <w:szCs w:val="24"/>
          <w:shd w:val="clear" w:color="auto" w:fill="FFFFFF"/>
        </w:rPr>
        <w:t xml:space="preserve"> Engineering Journals</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8</w:t>
      </w:r>
      <w:r w:rsidRPr="009B06C3">
        <w:rPr>
          <w:rFonts w:asciiTheme="majorBidi" w:hAnsiTheme="majorBidi" w:cstheme="majorBidi"/>
          <w:color w:val="222222"/>
          <w:sz w:val="24"/>
          <w:szCs w:val="24"/>
          <w:shd w:val="clear" w:color="auto" w:fill="FFFFFF"/>
        </w:rPr>
        <w:t>(1), pp.437-454.</w:t>
      </w:r>
    </w:p>
    <w:p w14:paraId="6A74466B"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 xml:space="preserve">Goulart, V.G., </w:t>
      </w:r>
      <w:proofErr w:type="spellStart"/>
      <w:r w:rsidRPr="009B06C3">
        <w:rPr>
          <w:rFonts w:asciiTheme="majorBidi" w:hAnsiTheme="majorBidi" w:cstheme="majorBidi"/>
          <w:color w:val="222222"/>
          <w:sz w:val="24"/>
          <w:szCs w:val="24"/>
          <w:shd w:val="clear" w:color="auto" w:fill="FFFFFF"/>
        </w:rPr>
        <w:t>Liboni</w:t>
      </w:r>
      <w:proofErr w:type="spellEnd"/>
      <w:r w:rsidRPr="009B06C3">
        <w:rPr>
          <w:rFonts w:asciiTheme="majorBidi" w:hAnsiTheme="majorBidi" w:cstheme="majorBidi"/>
          <w:color w:val="222222"/>
          <w:sz w:val="24"/>
          <w:szCs w:val="24"/>
          <w:shd w:val="clear" w:color="auto" w:fill="FFFFFF"/>
        </w:rPr>
        <w:t xml:space="preserve">, L.B. and </w:t>
      </w:r>
      <w:proofErr w:type="spellStart"/>
      <w:r w:rsidRPr="009B06C3">
        <w:rPr>
          <w:rFonts w:asciiTheme="majorBidi" w:hAnsiTheme="majorBidi" w:cstheme="majorBidi"/>
          <w:color w:val="222222"/>
          <w:sz w:val="24"/>
          <w:szCs w:val="24"/>
          <w:shd w:val="clear" w:color="auto" w:fill="FFFFFF"/>
        </w:rPr>
        <w:t>Cezarino</w:t>
      </w:r>
      <w:proofErr w:type="spellEnd"/>
      <w:r w:rsidRPr="009B06C3">
        <w:rPr>
          <w:rFonts w:asciiTheme="majorBidi" w:hAnsiTheme="majorBidi" w:cstheme="majorBidi"/>
          <w:color w:val="222222"/>
          <w:sz w:val="24"/>
          <w:szCs w:val="24"/>
          <w:shd w:val="clear" w:color="auto" w:fill="FFFFFF"/>
        </w:rPr>
        <w:t>, L.O., 2022. Balancing skills in the digital transformation era: The future of jobs and the role of higher education. </w:t>
      </w:r>
      <w:r w:rsidRPr="009B06C3">
        <w:rPr>
          <w:rFonts w:asciiTheme="majorBidi" w:hAnsiTheme="majorBidi" w:cstheme="majorBidi"/>
          <w:i/>
          <w:iCs/>
          <w:color w:val="222222"/>
          <w:sz w:val="24"/>
          <w:szCs w:val="24"/>
          <w:shd w:val="clear" w:color="auto" w:fill="FFFFFF"/>
        </w:rPr>
        <w:t>Industry and Higher Education</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36</w:t>
      </w:r>
      <w:r w:rsidRPr="009B06C3">
        <w:rPr>
          <w:rFonts w:asciiTheme="majorBidi" w:hAnsiTheme="majorBidi" w:cstheme="majorBidi"/>
          <w:color w:val="222222"/>
          <w:sz w:val="24"/>
          <w:szCs w:val="24"/>
          <w:shd w:val="clear" w:color="auto" w:fill="FFFFFF"/>
        </w:rPr>
        <w:t>(2), pp.118-127.</w:t>
      </w:r>
    </w:p>
    <w:p w14:paraId="09BE6F96"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 xml:space="preserve">Kamau, S., </w:t>
      </w:r>
      <w:proofErr w:type="spellStart"/>
      <w:r w:rsidRPr="009B06C3">
        <w:rPr>
          <w:rFonts w:asciiTheme="majorBidi" w:hAnsiTheme="majorBidi" w:cstheme="majorBidi"/>
          <w:color w:val="222222"/>
          <w:sz w:val="24"/>
          <w:szCs w:val="24"/>
          <w:shd w:val="clear" w:color="auto" w:fill="FFFFFF"/>
        </w:rPr>
        <w:t>Koskenranta</w:t>
      </w:r>
      <w:proofErr w:type="spellEnd"/>
      <w:r w:rsidRPr="009B06C3">
        <w:rPr>
          <w:rFonts w:asciiTheme="majorBidi" w:hAnsiTheme="majorBidi" w:cstheme="majorBidi"/>
          <w:color w:val="222222"/>
          <w:sz w:val="24"/>
          <w:szCs w:val="24"/>
          <w:shd w:val="clear" w:color="auto" w:fill="FFFFFF"/>
        </w:rPr>
        <w:t xml:space="preserve">, M., Kuivila, H., </w:t>
      </w:r>
      <w:proofErr w:type="spellStart"/>
      <w:r w:rsidRPr="009B06C3">
        <w:rPr>
          <w:rFonts w:asciiTheme="majorBidi" w:hAnsiTheme="majorBidi" w:cstheme="majorBidi"/>
          <w:color w:val="222222"/>
          <w:sz w:val="24"/>
          <w:szCs w:val="24"/>
          <w:shd w:val="clear" w:color="auto" w:fill="FFFFFF"/>
        </w:rPr>
        <w:t>Oikarainen</w:t>
      </w:r>
      <w:proofErr w:type="spellEnd"/>
      <w:r w:rsidRPr="009B06C3">
        <w:rPr>
          <w:rFonts w:asciiTheme="majorBidi" w:hAnsiTheme="majorBidi" w:cstheme="majorBidi"/>
          <w:color w:val="222222"/>
          <w:sz w:val="24"/>
          <w:szCs w:val="24"/>
          <w:shd w:val="clear" w:color="auto" w:fill="FFFFFF"/>
        </w:rPr>
        <w:t xml:space="preserve">, A., </w:t>
      </w:r>
      <w:proofErr w:type="spellStart"/>
      <w:r w:rsidRPr="009B06C3">
        <w:rPr>
          <w:rFonts w:asciiTheme="majorBidi" w:hAnsiTheme="majorBidi" w:cstheme="majorBidi"/>
          <w:color w:val="222222"/>
          <w:sz w:val="24"/>
          <w:szCs w:val="24"/>
          <w:shd w:val="clear" w:color="auto" w:fill="FFFFFF"/>
        </w:rPr>
        <w:t>Tomietto</w:t>
      </w:r>
      <w:proofErr w:type="spellEnd"/>
      <w:r w:rsidRPr="009B06C3">
        <w:rPr>
          <w:rFonts w:asciiTheme="majorBidi" w:hAnsiTheme="majorBidi" w:cstheme="majorBidi"/>
          <w:color w:val="222222"/>
          <w:sz w:val="24"/>
          <w:szCs w:val="24"/>
          <w:shd w:val="clear" w:color="auto" w:fill="FFFFFF"/>
        </w:rPr>
        <w:t xml:space="preserve">, M., Juntunen, J., </w:t>
      </w:r>
      <w:proofErr w:type="spellStart"/>
      <w:r w:rsidRPr="009B06C3">
        <w:rPr>
          <w:rFonts w:asciiTheme="majorBidi" w:hAnsiTheme="majorBidi" w:cstheme="majorBidi"/>
          <w:color w:val="222222"/>
          <w:sz w:val="24"/>
          <w:szCs w:val="24"/>
          <w:shd w:val="clear" w:color="auto" w:fill="FFFFFF"/>
        </w:rPr>
        <w:t>Tuomikoski</w:t>
      </w:r>
      <w:proofErr w:type="spellEnd"/>
      <w:r w:rsidRPr="009B06C3">
        <w:rPr>
          <w:rFonts w:asciiTheme="majorBidi" w:hAnsiTheme="majorBidi" w:cstheme="majorBidi"/>
          <w:color w:val="222222"/>
          <w:sz w:val="24"/>
          <w:szCs w:val="24"/>
          <w:shd w:val="clear" w:color="auto" w:fill="FFFFFF"/>
        </w:rPr>
        <w:t>, A.M. and Mikkonen, K., 2022. Integration strategies and models to support transition and adaptation of culturally and linguistically diverse nursing staff into healthcare environments: An umbrella review. </w:t>
      </w:r>
      <w:r w:rsidRPr="009B06C3">
        <w:rPr>
          <w:rFonts w:asciiTheme="majorBidi" w:hAnsiTheme="majorBidi" w:cstheme="majorBidi"/>
          <w:i/>
          <w:iCs/>
          <w:color w:val="222222"/>
          <w:sz w:val="24"/>
          <w:szCs w:val="24"/>
          <w:shd w:val="clear" w:color="auto" w:fill="FFFFFF"/>
        </w:rPr>
        <w:t>International journal of nursing studies</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136</w:t>
      </w:r>
      <w:r w:rsidRPr="009B06C3">
        <w:rPr>
          <w:rFonts w:asciiTheme="majorBidi" w:hAnsiTheme="majorBidi" w:cstheme="majorBidi"/>
          <w:color w:val="222222"/>
          <w:sz w:val="24"/>
          <w:szCs w:val="24"/>
          <w:shd w:val="clear" w:color="auto" w:fill="FFFFFF"/>
        </w:rPr>
        <w:t>, p.104377.</w:t>
      </w:r>
    </w:p>
    <w:p w14:paraId="69CB7281"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proofErr w:type="spellStart"/>
      <w:r w:rsidRPr="009B06C3">
        <w:rPr>
          <w:rFonts w:asciiTheme="majorBidi" w:hAnsiTheme="majorBidi" w:cstheme="majorBidi"/>
          <w:color w:val="222222"/>
          <w:sz w:val="24"/>
          <w:szCs w:val="24"/>
          <w:shd w:val="clear" w:color="auto" w:fill="FFFFFF"/>
        </w:rPr>
        <w:t>Leadbeatter</w:t>
      </w:r>
      <w:proofErr w:type="spellEnd"/>
      <w:r w:rsidRPr="009B06C3">
        <w:rPr>
          <w:rFonts w:asciiTheme="majorBidi" w:hAnsiTheme="majorBidi" w:cstheme="majorBidi"/>
          <w:color w:val="222222"/>
          <w:sz w:val="24"/>
          <w:szCs w:val="24"/>
          <w:shd w:val="clear" w:color="auto" w:fill="FFFFFF"/>
        </w:rPr>
        <w:t>, D., Nanayakkara, S., Zhou, X. and Gao, J., 2023. Employability in health professional education: a scoping review. </w:t>
      </w:r>
      <w:r w:rsidRPr="009B06C3">
        <w:rPr>
          <w:rFonts w:asciiTheme="majorBidi" w:hAnsiTheme="majorBidi" w:cstheme="majorBidi"/>
          <w:i/>
          <w:iCs/>
          <w:color w:val="222222"/>
          <w:sz w:val="24"/>
          <w:szCs w:val="24"/>
          <w:shd w:val="clear" w:color="auto" w:fill="FFFFFF"/>
        </w:rPr>
        <w:t>BMC medical education</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23</w:t>
      </w:r>
      <w:r w:rsidRPr="009B06C3">
        <w:rPr>
          <w:rFonts w:asciiTheme="majorBidi" w:hAnsiTheme="majorBidi" w:cstheme="majorBidi"/>
          <w:color w:val="222222"/>
          <w:sz w:val="24"/>
          <w:szCs w:val="24"/>
          <w:shd w:val="clear" w:color="auto" w:fill="FFFFFF"/>
        </w:rPr>
        <w:t>(1), p.33.</w:t>
      </w:r>
    </w:p>
    <w:p w14:paraId="3CF4B4BA"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Liu, X., Zhang, X., Dang, Y. and Gao, W., 2023. Career education skills and career adaptability among college students in China: The mediating role of career decision-making self-efficacy. </w:t>
      </w:r>
      <w:proofErr w:type="spellStart"/>
      <w:r w:rsidRPr="009B06C3">
        <w:rPr>
          <w:rFonts w:asciiTheme="majorBidi" w:hAnsiTheme="majorBidi" w:cstheme="majorBidi"/>
          <w:i/>
          <w:iCs/>
          <w:color w:val="222222"/>
          <w:sz w:val="24"/>
          <w:szCs w:val="24"/>
          <w:shd w:val="clear" w:color="auto" w:fill="FFFFFF"/>
        </w:rPr>
        <w:t>Behavioral</w:t>
      </w:r>
      <w:proofErr w:type="spellEnd"/>
      <w:r w:rsidRPr="009B06C3">
        <w:rPr>
          <w:rFonts w:asciiTheme="majorBidi" w:hAnsiTheme="majorBidi" w:cstheme="majorBidi"/>
          <w:i/>
          <w:iCs/>
          <w:color w:val="222222"/>
          <w:sz w:val="24"/>
          <w:szCs w:val="24"/>
          <w:shd w:val="clear" w:color="auto" w:fill="FFFFFF"/>
        </w:rPr>
        <w:t xml:space="preserve"> Sciences</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13</w:t>
      </w:r>
      <w:r w:rsidRPr="009B06C3">
        <w:rPr>
          <w:rFonts w:asciiTheme="majorBidi" w:hAnsiTheme="majorBidi" w:cstheme="majorBidi"/>
          <w:color w:val="222222"/>
          <w:sz w:val="24"/>
          <w:szCs w:val="24"/>
          <w:shd w:val="clear" w:color="auto" w:fill="FFFFFF"/>
        </w:rPr>
        <w:t>(9), p.780.</w:t>
      </w:r>
    </w:p>
    <w:p w14:paraId="12C612B3"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Mahajan, R., Gupta, P. and Misra, R., 2022. Employability skills framework: a tripartite approach. </w:t>
      </w:r>
      <w:r w:rsidRPr="009B06C3">
        <w:rPr>
          <w:rFonts w:asciiTheme="majorBidi" w:hAnsiTheme="majorBidi" w:cstheme="majorBidi"/>
          <w:i/>
          <w:iCs/>
          <w:color w:val="222222"/>
          <w:sz w:val="24"/>
          <w:szCs w:val="24"/>
          <w:shd w:val="clear" w:color="auto" w:fill="FFFFFF"/>
        </w:rPr>
        <w:t>Education+ Training</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64</w:t>
      </w:r>
      <w:r w:rsidRPr="009B06C3">
        <w:rPr>
          <w:rFonts w:asciiTheme="majorBidi" w:hAnsiTheme="majorBidi" w:cstheme="majorBidi"/>
          <w:color w:val="222222"/>
          <w:sz w:val="24"/>
          <w:szCs w:val="24"/>
          <w:shd w:val="clear" w:color="auto" w:fill="FFFFFF"/>
        </w:rPr>
        <w:t>(3), pp.360-379.</w:t>
      </w:r>
    </w:p>
    <w:p w14:paraId="53C8094F"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proofErr w:type="spellStart"/>
      <w:r w:rsidRPr="009B06C3">
        <w:rPr>
          <w:rFonts w:asciiTheme="majorBidi" w:hAnsiTheme="majorBidi" w:cstheme="majorBidi"/>
          <w:color w:val="222222"/>
          <w:sz w:val="24"/>
          <w:szCs w:val="24"/>
          <w:shd w:val="clear" w:color="auto" w:fill="FFFFFF"/>
        </w:rPr>
        <w:lastRenderedPageBreak/>
        <w:t>Mtawa</w:t>
      </w:r>
      <w:proofErr w:type="spellEnd"/>
      <w:r w:rsidRPr="009B06C3">
        <w:rPr>
          <w:rFonts w:asciiTheme="majorBidi" w:hAnsiTheme="majorBidi" w:cstheme="majorBidi"/>
          <w:color w:val="222222"/>
          <w:sz w:val="24"/>
          <w:szCs w:val="24"/>
          <w:shd w:val="clear" w:color="auto" w:fill="FFFFFF"/>
        </w:rPr>
        <w:t xml:space="preserve">, N., </w:t>
      </w:r>
      <w:proofErr w:type="spellStart"/>
      <w:r w:rsidRPr="009B06C3">
        <w:rPr>
          <w:rFonts w:asciiTheme="majorBidi" w:hAnsiTheme="majorBidi" w:cstheme="majorBidi"/>
          <w:color w:val="222222"/>
          <w:sz w:val="24"/>
          <w:szCs w:val="24"/>
          <w:shd w:val="clear" w:color="auto" w:fill="FFFFFF"/>
        </w:rPr>
        <w:t>Fongwa</w:t>
      </w:r>
      <w:proofErr w:type="spellEnd"/>
      <w:r w:rsidRPr="009B06C3">
        <w:rPr>
          <w:rFonts w:asciiTheme="majorBidi" w:hAnsiTheme="majorBidi" w:cstheme="majorBidi"/>
          <w:color w:val="222222"/>
          <w:sz w:val="24"/>
          <w:szCs w:val="24"/>
          <w:shd w:val="clear" w:color="auto" w:fill="FFFFFF"/>
        </w:rPr>
        <w:t>, S. and Wilson-Strydom, M., 2021. Enhancing graduate employability attributes and capabilities formation: A service-learning approach. </w:t>
      </w:r>
      <w:r w:rsidRPr="009B06C3">
        <w:rPr>
          <w:rFonts w:asciiTheme="majorBidi" w:hAnsiTheme="majorBidi" w:cstheme="majorBidi"/>
          <w:i/>
          <w:iCs/>
          <w:color w:val="222222"/>
          <w:sz w:val="24"/>
          <w:szCs w:val="24"/>
          <w:shd w:val="clear" w:color="auto" w:fill="FFFFFF"/>
        </w:rPr>
        <w:t>Teaching in Higher Education</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26</w:t>
      </w:r>
      <w:r w:rsidRPr="009B06C3">
        <w:rPr>
          <w:rFonts w:asciiTheme="majorBidi" w:hAnsiTheme="majorBidi" w:cstheme="majorBidi"/>
          <w:color w:val="222222"/>
          <w:sz w:val="24"/>
          <w:szCs w:val="24"/>
          <w:shd w:val="clear" w:color="auto" w:fill="FFFFFF"/>
        </w:rPr>
        <w:t>(5), pp.679-695.</w:t>
      </w:r>
    </w:p>
    <w:p w14:paraId="3C1A02F3"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Orlova, E.V., 2021. Design of personal trajectories for employees’ professional development in the knowledge society under industry 5.0. </w:t>
      </w:r>
      <w:r w:rsidRPr="009B06C3">
        <w:rPr>
          <w:rFonts w:asciiTheme="majorBidi" w:hAnsiTheme="majorBidi" w:cstheme="majorBidi"/>
          <w:i/>
          <w:iCs/>
          <w:color w:val="222222"/>
          <w:sz w:val="24"/>
          <w:szCs w:val="24"/>
          <w:shd w:val="clear" w:color="auto" w:fill="FFFFFF"/>
        </w:rPr>
        <w:t>Social Sciences</w:t>
      </w:r>
      <w:r w:rsidRPr="009B06C3">
        <w:rPr>
          <w:rFonts w:asciiTheme="majorBidi" w:hAnsiTheme="majorBidi" w:cstheme="majorBidi"/>
          <w:color w:val="222222"/>
          <w:sz w:val="24"/>
          <w:szCs w:val="24"/>
          <w:shd w:val="clear" w:color="auto" w:fill="FFFFFF"/>
        </w:rPr>
        <w:t>, </w:t>
      </w:r>
      <w:r w:rsidRPr="009B06C3">
        <w:rPr>
          <w:rFonts w:asciiTheme="majorBidi" w:hAnsiTheme="majorBidi" w:cstheme="majorBidi"/>
          <w:i/>
          <w:iCs/>
          <w:color w:val="222222"/>
          <w:sz w:val="24"/>
          <w:szCs w:val="24"/>
          <w:shd w:val="clear" w:color="auto" w:fill="FFFFFF"/>
        </w:rPr>
        <w:t>10</w:t>
      </w:r>
      <w:r w:rsidRPr="009B06C3">
        <w:rPr>
          <w:rFonts w:asciiTheme="majorBidi" w:hAnsiTheme="majorBidi" w:cstheme="majorBidi"/>
          <w:color w:val="222222"/>
          <w:sz w:val="24"/>
          <w:szCs w:val="24"/>
          <w:shd w:val="clear" w:color="auto" w:fill="FFFFFF"/>
        </w:rPr>
        <w:t>(11), p.427.</w:t>
      </w:r>
    </w:p>
    <w:p w14:paraId="4CF009A8"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 xml:space="preserve">Shiri, R., El-Metwally, A., Sallinen, M., Pöyry, M., Härmä, M. and </w:t>
      </w:r>
      <w:proofErr w:type="spellStart"/>
      <w:r w:rsidRPr="009B06C3">
        <w:rPr>
          <w:rFonts w:asciiTheme="majorBidi" w:hAnsiTheme="majorBidi" w:cstheme="majorBidi"/>
          <w:color w:val="222222"/>
          <w:sz w:val="24"/>
          <w:szCs w:val="24"/>
          <w:shd w:val="clear" w:color="auto" w:fill="FFFFFF"/>
        </w:rPr>
        <w:t>Toppinen</w:t>
      </w:r>
      <w:proofErr w:type="spellEnd"/>
      <w:r w:rsidRPr="009B06C3">
        <w:rPr>
          <w:rFonts w:asciiTheme="majorBidi" w:hAnsiTheme="majorBidi" w:cstheme="majorBidi"/>
          <w:color w:val="222222"/>
          <w:sz w:val="24"/>
          <w:szCs w:val="24"/>
          <w:shd w:val="clear" w:color="auto" w:fill="FFFFFF"/>
        </w:rPr>
        <w:t>-Tanner, S., 2023, November. The role of continuing professional training or development in maintaining current employment: A systematic review. In </w:t>
      </w:r>
      <w:r w:rsidRPr="009B06C3">
        <w:rPr>
          <w:rFonts w:asciiTheme="majorBidi" w:hAnsiTheme="majorBidi" w:cstheme="majorBidi"/>
          <w:i/>
          <w:iCs/>
          <w:color w:val="222222"/>
          <w:sz w:val="24"/>
          <w:szCs w:val="24"/>
          <w:shd w:val="clear" w:color="auto" w:fill="FFFFFF"/>
        </w:rPr>
        <w:t>Healthcare</w:t>
      </w:r>
      <w:r w:rsidRPr="009B06C3">
        <w:rPr>
          <w:rFonts w:asciiTheme="majorBidi" w:hAnsiTheme="majorBidi" w:cstheme="majorBidi"/>
          <w:color w:val="222222"/>
          <w:sz w:val="24"/>
          <w:szCs w:val="24"/>
          <w:shd w:val="clear" w:color="auto" w:fill="FFFFFF"/>
        </w:rPr>
        <w:t> (Vol. 11, No. 21, p. 2900). MDPI.</w:t>
      </w:r>
    </w:p>
    <w:p w14:paraId="2FAF42A8" w14:textId="77777777" w:rsidR="009B06C3" w:rsidRPr="009B06C3" w:rsidRDefault="009B06C3" w:rsidP="009B06C3">
      <w:pPr>
        <w:spacing w:line="360" w:lineRule="auto"/>
        <w:ind w:left="720" w:hanging="720"/>
        <w:jc w:val="both"/>
        <w:rPr>
          <w:rFonts w:asciiTheme="majorBidi" w:hAnsiTheme="majorBidi" w:cstheme="majorBidi"/>
          <w:color w:val="222222"/>
          <w:sz w:val="24"/>
          <w:szCs w:val="24"/>
          <w:shd w:val="clear" w:color="auto" w:fill="FFFFFF"/>
        </w:rPr>
      </w:pPr>
      <w:r w:rsidRPr="009B06C3">
        <w:rPr>
          <w:rFonts w:asciiTheme="majorBidi" w:hAnsiTheme="majorBidi" w:cstheme="majorBidi"/>
          <w:color w:val="222222"/>
          <w:sz w:val="24"/>
          <w:szCs w:val="24"/>
          <w:shd w:val="clear" w:color="auto" w:fill="FFFFFF"/>
        </w:rPr>
        <w:t>World Health Organization, 2023. </w:t>
      </w:r>
      <w:r w:rsidRPr="009B06C3">
        <w:rPr>
          <w:rFonts w:asciiTheme="majorBidi" w:hAnsiTheme="majorBidi" w:cstheme="majorBidi"/>
          <w:i/>
          <w:iCs/>
          <w:color w:val="222222"/>
          <w:sz w:val="24"/>
          <w:szCs w:val="24"/>
          <w:shd w:val="clear" w:color="auto" w:fill="FFFFFF"/>
        </w:rPr>
        <w:t>Integrating the social determinants of health into health workforce education and training</w:t>
      </w:r>
      <w:r w:rsidRPr="009B06C3">
        <w:rPr>
          <w:rFonts w:asciiTheme="majorBidi" w:hAnsiTheme="majorBidi" w:cstheme="majorBidi"/>
          <w:color w:val="222222"/>
          <w:sz w:val="24"/>
          <w:szCs w:val="24"/>
          <w:shd w:val="clear" w:color="auto" w:fill="FFFFFF"/>
        </w:rPr>
        <w:t>. World Health Organization.</w:t>
      </w:r>
    </w:p>
    <w:p w14:paraId="719CEB97" w14:textId="77777777" w:rsidR="009520EC" w:rsidRPr="001F2276" w:rsidRDefault="009520EC" w:rsidP="009B06C3">
      <w:pPr>
        <w:spacing w:line="360" w:lineRule="auto"/>
        <w:jc w:val="both"/>
        <w:rPr>
          <w:rFonts w:asciiTheme="majorBidi" w:hAnsiTheme="majorBidi" w:cstheme="majorBidi"/>
          <w:sz w:val="24"/>
          <w:szCs w:val="24"/>
        </w:rPr>
      </w:pPr>
    </w:p>
    <w:sectPr w:rsidR="009520EC" w:rsidRPr="001F2276" w:rsidSect="009B06C3">
      <w:headerReference w:type="default" r:id="rId8"/>
      <w:footerReference w:type="default" r:id="rId9"/>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A8B52" w14:textId="77777777" w:rsidR="000E5A77" w:rsidRDefault="000E5A77" w:rsidP="009B06C3">
      <w:pPr>
        <w:spacing w:after="0" w:line="240" w:lineRule="auto"/>
      </w:pPr>
      <w:r>
        <w:separator/>
      </w:r>
    </w:p>
  </w:endnote>
  <w:endnote w:type="continuationSeparator" w:id="0">
    <w:p w14:paraId="00805C42" w14:textId="77777777" w:rsidR="000E5A77" w:rsidRDefault="000E5A77" w:rsidP="009B0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E052" w14:textId="77777777" w:rsidR="00000000" w:rsidRDefault="0081173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9B06C3">
      <w:rPr>
        <w:caps/>
        <w:noProof/>
        <w:color w:val="4F81BD" w:themeColor="accent1"/>
      </w:rPr>
      <w:t>8</w:t>
    </w:r>
    <w:r>
      <w:rPr>
        <w:caps/>
        <w:noProof/>
        <w:color w:val="4F81BD" w:themeColor="accent1"/>
      </w:rPr>
      <w:fldChar w:fldCharType="end"/>
    </w:r>
  </w:p>
  <w:p w14:paraId="7A398A71"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8E846" w14:textId="77777777" w:rsidR="000E5A77" w:rsidRDefault="000E5A77" w:rsidP="009B06C3">
      <w:pPr>
        <w:spacing w:after="0" w:line="240" w:lineRule="auto"/>
      </w:pPr>
      <w:r>
        <w:separator/>
      </w:r>
    </w:p>
  </w:footnote>
  <w:footnote w:type="continuationSeparator" w:id="0">
    <w:p w14:paraId="3A85FA48" w14:textId="77777777" w:rsidR="000E5A77" w:rsidRDefault="000E5A77" w:rsidP="009B0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590737"/>
      <w:docPartObj>
        <w:docPartGallery w:val="Page Numbers (Top of Page)"/>
        <w:docPartUnique/>
      </w:docPartObj>
    </w:sdtPr>
    <w:sdtEndPr>
      <w:rPr>
        <w:noProof/>
      </w:rPr>
    </w:sdtEndPr>
    <w:sdtContent>
      <w:p w14:paraId="01D1F94C" w14:textId="77777777" w:rsidR="009B06C3" w:rsidRDefault="009B06C3">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14:paraId="6F5589E9" w14:textId="77777777" w:rsidR="009B06C3" w:rsidRDefault="009B0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684B"/>
    <w:multiLevelType w:val="multilevel"/>
    <w:tmpl w:val="A2E2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361BE"/>
    <w:multiLevelType w:val="hybridMultilevel"/>
    <w:tmpl w:val="DE168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057DD"/>
    <w:multiLevelType w:val="multilevel"/>
    <w:tmpl w:val="E94A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93032"/>
    <w:multiLevelType w:val="hybridMultilevel"/>
    <w:tmpl w:val="3CE6C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F86F17"/>
    <w:multiLevelType w:val="multilevel"/>
    <w:tmpl w:val="4BCC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A3143"/>
    <w:multiLevelType w:val="hybridMultilevel"/>
    <w:tmpl w:val="07D4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C5025C"/>
    <w:multiLevelType w:val="multilevel"/>
    <w:tmpl w:val="7A7C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6F032F"/>
    <w:multiLevelType w:val="hybridMultilevel"/>
    <w:tmpl w:val="AEA0A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47643D"/>
    <w:multiLevelType w:val="hybridMultilevel"/>
    <w:tmpl w:val="A1863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319B4"/>
    <w:multiLevelType w:val="hybridMultilevel"/>
    <w:tmpl w:val="A1B8A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87493D"/>
    <w:multiLevelType w:val="hybridMultilevel"/>
    <w:tmpl w:val="CD1C6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E11B35"/>
    <w:multiLevelType w:val="hybridMultilevel"/>
    <w:tmpl w:val="0428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103104">
    <w:abstractNumId w:val="0"/>
  </w:num>
  <w:num w:numId="2" w16cid:durableId="887423967">
    <w:abstractNumId w:val="6"/>
  </w:num>
  <w:num w:numId="3" w16cid:durableId="1081295477">
    <w:abstractNumId w:val="4"/>
  </w:num>
  <w:num w:numId="4" w16cid:durableId="1713963373">
    <w:abstractNumId w:val="2"/>
  </w:num>
  <w:num w:numId="5" w16cid:durableId="384715695">
    <w:abstractNumId w:val="8"/>
  </w:num>
  <w:num w:numId="6" w16cid:durableId="1136754209">
    <w:abstractNumId w:val="9"/>
  </w:num>
  <w:num w:numId="7" w16cid:durableId="1638606404">
    <w:abstractNumId w:val="3"/>
  </w:num>
  <w:num w:numId="8" w16cid:durableId="1450664948">
    <w:abstractNumId w:val="10"/>
  </w:num>
  <w:num w:numId="9" w16cid:durableId="1814373991">
    <w:abstractNumId w:val="11"/>
  </w:num>
  <w:num w:numId="10" w16cid:durableId="56520002">
    <w:abstractNumId w:val="7"/>
  </w:num>
  <w:num w:numId="11" w16cid:durableId="1793135614">
    <w:abstractNumId w:val="5"/>
  </w:num>
  <w:num w:numId="12" w16cid:durableId="1278023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B5B"/>
    <w:rsid w:val="00005BD7"/>
    <w:rsid w:val="0009218F"/>
    <w:rsid w:val="000E5A77"/>
    <w:rsid w:val="00142917"/>
    <w:rsid w:val="001F2276"/>
    <w:rsid w:val="00281012"/>
    <w:rsid w:val="00322A68"/>
    <w:rsid w:val="00615B75"/>
    <w:rsid w:val="00770B98"/>
    <w:rsid w:val="0081173D"/>
    <w:rsid w:val="008949CF"/>
    <w:rsid w:val="009166D4"/>
    <w:rsid w:val="009520EC"/>
    <w:rsid w:val="009B06C3"/>
    <w:rsid w:val="00CD2B5B"/>
    <w:rsid w:val="00DE26B9"/>
    <w:rsid w:val="00E80C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849C"/>
  <w15:docId w15:val="{49C4E47B-60DB-43E6-ACB7-6FF5AB9E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0EC"/>
    <w:pPr>
      <w:spacing w:after="160" w:line="259" w:lineRule="auto"/>
    </w:pPr>
    <w:rPr>
      <w:lang w:val="en-GB"/>
    </w:rPr>
  </w:style>
  <w:style w:type="paragraph" w:styleId="Heading1">
    <w:name w:val="heading 1"/>
    <w:basedOn w:val="Normal"/>
    <w:next w:val="Normal"/>
    <w:link w:val="Heading1Char"/>
    <w:uiPriority w:val="9"/>
    <w:qFormat/>
    <w:rsid w:val="00E80C7E"/>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E80C7E"/>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link w:val="Heading3Char"/>
    <w:uiPriority w:val="9"/>
    <w:qFormat/>
    <w:rsid w:val="00CD2B5B"/>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2B5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CD2B5B"/>
    <w:rPr>
      <w:rFonts w:ascii="Times New Roman" w:eastAsia="Times New Roman" w:hAnsi="Times New Roman" w:cs="Times New Roman"/>
      <w:b/>
      <w:bCs/>
      <w:sz w:val="27"/>
      <w:szCs w:val="27"/>
    </w:rPr>
  </w:style>
  <w:style w:type="character" w:styleId="Strong">
    <w:name w:val="Strong"/>
    <w:basedOn w:val="DefaultParagraphFont"/>
    <w:uiPriority w:val="22"/>
    <w:qFormat/>
    <w:rsid w:val="00CD2B5B"/>
    <w:rPr>
      <w:b/>
      <w:bCs/>
    </w:rPr>
  </w:style>
  <w:style w:type="paragraph" w:styleId="ListParagraph">
    <w:name w:val="List Paragraph"/>
    <w:basedOn w:val="Normal"/>
    <w:uiPriority w:val="34"/>
    <w:qFormat/>
    <w:rsid w:val="00CD2B5B"/>
    <w:pPr>
      <w:spacing w:after="200" w:line="276" w:lineRule="auto"/>
      <w:ind w:left="720"/>
      <w:contextualSpacing/>
    </w:pPr>
    <w:rPr>
      <w:lang w:val="en-US"/>
    </w:rPr>
  </w:style>
  <w:style w:type="character" w:styleId="Hyperlink">
    <w:name w:val="Hyperlink"/>
    <w:basedOn w:val="DefaultParagraphFont"/>
    <w:uiPriority w:val="99"/>
    <w:unhideWhenUsed/>
    <w:rsid w:val="00CD2B5B"/>
    <w:rPr>
      <w:color w:val="0000FF" w:themeColor="hyperlink"/>
      <w:u w:val="single"/>
    </w:rPr>
  </w:style>
  <w:style w:type="character" w:customStyle="1" w:styleId="Heading2Char">
    <w:name w:val="Heading 2 Char"/>
    <w:basedOn w:val="DefaultParagraphFont"/>
    <w:link w:val="Heading2"/>
    <w:uiPriority w:val="9"/>
    <w:rsid w:val="00E80C7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0C7E"/>
    <w:rPr>
      <w:rFonts w:asciiTheme="majorHAnsi" w:eastAsiaTheme="majorEastAsia" w:hAnsiTheme="majorHAnsi" w:cstheme="majorBidi"/>
      <w:b/>
      <w:bCs/>
      <w:color w:val="365F91" w:themeColor="accent1" w:themeShade="BF"/>
      <w:sz w:val="28"/>
      <w:szCs w:val="28"/>
    </w:rPr>
  </w:style>
  <w:style w:type="paragraph" w:styleId="Footer">
    <w:name w:val="footer"/>
    <w:basedOn w:val="Normal"/>
    <w:link w:val="FooterChar"/>
    <w:uiPriority w:val="99"/>
    <w:unhideWhenUsed/>
    <w:rsid w:val="00952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0EC"/>
    <w:rPr>
      <w:lang w:val="en-GB"/>
    </w:rPr>
  </w:style>
  <w:style w:type="paragraph" w:styleId="Header">
    <w:name w:val="header"/>
    <w:basedOn w:val="Normal"/>
    <w:link w:val="HeaderChar"/>
    <w:uiPriority w:val="99"/>
    <w:unhideWhenUsed/>
    <w:rsid w:val="009B0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6C3"/>
    <w:rPr>
      <w:lang w:val="en-GB"/>
    </w:rPr>
  </w:style>
  <w:style w:type="paragraph" w:styleId="TOCHeading">
    <w:name w:val="TOC Heading"/>
    <w:basedOn w:val="Heading1"/>
    <w:next w:val="Normal"/>
    <w:uiPriority w:val="39"/>
    <w:semiHidden/>
    <w:unhideWhenUsed/>
    <w:qFormat/>
    <w:rsid w:val="009B06C3"/>
    <w:pPr>
      <w:outlineLvl w:val="9"/>
    </w:pPr>
    <w:rPr>
      <w:lang w:eastAsia="ja-JP"/>
    </w:rPr>
  </w:style>
  <w:style w:type="paragraph" w:styleId="TOC1">
    <w:name w:val="toc 1"/>
    <w:basedOn w:val="Normal"/>
    <w:next w:val="Normal"/>
    <w:autoRedefine/>
    <w:uiPriority w:val="39"/>
    <w:unhideWhenUsed/>
    <w:rsid w:val="009B06C3"/>
    <w:pPr>
      <w:tabs>
        <w:tab w:val="right" w:leader="dot" w:pos="9016"/>
      </w:tabs>
      <w:spacing w:after="100" w:line="360" w:lineRule="auto"/>
      <w:jc w:val="both"/>
    </w:pPr>
  </w:style>
  <w:style w:type="paragraph" w:styleId="TOC2">
    <w:name w:val="toc 2"/>
    <w:basedOn w:val="Normal"/>
    <w:next w:val="Normal"/>
    <w:autoRedefine/>
    <w:uiPriority w:val="39"/>
    <w:unhideWhenUsed/>
    <w:rsid w:val="009B06C3"/>
    <w:pPr>
      <w:spacing w:after="100"/>
      <w:ind w:left="220"/>
    </w:pPr>
  </w:style>
  <w:style w:type="paragraph" w:styleId="TOC3">
    <w:name w:val="toc 3"/>
    <w:basedOn w:val="Normal"/>
    <w:next w:val="Normal"/>
    <w:autoRedefine/>
    <w:uiPriority w:val="39"/>
    <w:unhideWhenUsed/>
    <w:rsid w:val="009B06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762779">
      <w:bodyDiv w:val="1"/>
      <w:marLeft w:val="0"/>
      <w:marRight w:val="0"/>
      <w:marTop w:val="0"/>
      <w:marBottom w:val="0"/>
      <w:divBdr>
        <w:top w:val="none" w:sz="0" w:space="0" w:color="auto"/>
        <w:left w:val="none" w:sz="0" w:space="0" w:color="auto"/>
        <w:bottom w:val="none" w:sz="0" w:space="0" w:color="auto"/>
        <w:right w:val="none" w:sz="0" w:space="0" w:color="auto"/>
      </w:divBdr>
    </w:div>
    <w:div w:id="292709605">
      <w:bodyDiv w:val="1"/>
      <w:marLeft w:val="0"/>
      <w:marRight w:val="0"/>
      <w:marTop w:val="0"/>
      <w:marBottom w:val="0"/>
      <w:divBdr>
        <w:top w:val="none" w:sz="0" w:space="0" w:color="auto"/>
        <w:left w:val="none" w:sz="0" w:space="0" w:color="auto"/>
        <w:bottom w:val="none" w:sz="0" w:space="0" w:color="auto"/>
        <w:right w:val="none" w:sz="0" w:space="0" w:color="auto"/>
      </w:divBdr>
    </w:div>
    <w:div w:id="564951930">
      <w:bodyDiv w:val="1"/>
      <w:marLeft w:val="0"/>
      <w:marRight w:val="0"/>
      <w:marTop w:val="0"/>
      <w:marBottom w:val="0"/>
      <w:divBdr>
        <w:top w:val="none" w:sz="0" w:space="0" w:color="auto"/>
        <w:left w:val="none" w:sz="0" w:space="0" w:color="auto"/>
        <w:bottom w:val="none" w:sz="0" w:space="0" w:color="auto"/>
        <w:right w:val="none" w:sz="0" w:space="0" w:color="auto"/>
      </w:divBdr>
    </w:div>
    <w:div w:id="748431087">
      <w:bodyDiv w:val="1"/>
      <w:marLeft w:val="0"/>
      <w:marRight w:val="0"/>
      <w:marTop w:val="0"/>
      <w:marBottom w:val="0"/>
      <w:divBdr>
        <w:top w:val="none" w:sz="0" w:space="0" w:color="auto"/>
        <w:left w:val="none" w:sz="0" w:space="0" w:color="auto"/>
        <w:bottom w:val="none" w:sz="0" w:space="0" w:color="auto"/>
        <w:right w:val="none" w:sz="0" w:space="0" w:color="auto"/>
      </w:divBdr>
    </w:div>
    <w:div w:id="861436279">
      <w:bodyDiv w:val="1"/>
      <w:marLeft w:val="0"/>
      <w:marRight w:val="0"/>
      <w:marTop w:val="0"/>
      <w:marBottom w:val="0"/>
      <w:divBdr>
        <w:top w:val="none" w:sz="0" w:space="0" w:color="auto"/>
        <w:left w:val="none" w:sz="0" w:space="0" w:color="auto"/>
        <w:bottom w:val="none" w:sz="0" w:space="0" w:color="auto"/>
        <w:right w:val="none" w:sz="0" w:space="0" w:color="auto"/>
      </w:divBdr>
      <w:divsChild>
        <w:div w:id="1695570831">
          <w:marLeft w:val="0"/>
          <w:marRight w:val="0"/>
          <w:marTop w:val="0"/>
          <w:marBottom w:val="0"/>
          <w:divBdr>
            <w:top w:val="none" w:sz="0" w:space="0" w:color="auto"/>
            <w:left w:val="none" w:sz="0" w:space="0" w:color="auto"/>
            <w:bottom w:val="none" w:sz="0" w:space="0" w:color="auto"/>
            <w:right w:val="none" w:sz="0" w:space="0" w:color="auto"/>
          </w:divBdr>
          <w:divsChild>
            <w:div w:id="618725755">
              <w:marLeft w:val="0"/>
              <w:marRight w:val="0"/>
              <w:marTop w:val="0"/>
              <w:marBottom w:val="0"/>
              <w:divBdr>
                <w:top w:val="none" w:sz="0" w:space="0" w:color="auto"/>
                <w:left w:val="none" w:sz="0" w:space="0" w:color="auto"/>
                <w:bottom w:val="none" w:sz="0" w:space="0" w:color="auto"/>
                <w:right w:val="none" w:sz="0" w:space="0" w:color="auto"/>
              </w:divBdr>
              <w:divsChild>
                <w:div w:id="1996640860">
                  <w:marLeft w:val="0"/>
                  <w:marRight w:val="0"/>
                  <w:marTop w:val="0"/>
                  <w:marBottom w:val="0"/>
                  <w:divBdr>
                    <w:top w:val="none" w:sz="0" w:space="0" w:color="auto"/>
                    <w:left w:val="none" w:sz="0" w:space="0" w:color="auto"/>
                    <w:bottom w:val="none" w:sz="0" w:space="0" w:color="auto"/>
                    <w:right w:val="none" w:sz="0" w:space="0" w:color="auto"/>
                  </w:divBdr>
                  <w:divsChild>
                    <w:div w:id="2001303296">
                      <w:marLeft w:val="0"/>
                      <w:marRight w:val="0"/>
                      <w:marTop w:val="0"/>
                      <w:marBottom w:val="0"/>
                      <w:divBdr>
                        <w:top w:val="none" w:sz="0" w:space="0" w:color="auto"/>
                        <w:left w:val="none" w:sz="0" w:space="0" w:color="auto"/>
                        <w:bottom w:val="none" w:sz="0" w:space="0" w:color="auto"/>
                        <w:right w:val="none" w:sz="0" w:space="0" w:color="auto"/>
                      </w:divBdr>
                      <w:divsChild>
                        <w:div w:id="77875165">
                          <w:marLeft w:val="0"/>
                          <w:marRight w:val="0"/>
                          <w:marTop w:val="0"/>
                          <w:marBottom w:val="0"/>
                          <w:divBdr>
                            <w:top w:val="none" w:sz="0" w:space="0" w:color="auto"/>
                            <w:left w:val="none" w:sz="0" w:space="0" w:color="auto"/>
                            <w:bottom w:val="none" w:sz="0" w:space="0" w:color="auto"/>
                            <w:right w:val="none" w:sz="0" w:space="0" w:color="auto"/>
                          </w:divBdr>
                          <w:divsChild>
                            <w:div w:id="1674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118632">
      <w:bodyDiv w:val="1"/>
      <w:marLeft w:val="0"/>
      <w:marRight w:val="0"/>
      <w:marTop w:val="0"/>
      <w:marBottom w:val="0"/>
      <w:divBdr>
        <w:top w:val="none" w:sz="0" w:space="0" w:color="auto"/>
        <w:left w:val="none" w:sz="0" w:space="0" w:color="auto"/>
        <w:bottom w:val="none" w:sz="0" w:space="0" w:color="auto"/>
        <w:right w:val="none" w:sz="0" w:space="0" w:color="auto"/>
      </w:divBdr>
    </w:div>
    <w:div w:id="983319262">
      <w:bodyDiv w:val="1"/>
      <w:marLeft w:val="0"/>
      <w:marRight w:val="0"/>
      <w:marTop w:val="0"/>
      <w:marBottom w:val="0"/>
      <w:divBdr>
        <w:top w:val="none" w:sz="0" w:space="0" w:color="auto"/>
        <w:left w:val="none" w:sz="0" w:space="0" w:color="auto"/>
        <w:bottom w:val="none" w:sz="0" w:space="0" w:color="auto"/>
        <w:right w:val="none" w:sz="0" w:space="0" w:color="auto"/>
      </w:divBdr>
    </w:div>
    <w:div w:id="1312058289">
      <w:bodyDiv w:val="1"/>
      <w:marLeft w:val="0"/>
      <w:marRight w:val="0"/>
      <w:marTop w:val="0"/>
      <w:marBottom w:val="0"/>
      <w:divBdr>
        <w:top w:val="none" w:sz="0" w:space="0" w:color="auto"/>
        <w:left w:val="none" w:sz="0" w:space="0" w:color="auto"/>
        <w:bottom w:val="none" w:sz="0" w:space="0" w:color="auto"/>
        <w:right w:val="none" w:sz="0" w:space="0" w:color="auto"/>
      </w:divBdr>
    </w:div>
    <w:div w:id="1566186156">
      <w:bodyDiv w:val="1"/>
      <w:marLeft w:val="0"/>
      <w:marRight w:val="0"/>
      <w:marTop w:val="0"/>
      <w:marBottom w:val="0"/>
      <w:divBdr>
        <w:top w:val="none" w:sz="0" w:space="0" w:color="auto"/>
        <w:left w:val="none" w:sz="0" w:space="0" w:color="auto"/>
        <w:bottom w:val="none" w:sz="0" w:space="0" w:color="auto"/>
        <w:right w:val="none" w:sz="0" w:space="0" w:color="auto"/>
      </w:divBdr>
    </w:div>
    <w:div w:id="1573930098">
      <w:bodyDiv w:val="1"/>
      <w:marLeft w:val="0"/>
      <w:marRight w:val="0"/>
      <w:marTop w:val="0"/>
      <w:marBottom w:val="0"/>
      <w:divBdr>
        <w:top w:val="none" w:sz="0" w:space="0" w:color="auto"/>
        <w:left w:val="none" w:sz="0" w:space="0" w:color="auto"/>
        <w:bottom w:val="none" w:sz="0" w:space="0" w:color="auto"/>
        <w:right w:val="none" w:sz="0" w:space="0" w:color="auto"/>
      </w:divBdr>
    </w:div>
    <w:div w:id="1634484461">
      <w:bodyDiv w:val="1"/>
      <w:marLeft w:val="0"/>
      <w:marRight w:val="0"/>
      <w:marTop w:val="0"/>
      <w:marBottom w:val="0"/>
      <w:divBdr>
        <w:top w:val="none" w:sz="0" w:space="0" w:color="auto"/>
        <w:left w:val="none" w:sz="0" w:space="0" w:color="auto"/>
        <w:bottom w:val="none" w:sz="0" w:space="0" w:color="auto"/>
        <w:right w:val="none" w:sz="0" w:space="0" w:color="auto"/>
      </w:divBdr>
    </w:div>
    <w:div w:id="1883520701">
      <w:bodyDiv w:val="1"/>
      <w:marLeft w:val="0"/>
      <w:marRight w:val="0"/>
      <w:marTop w:val="0"/>
      <w:marBottom w:val="0"/>
      <w:divBdr>
        <w:top w:val="none" w:sz="0" w:space="0" w:color="auto"/>
        <w:left w:val="none" w:sz="0" w:space="0" w:color="auto"/>
        <w:bottom w:val="none" w:sz="0" w:space="0" w:color="auto"/>
        <w:right w:val="none" w:sz="0" w:space="0" w:color="auto"/>
      </w:divBdr>
    </w:div>
    <w:div w:id="193982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1D84E-0910-4F4A-8028-1665184B2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2395</Words>
  <Characters>13653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Charlotte Anderson (2423051)</cp:lastModifiedBy>
  <cp:revision>2</cp:revision>
  <dcterms:created xsi:type="dcterms:W3CDTF">2025-11-27T14:18:00Z</dcterms:created>
  <dcterms:modified xsi:type="dcterms:W3CDTF">2025-11-27T14:18:00Z</dcterms:modified>
</cp:coreProperties>
</file>