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0A9DE82"/>
    <w:p w14:paraId="3FCA1B49"/>
    <w:p w14:paraId="47859550"/>
    <w:p w14:paraId="6ABDF713"/>
    <w:p w14:paraId="14BC8C04"/>
    <w:p w14:paraId="20542F73">
      <w:pPr>
        <w:jc w:val="center"/>
      </w:pPr>
      <w:r>
        <w:rPr>
          <w:b/>
          <w:sz w:val="34"/>
        </w:rPr>
        <w:t>A Critical Reflection on Person-Centred Care, Partnership Working and Ethics in UK Health and Social Care Practice</w:t>
      </w:r>
    </w:p>
    <w:p w14:paraId="58AD18E1"/>
    <w:p w14:paraId="03A0623C"/>
    <w:p w14:paraId="3AE539E4"/>
    <w:p w14:paraId="06EAAC1C">
      <w:pPr>
        <w:jc w:val="center"/>
      </w:pPr>
      <w:r>
        <w:rPr>
          <w:b/>
        </w:rPr>
        <w:t xml:space="preserve">Student Name: </w:t>
      </w:r>
      <w:r>
        <w:t>LISDALIA INSUMBO ANTÓNIO BIAGUE</w:t>
      </w:r>
    </w:p>
    <w:p w14:paraId="73D95E33">
      <w:pPr>
        <w:jc w:val="center"/>
      </w:pPr>
      <w:r>
        <w:rPr>
          <w:b/>
        </w:rPr>
        <w:t xml:space="preserve">Student ID: </w:t>
      </w:r>
      <w:r>
        <w:t>2425890</w:t>
      </w:r>
    </w:p>
    <w:p w14:paraId="74FFB4EC">
      <w:pPr>
        <w:jc w:val="center"/>
      </w:pPr>
      <w:r>
        <w:rPr>
          <w:b/>
        </w:rPr>
        <w:t xml:space="preserve">Assessment: </w:t>
      </w:r>
      <w:r>
        <w:t>Reflective Report</w:t>
      </w:r>
    </w:p>
    <w:p w14:paraId="377782EA">
      <w:pPr>
        <w:spacing w:after="200" w:line="276" w:lineRule="auto"/>
      </w:pPr>
      <w:r>
        <w:br w:type="page"/>
      </w:r>
    </w:p>
    <w:sdt>
      <w:sdtPr>
        <w:id w:val="-805318540"/>
        <w:docPartObj>
          <w:docPartGallery w:val="Table of Contents"/>
          <w:docPartUnique/>
        </w:docPartObj>
      </w:sdtPr>
      <w:sdtEndPr>
        <w:rPr>
          <w:rFonts w:ascii="Arial" w:hAnsi="Arial" w:eastAsia="Arial" w:cstheme="minorBidi"/>
          <w:color w:val="auto"/>
          <w:sz w:val="22"/>
          <w:szCs w:val="22"/>
        </w:rPr>
      </w:sdtEndPr>
      <w:sdtContent>
        <w:p w14:paraId="204016AA">
          <w:pPr>
            <w:pStyle w:val="166"/>
          </w:pPr>
          <w:r>
            <w:t>Table of Contents</w:t>
          </w:r>
        </w:p>
        <w:p w14:paraId="4EE4BDC5">
          <w:pPr>
            <w:pStyle w:val="38"/>
            <w:tabs>
              <w:tab w:val="right" w:leader="dot" w:pos="9350"/>
            </w:tabs>
          </w:pPr>
          <w:r>
            <w:fldChar w:fldCharType="begin"/>
          </w:r>
          <w:r>
            <w:instrText xml:space="preserve"> TOC \o "1-3" \h \z \u </w:instrText>
          </w:r>
          <w:r>
            <w:fldChar w:fldCharType="separate"/>
          </w:r>
          <w:r>
            <w:fldChar w:fldCharType="begin"/>
          </w:r>
          <w:r>
            <w:instrText xml:space="preserve"> HYPERLINK \l "_Toc235800640" </w:instrText>
          </w:r>
          <w:r>
            <w:fldChar w:fldCharType="separate"/>
          </w:r>
          <w:r>
            <w:rPr>
              <w:rStyle w:val="20"/>
            </w:rPr>
            <w:t>1. Introduction</w:t>
          </w:r>
          <w:r>
            <w:tab/>
          </w:r>
          <w:r>
            <w:fldChar w:fldCharType="begin"/>
          </w:r>
          <w:r>
            <w:instrText xml:space="preserve"> PAGEREF _Toc235800640 \h </w:instrText>
          </w:r>
          <w:r>
            <w:fldChar w:fldCharType="separate"/>
          </w:r>
          <w:r>
            <w:t>3</w:t>
          </w:r>
          <w:r>
            <w:fldChar w:fldCharType="end"/>
          </w:r>
          <w:r>
            <w:fldChar w:fldCharType="end"/>
          </w:r>
        </w:p>
        <w:p w14:paraId="3851112C">
          <w:pPr>
            <w:pStyle w:val="38"/>
            <w:tabs>
              <w:tab w:val="right" w:leader="dot" w:pos="9350"/>
            </w:tabs>
          </w:pPr>
          <w:r>
            <w:fldChar w:fldCharType="begin"/>
          </w:r>
          <w:r>
            <w:instrText xml:space="preserve"> HYPERLINK \l "_Toc235800641" </w:instrText>
          </w:r>
          <w:r>
            <w:fldChar w:fldCharType="separate"/>
          </w:r>
          <w:r>
            <w:rPr>
              <w:rStyle w:val="20"/>
            </w:rPr>
            <w:t>2. Task 1: Importance of Health and Social Care Principles</w:t>
          </w:r>
          <w:r>
            <w:tab/>
          </w:r>
          <w:r>
            <w:fldChar w:fldCharType="begin"/>
          </w:r>
          <w:r>
            <w:instrText xml:space="preserve"> PAGEREF _Toc235800641 \h </w:instrText>
          </w:r>
          <w:r>
            <w:fldChar w:fldCharType="separate"/>
          </w:r>
          <w:r>
            <w:t>3</w:t>
          </w:r>
          <w:r>
            <w:fldChar w:fldCharType="end"/>
          </w:r>
          <w:r>
            <w:fldChar w:fldCharType="end"/>
          </w:r>
        </w:p>
        <w:p w14:paraId="190CA053">
          <w:pPr>
            <w:pStyle w:val="39"/>
            <w:tabs>
              <w:tab w:val="right" w:leader="dot" w:pos="9350"/>
            </w:tabs>
          </w:pPr>
          <w:r>
            <w:fldChar w:fldCharType="begin"/>
          </w:r>
          <w:r>
            <w:instrText xml:space="preserve"> HYPERLINK \l "_Toc235800642" </w:instrText>
          </w:r>
          <w:r>
            <w:fldChar w:fldCharType="separate"/>
          </w:r>
          <w:r>
            <w:rPr>
              <w:rStyle w:val="20"/>
            </w:rPr>
            <w:t>2.1 Person-Centred Care</w:t>
          </w:r>
          <w:r>
            <w:tab/>
          </w:r>
          <w:r>
            <w:fldChar w:fldCharType="begin"/>
          </w:r>
          <w:r>
            <w:instrText xml:space="preserve"> PAGEREF _Toc235800642 \h </w:instrText>
          </w:r>
          <w:r>
            <w:fldChar w:fldCharType="separate"/>
          </w:r>
          <w:r>
            <w:t>3</w:t>
          </w:r>
          <w:r>
            <w:fldChar w:fldCharType="end"/>
          </w:r>
          <w:r>
            <w:fldChar w:fldCharType="end"/>
          </w:r>
        </w:p>
        <w:p w14:paraId="146F53BE">
          <w:pPr>
            <w:pStyle w:val="39"/>
            <w:tabs>
              <w:tab w:val="right" w:leader="dot" w:pos="9350"/>
            </w:tabs>
          </w:pPr>
          <w:r>
            <w:fldChar w:fldCharType="begin"/>
          </w:r>
          <w:r>
            <w:instrText xml:space="preserve"> HYPERLINK \l "_Toc235800643" </w:instrText>
          </w:r>
          <w:r>
            <w:fldChar w:fldCharType="separate"/>
          </w:r>
          <w:r>
            <w:rPr>
              <w:rStyle w:val="20"/>
            </w:rPr>
            <w:t>2.2 Partnership Working</w:t>
          </w:r>
          <w:r>
            <w:tab/>
          </w:r>
          <w:r>
            <w:fldChar w:fldCharType="begin"/>
          </w:r>
          <w:r>
            <w:instrText xml:space="preserve"> PAGEREF _Toc235800643 \h </w:instrText>
          </w:r>
          <w:r>
            <w:fldChar w:fldCharType="separate"/>
          </w:r>
          <w:r>
            <w:t>4</w:t>
          </w:r>
          <w:r>
            <w:fldChar w:fldCharType="end"/>
          </w:r>
          <w:r>
            <w:fldChar w:fldCharType="end"/>
          </w:r>
        </w:p>
        <w:p w14:paraId="0DEC4D5C">
          <w:pPr>
            <w:pStyle w:val="39"/>
            <w:tabs>
              <w:tab w:val="right" w:leader="dot" w:pos="9350"/>
            </w:tabs>
          </w:pPr>
          <w:r>
            <w:fldChar w:fldCharType="begin"/>
          </w:r>
          <w:r>
            <w:instrText xml:space="preserve"> HYPERLINK \l "_Toc235800644" </w:instrText>
          </w:r>
          <w:r>
            <w:fldChar w:fldCharType="separate"/>
          </w:r>
          <w:r>
            <w:rPr>
              <w:rStyle w:val="20"/>
            </w:rPr>
            <w:t>2.3 Ethics</w:t>
          </w:r>
          <w:r>
            <w:tab/>
          </w:r>
          <w:r>
            <w:fldChar w:fldCharType="begin"/>
          </w:r>
          <w:r>
            <w:instrText xml:space="preserve"> PAGEREF _Toc235800644 \h </w:instrText>
          </w:r>
          <w:r>
            <w:fldChar w:fldCharType="separate"/>
          </w:r>
          <w:r>
            <w:t>4</w:t>
          </w:r>
          <w:r>
            <w:fldChar w:fldCharType="end"/>
          </w:r>
          <w:r>
            <w:fldChar w:fldCharType="end"/>
          </w:r>
        </w:p>
        <w:p w14:paraId="3D6071C7">
          <w:pPr>
            <w:pStyle w:val="38"/>
            <w:tabs>
              <w:tab w:val="right" w:leader="dot" w:pos="9350"/>
            </w:tabs>
          </w:pPr>
          <w:r>
            <w:fldChar w:fldCharType="begin"/>
          </w:r>
          <w:r>
            <w:instrText xml:space="preserve"> HYPERLINK \l "_Toc235800645" </w:instrText>
          </w:r>
          <w:r>
            <w:fldChar w:fldCharType="separate"/>
          </w:r>
          <w:r>
            <w:rPr>
              <w:rStyle w:val="20"/>
            </w:rPr>
            <w:t>3. Task 2: Practical Application</w:t>
          </w:r>
          <w:r>
            <w:tab/>
          </w:r>
          <w:r>
            <w:fldChar w:fldCharType="begin"/>
          </w:r>
          <w:r>
            <w:instrText xml:space="preserve"> PAGEREF _Toc235800645 \h </w:instrText>
          </w:r>
          <w:r>
            <w:fldChar w:fldCharType="separate"/>
          </w:r>
          <w:r>
            <w:t>5</w:t>
          </w:r>
          <w:r>
            <w:fldChar w:fldCharType="end"/>
          </w:r>
          <w:r>
            <w:fldChar w:fldCharType="end"/>
          </w:r>
        </w:p>
        <w:p w14:paraId="37F9B157">
          <w:pPr>
            <w:pStyle w:val="39"/>
            <w:tabs>
              <w:tab w:val="right" w:leader="dot" w:pos="9350"/>
            </w:tabs>
          </w:pPr>
          <w:r>
            <w:fldChar w:fldCharType="begin"/>
          </w:r>
          <w:r>
            <w:instrText xml:space="preserve"> HYPERLINK \l "_Toc235800646" </w:instrText>
          </w:r>
          <w:r>
            <w:fldChar w:fldCharType="separate"/>
          </w:r>
          <w:r>
            <w:rPr>
              <w:rStyle w:val="20"/>
            </w:rPr>
            <w:t>3.1 Case Background</w:t>
          </w:r>
          <w:r>
            <w:tab/>
          </w:r>
          <w:r>
            <w:fldChar w:fldCharType="begin"/>
          </w:r>
          <w:r>
            <w:instrText xml:space="preserve"> PAGEREF _Toc235800646 \h </w:instrText>
          </w:r>
          <w:r>
            <w:fldChar w:fldCharType="separate"/>
          </w:r>
          <w:r>
            <w:t>5</w:t>
          </w:r>
          <w:r>
            <w:fldChar w:fldCharType="end"/>
          </w:r>
          <w:r>
            <w:fldChar w:fldCharType="end"/>
          </w:r>
        </w:p>
        <w:p w14:paraId="01152C7A">
          <w:pPr>
            <w:pStyle w:val="39"/>
            <w:tabs>
              <w:tab w:val="right" w:leader="dot" w:pos="9350"/>
            </w:tabs>
          </w:pPr>
          <w:r>
            <w:fldChar w:fldCharType="begin"/>
          </w:r>
          <w:r>
            <w:instrText xml:space="preserve"> HYPERLINK \l "_Toc235800647" </w:instrText>
          </w:r>
          <w:r>
            <w:fldChar w:fldCharType="separate"/>
          </w:r>
          <w:r>
            <w:rPr>
              <w:rStyle w:val="20"/>
            </w:rPr>
            <w:t>3.2 Application of Person-Centred Care</w:t>
          </w:r>
          <w:r>
            <w:tab/>
          </w:r>
          <w:r>
            <w:fldChar w:fldCharType="begin"/>
          </w:r>
          <w:r>
            <w:instrText xml:space="preserve"> PAGEREF _Toc235800647 \h </w:instrText>
          </w:r>
          <w:r>
            <w:fldChar w:fldCharType="separate"/>
          </w:r>
          <w:r>
            <w:t>5</w:t>
          </w:r>
          <w:r>
            <w:fldChar w:fldCharType="end"/>
          </w:r>
          <w:r>
            <w:fldChar w:fldCharType="end"/>
          </w:r>
        </w:p>
        <w:p w14:paraId="2457FDF1">
          <w:pPr>
            <w:pStyle w:val="39"/>
            <w:tabs>
              <w:tab w:val="right" w:leader="dot" w:pos="9350"/>
            </w:tabs>
          </w:pPr>
          <w:r>
            <w:fldChar w:fldCharType="begin"/>
          </w:r>
          <w:r>
            <w:instrText xml:space="preserve"> HYPERLINK \l "_Toc235800648" </w:instrText>
          </w:r>
          <w:r>
            <w:fldChar w:fldCharType="separate"/>
          </w:r>
          <w:r>
            <w:rPr>
              <w:rStyle w:val="20"/>
            </w:rPr>
            <w:t>3.3 Partnership Working</w:t>
          </w:r>
          <w:r>
            <w:tab/>
          </w:r>
          <w:r>
            <w:fldChar w:fldCharType="begin"/>
          </w:r>
          <w:r>
            <w:instrText xml:space="preserve"> PAGEREF _Toc235800648 \h </w:instrText>
          </w:r>
          <w:r>
            <w:fldChar w:fldCharType="separate"/>
          </w:r>
          <w:r>
            <w:t>5</w:t>
          </w:r>
          <w:r>
            <w:fldChar w:fldCharType="end"/>
          </w:r>
          <w:r>
            <w:fldChar w:fldCharType="end"/>
          </w:r>
        </w:p>
        <w:p w14:paraId="5EB5D42D">
          <w:pPr>
            <w:pStyle w:val="39"/>
            <w:tabs>
              <w:tab w:val="right" w:leader="dot" w:pos="9350"/>
            </w:tabs>
          </w:pPr>
          <w:r>
            <w:fldChar w:fldCharType="begin"/>
          </w:r>
          <w:r>
            <w:instrText xml:space="preserve"> HYPERLINK \l "_Toc235800649" </w:instrText>
          </w:r>
          <w:r>
            <w:fldChar w:fldCharType="separate"/>
          </w:r>
          <w:r>
            <w:rPr>
              <w:rStyle w:val="20"/>
            </w:rPr>
            <w:t>3.4 Ethical Considerations</w:t>
          </w:r>
          <w:r>
            <w:tab/>
          </w:r>
          <w:r>
            <w:fldChar w:fldCharType="begin"/>
          </w:r>
          <w:r>
            <w:instrText xml:space="preserve"> PAGEREF _Toc235800649 \h </w:instrText>
          </w:r>
          <w:r>
            <w:fldChar w:fldCharType="separate"/>
          </w:r>
          <w:r>
            <w:t>6</w:t>
          </w:r>
          <w:r>
            <w:fldChar w:fldCharType="end"/>
          </w:r>
          <w:r>
            <w:fldChar w:fldCharType="end"/>
          </w:r>
        </w:p>
        <w:p w14:paraId="0099AE96">
          <w:pPr>
            <w:pStyle w:val="39"/>
            <w:tabs>
              <w:tab w:val="right" w:leader="dot" w:pos="9350"/>
            </w:tabs>
          </w:pPr>
          <w:r>
            <w:fldChar w:fldCharType="begin"/>
          </w:r>
          <w:r>
            <w:instrText xml:space="preserve"> HYPERLINK \l "_Toc235800650" </w:instrText>
          </w:r>
          <w:r>
            <w:fldChar w:fldCharType="separate"/>
          </w:r>
          <w:r>
            <w:rPr>
              <w:rStyle w:val="20"/>
            </w:rPr>
            <w:t>3.5 Policy-Based Improvements</w:t>
          </w:r>
          <w:r>
            <w:tab/>
          </w:r>
          <w:r>
            <w:fldChar w:fldCharType="begin"/>
          </w:r>
          <w:r>
            <w:instrText xml:space="preserve"> PAGEREF _Toc235800650 \h </w:instrText>
          </w:r>
          <w:r>
            <w:fldChar w:fldCharType="separate"/>
          </w:r>
          <w:r>
            <w:t>6</w:t>
          </w:r>
          <w:r>
            <w:fldChar w:fldCharType="end"/>
          </w:r>
          <w:r>
            <w:fldChar w:fldCharType="end"/>
          </w:r>
        </w:p>
        <w:p w14:paraId="22CB5F66">
          <w:pPr>
            <w:pStyle w:val="38"/>
            <w:tabs>
              <w:tab w:val="right" w:leader="dot" w:pos="9350"/>
            </w:tabs>
          </w:pPr>
          <w:r>
            <w:fldChar w:fldCharType="begin"/>
          </w:r>
          <w:r>
            <w:instrText xml:space="preserve"> HYPERLINK \l "_Toc235800651" </w:instrText>
          </w:r>
          <w:r>
            <w:fldChar w:fldCharType="separate"/>
          </w:r>
          <w:r>
            <w:rPr>
              <w:rStyle w:val="20"/>
            </w:rPr>
            <w:t>4. Task 3: Self-Reflection as a Professional</w:t>
          </w:r>
          <w:r>
            <w:tab/>
          </w:r>
          <w:r>
            <w:fldChar w:fldCharType="begin"/>
          </w:r>
          <w:r>
            <w:instrText xml:space="preserve"> PAGEREF _Toc235800651 \h </w:instrText>
          </w:r>
          <w:r>
            <w:fldChar w:fldCharType="separate"/>
          </w:r>
          <w:r>
            <w:t>6</w:t>
          </w:r>
          <w:r>
            <w:fldChar w:fldCharType="end"/>
          </w:r>
          <w:r>
            <w:fldChar w:fldCharType="end"/>
          </w:r>
        </w:p>
        <w:p w14:paraId="6F179AA7">
          <w:pPr>
            <w:pStyle w:val="39"/>
            <w:tabs>
              <w:tab w:val="right" w:leader="dot" w:pos="9350"/>
            </w:tabs>
          </w:pPr>
          <w:r>
            <w:fldChar w:fldCharType="begin"/>
          </w:r>
          <w:r>
            <w:instrText xml:space="preserve"> HYPERLINK \l "_Toc235800652" </w:instrText>
          </w:r>
          <w:r>
            <w:fldChar w:fldCharType="separate"/>
          </w:r>
          <w:r>
            <w:rPr>
              <w:rStyle w:val="20"/>
            </w:rPr>
            <w:t>4.1 Description of a Professional Experience</w:t>
          </w:r>
          <w:r>
            <w:tab/>
          </w:r>
          <w:r>
            <w:fldChar w:fldCharType="begin"/>
          </w:r>
          <w:r>
            <w:instrText xml:space="preserve"> PAGEREF _Toc235800652 \h </w:instrText>
          </w:r>
          <w:r>
            <w:fldChar w:fldCharType="separate"/>
          </w:r>
          <w:r>
            <w:t>6</w:t>
          </w:r>
          <w:r>
            <w:fldChar w:fldCharType="end"/>
          </w:r>
          <w:r>
            <w:fldChar w:fldCharType="end"/>
          </w:r>
        </w:p>
        <w:p w14:paraId="7794F2C3">
          <w:pPr>
            <w:pStyle w:val="39"/>
            <w:tabs>
              <w:tab w:val="right" w:leader="dot" w:pos="9350"/>
            </w:tabs>
          </w:pPr>
          <w:r>
            <w:fldChar w:fldCharType="begin"/>
          </w:r>
          <w:r>
            <w:instrText xml:space="preserve"> HYPERLINK \l "_Toc235800653" </w:instrText>
          </w:r>
          <w:r>
            <w:fldChar w:fldCharType="separate"/>
          </w:r>
          <w:r>
            <w:rPr>
              <w:rStyle w:val="20"/>
            </w:rPr>
            <w:t>4.2 Critical Reflection</w:t>
          </w:r>
          <w:r>
            <w:tab/>
          </w:r>
          <w:r>
            <w:fldChar w:fldCharType="begin"/>
          </w:r>
          <w:r>
            <w:instrText xml:space="preserve"> PAGEREF _Toc235800653 \h </w:instrText>
          </w:r>
          <w:r>
            <w:fldChar w:fldCharType="separate"/>
          </w:r>
          <w:r>
            <w:t>7</w:t>
          </w:r>
          <w:r>
            <w:fldChar w:fldCharType="end"/>
          </w:r>
          <w:r>
            <w:fldChar w:fldCharType="end"/>
          </w:r>
        </w:p>
        <w:p w14:paraId="28320F43">
          <w:pPr>
            <w:pStyle w:val="39"/>
            <w:tabs>
              <w:tab w:val="right" w:leader="dot" w:pos="9350"/>
            </w:tabs>
          </w:pPr>
          <w:r>
            <w:fldChar w:fldCharType="begin"/>
          </w:r>
          <w:r>
            <w:instrText xml:space="preserve"> HYPERLINK \l "_Toc235800654" </w:instrText>
          </w:r>
          <w:r>
            <w:fldChar w:fldCharType="separate"/>
          </w:r>
          <w:r>
            <w:rPr>
              <w:rStyle w:val="20"/>
            </w:rPr>
            <w:t>4.3 Current Strengths</w:t>
          </w:r>
          <w:r>
            <w:tab/>
          </w:r>
          <w:r>
            <w:fldChar w:fldCharType="begin"/>
          </w:r>
          <w:r>
            <w:instrText xml:space="preserve"> PAGEREF _Toc235800654 \h </w:instrText>
          </w:r>
          <w:r>
            <w:fldChar w:fldCharType="separate"/>
          </w:r>
          <w:r>
            <w:t>8</w:t>
          </w:r>
          <w:r>
            <w:fldChar w:fldCharType="end"/>
          </w:r>
          <w:r>
            <w:fldChar w:fldCharType="end"/>
          </w:r>
        </w:p>
        <w:p w14:paraId="238050E3">
          <w:pPr>
            <w:pStyle w:val="39"/>
            <w:tabs>
              <w:tab w:val="right" w:leader="dot" w:pos="9350"/>
            </w:tabs>
          </w:pPr>
          <w:r>
            <w:fldChar w:fldCharType="begin"/>
          </w:r>
          <w:r>
            <w:instrText xml:space="preserve"> HYPERLINK \l "_Toc235800655" </w:instrText>
          </w:r>
          <w:r>
            <w:fldChar w:fldCharType="separate"/>
          </w:r>
          <w:r>
            <w:rPr>
              <w:rStyle w:val="20"/>
            </w:rPr>
            <w:t>4.4 Areas for Improvement</w:t>
          </w:r>
          <w:r>
            <w:tab/>
          </w:r>
          <w:r>
            <w:fldChar w:fldCharType="begin"/>
          </w:r>
          <w:r>
            <w:instrText xml:space="preserve"> PAGEREF _Toc235800655 \h </w:instrText>
          </w:r>
          <w:r>
            <w:fldChar w:fldCharType="separate"/>
          </w:r>
          <w:r>
            <w:t>8</w:t>
          </w:r>
          <w:r>
            <w:fldChar w:fldCharType="end"/>
          </w:r>
          <w:r>
            <w:fldChar w:fldCharType="end"/>
          </w:r>
        </w:p>
        <w:p w14:paraId="0CABDC40">
          <w:pPr>
            <w:pStyle w:val="39"/>
            <w:tabs>
              <w:tab w:val="right" w:leader="dot" w:pos="9350"/>
            </w:tabs>
          </w:pPr>
          <w:r>
            <w:fldChar w:fldCharType="begin"/>
          </w:r>
          <w:r>
            <w:instrText xml:space="preserve"> HYPERLINK \l "_Toc235800656" </w:instrText>
          </w:r>
          <w:r>
            <w:fldChar w:fldCharType="separate"/>
          </w:r>
          <w:r>
            <w:rPr>
              <w:rStyle w:val="20"/>
            </w:rPr>
            <w:t>4.5 Professional Development Plan</w:t>
          </w:r>
          <w:r>
            <w:tab/>
          </w:r>
          <w:r>
            <w:fldChar w:fldCharType="begin"/>
          </w:r>
          <w:r>
            <w:instrText xml:space="preserve"> PAGEREF _Toc235800656 \h </w:instrText>
          </w:r>
          <w:r>
            <w:fldChar w:fldCharType="separate"/>
          </w:r>
          <w:r>
            <w:t>9</w:t>
          </w:r>
          <w:r>
            <w:fldChar w:fldCharType="end"/>
          </w:r>
          <w:r>
            <w:fldChar w:fldCharType="end"/>
          </w:r>
        </w:p>
        <w:p w14:paraId="382D372D">
          <w:pPr>
            <w:pStyle w:val="38"/>
            <w:tabs>
              <w:tab w:val="right" w:leader="dot" w:pos="9350"/>
            </w:tabs>
          </w:pPr>
          <w:r>
            <w:fldChar w:fldCharType="begin"/>
          </w:r>
          <w:r>
            <w:instrText xml:space="preserve"> HYPERLINK \l "_Toc235800657" </w:instrText>
          </w:r>
          <w:r>
            <w:fldChar w:fldCharType="separate"/>
          </w:r>
          <w:r>
            <w:rPr>
              <w:rStyle w:val="20"/>
            </w:rPr>
            <w:t>5. Conclusion</w:t>
          </w:r>
          <w:r>
            <w:tab/>
          </w:r>
          <w:r>
            <w:fldChar w:fldCharType="begin"/>
          </w:r>
          <w:r>
            <w:instrText xml:space="preserve"> PAGEREF _Toc235800657 \h </w:instrText>
          </w:r>
          <w:r>
            <w:fldChar w:fldCharType="separate"/>
          </w:r>
          <w:r>
            <w:t>9</w:t>
          </w:r>
          <w:r>
            <w:fldChar w:fldCharType="end"/>
          </w:r>
          <w:r>
            <w:fldChar w:fldCharType="end"/>
          </w:r>
        </w:p>
        <w:p w14:paraId="39AA8E78">
          <w:pPr>
            <w:pStyle w:val="38"/>
            <w:tabs>
              <w:tab w:val="right" w:leader="dot" w:pos="9350"/>
            </w:tabs>
          </w:pPr>
          <w:r>
            <w:fldChar w:fldCharType="begin"/>
          </w:r>
          <w:r>
            <w:instrText xml:space="preserve"> HYPERLINK \l "_Toc235800658" </w:instrText>
          </w:r>
          <w:r>
            <w:fldChar w:fldCharType="separate"/>
          </w:r>
          <w:r>
            <w:rPr>
              <w:rStyle w:val="20"/>
            </w:rPr>
            <w:t>Reference List</w:t>
          </w:r>
          <w:r>
            <w:tab/>
          </w:r>
          <w:r>
            <w:fldChar w:fldCharType="begin"/>
          </w:r>
          <w:r>
            <w:instrText xml:space="preserve"> PAGEREF _Toc235800658 \h </w:instrText>
          </w:r>
          <w:r>
            <w:fldChar w:fldCharType="separate"/>
          </w:r>
          <w:r>
            <w:t>10</w:t>
          </w:r>
          <w:r>
            <w:fldChar w:fldCharType="end"/>
          </w:r>
          <w:r>
            <w:fldChar w:fldCharType="end"/>
          </w:r>
        </w:p>
        <w:p w14:paraId="55B22B02">
          <w:r>
            <w:rPr>
              <w:b/>
              <w:bCs/>
            </w:rPr>
            <w:fldChar w:fldCharType="end"/>
          </w:r>
        </w:p>
      </w:sdtContent>
    </w:sdt>
    <w:p w14:paraId="3CBD74D6">
      <w:pPr>
        <w:spacing w:after="200" w:line="276" w:lineRule="auto"/>
      </w:pPr>
      <w:r>
        <w:br w:type="page"/>
      </w:r>
    </w:p>
    <w:p w14:paraId="1FF70953">
      <w:pPr>
        <w:jc w:val="center"/>
      </w:pPr>
    </w:p>
    <w:p w14:paraId="320BA7E1">
      <w:pPr>
        <w:pStyle w:val="2"/>
      </w:pPr>
      <w:bookmarkStart w:id="0" w:name="_Toc235800640"/>
      <w:r>
        <w:t>Introduction</w:t>
      </w:r>
      <w:bookmarkEnd w:id="0"/>
      <w:bookmarkStart w:id="19" w:name="_GoBack"/>
      <w:bookmarkEnd w:id="19"/>
    </w:p>
    <w:p w14:paraId="04343A8F">
      <w:pPr>
        <w:jc w:val="both"/>
      </w:pPr>
      <w:r>
        <w:t xml:space="preserve">Person-centred care, partnership working and ethical practice are mutually reinforcing foundations of safe and high-quality health and social care. Person-centred care recognises the individual as an active partner whose identity, preferences, strengths and goals should shape assessment and support. Partnership working coordinates the contributions of service users, families, health professionals, social care practitioners and community agencies. Ethics provides the principles needed to decide what ought to be done when rights, risks and professional duties compete. This report critically examines these principles, applies them to an anonymised safeguarding case in community care, and reflects on professional learning and development. Although the title refers to UK practice, the legal discussion primarily concerns England because the Care Act 2014 and Health and Care Act 2022 have an England-specific framework. </w:t>
      </w:r>
    </w:p>
    <w:p w14:paraId="62B72EED">
      <w:pPr>
        <w:pStyle w:val="2"/>
        <w:spacing w:before="160" w:after="80"/>
      </w:pPr>
      <w:bookmarkStart w:id="1" w:name="_Toc235800641"/>
      <w:r>
        <w:t>2. Task 1: Importance of Health and Social Care Principles</w:t>
      </w:r>
      <w:bookmarkEnd w:id="1"/>
    </w:p>
    <w:p w14:paraId="28903608">
      <w:pPr>
        <w:pStyle w:val="3"/>
        <w:spacing w:before="120" w:after="80"/>
      </w:pPr>
      <w:bookmarkStart w:id="2" w:name="_Toc235800642"/>
      <w:r>
        <w:t>2.1 Person-Centred Care</w:t>
      </w:r>
      <w:bookmarkEnd w:id="2"/>
    </w:p>
    <w:p w14:paraId="3F759504">
      <w:pPr>
        <w:jc w:val="both"/>
      </w:pPr>
      <w:r>
        <w:t xml:space="preserve">Person-centred care requires professionals to see the person rather than only the diagnosis, disability or task. CQC Regulation 9 requires care and treatment to reflect assessed needs and preferences and to involve the person in decisions (Care Quality Commission, 2025). Autonomy, dignity, choice, cultural identity, communication needs and personal goals should therefore shape the care plan. The Gothenburg model operationalises this through the person’s narrative, a co-created plan and documented goals (Britten et al., 2020). </w:t>
      </w:r>
    </w:p>
    <w:p w14:paraId="1CE29891">
      <w:pPr>
        <w:jc w:val="both"/>
      </w:pPr>
      <w:r>
        <w:t>Maslow’s hierarchy offers a useful, though simplified, lens for holistic assessment. Physiological needs and safety may be urgent, while belonging, esteem and self-actualisation concern relationships, identity and meaningful participation (Maslow, 1943). Medication non-adherence, for example, may relate to loneliness, fear or loss of control rather than forgetfulness alone. Yet needs do not always occur in a fixed order. The theory should therefore prompt enquiry, not allow professionals to rank priorities for the person.</w:t>
      </w:r>
    </w:p>
    <w:p w14:paraId="3C03AB8C">
      <w:pPr>
        <w:pStyle w:val="3"/>
        <w:spacing w:before="120" w:after="80"/>
      </w:pPr>
      <w:bookmarkStart w:id="3" w:name="_Toc235800643"/>
      <w:r>
        <w:t>2.2 Partnership Working</w:t>
      </w:r>
      <w:bookmarkEnd w:id="3"/>
    </w:p>
    <w:p w14:paraId="73D8EE87">
      <w:pPr>
        <w:jc w:val="both"/>
      </w:pPr>
      <w:r>
        <w:t>Partnership working requires shared goals, clear responsibility and timely communication across boundaries. In community care, partners may include the service user, family, nurses, GPs, social workers, therapists, pharmacists, care workers and advocates. Collaboration can reduce duplication, identify deterioration earlier and improve continuity. The Health and Care Act 2022 formalised integrated care boards and partnerships in England, strengthening joint planning between NHS bodies and local authorities (Health and Care Act 2022; Department of Health and Social Care, 2024). Evidence indicates that collaboration can improve care processes and satisfaction, but only when it is well organised (Carron et al., 2021).</w:t>
      </w:r>
    </w:p>
    <w:p w14:paraId="6443949F">
      <w:pPr>
        <w:jc w:val="both"/>
      </w:pPr>
      <w:r>
        <w:t>Recurring barriers include limited time, poor communication, hierarchy, unclear roles, incompatible systems and uncertainty about information sharing (Rawlinson et al., 2021). Families may hold valuable knowledge, but their preferences must not replace the service user’s wishes. Multidisciplinary meetings can also exclude people through professional language. Effective partnership therefore needs named accountability, accessible communication, proportionate information exchange and agreed escalation routes. Its value should be judged by coordinated, person-defined outcomes, not by the number of agencies involved.</w:t>
      </w:r>
    </w:p>
    <w:p w14:paraId="0FA9810A">
      <w:pPr>
        <w:pStyle w:val="3"/>
        <w:spacing w:before="120" w:after="80"/>
      </w:pPr>
      <w:bookmarkStart w:id="4" w:name="_Toc235800644"/>
      <w:r>
        <w:t>2.3 Ethics</w:t>
      </w:r>
      <w:bookmarkEnd w:id="4"/>
    </w:p>
    <w:p w14:paraId="5EEB98EB">
      <w:pPr>
        <w:jc w:val="both"/>
      </w:pPr>
      <w:r>
        <w:t>The principles of autonomy, beneficence, non-maleficence and justice are commonly used in structuring ethical decision-making. The four principles of autonomy is to facilitate informed choice, consent, privacy and truthful communication; beneficence is to do good; non-maleficence is to do no harm; and justice is fair treatment and access to resources (Beauchamp and Childress, 2019; Varkey, 2020). The consent must be freely given, informed and from someone competent to make a decision. It is assumed that the person has capacity unless they are found to be lacking it and a person should be supported to make a decision before they are assumed to be unable (Mental Capacity Act 2005). The principle of confidentiality is central to trust but is not absolute where there is need for disclosure, which is lawful and proportionate, to prevent serious harm.</w:t>
      </w:r>
    </w:p>
    <w:p w14:paraId="3B4CA644">
      <w:pPr>
        <w:jc w:val="both"/>
      </w:pPr>
      <w:r>
        <w:t>Conflict occurs when an individual decides to stay in a risky home situation. Either overriding the choice may be considered paternalistic, or inaction may be considered as failing to prevent foreseeable harm. With this in mind, ethical practice will involve decision-specific capacity assessment, consideration of coercion, least-restrictive options, documented reasoning and consultation. There are also factors that can restrict apparently free choices, including those related to disability, poverty or discrimination, that should be considered in the pursuit of justice. Ethical competence is about weighing principles in a transparent manner and being held accountable.</w:t>
      </w:r>
    </w:p>
    <w:p w14:paraId="06934D75">
      <w:pPr>
        <w:pStyle w:val="2"/>
        <w:spacing w:before="160" w:after="80"/>
      </w:pPr>
      <w:bookmarkStart w:id="5" w:name="_Toc235800645"/>
      <w:r>
        <w:t>3. Task 2: Practical Application</w:t>
      </w:r>
      <w:bookmarkEnd w:id="5"/>
    </w:p>
    <w:p w14:paraId="5C0F314F">
      <w:pPr>
        <w:pStyle w:val="3"/>
        <w:spacing w:before="120" w:after="80"/>
      </w:pPr>
      <w:bookmarkStart w:id="6" w:name="_Toc235800646"/>
      <w:r>
        <w:t>3.1 Case Background</w:t>
      </w:r>
      <w:bookmarkEnd w:id="6"/>
    </w:p>
    <w:p w14:paraId="4DE37931">
      <w:pPr>
        <w:jc w:val="both"/>
      </w:pPr>
      <w:r>
        <w:t>The case concerns ‘Mr A’, a pseudonym for an older adult receiving home-care visits after reduced mobility and hospital discharge. He lived with a relative who managed shopping and finances. Staff noticed missed medication, little food, cancelled appointments and Mr A becoming quiet when the relative entered. Privately, he said he felt pressured to hand over money but asked staff not to ‘make trouble’. The challenge was to improve safety without silencing him or assuming incapacity. Possible neglect, financial abuse and coercion required a proportionate safeguarding response.</w:t>
      </w:r>
    </w:p>
    <w:p w14:paraId="2AAD304F">
      <w:pPr>
        <w:pStyle w:val="3"/>
        <w:spacing w:before="120" w:after="80"/>
      </w:pPr>
      <w:bookmarkStart w:id="7" w:name="_Toc235800647"/>
      <w:r>
        <w:t>3.2 Application of Person-Centred Care</w:t>
      </w:r>
      <w:bookmarkEnd w:id="7"/>
    </w:p>
    <w:p w14:paraId="51230291">
      <w:pPr>
        <w:jc w:val="both"/>
      </w:pPr>
      <w:r>
        <w:t>A person-centred response begins with a private, accessible conversation about what Mr A understands, fears and wants to change. Staff should explain safeguarding in plain language and avoid promising complete secrecy. Shared decision-making combines professional knowledge of risk with the person’s values (NHS England, n.d.). Mr A may prioritise remaining at home and preserving family contact; these wishes should shape a capacity-informed safety plan. Options include adjusted visits, medication support, advocacy, secure access to money, emergency contacts and review points. This reflects Making Safeguarding Personal, which is person-led and outcome-focused (Social Care Institute for Excellence, n.d.-a).</w:t>
      </w:r>
    </w:p>
    <w:p w14:paraId="47265389">
      <w:pPr>
        <w:pStyle w:val="3"/>
        <w:spacing w:before="120" w:after="80"/>
      </w:pPr>
      <w:bookmarkStart w:id="8" w:name="_Toc235800648"/>
      <w:r>
        <w:t>3.3 Partnership Working</w:t>
      </w:r>
      <w:bookmarkEnd w:id="8"/>
    </w:p>
    <w:p w14:paraId="245F86F6">
      <w:pPr>
        <w:jc w:val="both"/>
      </w:pPr>
      <w:r>
        <w:t>A named lead should coordinate partnership working. The care worker records and reports; the community nurse reviews health and medication; the GP considers deterioration; and the social worker assesses care and safeguarding needs. Advocacy, financial services or police involvement may be appropriate according to evidence and proportionality. The relative should not join sensitive discussions until consent, risk and coercion are considered. A multi-agency plan should define responsibilities, lawful information sharing and review dates, reducing fragmentation while keeping Mr A central.</w:t>
      </w:r>
    </w:p>
    <w:p w14:paraId="7FC95D2F">
      <w:pPr>
        <w:pStyle w:val="3"/>
        <w:spacing w:before="120" w:after="80"/>
      </w:pPr>
      <w:bookmarkStart w:id="9" w:name="_Toc235800649"/>
      <w:r>
        <w:t>3.4 Ethical Considerations</w:t>
      </w:r>
      <w:bookmarkEnd w:id="9"/>
    </w:p>
    <w:p w14:paraId="6B08E1C3">
      <w:pPr>
        <w:jc w:val="both"/>
      </w:pPr>
      <w:r>
        <w:t>The central ethical issue is the tension between Mr A’s autonomy and the duty to prevent harm. Capacity should be assessed only if there is a specific reason for doubt; an unwise decision alone does not prove incapacity (Mental Capacity Act 2005). Records must distinguish observed facts, Mr A’s words, professional interpretation and actions taken. This protects both ethical accountability and continuity of care.</w:t>
      </w:r>
    </w:p>
    <w:p w14:paraId="4EC9E243">
      <w:pPr>
        <w:pStyle w:val="3"/>
        <w:spacing w:before="120" w:after="80"/>
      </w:pPr>
      <w:bookmarkStart w:id="10" w:name="_Toc235800650"/>
      <w:r>
        <w:t>3.5 Policy-Based Improvements</w:t>
      </w:r>
      <w:bookmarkEnd w:id="10"/>
    </w:p>
    <w:p w14:paraId="31F9F7E3">
      <w:pPr>
        <w:jc w:val="both"/>
      </w:pPr>
      <w:r>
        <w:t>Section 42 of the Care Act 2014 requires local-authority enquiries where an adult with care and support needs is at risk of abuse or neglect and may be unable to protect themselves (Care Act 2014). Statutory guidance emphasises wellbeing, prevention, proportionality and Making Safeguarding Personal (Department of Health and Social Care, 2025). The Health and Care Act 2022 supports integrated planning, while the NMC Code requires staff to prioritise people and preserve safety (Nursing and Midwifery Council, 2018). Improvements should include safeguarding supervision, role-specific training, a standard escalation template, private communication checks, advocacy information and documented follow-up against the service user’s chosen outcomes.</w:t>
      </w:r>
    </w:p>
    <w:p w14:paraId="5DA7873F">
      <w:pPr>
        <w:pStyle w:val="2"/>
        <w:spacing w:before="160" w:after="80"/>
      </w:pPr>
      <w:bookmarkStart w:id="11" w:name="_Toc235800651"/>
      <w:r>
        <w:t>4. Task 3: Self-Reflection as a Professional</w:t>
      </w:r>
      <w:bookmarkEnd w:id="11"/>
    </w:p>
    <w:p w14:paraId="7EFC562C">
      <w:pPr>
        <w:pStyle w:val="3"/>
        <w:spacing w:before="120" w:after="80"/>
      </w:pPr>
      <w:bookmarkStart w:id="12" w:name="_Toc235800652"/>
      <w:r>
        <w:t>4.1 Description of a Professional Experience</w:t>
      </w:r>
      <w:bookmarkEnd w:id="12"/>
    </w:p>
    <w:p w14:paraId="3182D178">
      <w:pPr>
        <w:jc w:val="both"/>
      </w:pPr>
      <w:r>
        <w:t>During a supervised community-care placement, I joined a home visit to an older service user in circumstances resembling the case above. My role was to observe, communicate respectfully, record information and report concerns. The service user hesitated when asked about medication and finances, while the relative answered most questions. When briefly alone, the service user disclosed feeling unsafe and worried about money. My aim was to improve safety without silencing the person or increasing risk. I informed my supervisor immediately, and the concern was escalated through safeguarding procedures. Gibbs’ reflective cycle supports analysis from description to action rather than simple retelling (Gibbs, 1988).</w:t>
      </w:r>
    </w:p>
    <w:p w14:paraId="02AAA943">
      <w:pPr>
        <w:pStyle w:val="3"/>
        <w:spacing w:before="120" w:after="80"/>
      </w:pPr>
      <w:bookmarkStart w:id="13" w:name="_Toc235800653"/>
      <w:r>
        <w:t>4.2 Critical Reflection</w:t>
      </w:r>
      <w:bookmarkEnd w:id="13"/>
    </w:p>
    <w:p w14:paraId="682C1973">
      <w:pPr>
        <w:jc w:val="both"/>
      </w:pPr>
      <w:r>
        <w:t>Several aspects went well. First, I recognised a pattern rather than treating each sign in isolation. Missed medication, reduced food, controlled communication and anxiety about money could each have alternative explanations, but together they justified further enquiry. Second, I did not confront the relative or investigate beyond my competence. Most importantly, the service user’s preferred outcome—feeling safer while remaining involved in decisions—was communicated during escalation, which aligned the safeguarding response with person-centred practice.</w:t>
      </w:r>
    </w:p>
    <w:p w14:paraId="7ED92DC3">
      <w:pPr>
        <w:jc w:val="both"/>
      </w:pPr>
      <w:r>
        <w:t>However, my response was not fully effective. I felt anxious about using the word ‘abuse’ and initially relied on indirect questions. This may have limited the person’s opportunity to describe the concern clearly. I also focused strongly on reporting and did not ask enough about what immediate safety meant to the service user, such as whether it was safe to leave information in the home or telephone later. My written note was factual but lacked a clear separation between direct quotation and my interpretation. In addition, I was uncertain about when confidentiality could be overridden. Although seeking supervision was correct, my uncertainty could have delayed action in a situation requiring a more urgent response. These weaknesses show that empathy alone is insufficient; safe practice also requires legal literacy, structured communication and confident escalation.</w:t>
      </w:r>
    </w:p>
    <w:p w14:paraId="6CBD92A4">
      <w:pPr>
        <w:jc w:val="both"/>
      </w:pPr>
      <w:r>
        <w:t>The difficulties arose partly from limited experience and partly from the complexity of safeguarding. Community care differs from controlled clinical settings because risk is embedded in the person’s home, relationships and dependence on informal support. A quick intervention can unintentionally increase danger, while excessive caution can leave harm unaddressed. I also experienced an ethical tension between respecting the request not to ‘make trouble’ and recognising a duty of care. A stronger response would have explored this gently, explained the limits of confidentiality, checked immediate danger and asked what outcomes the person wanted before sharing the minimum necessary information.</w:t>
      </w:r>
    </w:p>
    <w:p w14:paraId="3FAF80B5">
      <w:pPr>
        <w:jc w:val="both"/>
      </w:pPr>
      <w:r>
        <w:t>Partnership working influenced both the strength and limitations of the response. Escalation enabled the supervisor, safeguarding lead, social worker and health professionals to combine information that no single worker possessed. This reduced the risk of making a decision from one brief visit. Nevertheless, partnership could become harmful if professionals exchange information without purpose or allow organisational process to displace the person’s voice. Rawlinson et al. (2021) identify unclear roles and communication failures as common barriers, which means every referral should specify the concern, desired outcome, immediate actions and who will review progress. In a future case, I would use a structured safeguarding communication format, request confirmation that the concern was received, and record the agreed next step rather than assuming that referral alone completed my responsibility.</w:t>
      </w:r>
    </w:p>
    <w:p w14:paraId="4AE98595">
      <w:pPr>
        <w:pStyle w:val="3"/>
        <w:spacing w:before="120" w:after="80"/>
      </w:pPr>
      <w:bookmarkStart w:id="14" w:name="_Toc235800654"/>
      <w:r>
        <w:t>4.3 Current Strengths</w:t>
      </w:r>
      <w:bookmarkEnd w:id="14"/>
    </w:p>
    <w:p w14:paraId="7BB67932">
      <w:pPr>
        <w:jc w:val="both"/>
      </w:pPr>
      <w:r>
        <w:t>The experience identified four current strengths. I demonstrated empathy by noticing discomfort and allowing silence rather than filling it with assumptions. These strengths support person-centred care because they create conditions in which a service user can speak. They also support ethical practice because respectful communication reduces the risk of paternalism. However, I should not overestimate these qualities: being kind and observant does not guarantee that the correct legal or safeguarding action will follow. My strengths are therefore a foundation for competence, not evidence that further development is unnecessary.</w:t>
      </w:r>
    </w:p>
    <w:p w14:paraId="22546BBA">
      <w:pPr>
        <w:pStyle w:val="3"/>
        <w:spacing w:before="120" w:after="80"/>
      </w:pPr>
      <w:bookmarkStart w:id="15" w:name="_Toc235800655"/>
      <w:r>
        <w:t>4.4 Areas for Improvement</w:t>
      </w:r>
      <w:bookmarkEnd w:id="15"/>
    </w:p>
    <w:p w14:paraId="1BB57C17">
      <w:pPr>
        <w:jc w:val="both"/>
      </w:pPr>
      <w:r>
        <w:t>My main development needs are safeguarding knowledge, confidence in challenging poor practice, documentation and multidisciplinary communication. I need a more precise understanding of the Care Act threshold, Mental Capacity Act principles, consent and lawful information sharing. I also need to practise respectful challenge when a senior colleague minimises a concern, because hierarchy should not prevent escalation. Documentation must become more analytical without becoming speculative: the record should identify dates, observable facts, direct words, actions, decisions and rationale. Finally, I need confidence in closed-loop communication so that responsibility is clearly transferred and followed up. These improvements matter because delays, vague records and unclear accountability can turn a manageable concern into avoidable harm.</w:t>
      </w:r>
    </w:p>
    <w:p w14:paraId="1C6636B4">
      <w:pPr>
        <w:pStyle w:val="3"/>
        <w:spacing w:before="120" w:after="80"/>
      </w:pPr>
      <w:bookmarkStart w:id="16" w:name="_Toc235800656"/>
      <w:r>
        <w:t>4.5 Professional Development Plan</w:t>
      </w:r>
      <w:bookmarkEnd w:id="16"/>
    </w:p>
    <w:p w14:paraId="184D61A6">
      <w:pPr>
        <w:jc w:val="both"/>
      </w:pPr>
      <w:r>
        <w:t>The following plan converts reflection into measurable development. Progress will be discussed in supervision and evidenced through training records, observed practice and audit of written documentation.</w:t>
      </w:r>
    </w:p>
    <w:tbl>
      <w:tblPr>
        <w:tblStyle w:val="3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1"/>
        <w:gridCol w:w="3317"/>
        <w:gridCol w:w="2228"/>
        <w:gridCol w:w="2184"/>
      </w:tblGrid>
      <w:tr w14:paraId="487F29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1944" w:type="dxa"/>
            <w:shd w:val="clear" w:color="auto" w:fill="D9E2F3"/>
            <w:tcMar>
              <w:top w:w="100" w:type="dxa"/>
              <w:left w:w="100" w:type="dxa"/>
              <w:bottom w:w="100" w:type="dxa"/>
              <w:right w:w="100" w:type="dxa"/>
            </w:tcMar>
            <w:vAlign w:val="center"/>
          </w:tcPr>
          <w:p w14:paraId="6BA7D101">
            <w:pPr>
              <w:jc w:val="center"/>
            </w:pPr>
            <w:r>
              <w:rPr>
                <w:b/>
                <w:sz w:val="20"/>
              </w:rPr>
              <w:t>Development need</w:t>
            </w:r>
          </w:p>
        </w:tc>
        <w:tc>
          <w:tcPr>
            <w:tcW w:w="3240" w:type="dxa"/>
            <w:shd w:val="clear" w:color="auto" w:fill="D9E2F3"/>
            <w:tcMar>
              <w:top w:w="100" w:type="dxa"/>
              <w:left w:w="100" w:type="dxa"/>
              <w:bottom w:w="100" w:type="dxa"/>
              <w:right w:w="100" w:type="dxa"/>
            </w:tcMar>
            <w:vAlign w:val="center"/>
          </w:tcPr>
          <w:p w14:paraId="2009F9F1">
            <w:pPr>
              <w:jc w:val="center"/>
            </w:pPr>
            <w:r>
              <w:rPr>
                <w:b/>
                <w:sz w:val="20"/>
              </w:rPr>
              <w:t>Action and timescale</w:t>
            </w:r>
          </w:p>
        </w:tc>
        <w:tc>
          <w:tcPr>
            <w:tcW w:w="2520" w:type="dxa"/>
            <w:shd w:val="clear" w:color="auto" w:fill="D9E2F3"/>
            <w:tcMar>
              <w:top w:w="100" w:type="dxa"/>
              <w:left w:w="100" w:type="dxa"/>
              <w:bottom w:w="100" w:type="dxa"/>
              <w:right w:w="100" w:type="dxa"/>
            </w:tcMar>
            <w:vAlign w:val="center"/>
          </w:tcPr>
          <w:p w14:paraId="39C65FA7">
            <w:pPr>
              <w:jc w:val="center"/>
            </w:pPr>
            <w:r>
              <w:rPr>
                <w:b/>
                <w:sz w:val="20"/>
              </w:rPr>
              <w:t>Evidence of completion</w:t>
            </w:r>
          </w:p>
        </w:tc>
        <w:tc>
          <w:tcPr>
            <w:tcW w:w="2520" w:type="dxa"/>
            <w:shd w:val="clear" w:color="auto" w:fill="D9E2F3"/>
            <w:tcMar>
              <w:top w:w="100" w:type="dxa"/>
              <w:left w:w="100" w:type="dxa"/>
              <w:bottom w:w="100" w:type="dxa"/>
              <w:right w:w="100" w:type="dxa"/>
            </w:tcMar>
            <w:vAlign w:val="center"/>
          </w:tcPr>
          <w:p w14:paraId="0A505FFD">
            <w:pPr>
              <w:jc w:val="center"/>
            </w:pPr>
            <w:r>
              <w:rPr>
                <w:b/>
                <w:sz w:val="20"/>
              </w:rPr>
              <w:t>Evaluation</w:t>
            </w:r>
          </w:p>
        </w:tc>
      </w:tr>
      <w:tr w14:paraId="304118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1944" w:type="dxa"/>
            <w:tcMar>
              <w:top w:w="100" w:type="dxa"/>
              <w:left w:w="100" w:type="dxa"/>
              <w:bottom w:w="100" w:type="dxa"/>
              <w:right w:w="100" w:type="dxa"/>
            </w:tcMar>
          </w:tcPr>
          <w:p w14:paraId="517A3715">
            <w:pPr>
              <w:spacing w:after="40" w:line="276" w:lineRule="auto"/>
            </w:pPr>
            <w:r>
              <w:rPr>
                <w:sz w:val="19"/>
              </w:rPr>
              <w:t>Safeguarding law and policy</w:t>
            </w:r>
          </w:p>
        </w:tc>
        <w:tc>
          <w:tcPr>
            <w:tcW w:w="3240" w:type="dxa"/>
            <w:tcMar>
              <w:top w:w="100" w:type="dxa"/>
              <w:left w:w="100" w:type="dxa"/>
              <w:bottom w:w="100" w:type="dxa"/>
              <w:right w:w="100" w:type="dxa"/>
            </w:tcMar>
          </w:tcPr>
          <w:p w14:paraId="58A0039C">
            <w:pPr>
              <w:spacing w:after="40" w:line="276" w:lineRule="auto"/>
            </w:pPr>
            <w:r>
              <w:rPr>
                <w:sz w:val="19"/>
              </w:rPr>
              <w:t>Complete adult safeguarding and Mental Capacity Act refresher training within 8 weeks; review local procedures and Care Act guidance.</w:t>
            </w:r>
          </w:p>
        </w:tc>
        <w:tc>
          <w:tcPr>
            <w:tcW w:w="2520" w:type="dxa"/>
            <w:tcMar>
              <w:top w:w="100" w:type="dxa"/>
              <w:left w:w="100" w:type="dxa"/>
              <w:bottom w:w="100" w:type="dxa"/>
              <w:right w:w="100" w:type="dxa"/>
            </w:tcMar>
          </w:tcPr>
          <w:p w14:paraId="0DB74F7E">
            <w:pPr>
              <w:spacing w:after="40" w:line="276" w:lineRule="auto"/>
            </w:pPr>
            <w:r>
              <w:rPr>
                <w:sz w:val="19"/>
              </w:rPr>
              <w:t>Certificates and a one-page summary of escalation thresholds.</w:t>
            </w:r>
          </w:p>
        </w:tc>
        <w:tc>
          <w:tcPr>
            <w:tcW w:w="2520" w:type="dxa"/>
            <w:tcMar>
              <w:top w:w="100" w:type="dxa"/>
              <w:left w:w="100" w:type="dxa"/>
              <w:bottom w:w="100" w:type="dxa"/>
              <w:right w:w="100" w:type="dxa"/>
            </w:tcMar>
          </w:tcPr>
          <w:p w14:paraId="4C7143C1">
            <w:pPr>
              <w:spacing w:after="40" w:line="276" w:lineRule="auto"/>
            </w:pPr>
            <w:r>
              <w:rPr>
                <w:sz w:val="19"/>
              </w:rPr>
              <w:t>Supervisor discussion using two case scenarios; target at least 80% on knowledge checks.</w:t>
            </w:r>
          </w:p>
        </w:tc>
      </w:tr>
      <w:tr w14:paraId="5DFA0D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1944" w:type="dxa"/>
            <w:tcMar>
              <w:top w:w="100" w:type="dxa"/>
              <w:left w:w="100" w:type="dxa"/>
              <w:bottom w:w="100" w:type="dxa"/>
              <w:right w:w="100" w:type="dxa"/>
            </w:tcMar>
          </w:tcPr>
          <w:p w14:paraId="4C5CB5AF">
            <w:pPr>
              <w:spacing w:after="40" w:line="276" w:lineRule="auto"/>
            </w:pPr>
            <w:r>
              <w:rPr>
                <w:sz w:val="19"/>
              </w:rPr>
              <w:t>Confident professional challenge</w:t>
            </w:r>
          </w:p>
        </w:tc>
        <w:tc>
          <w:tcPr>
            <w:tcW w:w="3240" w:type="dxa"/>
            <w:tcMar>
              <w:top w:w="100" w:type="dxa"/>
              <w:left w:w="100" w:type="dxa"/>
              <w:bottom w:w="100" w:type="dxa"/>
              <w:right w:w="100" w:type="dxa"/>
            </w:tcMar>
          </w:tcPr>
          <w:p w14:paraId="1BB2D8B0">
            <w:pPr>
              <w:spacing w:after="40" w:line="276" w:lineRule="auto"/>
            </w:pPr>
            <w:r>
              <w:rPr>
                <w:sz w:val="19"/>
              </w:rPr>
              <w:t>Practise graded assertiveness and escalation language in simulation and supervision within 10 weeks.</w:t>
            </w:r>
          </w:p>
        </w:tc>
        <w:tc>
          <w:tcPr>
            <w:tcW w:w="2520" w:type="dxa"/>
            <w:tcMar>
              <w:top w:w="100" w:type="dxa"/>
              <w:left w:w="100" w:type="dxa"/>
              <w:bottom w:w="100" w:type="dxa"/>
              <w:right w:w="100" w:type="dxa"/>
            </w:tcMar>
          </w:tcPr>
          <w:p w14:paraId="372F90CF">
            <w:pPr>
              <w:spacing w:after="40" w:line="276" w:lineRule="auto"/>
            </w:pPr>
            <w:r>
              <w:rPr>
                <w:sz w:val="19"/>
              </w:rPr>
              <w:t>Reflective log and supervisor observation.</w:t>
            </w:r>
          </w:p>
        </w:tc>
        <w:tc>
          <w:tcPr>
            <w:tcW w:w="2520" w:type="dxa"/>
            <w:tcMar>
              <w:top w:w="100" w:type="dxa"/>
              <w:left w:w="100" w:type="dxa"/>
              <w:bottom w:w="100" w:type="dxa"/>
              <w:right w:w="100" w:type="dxa"/>
            </w:tcMar>
          </w:tcPr>
          <w:p w14:paraId="36D329DE">
            <w:pPr>
              <w:spacing w:after="40" w:line="276" w:lineRule="auto"/>
            </w:pPr>
            <w:r>
              <w:rPr>
                <w:sz w:val="19"/>
              </w:rPr>
              <w:t>Demonstrate appropriate challenge in one simulated or observed scenario without delaying escalation.</w:t>
            </w:r>
          </w:p>
        </w:tc>
      </w:tr>
      <w:tr w14:paraId="5844F5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1944" w:type="dxa"/>
            <w:tcMar>
              <w:top w:w="100" w:type="dxa"/>
              <w:left w:w="100" w:type="dxa"/>
              <w:bottom w:w="100" w:type="dxa"/>
              <w:right w:w="100" w:type="dxa"/>
            </w:tcMar>
          </w:tcPr>
          <w:p w14:paraId="5CDA5345">
            <w:pPr>
              <w:spacing w:after="40" w:line="276" w:lineRule="auto"/>
            </w:pPr>
            <w:r>
              <w:rPr>
                <w:sz w:val="19"/>
              </w:rPr>
              <w:t>Accurate documentation</w:t>
            </w:r>
          </w:p>
        </w:tc>
        <w:tc>
          <w:tcPr>
            <w:tcW w:w="3240" w:type="dxa"/>
            <w:tcMar>
              <w:top w:w="100" w:type="dxa"/>
              <w:left w:w="100" w:type="dxa"/>
              <w:bottom w:w="100" w:type="dxa"/>
              <w:right w:w="100" w:type="dxa"/>
            </w:tcMar>
          </w:tcPr>
          <w:p w14:paraId="3EB958CE">
            <w:pPr>
              <w:spacing w:after="40" w:line="276" w:lineRule="auto"/>
            </w:pPr>
            <w:r>
              <w:rPr>
                <w:sz w:val="19"/>
              </w:rPr>
              <w:t>Use a facts–quotation–interpretation–action structure for all relevant practice notes over 12 weeks.</w:t>
            </w:r>
          </w:p>
        </w:tc>
        <w:tc>
          <w:tcPr>
            <w:tcW w:w="2520" w:type="dxa"/>
            <w:tcMar>
              <w:top w:w="100" w:type="dxa"/>
              <w:left w:w="100" w:type="dxa"/>
              <w:bottom w:w="100" w:type="dxa"/>
              <w:right w:w="100" w:type="dxa"/>
            </w:tcMar>
          </w:tcPr>
          <w:p w14:paraId="6790AF66">
            <w:pPr>
              <w:spacing w:after="40" w:line="276" w:lineRule="auto"/>
            </w:pPr>
            <w:r>
              <w:rPr>
                <w:sz w:val="19"/>
              </w:rPr>
              <w:t>Three anonymised records reviewed in supervision.</w:t>
            </w:r>
          </w:p>
        </w:tc>
        <w:tc>
          <w:tcPr>
            <w:tcW w:w="2520" w:type="dxa"/>
            <w:tcMar>
              <w:top w:w="100" w:type="dxa"/>
              <w:left w:w="100" w:type="dxa"/>
              <w:bottom w:w="100" w:type="dxa"/>
              <w:right w:w="100" w:type="dxa"/>
            </w:tcMar>
          </w:tcPr>
          <w:p w14:paraId="34A5D0B8">
            <w:pPr>
              <w:spacing w:after="40" w:line="276" w:lineRule="auto"/>
            </w:pPr>
            <w:r>
              <w:rPr>
                <w:sz w:val="19"/>
              </w:rPr>
              <w:t>Audit confirms clear chronology, rationale and no unsupported assumptions.</w:t>
            </w:r>
          </w:p>
        </w:tc>
      </w:tr>
      <w:tr w14:paraId="0EC992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jc w:val="center"/>
        </w:trPr>
        <w:tc>
          <w:tcPr>
            <w:tcW w:w="1944" w:type="dxa"/>
            <w:tcMar>
              <w:top w:w="100" w:type="dxa"/>
              <w:left w:w="100" w:type="dxa"/>
              <w:bottom w:w="100" w:type="dxa"/>
              <w:right w:w="100" w:type="dxa"/>
            </w:tcMar>
          </w:tcPr>
          <w:p w14:paraId="688D8388">
            <w:pPr>
              <w:spacing w:after="40" w:line="276" w:lineRule="auto"/>
            </w:pPr>
            <w:r>
              <w:rPr>
                <w:sz w:val="19"/>
              </w:rPr>
              <w:t>Multidisciplinary communication</w:t>
            </w:r>
          </w:p>
        </w:tc>
        <w:tc>
          <w:tcPr>
            <w:tcW w:w="3240" w:type="dxa"/>
            <w:tcMar>
              <w:top w:w="100" w:type="dxa"/>
              <w:left w:w="100" w:type="dxa"/>
              <w:bottom w:w="100" w:type="dxa"/>
              <w:right w:w="100" w:type="dxa"/>
            </w:tcMar>
          </w:tcPr>
          <w:p w14:paraId="17FBD9AA">
            <w:pPr>
              <w:spacing w:after="40" w:line="276" w:lineRule="auto"/>
            </w:pPr>
            <w:r>
              <w:rPr>
                <w:sz w:val="19"/>
              </w:rPr>
              <w:t>Use a structured handover and closed-loop follow-up for safeguarding concerns over the next 12 weeks.</w:t>
            </w:r>
          </w:p>
        </w:tc>
        <w:tc>
          <w:tcPr>
            <w:tcW w:w="2520" w:type="dxa"/>
            <w:tcMar>
              <w:top w:w="100" w:type="dxa"/>
              <w:left w:w="100" w:type="dxa"/>
              <w:bottom w:w="100" w:type="dxa"/>
              <w:right w:w="100" w:type="dxa"/>
            </w:tcMar>
          </w:tcPr>
          <w:p w14:paraId="33DA1FC2">
            <w:pPr>
              <w:spacing w:after="40" w:line="276" w:lineRule="auto"/>
            </w:pPr>
            <w:r>
              <w:rPr>
                <w:sz w:val="19"/>
              </w:rPr>
              <w:t>Completed communication template and confirmation of receipt/action.</w:t>
            </w:r>
          </w:p>
        </w:tc>
        <w:tc>
          <w:tcPr>
            <w:tcW w:w="2520" w:type="dxa"/>
            <w:tcMar>
              <w:top w:w="100" w:type="dxa"/>
              <w:left w:w="100" w:type="dxa"/>
              <w:bottom w:w="100" w:type="dxa"/>
              <w:right w:w="100" w:type="dxa"/>
            </w:tcMar>
          </w:tcPr>
          <w:p w14:paraId="52011683">
            <w:pPr>
              <w:spacing w:after="40" w:line="276" w:lineRule="auto"/>
            </w:pPr>
            <w:r>
              <w:rPr>
                <w:sz w:val="19"/>
              </w:rPr>
              <w:t>Review whether actions were completed by the agreed date and whether the service user’s outcome was recorded.</w:t>
            </w:r>
          </w:p>
        </w:tc>
      </w:tr>
    </w:tbl>
    <w:p w14:paraId="661596A9">
      <w:pPr>
        <w:pStyle w:val="2"/>
        <w:spacing w:before="160" w:after="80"/>
      </w:pPr>
      <w:bookmarkStart w:id="17" w:name="_Toc235800657"/>
      <w:r>
        <w:t>5. Conclusion</w:t>
      </w:r>
      <w:bookmarkEnd w:id="17"/>
    </w:p>
    <w:p w14:paraId="6541BD11">
      <w:pPr>
        <w:jc w:val="both"/>
      </w:pPr>
      <w:r>
        <w:t>Person-centred care, partnership working and ethics are interconnected. Person-centred practice protects identity, choice and dignity; partnership provides coordinated knowledge and action; and ethics guides decisions when rights and risks conflict. The safeguarding case showed that protection is more than referral or risk removal: it requires listening, capacity- and coercion-aware assessment, lawful information sharing, reasoned records and review of the person’s chosen outcomes. My reflection identified strengths in empathy and timely reporting, together with development needs in law, documentation and professional challenge. I am committed to safer, accountable and genuinely person-centred practice.</w:t>
      </w:r>
    </w:p>
    <w:p w14:paraId="25FF0FB1">
      <w:pPr>
        <w:pStyle w:val="2"/>
        <w:spacing w:before="160" w:after="80"/>
      </w:pPr>
      <w:bookmarkStart w:id="18" w:name="_Toc235800658"/>
      <w:r>
        <w:t>Reference List</w:t>
      </w:r>
      <w:bookmarkEnd w:id="18"/>
    </w:p>
    <w:p w14:paraId="4509BCF6">
      <w:pPr>
        <w:spacing w:after="80"/>
        <w:ind w:left="432" w:hanging="432"/>
      </w:pPr>
      <w:r>
        <w:t xml:space="preserve">Beauchamp, T.L. and Childress, J.F. (2019) </w:t>
      </w:r>
      <w:r>
        <w:fldChar w:fldCharType="begin"/>
      </w:r>
      <w:r>
        <w:instrText xml:space="preserve"> HYPERLINK "https://global.oup.com/academic/product/principles-of-biomedical-ethics-9780190640873" \h </w:instrText>
      </w:r>
      <w:r>
        <w:fldChar w:fldCharType="separate"/>
      </w:r>
      <w:r>
        <w:rPr>
          <w:color w:val="0563C1"/>
          <w:u w:val="single"/>
        </w:rPr>
        <w:t>Principles of Biomedical Ethics</w:t>
      </w:r>
      <w:r>
        <w:rPr>
          <w:color w:val="0563C1"/>
          <w:u w:val="single"/>
        </w:rPr>
        <w:fldChar w:fldCharType="end"/>
      </w:r>
      <w:r>
        <w:t>. 8th edn. New York: Oxford University Press.</w:t>
      </w:r>
    </w:p>
    <w:p w14:paraId="21A30408">
      <w:pPr>
        <w:spacing w:after="80"/>
        <w:ind w:left="432" w:hanging="432"/>
      </w:pPr>
      <w:r>
        <w:t xml:space="preserve">Britten, N., Ekman, I., Naldemirci, Ö., Javinger, M., Hedman, H. and Wolf, A. (2020) ‘Learning from the Gothenburg model of person-centred healthcare’, </w:t>
      </w:r>
      <w:r>
        <w:fldChar w:fldCharType="begin"/>
      </w:r>
      <w:r>
        <w:instrText xml:space="preserve"> HYPERLINK "https://doi.org/10.1136/bmj.m2738" \h </w:instrText>
      </w:r>
      <w:r>
        <w:fldChar w:fldCharType="separate"/>
      </w:r>
      <w:r>
        <w:rPr>
          <w:color w:val="0563C1"/>
          <w:u w:val="single"/>
        </w:rPr>
        <w:t>BMJ</w:t>
      </w:r>
      <w:r>
        <w:rPr>
          <w:color w:val="0563C1"/>
          <w:u w:val="single"/>
        </w:rPr>
        <w:fldChar w:fldCharType="end"/>
      </w:r>
      <w:r>
        <w:t>, 370, m2738. doi: 10.1136/bmj.m2738.</w:t>
      </w:r>
    </w:p>
    <w:p w14:paraId="05DE7882">
      <w:pPr>
        <w:spacing w:after="80"/>
        <w:ind w:left="432" w:hanging="432"/>
      </w:pPr>
      <w:r>
        <w:t xml:space="preserve">Care Act 2014, c.23. </w:t>
      </w:r>
      <w:r>
        <w:fldChar w:fldCharType="begin"/>
      </w:r>
      <w:r>
        <w:instrText xml:space="preserve"> HYPERLINK "https://www.legislation.gov.uk/ukpga/2014/23/contents" \h </w:instrText>
      </w:r>
      <w:r>
        <w:fldChar w:fldCharType="separate"/>
      </w:r>
      <w:r>
        <w:rPr>
          <w:color w:val="0563C1"/>
          <w:u w:val="single"/>
        </w:rPr>
        <w:t>Available at: legislation.gov.uk</w:t>
      </w:r>
      <w:r>
        <w:rPr>
          <w:color w:val="0563C1"/>
          <w:u w:val="single"/>
        </w:rPr>
        <w:fldChar w:fldCharType="end"/>
      </w:r>
      <w:r>
        <w:t xml:space="preserve"> (Accessed: 24 July 2026).</w:t>
      </w:r>
    </w:p>
    <w:p w14:paraId="42C1BF49">
      <w:pPr>
        <w:spacing w:after="80"/>
        <w:ind w:left="432" w:hanging="432"/>
      </w:pPr>
      <w:r>
        <w:t xml:space="preserve">Care Quality Commission (2025) </w:t>
      </w:r>
      <w:r>
        <w:fldChar w:fldCharType="begin"/>
      </w:r>
      <w:r>
        <w:instrText xml:space="preserve"> HYPERLINK "https://www.cqc.org.uk/guidance-regulation/providers/regulations-service-providers-and-managers/health-social-care-act/regulation-9" \h </w:instrText>
      </w:r>
      <w:r>
        <w:fldChar w:fldCharType="separate"/>
      </w:r>
      <w:r>
        <w:rPr>
          <w:color w:val="0563C1"/>
          <w:u w:val="single"/>
        </w:rPr>
        <w:t>Regulation 9: Person-centred care</w:t>
      </w:r>
      <w:r>
        <w:rPr>
          <w:color w:val="0563C1"/>
          <w:u w:val="single"/>
        </w:rPr>
        <w:fldChar w:fldCharType="end"/>
      </w:r>
      <w:r>
        <w:t>. Available at: CQC (Accessed: 24 July 2026).</w:t>
      </w:r>
    </w:p>
    <w:p w14:paraId="1DD425DE">
      <w:pPr>
        <w:spacing w:after="80"/>
        <w:ind w:left="432" w:hanging="432"/>
      </w:pPr>
      <w:r>
        <w:t xml:space="preserve">Carron, T., Rawlinson, C., Arditi, C., Cohidon, C., Hong, Q.N., Pluye, P., Gilles, I. and Peytremann-Bridevaux, I. (2021) ‘An overview of reviews on interprofessional collaboration in primary care: effectiveness’, </w:t>
      </w:r>
      <w:r>
        <w:fldChar w:fldCharType="begin"/>
      </w:r>
      <w:r>
        <w:instrText xml:space="preserve"> HYPERLINK "https://doi.org/10.5334/ijic.5588" \h </w:instrText>
      </w:r>
      <w:r>
        <w:fldChar w:fldCharType="separate"/>
      </w:r>
      <w:r>
        <w:rPr>
          <w:color w:val="0563C1"/>
          <w:u w:val="single"/>
        </w:rPr>
        <w:t>International Journal of Integrated Care</w:t>
      </w:r>
      <w:r>
        <w:rPr>
          <w:color w:val="0563C1"/>
          <w:u w:val="single"/>
        </w:rPr>
        <w:fldChar w:fldCharType="end"/>
      </w:r>
      <w:r>
        <w:t>, 21(2), 31. doi: 10.5334/ijic.5588.</w:t>
      </w:r>
    </w:p>
    <w:p w14:paraId="6EBD8106">
      <w:pPr>
        <w:spacing w:after="80"/>
        <w:ind w:left="432" w:hanging="432"/>
      </w:pPr>
      <w:r>
        <w:t xml:space="preserve">Data Protection Act 2018, c.12. </w:t>
      </w:r>
      <w:r>
        <w:fldChar w:fldCharType="begin"/>
      </w:r>
      <w:r>
        <w:instrText xml:space="preserve"> HYPERLINK "https://www.legislation.gov.uk/ukpga/2018/12/contents" \h </w:instrText>
      </w:r>
      <w:r>
        <w:fldChar w:fldCharType="separate"/>
      </w:r>
      <w:r>
        <w:rPr>
          <w:color w:val="0563C1"/>
          <w:u w:val="single"/>
        </w:rPr>
        <w:t>Available at: legislation.gov.uk</w:t>
      </w:r>
      <w:r>
        <w:rPr>
          <w:color w:val="0563C1"/>
          <w:u w:val="single"/>
        </w:rPr>
        <w:fldChar w:fldCharType="end"/>
      </w:r>
      <w:r>
        <w:t xml:space="preserve"> (Accessed: 24 July 2026).</w:t>
      </w:r>
    </w:p>
    <w:p w14:paraId="770BB90A">
      <w:pPr>
        <w:spacing w:after="80"/>
        <w:ind w:left="432" w:hanging="432"/>
      </w:pPr>
      <w:r>
        <w:t xml:space="preserve">Department of Health and Social Care (2024) </w:t>
      </w:r>
      <w:r>
        <w:fldChar w:fldCharType="begin"/>
      </w:r>
      <w:r>
        <w:instrText xml:space="preserve"> HYPERLINK "https://www.gov.uk/government/publications/guidance-on-the-preparation-of-integrated-care-strategies/guidance-on-the-preparation-of-integrated-care-strategies" \h </w:instrText>
      </w:r>
      <w:r>
        <w:fldChar w:fldCharType="separate"/>
      </w:r>
      <w:r>
        <w:rPr>
          <w:color w:val="0563C1"/>
          <w:u w:val="single"/>
        </w:rPr>
        <w:t>Guidance on the preparation of integrated care strategies</w:t>
      </w:r>
      <w:r>
        <w:rPr>
          <w:color w:val="0563C1"/>
          <w:u w:val="single"/>
        </w:rPr>
        <w:fldChar w:fldCharType="end"/>
      </w:r>
      <w:r>
        <w:t>. Available at: GOV.UK (Accessed: 24 July 2026).</w:t>
      </w:r>
    </w:p>
    <w:p w14:paraId="17C6AA33">
      <w:pPr>
        <w:spacing w:after="80"/>
        <w:ind w:left="432" w:hanging="432"/>
      </w:pPr>
      <w:r>
        <w:t xml:space="preserve">Department of Health and Social Care (2025) </w:t>
      </w:r>
      <w:r>
        <w:fldChar w:fldCharType="begin"/>
      </w:r>
      <w:r>
        <w:instrText xml:space="preserve"> HYPERLINK "https://www.gov.uk/government/publications/care-act-statutory-guidance/care-and-support-statutory-guidance" \h </w:instrText>
      </w:r>
      <w:r>
        <w:fldChar w:fldCharType="separate"/>
      </w:r>
      <w:r>
        <w:rPr>
          <w:color w:val="0563C1"/>
          <w:u w:val="single"/>
        </w:rPr>
        <w:t>Care and support statutory guidance</w:t>
      </w:r>
      <w:r>
        <w:rPr>
          <w:color w:val="0563C1"/>
          <w:u w:val="single"/>
        </w:rPr>
        <w:fldChar w:fldCharType="end"/>
      </w:r>
      <w:r>
        <w:t>. Available at: GOV.UK (Accessed: 24 July 2026).</w:t>
      </w:r>
    </w:p>
    <w:p w14:paraId="3B7C19DB">
      <w:pPr>
        <w:spacing w:after="80"/>
        <w:ind w:left="432" w:hanging="432"/>
      </w:pPr>
      <w:r>
        <w:t xml:space="preserve">Gibbs, G. (1988) </w:t>
      </w:r>
      <w:r>
        <w:rPr>
          <w:i/>
        </w:rPr>
        <w:t>Learning by Doing: A Guide to Teaching and Learning Methods</w:t>
      </w:r>
      <w:r>
        <w:t>. Oxford: Further Education Unit, Oxford Polytechnic.</w:t>
      </w:r>
    </w:p>
    <w:p w14:paraId="22F8AA4C">
      <w:pPr>
        <w:spacing w:after="80"/>
        <w:ind w:left="432" w:hanging="432"/>
      </w:pPr>
      <w:r>
        <w:t xml:space="preserve">Gustavsson, K., van Diepen, C., Fors, A., Axelsson, M., Bertilsson, M. and Hensing, G. (2023) ‘Healthcare professionals’ experiences of job satisfaction when providing person-centred care: a systematic review of qualitative studies’, </w:t>
      </w:r>
      <w:r>
        <w:fldChar w:fldCharType="begin"/>
      </w:r>
      <w:r>
        <w:instrText xml:space="preserve"> HYPERLINK "https://doi.org/10.1136/bmjopen-2022-071178" \h </w:instrText>
      </w:r>
      <w:r>
        <w:fldChar w:fldCharType="separate"/>
      </w:r>
      <w:r>
        <w:rPr>
          <w:color w:val="0563C1"/>
          <w:u w:val="single"/>
        </w:rPr>
        <w:t>BMJ Open</w:t>
      </w:r>
      <w:r>
        <w:rPr>
          <w:color w:val="0563C1"/>
          <w:u w:val="single"/>
        </w:rPr>
        <w:fldChar w:fldCharType="end"/>
      </w:r>
      <w:r>
        <w:t>, 13(6), e071178. doi: 10.1136/bmjopen-2022-071178.</w:t>
      </w:r>
    </w:p>
    <w:p w14:paraId="38A9E0E1">
      <w:pPr>
        <w:spacing w:after="80"/>
        <w:ind w:left="432" w:hanging="432"/>
      </w:pPr>
      <w:r>
        <w:t xml:space="preserve">Health and Care Act 2022, c.31. </w:t>
      </w:r>
      <w:r>
        <w:fldChar w:fldCharType="begin"/>
      </w:r>
      <w:r>
        <w:instrText xml:space="preserve"> HYPERLINK "https://www.legislation.gov.uk/ukpga/2022/31/contents" \h </w:instrText>
      </w:r>
      <w:r>
        <w:fldChar w:fldCharType="separate"/>
      </w:r>
      <w:r>
        <w:rPr>
          <w:color w:val="0563C1"/>
          <w:u w:val="single"/>
        </w:rPr>
        <w:t>Available at: legislation.gov.uk</w:t>
      </w:r>
      <w:r>
        <w:rPr>
          <w:color w:val="0563C1"/>
          <w:u w:val="single"/>
        </w:rPr>
        <w:fldChar w:fldCharType="end"/>
      </w:r>
      <w:r>
        <w:t xml:space="preserve"> (Accessed: 24 July 2026).</w:t>
      </w:r>
    </w:p>
    <w:p w14:paraId="6824E536">
      <w:pPr>
        <w:spacing w:after="80"/>
        <w:ind w:left="432" w:hanging="432"/>
      </w:pPr>
      <w:r>
        <w:t xml:space="preserve">Maslow, A.H. (1943) ‘A theory of human motivation’, </w:t>
      </w:r>
      <w:r>
        <w:fldChar w:fldCharType="begin"/>
      </w:r>
      <w:r>
        <w:instrText xml:space="preserve"> HYPERLINK "https://doi.org/10.1037/h0054346" \h </w:instrText>
      </w:r>
      <w:r>
        <w:fldChar w:fldCharType="separate"/>
      </w:r>
      <w:r>
        <w:rPr>
          <w:color w:val="0563C1"/>
          <w:u w:val="single"/>
        </w:rPr>
        <w:t>Psychological Review</w:t>
      </w:r>
      <w:r>
        <w:rPr>
          <w:color w:val="0563C1"/>
          <w:u w:val="single"/>
        </w:rPr>
        <w:fldChar w:fldCharType="end"/>
      </w:r>
      <w:r>
        <w:t>, 50(4), pp. 370–396. doi: 10.1037/h0054346.</w:t>
      </w:r>
    </w:p>
    <w:p w14:paraId="6A7A41C6">
      <w:pPr>
        <w:spacing w:after="80"/>
        <w:ind w:left="432" w:hanging="432"/>
      </w:pPr>
      <w:r>
        <w:t xml:space="preserve">Mental Capacity Act 2005, c.9. </w:t>
      </w:r>
      <w:r>
        <w:fldChar w:fldCharType="begin"/>
      </w:r>
      <w:r>
        <w:instrText xml:space="preserve"> HYPERLINK "https://www.legislation.gov.uk/ukpga/2005/9/contents" \h </w:instrText>
      </w:r>
      <w:r>
        <w:fldChar w:fldCharType="separate"/>
      </w:r>
      <w:r>
        <w:rPr>
          <w:color w:val="0563C1"/>
          <w:u w:val="single"/>
        </w:rPr>
        <w:t>Available at: legislation.gov.uk</w:t>
      </w:r>
      <w:r>
        <w:rPr>
          <w:color w:val="0563C1"/>
          <w:u w:val="single"/>
        </w:rPr>
        <w:fldChar w:fldCharType="end"/>
      </w:r>
      <w:r>
        <w:t xml:space="preserve"> (Accessed: 24 July 2026).</w:t>
      </w:r>
    </w:p>
    <w:p w14:paraId="6F3A3E1D">
      <w:pPr>
        <w:spacing w:after="80"/>
        <w:ind w:left="432" w:hanging="432"/>
      </w:pPr>
      <w:r>
        <w:t xml:space="preserve">National Institute for Health and Care Excellence (2021) </w:t>
      </w:r>
      <w:r>
        <w:fldChar w:fldCharType="begin"/>
      </w:r>
      <w:r>
        <w:instrText xml:space="preserve"> HYPERLINK "https://www.nice.org.uk/guidance/ng189" \h </w:instrText>
      </w:r>
      <w:r>
        <w:fldChar w:fldCharType="separate"/>
      </w:r>
      <w:r>
        <w:rPr>
          <w:color w:val="0563C1"/>
          <w:u w:val="single"/>
        </w:rPr>
        <w:t>Safeguarding adults in care homes (NG189)</w:t>
      </w:r>
      <w:r>
        <w:rPr>
          <w:color w:val="0563C1"/>
          <w:u w:val="single"/>
        </w:rPr>
        <w:fldChar w:fldCharType="end"/>
      </w:r>
      <w:r>
        <w:t>. Available at: NICE (Accessed: 24 July 2026).</w:t>
      </w:r>
    </w:p>
    <w:p w14:paraId="286DE209">
      <w:pPr>
        <w:spacing w:after="80"/>
        <w:ind w:left="432" w:hanging="432"/>
      </w:pPr>
      <w:r>
        <w:t xml:space="preserve">NHS England (n.d.) </w:t>
      </w:r>
      <w:r>
        <w:fldChar w:fldCharType="begin"/>
      </w:r>
      <w:r>
        <w:instrText xml:space="preserve"> HYPERLINK "https://www.england.nhs.uk/personalisedcare/shared-decision-making/" \h </w:instrText>
      </w:r>
      <w:r>
        <w:fldChar w:fldCharType="separate"/>
      </w:r>
      <w:r>
        <w:rPr>
          <w:color w:val="0563C1"/>
          <w:u w:val="single"/>
        </w:rPr>
        <w:t>Shared decision-making</w:t>
      </w:r>
      <w:r>
        <w:rPr>
          <w:color w:val="0563C1"/>
          <w:u w:val="single"/>
        </w:rPr>
        <w:fldChar w:fldCharType="end"/>
      </w:r>
      <w:r>
        <w:t>. Available at: NHS England (Accessed: 24 July 2026).</w:t>
      </w:r>
    </w:p>
    <w:p w14:paraId="1A8544B8">
      <w:pPr>
        <w:spacing w:after="80"/>
        <w:ind w:left="432" w:hanging="432"/>
      </w:pPr>
      <w:r>
        <w:t xml:space="preserve">Nursing and Midwifery Council (2018) </w:t>
      </w:r>
      <w:r>
        <w:fldChar w:fldCharType="begin"/>
      </w:r>
      <w:r>
        <w:instrText xml:space="preserve"> HYPERLINK "https://www.nmc.org.uk/standards/code/" \h </w:instrText>
      </w:r>
      <w:r>
        <w:fldChar w:fldCharType="separate"/>
      </w:r>
      <w:r>
        <w:rPr>
          <w:color w:val="0563C1"/>
          <w:u w:val="single"/>
        </w:rPr>
        <w:t>The Code: Professional standards of practice and behaviour for nurses, midwives and nursing associates</w:t>
      </w:r>
      <w:r>
        <w:rPr>
          <w:color w:val="0563C1"/>
          <w:u w:val="single"/>
        </w:rPr>
        <w:fldChar w:fldCharType="end"/>
      </w:r>
      <w:r>
        <w:t>. London: NMC. Available at: NMC (Accessed: 24 July 2026).</w:t>
      </w:r>
    </w:p>
    <w:p w14:paraId="05AA0B55">
      <w:pPr>
        <w:spacing w:after="80"/>
        <w:ind w:left="432" w:hanging="432"/>
      </w:pPr>
      <w:r>
        <w:t xml:space="preserve">Rawlinson, C., Carron, T., Cohidon, C., Arditi, C., Hong, Q.N., Pluye, P., Peytremann-Bridevaux, I. and Gilles, I. (2021) ‘An overview of reviews on interprofessional collaboration in primary care: barriers and facilitators’, </w:t>
      </w:r>
      <w:r>
        <w:fldChar w:fldCharType="begin"/>
      </w:r>
      <w:r>
        <w:instrText xml:space="preserve"> HYPERLINK "https://doi.org/10.5334/ijic.5589" \h </w:instrText>
      </w:r>
      <w:r>
        <w:fldChar w:fldCharType="separate"/>
      </w:r>
      <w:r>
        <w:rPr>
          <w:color w:val="0563C1"/>
          <w:u w:val="single"/>
        </w:rPr>
        <w:t>International Journal of Integrated Care</w:t>
      </w:r>
      <w:r>
        <w:rPr>
          <w:color w:val="0563C1"/>
          <w:u w:val="single"/>
        </w:rPr>
        <w:fldChar w:fldCharType="end"/>
      </w:r>
      <w:r>
        <w:t>, 21(2), 32. doi: 10.5334/ijic.5589.</w:t>
      </w:r>
    </w:p>
    <w:p w14:paraId="6781701A">
      <w:pPr>
        <w:spacing w:after="80"/>
        <w:ind w:left="432" w:hanging="432"/>
      </w:pPr>
      <w:r>
        <w:t xml:space="preserve">Social Care Institute for Excellence (n.d.-a) </w:t>
      </w:r>
      <w:r>
        <w:fldChar w:fldCharType="begin"/>
      </w:r>
      <w:r>
        <w:instrText xml:space="preserve"> HYPERLINK "https://www.scie.org.uk/safeguarding/adults/safeguarding-adults-boards-checklist-and-resources/making-safeguarding-personal/" \h </w:instrText>
      </w:r>
      <w:r>
        <w:fldChar w:fldCharType="separate"/>
      </w:r>
      <w:r>
        <w:rPr>
          <w:color w:val="0563C1"/>
          <w:u w:val="single"/>
        </w:rPr>
        <w:t>Making Safeguarding Personal</w:t>
      </w:r>
      <w:r>
        <w:rPr>
          <w:color w:val="0563C1"/>
          <w:u w:val="single"/>
        </w:rPr>
        <w:fldChar w:fldCharType="end"/>
      </w:r>
      <w:r>
        <w:t>. Available at: SCIE (Accessed: 24 July 2026).</w:t>
      </w:r>
    </w:p>
    <w:p w14:paraId="6BB6866F">
      <w:pPr>
        <w:spacing w:after="80"/>
        <w:ind w:left="432" w:hanging="432"/>
      </w:pPr>
      <w:r>
        <w:t xml:space="preserve">Social Care Institute for Excellence (n.d.-b) </w:t>
      </w:r>
      <w:r>
        <w:fldChar w:fldCharType="begin"/>
      </w:r>
      <w:r>
        <w:instrText xml:space="preserve"> HYPERLINK "https://www.scie.org.uk/safeguarding/adults/practice/sharing-information/" \h </w:instrText>
      </w:r>
      <w:r>
        <w:fldChar w:fldCharType="separate"/>
      </w:r>
      <w:r>
        <w:rPr>
          <w:color w:val="0563C1"/>
          <w:u w:val="single"/>
        </w:rPr>
        <w:t>Safeguarding adults: sharing information</w:t>
      </w:r>
      <w:r>
        <w:rPr>
          <w:color w:val="0563C1"/>
          <w:u w:val="single"/>
        </w:rPr>
        <w:fldChar w:fldCharType="end"/>
      </w:r>
      <w:r>
        <w:t>. Available at: SCIE (Accessed: 24 July 2026).</w:t>
      </w:r>
    </w:p>
    <w:p w14:paraId="54504D3B">
      <w:pPr>
        <w:spacing w:after="80"/>
        <w:ind w:left="432" w:hanging="432"/>
      </w:pPr>
      <w:r>
        <w:t xml:space="preserve">van Diepen, C., Fors, A., Ekman, I. and Hensing, G. (2020) ‘Association between person-centred care and healthcare providers’ job satisfaction and work-related health: a scoping review’, </w:t>
      </w:r>
      <w:r>
        <w:fldChar w:fldCharType="begin"/>
      </w:r>
      <w:r>
        <w:instrText xml:space="preserve"> HYPERLINK "https://doi.org/10.1136/bmjopen-2020-042658" \h </w:instrText>
      </w:r>
      <w:r>
        <w:fldChar w:fldCharType="separate"/>
      </w:r>
      <w:r>
        <w:rPr>
          <w:color w:val="0563C1"/>
          <w:u w:val="single"/>
        </w:rPr>
        <w:t>BMJ Open</w:t>
      </w:r>
      <w:r>
        <w:rPr>
          <w:color w:val="0563C1"/>
          <w:u w:val="single"/>
        </w:rPr>
        <w:fldChar w:fldCharType="end"/>
      </w:r>
      <w:r>
        <w:t>, 10(12), e042658. doi: 10.1136/bmjopen-2020-042658.</w:t>
      </w:r>
    </w:p>
    <w:p w14:paraId="27AFA27B">
      <w:pPr>
        <w:spacing w:after="80"/>
        <w:ind w:left="432" w:hanging="432"/>
      </w:pPr>
      <w:r>
        <w:t xml:space="preserve">Varkey, B. (2020) ‘Principles of clinical ethics and their application to practice’, </w:t>
      </w:r>
      <w:r>
        <w:fldChar w:fldCharType="begin"/>
      </w:r>
      <w:r>
        <w:instrText xml:space="preserve"> HYPERLINK "https://doi.org/10.1159/000509119" \h </w:instrText>
      </w:r>
      <w:r>
        <w:fldChar w:fldCharType="separate"/>
      </w:r>
      <w:r>
        <w:rPr>
          <w:color w:val="0563C1"/>
          <w:u w:val="single"/>
        </w:rPr>
        <w:t>Medical Principles and Practice</w:t>
      </w:r>
      <w:r>
        <w:rPr>
          <w:color w:val="0563C1"/>
          <w:u w:val="single"/>
        </w:rPr>
        <w:fldChar w:fldCharType="end"/>
      </w:r>
      <w:r>
        <w:t>, 30(1), pp. 17–28. doi: 10.1159/000509119.</w:t>
      </w:r>
    </w:p>
    <w:sectPr>
      <w:headerReference r:id="rId5" w:type="default"/>
      <w:footerReference r:id="rId6"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ＭＳ 明朝">
    <w:altName w:val="SimSun"/>
    <w:panose1 w:val="00000000000000000000"/>
    <w:charset w:val="86"/>
    <w:family w:val="auto"/>
    <w:pitch w:val="default"/>
    <w:sig w:usb0="00000000" w:usb1="00000000" w:usb2="00000000" w:usb3="00000000" w:csb0="00000000" w:csb1="0000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Courier">
    <w:altName w:val="Courier New"/>
    <w:panose1 w:val="02070409020205020404"/>
    <w:charset w:val="00"/>
    <w:family w:val="auto"/>
    <w:pitch w:val="default"/>
    <w:sig w:usb0="00000000" w:usb1="00000000" w:usb2="00000000" w:usb3="00000000" w:csb0="00000001"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35DAD16">
    <w:pPr>
      <w:pStyle w:val="1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64619A6">
    <w:pPr>
      <w:pStyle w:val="1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2"/>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1"/>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6"/>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5"/>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30"/>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4"/>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15074B"/>
    <w:rsid w:val="0029639D"/>
    <w:rsid w:val="00326F90"/>
    <w:rsid w:val="0037728B"/>
    <w:rsid w:val="00904924"/>
    <w:rsid w:val="0092682E"/>
    <w:rsid w:val="00A32CAB"/>
    <w:rsid w:val="00AA1D8D"/>
    <w:rsid w:val="00B47730"/>
    <w:rsid w:val="00CB0664"/>
    <w:rsid w:val="00E31AA5"/>
    <w:rsid w:val="00FA1AD0"/>
    <w:rsid w:val="00FC693F"/>
    <w:rsid w:val="00FF29C0"/>
    <w:rsid w:val="570D40D7"/>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semiHidden="0" w:name="macro"/>
    <w:lsdException w:uiPriority="99" w:name="toa heading"/>
    <w:lsdException w:qFormat="1" w:uiPriority="99" w:semiHidden="0" w:name="List"/>
    <w:lsdException w:qFormat="1" w:uiPriority="99" w:semiHidden="0" w:name="List Bullet"/>
    <w:lsdException w:uiPriority="99" w:semiHidden="0" w:name="List Number"/>
    <w:lsdException w:qFormat="1" w:uiPriority="99" w:semiHidden="0" w:name="List 2"/>
    <w:lsdException w:uiPriority="99" w:semiHidden="0" w:name="List 3"/>
    <w:lsdException w:uiPriority="99" w:name="List 4"/>
    <w:lsdException w:uiPriority="99" w:name="List 5"/>
    <w:lsdException w:qFormat="1" w:uiPriority="99" w:semiHidden="0" w:name="List Bullet 2"/>
    <w:lsdException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semiHidden="0" w:name="List Continue"/>
    <w:lsdException w:qFormat="1"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uiPriority="99" w:semiHidden="0"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pPr>
    <w:rPr>
      <w:rFonts w:ascii="Arial" w:hAnsi="Arial" w:eastAsia="Arial" w:cstheme="minorBidi"/>
      <w:sz w:val="22"/>
      <w:szCs w:val="22"/>
      <w:lang w:val="en-US" w:eastAsia="en-US" w:bidi="ar-SA"/>
    </w:rPr>
  </w:style>
  <w:style w:type="paragraph" w:styleId="2">
    <w:name w:val="heading 1"/>
    <w:basedOn w:val="1"/>
    <w:next w:val="1"/>
    <w:link w:val="141"/>
    <w:qFormat/>
    <w:uiPriority w:val="9"/>
    <w:pPr>
      <w:keepNext/>
      <w:keepLines/>
      <w:spacing w:before="480" w:after="0"/>
      <w:outlineLvl w:val="0"/>
    </w:pPr>
    <w:rPr>
      <w:rFonts w:asciiTheme="majorHAnsi" w:hAnsiTheme="majorHAnsi" w:eastAsiaTheme="majorEastAsia" w:cstheme="majorBidi"/>
      <w:b/>
      <w:bCs/>
      <w:color w:val="000000"/>
      <w:sz w:val="28"/>
      <w:szCs w:val="28"/>
    </w:rPr>
  </w:style>
  <w:style w:type="paragraph" w:styleId="3">
    <w:name w:val="heading 2"/>
    <w:basedOn w:val="1"/>
    <w:next w:val="1"/>
    <w:link w:val="142"/>
    <w:unhideWhenUsed/>
    <w:qFormat/>
    <w:uiPriority w:val="9"/>
    <w:pPr>
      <w:keepNext/>
      <w:keepLines/>
      <w:spacing w:before="200" w:after="0"/>
      <w:outlineLvl w:val="1"/>
    </w:pPr>
    <w:rPr>
      <w:rFonts w:asciiTheme="majorHAnsi" w:hAnsiTheme="majorHAnsi" w:eastAsiaTheme="majorEastAsia" w:cstheme="majorBidi"/>
      <w:b/>
      <w:bCs/>
      <w:color w:val="000000"/>
      <w:sz w:val="24"/>
      <w:szCs w:val="26"/>
    </w:rPr>
  </w:style>
  <w:style w:type="paragraph" w:styleId="4">
    <w:name w:val="heading 3"/>
    <w:basedOn w:val="1"/>
    <w:next w:val="1"/>
    <w:link w:val="143"/>
    <w:unhideWhenUsed/>
    <w:qFormat/>
    <w:uiPriority w:val="9"/>
    <w:pPr>
      <w:keepNext/>
      <w:keepLines/>
      <w:spacing w:before="200" w:after="0"/>
      <w:outlineLvl w:val="2"/>
    </w:pPr>
    <w:rPr>
      <w:rFonts w:asciiTheme="majorHAnsi" w:hAnsiTheme="majorHAnsi" w:eastAsiaTheme="majorEastAsia" w:cstheme="majorBidi"/>
      <w:b/>
      <w:bCs/>
      <w:color w:val="000000"/>
    </w:rPr>
  </w:style>
  <w:style w:type="paragraph" w:styleId="5">
    <w:name w:val="heading 4"/>
    <w:basedOn w:val="1"/>
    <w:next w:val="1"/>
    <w:link w:val="153"/>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4"/>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5"/>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6"/>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7"/>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8"/>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7"/>
    <w:unhideWhenUsed/>
    <w:qFormat/>
    <w:uiPriority w:val="99"/>
  </w:style>
  <w:style w:type="paragraph" w:styleId="14">
    <w:name w:val="Body Text 2"/>
    <w:basedOn w:val="1"/>
    <w:link w:val="148"/>
    <w:unhideWhenUsed/>
    <w:qFormat/>
    <w:uiPriority w:val="99"/>
    <w:pPr>
      <w:spacing w:line="480" w:lineRule="auto"/>
    </w:pPr>
  </w:style>
  <w:style w:type="paragraph" w:styleId="15">
    <w:name w:val="Body Text 3"/>
    <w:basedOn w:val="1"/>
    <w:link w:val="149"/>
    <w:unhideWhenUsed/>
    <w:uiPriority w:val="99"/>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9"/>
    <w:unhideWhenUsed/>
    <w:qFormat/>
    <w:uiPriority w:val="99"/>
    <w:pPr>
      <w:tabs>
        <w:tab w:val="center" w:pos="4680"/>
        <w:tab w:val="right" w:pos="9360"/>
      </w:tabs>
      <w:spacing w:after="0" w:line="240" w:lineRule="auto"/>
    </w:pPr>
  </w:style>
  <w:style w:type="paragraph" w:styleId="19">
    <w:name w:val="header"/>
    <w:basedOn w:val="1"/>
    <w:link w:val="138"/>
    <w:unhideWhenUsed/>
    <w:qFormat/>
    <w:uiPriority w:val="99"/>
    <w:pPr>
      <w:tabs>
        <w:tab w:val="center" w:pos="4680"/>
        <w:tab w:val="right" w:pos="9360"/>
      </w:tabs>
      <w:spacing w:after="0" w:line="240" w:lineRule="auto"/>
    </w:pPr>
  </w:style>
  <w:style w:type="character" w:styleId="20">
    <w:name w:val="Hyperlink"/>
    <w:basedOn w:val="11"/>
    <w:unhideWhenUsed/>
    <w:uiPriority w:val="99"/>
    <w:rPr>
      <w:color w:val="0000FF" w:themeColor="hyperlink"/>
      <w:u w:val="single"/>
      <w14:textFill>
        <w14:solidFill>
          <w14:schemeClr w14:val="hlink"/>
        </w14:solidFill>
      </w14:textFill>
    </w:rPr>
  </w:style>
  <w:style w:type="paragraph" w:styleId="21">
    <w:name w:val="List"/>
    <w:basedOn w:val="1"/>
    <w:unhideWhenUsed/>
    <w:qFormat/>
    <w:uiPriority w:val="99"/>
    <w:pPr>
      <w:ind w:left="360" w:hanging="360"/>
      <w:contextualSpacing/>
    </w:pPr>
  </w:style>
  <w:style w:type="paragraph" w:styleId="22">
    <w:name w:val="List 2"/>
    <w:basedOn w:val="1"/>
    <w:unhideWhenUsed/>
    <w:qFormat/>
    <w:uiPriority w:val="99"/>
    <w:pPr>
      <w:ind w:left="720" w:hanging="360"/>
      <w:contextualSpacing/>
    </w:pPr>
  </w:style>
  <w:style w:type="paragraph" w:styleId="23">
    <w:name w:val="List 3"/>
    <w:basedOn w:val="1"/>
    <w:unhideWhenUsed/>
    <w:uiPriority w:val="99"/>
    <w:pPr>
      <w:ind w:left="1080" w:hanging="360"/>
      <w:contextualSpacing/>
    </w:pPr>
  </w:style>
  <w:style w:type="paragraph" w:styleId="24">
    <w:name w:val="List Bullet"/>
    <w:basedOn w:val="1"/>
    <w:unhideWhenUsed/>
    <w:qFormat/>
    <w:uiPriority w:val="99"/>
    <w:pPr>
      <w:numPr>
        <w:ilvl w:val="0"/>
        <w:numId w:val="1"/>
      </w:numPr>
      <w:contextualSpacing/>
    </w:pPr>
  </w:style>
  <w:style w:type="paragraph" w:styleId="25">
    <w:name w:val="List Bullet 2"/>
    <w:basedOn w:val="1"/>
    <w:unhideWhenUsed/>
    <w:qFormat/>
    <w:uiPriority w:val="99"/>
    <w:pPr>
      <w:numPr>
        <w:ilvl w:val="0"/>
        <w:numId w:val="2"/>
      </w:numPr>
      <w:contextualSpacing/>
    </w:pPr>
  </w:style>
  <w:style w:type="paragraph" w:styleId="26">
    <w:name w:val="List Bullet 3"/>
    <w:basedOn w:val="1"/>
    <w:unhideWhenUsed/>
    <w:uiPriority w:val="99"/>
    <w:pPr>
      <w:numPr>
        <w:ilvl w:val="0"/>
        <w:numId w:val="3"/>
      </w:numPr>
      <w:contextualSpacing/>
    </w:pPr>
  </w:style>
  <w:style w:type="paragraph" w:styleId="27">
    <w:name w:val="List Continue"/>
    <w:basedOn w:val="1"/>
    <w:unhideWhenUsed/>
    <w:uiPriority w:val="99"/>
    <w:pPr>
      <w:ind w:left="360"/>
      <w:contextualSpacing/>
    </w:pPr>
  </w:style>
  <w:style w:type="paragraph" w:styleId="28">
    <w:name w:val="List Continue 2"/>
    <w:basedOn w:val="1"/>
    <w:unhideWhenUsed/>
    <w:qFormat/>
    <w:uiPriority w:val="99"/>
    <w:pPr>
      <w:ind w:left="720"/>
      <w:contextualSpacing/>
    </w:pPr>
  </w:style>
  <w:style w:type="paragraph" w:styleId="29">
    <w:name w:val="List Continue 3"/>
    <w:basedOn w:val="1"/>
    <w:unhideWhenUsed/>
    <w:uiPriority w:val="99"/>
    <w:pPr>
      <w:ind w:left="1080"/>
      <w:contextualSpacing/>
    </w:pPr>
  </w:style>
  <w:style w:type="paragraph" w:styleId="30">
    <w:name w:val="List Number"/>
    <w:basedOn w:val="1"/>
    <w:unhideWhenUsed/>
    <w:uiPriority w:val="99"/>
    <w:pPr>
      <w:numPr>
        <w:ilvl w:val="0"/>
        <w:numId w:val="4"/>
      </w:numPr>
      <w:contextualSpacing/>
    </w:pPr>
  </w:style>
  <w:style w:type="paragraph" w:styleId="31">
    <w:name w:val="List Number 2"/>
    <w:basedOn w:val="1"/>
    <w:unhideWhenUsed/>
    <w:qFormat/>
    <w:uiPriority w:val="99"/>
    <w:pPr>
      <w:numPr>
        <w:ilvl w:val="0"/>
        <w:numId w:val="5"/>
      </w:numPr>
      <w:contextualSpacing/>
    </w:pPr>
  </w:style>
  <w:style w:type="paragraph" w:styleId="32">
    <w:name w:val="List Number 3"/>
    <w:basedOn w:val="1"/>
    <w:unhideWhenUsed/>
    <w:qFormat/>
    <w:uiPriority w:val="99"/>
    <w:pPr>
      <w:numPr>
        <w:ilvl w:val="0"/>
        <w:numId w:val="6"/>
      </w:numPr>
      <w:contextualSpacing/>
    </w:pPr>
  </w:style>
  <w:style w:type="paragraph" w:styleId="33">
    <w:name w:val="macro"/>
    <w:link w:val="150"/>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4">
    <w:name w:val="Strong"/>
    <w:basedOn w:val="11"/>
    <w:qFormat/>
    <w:uiPriority w:val="22"/>
    <w:rPr>
      <w:b/>
      <w:bCs/>
    </w:rPr>
  </w:style>
  <w:style w:type="paragraph" w:styleId="35">
    <w:name w:val="Subtitle"/>
    <w:basedOn w:val="1"/>
    <w:next w:val="1"/>
    <w:link w:val="145"/>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6">
    <w:name w:val="Table Grid"/>
    <w:basedOn w:val="12"/>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37">
    <w:name w:val="Title"/>
    <w:basedOn w:val="1"/>
    <w:next w:val="1"/>
    <w:link w:val="144"/>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b/>
      <w:color w:val="000000"/>
      <w:spacing w:val="5"/>
      <w:kern w:val="28"/>
      <w:sz w:val="34"/>
      <w:szCs w:val="52"/>
    </w:rPr>
  </w:style>
  <w:style w:type="paragraph" w:styleId="38">
    <w:name w:val="toc 1"/>
    <w:basedOn w:val="1"/>
    <w:next w:val="1"/>
    <w:autoRedefine/>
    <w:unhideWhenUsed/>
    <w:uiPriority w:val="39"/>
    <w:pPr>
      <w:spacing w:after="100"/>
    </w:pPr>
  </w:style>
  <w:style w:type="paragraph" w:styleId="39">
    <w:name w:val="toc 2"/>
    <w:basedOn w:val="1"/>
    <w:next w:val="1"/>
    <w:autoRedefine/>
    <w:unhideWhenUsed/>
    <w:uiPriority w:val="39"/>
    <w:pPr>
      <w:spacing w:after="100"/>
      <w:ind w:left="220"/>
    </w:pPr>
  </w:style>
  <w:style w:type="table" w:styleId="40">
    <w:name w:val="Light Shading"/>
    <w:basedOn w:val="12"/>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41">
    <w:name w:val="Light Shading Accent 1"/>
    <w:basedOn w:val="12"/>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42">
    <w:name w:val="Light Shading Accent 2"/>
    <w:basedOn w:val="12"/>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3">
    <w:name w:val="Light Shading Accent 3"/>
    <w:basedOn w:val="12"/>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4">
    <w:name w:val="Light Shading Accent 4"/>
    <w:basedOn w:val="12"/>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5">
    <w:name w:val="Light Shading Accent 5"/>
    <w:basedOn w:val="12"/>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6">
    <w:name w:val="Light Shading Accent 6"/>
    <w:basedOn w:val="12"/>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7">
    <w:name w:val="Light List"/>
    <w:basedOn w:val="12"/>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8">
    <w:name w:val="Light List Accent 1"/>
    <w:basedOn w:val="12"/>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9">
    <w:name w:val="Light List Accent 2"/>
    <w:basedOn w:val="12"/>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50">
    <w:name w:val="Light List Accent 3"/>
    <w:basedOn w:val="12"/>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51">
    <w:name w:val="Light List Accent 4"/>
    <w:basedOn w:val="12"/>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52">
    <w:name w:val="Light List Accent 5"/>
    <w:basedOn w:val="12"/>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3">
    <w:name w:val="Light List Accent 6"/>
    <w:basedOn w:val="12"/>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4">
    <w:name w:val="Light Grid"/>
    <w:basedOn w:val="12"/>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5">
    <w:name w:val="Light Grid Accent 1"/>
    <w:basedOn w:val="12"/>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6">
    <w:name w:val="Light Grid Accent 2"/>
    <w:basedOn w:val="12"/>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7">
    <w:name w:val="Light Grid Accent 3"/>
    <w:basedOn w:val="12"/>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8">
    <w:name w:val="Light Grid Accent 4"/>
    <w:basedOn w:val="12"/>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9">
    <w:name w:val="Light Grid Accent 5"/>
    <w:basedOn w:val="12"/>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60">
    <w:name w:val="Light Grid Accent 6"/>
    <w:basedOn w:val="12"/>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61">
    <w:name w:val="Medium Shading 1"/>
    <w:basedOn w:val="12"/>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62">
    <w:name w:val="Medium Shading 1 Accent 1"/>
    <w:basedOn w:val="12"/>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3">
    <w:name w:val="Medium Shading 1 Accent 2"/>
    <w:basedOn w:val="12"/>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4">
    <w:name w:val="Medium Shading 1 Accent 3"/>
    <w:basedOn w:val="12"/>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5">
    <w:name w:val="Medium Shading 1 Accent 4"/>
    <w:basedOn w:val="12"/>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6">
    <w:name w:val="Medium Shading 1 Accent 5"/>
    <w:basedOn w:val="12"/>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7">
    <w:name w:val="Medium Shading 1 Accent 6"/>
    <w:basedOn w:val="12"/>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8">
    <w:name w:val="Medium Shading 2"/>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1"/>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2"/>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3"/>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Shading 2 Accent 4"/>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3">
    <w:name w:val="Medium Shading 2 Accent 5"/>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4">
    <w:name w:val="Medium Shading 2 Accent 6"/>
    <w:basedOn w:val="12"/>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5">
    <w:name w:val="Medium List 1"/>
    <w:basedOn w:val="12"/>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6">
    <w:name w:val="Medium List 1 Accent 1"/>
    <w:basedOn w:val="12"/>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7">
    <w:name w:val="Medium List 1 Accent 2"/>
    <w:basedOn w:val="12"/>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8">
    <w:name w:val="Medium List 1 Accent 3"/>
    <w:basedOn w:val="12"/>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9">
    <w:name w:val="Medium List 1 Accent 4"/>
    <w:basedOn w:val="12"/>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80">
    <w:name w:val="Medium List 1 Accent 5"/>
    <w:basedOn w:val="12"/>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81">
    <w:name w:val="Medium List 1 Accent 6"/>
    <w:basedOn w:val="12"/>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82">
    <w:name w:val="Medium List 2"/>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1"/>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2"/>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3"/>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List 2 Accent 4"/>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7">
    <w:name w:val="Medium List 2 Accent 5"/>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8">
    <w:name w:val="Medium List 2 Accent 6"/>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9">
    <w:name w:val="Medium Grid 1"/>
    <w:basedOn w:val="1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90">
    <w:name w:val="Medium Grid 1 Accent 1"/>
    <w:basedOn w:val="1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91">
    <w:name w:val="Medium Grid 1 Accent 2"/>
    <w:basedOn w:val="12"/>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92">
    <w:name w:val="Medium Grid 1 Accent 3"/>
    <w:basedOn w:val="1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3">
    <w:name w:val="Medium Grid 1 Accent 4"/>
    <w:basedOn w:val="12"/>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4">
    <w:name w:val="Medium Grid 1 Accent 5"/>
    <w:basedOn w:val="1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5">
    <w:name w:val="Medium Grid 1 Accent 6"/>
    <w:basedOn w:val="12"/>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6">
    <w:name w:val="Medium Grid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7">
    <w:name w:val="Medium Grid 2 Accent 1"/>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8">
    <w:name w:val="Medium Grid 2 Accent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9">
    <w:name w:val="Medium Grid 2 Accent 3"/>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100">
    <w:name w:val="Medium Grid 2 Accent 4"/>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101">
    <w:name w:val="Medium Grid 2 Accent 5"/>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102">
    <w:name w:val="Medium Grid 2 Accent 6"/>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3">
    <w:name w:val="Medium Grid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4">
    <w:name w:val="Medium Grid 3 Accent 1"/>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5">
    <w:name w:val="Medium Grid 3 Accent 2"/>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6">
    <w:name w:val="Medium Grid 3 Accent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7">
    <w:name w:val="Medium Grid 3 Accent 4"/>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8">
    <w:name w:val="Medium Grid 3 Accent 5"/>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9">
    <w:name w:val="Medium Grid 3 Accent 6"/>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10">
    <w:name w:val="Dark List"/>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11">
    <w:name w:val="Dark List Accent 1"/>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12">
    <w:name w:val="Dark List Accent 2"/>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3">
    <w:name w:val="Dark List Accent 3"/>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4">
    <w:name w:val="Dark List Accent 4"/>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5">
    <w:name w:val="Dark List Accent 5"/>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6">
    <w:name w:val="Dark List Accent 6"/>
    <w:basedOn w:val="12"/>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7">
    <w:name w:val="Colorful Shading"/>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1"/>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2"/>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3"/>
    <w:basedOn w:val="12"/>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21">
    <w:name w:val="Colorful Shading Accent 4"/>
    <w:basedOn w:val="12"/>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2">
    <w:name w:val="Colorful Shading Accent 5"/>
    <w:basedOn w:val="12"/>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3">
    <w:name w:val="Colorful Shading Accent 6"/>
    <w:basedOn w:val="12"/>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4">
    <w:name w:val="Colorful List"/>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5">
    <w:name w:val="Colorful List Accent 1"/>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6">
    <w:name w:val="Colorful List Accent 2"/>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7">
    <w:name w:val="Colorful List Accent 3"/>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8">
    <w:name w:val="Colorful List Accent 4"/>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9">
    <w:name w:val="Colorful List Accent 5"/>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30">
    <w:name w:val="Colorful List Accent 6"/>
    <w:basedOn w:val="12"/>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31">
    <w:name w:val="Colorful Grid"/>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32">
    <w:name w:val="Colorful Grid Accent 1"/>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3">
    <w:name w:val="Colorful Grid Accent 2"/>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4">
    <w:name w:val="Colorful Grid Accent 3"/>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5">
    <w:name w:val="Colorful Grid Accent 4"/>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6">
    <w:name w:val="Colorful Grid Accent 5"/>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7">
    <w:name w:val="Colorful Grid Accent 6"/>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8">
    <w:name w:val="Header Char"/>
    <w:basedOn w:val="11"/>
    <w:link w:val="19"/>
    <w:qFormat/>
    <w:uiPriority w:val="99"/>
  </w:style>
  <w:style w:type="character" w:customStyle="1" w:styleId="139">
    <w:name w:val="Footer Char"/>
    <w:basedOn w:val="11"/>
    <w:link w:val="18"/>
    <w:qFormat/>
    <w:uiPriority w:val="99"/>
  </w:style>
  <w:style w:type="paragraph" w:styleId="140">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1">
    <w:name w:val="Heading 1 Char"/>
    <w:basedOn w:val="11"/>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142">
    <w:name w:val="Heading 2 Char"/>
    <w:basedOn w:val="11"/>
    <w:link w:val="3"/>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3">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4">
    <w:name w:val="Title Char"/>
    <w:basedOn w:val="11"/>
    <w:link w:val="37"/>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5">
    <w:name w:val="Subtitle Char"/>
    <w:basedOn w:val="11"/>
    <w:link w:val="35"/>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6">
    <w:name w:val="List Paragraph"/>
    <w:basedOn w:val="1"/>
    <w:qFormat/>
    <w:uiPriority w:val="34"/>
    <w:pPr>
      <w:ind w:left="720"/>
      <w:contextualSpacing/>
    </w:pPr>
  </w:style>
  <w:style w:type="character" w:customStyle="1" w:styleId="147">
    <w:name w:val="Body Text Char"/>
    <w:basedOn w:val="11"/>
    <w:link w:val="13"/>
    <w:uiPriority w:val="99"/>
  </w:style>
  <w:style w:type="character" w:customStyle="1" w:styleId="148">
    <w:name w:val="Body Text 2 Char"/>
    <w:basedOn w:val="11"/>
    <w:link w:val="14"/>
    <w:qFormat/>
    <w:uiPriority w:val="99"/>
  </w:style>
  <w:style w:type="character" w:customStyle="1" w:styleId="149">
    <w:name w:val="Body Text 3 Char"/>
    <w:basedOn w:val="11"/>
    <w:link w:val="15"/>
    <w:uiPriority w:val="99"/>
    <w:rPr>
      <w:sz w:val="16"/>
      <w:szCs w:val="16"/>
    </w:rPr>
  </w:style>
  <w:style w:type="character" w:customStyle="1" w:styleId="150">
    <w:name w:val="Macro Text Char"/>
    <w:basedOn w:val="11"/>
    <w:link w:val="33"/>
    <w:qFormat/>
    <w:uiPriority w:val="99"/>
    <w:rPr>
      <w:rFonts w:ascii="Courier" w:hAnsi="Courier"/>
      <w:sz w:val="20"/>
      <w:szCs w:val="20"/>
    </w:rPr>
  </w:style>
  <w:style w:type="paragraph" w:styleId="151">
    <w:name w:val="Quote"/>
    <w:basedOn w:val="1"/>
    <w:next w:val="1"/>
    <w:link w:val="152"/>
    <w:qFormat/>
    <w:uiPriority w:val="29"/>
    <w:rPr>
      <w:i/>
      <w:iCs/>
      <w:color w:val="000000" w:themeColor="text1"/>
      <w14:textFill>
        <w14:solidFill>
          <w14:schemeClr w14:val="tx1"/>
        </w14:solidFill>
      </w14:textFill>
    </w:rPr>
  </w:style>
  <w:style w:type="character" w:customStyle="1" w:styleId="152">
    <w:name w:val="Quote Char"/>
    <w:basedOn w:val="11"/>
    <w:link w:val="151"/>
    <w:uiPriority w:val="29"/>
    <w:rPr>
      <w:i/>
      <w:iCs/>
      <w:color w:val="000000" w:themeColor="text1"/>
      <w14:textFill>
        <w14:solidFill>
          <w14:schemeClr w14:val="tx1"/>
        </w14:solidFill>
      </w14:textFill>
    </w:rPr>
  </w:style>
  <w:style w:type="character" w:customStyle="1" w:styleId="153">
    <w:name w:val="Heading 4 Char"/>
    <w:basedOn w:val="11"/>
    <w:link w:val="5"/>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4">
    <w:name w:val="Heading 5 Char"/>
    <w:basedOn w:val="11"/>
    <w:link w:val="6"/>
    <w:semiHidden/>
    <w:uiPriority w:val="9"/>
    <w:rPr>
      <w:rFonts w:asciiTheme="majorHAnsi" w:hAnsiTheme="majorHAnsi" w:eastAsiaTheme="majorEastAsia" w:cstheme="majorBidi"/>
      <w:color w:val="254061" w:themeColor="accent1" w:themeShade="80"/>
    </w:rPr>
  </w:style>
  <w:style w:type="character" w:customStyle="1" w:styleId="155">
    <w:name w:val="Heading 6 Char"/>
    <w:basedOn w:val="11"/>
    <w:link w:val="7"/>
    <w:semiHidden/>
    <w:uiPriority w:val="9"/>
    <w:rPr>
      <w:rFonts w:asciiTheme="majorHAnsi" w:hAnsiTheme="majorHAnsi" w:eastAsiaTheme="majorEastAsia" w:cstheme="majorBidi"/>
      <w:i/>
      <w:iCs/>
      <w:color w:val="254061" w:themeColor="accent1" w:themeShade="80"/>
    </w:rPr>
  </w:style>
  <w:style w:type="character" w:customStyle="1" w:styleId="156">
    <w:name w:val="Heading 7 Char"/>
    <w:basedOn w:val="11"/>
    <w:link w:val="8"/>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7">
    <w:name w:val="Heading 8 Char"/>
    <w:basedOn w:val="11"/>
    <w:link w:val="9"/>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8">
    <w:name w:val="Heading 9 Char"/>
    <w:basedOn w:val="11"/>
    <w:link w:val="10"/>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9">
    <w:name w:val="Intense Quote"/>
    <w:basedOn w:val="1"/>
    <w:next w:val="1"/>
    <w:link w:val="160"/>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60">
    <w:name w:val="Intense Quote Char"/>
    <w:basedOn w:val="11"/>
    <w:link w:val="159"/>
    <w:uiPriority w:val="30"/>
    <w:rPr>
      <w:b/>
      <w:bCs/>
      <w:i/>
      <w:iCs/>
      <w:color w:val="4F81BD" w:themeColor="accent1"/>
      <w14:textFill>
        <w14:solidFill>
          <w14:schemeClr w14:val="accent1"/>
        </w14:solidFill>
      </w14:textFill>
    </w:rPr>
  </w:style>
  <w:style w:type="character" w:customStyle="1" w:styleId="161">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62">
    <w:name w:val="Intense Emphasis"/>
    <w:basedOn w:val="11"/>
    <w:qFormat/>
    <w:uiPriority w:val="21"/>
    <w:rPr>
      <w:b/>
      <w:bCs/>
      <w:i/>
      <w:iCs/>
      <w:color w:val="4F81BD" w:themeColor="accent1"/>
      <w14:textFill>
        <w14:solidFill>
          <w14:schemeClr w14:val="accent1"/>
        </w14:solidFill>
      </w14:textFill>
    </w:rPr>
  </w:style>
  <w:style w:type="character" w:customStyle="1" w:styleId="163">
    <w:name w:val="Subtle Reference"/>
    <w:basedOn w:val="11"/>
    <w:qFormat/>
    <w:uiPriority w:val="31"/>
    <w:rPr>
      <w:smallCaps/>
      <w:color w:val="C0504D" w:themeColor="accent2"/>
      <w:u w:val="single"/>
      <w14:textFill>
        <w14:solidFill>
          <w14:schemeClr w14:val="accent2"/>
        </w14:solidFill>
      </w14:textFill>
    </w:rPr>
  </w:style>
  <w:style w:type="character" w:customStyle="1" w:styleId="164">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5">
    <w:name w:val="Book Title"/>
    <w:basedOn w:val="11"/>
    <w:qFormat/>
    <w:uiPriority w:val="33"/>
    <w:rPr>
      <w:b/>
      <w:bCs/>
      <w:smallCaps/>
      <w:spacing w:val="5"/>
    </w:rPr>
  </w:style>
  <w:style w:type="paragraph" w:customStyle="1" w:styleId="166">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Template>
  <Pages>11</Pages>
  <Words>252</Words>
  <Characters>1490</Characters>
  <Lines>162</Lines>
  <Paragraphs>45</Paragraphs>
  <TotalTime>5</TotalTime>
  <ScaleCrop>false</ScaleCrop>
  <LinksUpToDate>false</LinksUpToDate>
  <CharactersWithSpaces>1717</CharactersWithSpaces>
  <Application>WPS Office_12.1.0.27458_F1E327BC-269C-435d-A152-05C5408002CA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2026-07-24T09:56:00Z</dcterms:created>
  <dc:creator>LISDALIA INSUMBO ANTÓNIO BIAGUE</dc:creator>
  <dc:description>generated by python-docx</dc:description>
  <cp:keywords>person-centred care, partnership working, ethics, safeguarding, community care</cp:keywords>
  <cp:lastModifiedBy>WPS_1694198151</cp:lastModifiedBy>
  <dcterms:modified xsi:type="dcterms:W3CDTF">2026-07-27T11:24:15Z</dcterms:modified>
  <dc:subject>Reflective Report</dc:subject>
  <dc:title>A Critical Reflection on Person-Centred Care, Partnership Working and Ethics in UK Health and Social Care Practice</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eyJoZGlkIjoiZTQ4ODQwNThiYTg4YTBlNDhkZDRmNGNiNWM5NWE1YzAiLCJ1c2VySWQiOiIzODY1OTQxMTI3Njk3In0=</vt:lpwstr>
  </property>
  <property fmtid="{D5CDD505-2E9C-101B-9397-08002B2CF9AE}" pid="3" name="KSOProductBuildVer">
    <vt:lpwstr>1033-12.1.0.27458</vt:lpwstr>
  </property>
  <property fmtid="{D5CDD505-2E9C-101B-9397-08002B2CF9AE}" pid="4" name="ICV">
    <vt:lpwstr>A1208AD40DB249079BBA078F4B6E25EF_12</vt:lpwstr>
  </property>
</Properties>
</file>