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3D9" w:rsidRDefault="00B643D9" w:rsidP="00616431">
      <w:pPr>
        <w:jc w:val="center"/>
        <w:rPr>
          <w:rFonts w:ascii="Arial" w:hAnsi="Arial" w:cs="Arial"/>
          <w:b/>
          <w:bCs/>
          <w:sz w:val="40"/>
          <w:szCs w:val="36"/>
        </w:rPr>
      </w:pPr>
      <w:r w:rsidRPr="00B643D9">
        <w:rPr>
          <w:rFonts w:ascii="Arial" w:hAnsi="Arial" w:cs="Arial"/>
          <w:b/>
          <w:bCs/>
          <w:noProof/>
          <w:sz w:val="40"/>
          <w:szCs w:val="36"/>
          <w:lang w:val="cs-CZ" w:eastAsia="cs-CZ"/>
        </w:rPr>
        <w:drawing>
          <wp:inline distT="0" distB="0" distL="0" distR="0">
            <wp:extent cx="4267200" cy="1508760"/>
            <wp:effectExtent l="0" t="0" r="0" b="0"/>
            <wp:docPr id="636288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288013" name=""/>
                    <pic:cNvPicPr/>
                  </pic:nvPicPr>
                  <pic:blipFill>
                    <a:blip r:embed="rId6"/>
                    <a:stretch>
                      <a:fillRect/>
                    </a:stretch>
                  </pic:blipFill>
                  <pic:spPr>
                    <a:xfrm>
                      <a:off x="0" y="0"/>
                      <a:ext cx="4267577" cy="1508893"/>
                    </a:xfrm>
                    <a:prstGeom prst="rect">
                      <a:avLst/>
                    </a:prstGeom>
                  </pic:spPr>
                </pic:pic>
              </a:graphicData>
            </a:graphic>
          </wp:inline>
        </w:drawing>
      </w:r>
    </w:p>
    <w:p w:rsidR="00DC7396" w:rsidRPr="00D56D44" w:rsidRDefault="00DC7396" w:rsidP="00616431">
      <w:pPr>
        <w:jc w:val="center"/>
        <w:rPr>
          <w:rFonts w:ascii="Arial" w:hAnsi="Arial" w:cs="Arial"/>
          <w:sz w:val="40"/>
          <w:szCs w:val="36"/>
        </w:rPr>
      </w:pPr>
      <w:r w:rsidRPr="00D56D44">
        <w:rPr>
          <w:rFonts w:ascii="Arial" w:hAnsi="Arial" w:cs="Arial"/>
          <w:sz w:val="40"/>
          <w:szCs w:val="36"/>
        </w:rPr>
        <w:t>School of International Hotel Management</w:t>
      </w:r>
    </w:p>
    <w:p w:rsidR="00FD2635" w:rsidRPr="00D56D44" w:rsidRDefault="00DC7396" w:rsidP="00616431">
      <w:pPr>
        <w:jc w:val="center"/>
        <w:rPr>
          <w:rFonts w:ascii="Arial" w:hAnsi="Arial" w:cs="Arial"/>
          <w:sz w:val="32"/>
          <w:szCs w:val="28"/>
        </w:rPr>
      </w:pPr>
      <w:r w:rsidRPr="00D56D44">
        <w:rPr>
          <w:rFonts w:ascii="Arial" w:hAnsi="Arial" w:cs="Arial"/>
          <w:sz w:val="32"/>
          <w:szCs w:val="28"/>
        </w:rPr>
        <w:t>BA International Hotel Management</w:t>
      </w:r>
    </w:p>
    <w:p w:rsidR="00616431" w:rsidRPr="00D56D44" w:rsidRDefault="00616431" w:rsidP="00616431">
      <w:pPr>
        <w:jc w:val="center"/>
        <w:rPr>
          <w:rFonts w:ascii="Arial" w:hAnsi="Arial" w:cs="Arial"/>
          <w:b/>
          <w:bCs/>
          <w:sz w:val="32"/>
          <w:szCs w:val="28"/>
        </w:rPr>
      </w:pPr>
      <w:r w:rsidRPr="00D56D44">
        <w:rPr>
          <w:rFonts w:ascii="Arial" w:hAnsi="Arial" w:cs="Arial"/>
          <w:b/>
          <w:bCs/>
          <w:sz w:val="32"/>
          <w:szCs w:val="28"/>
        </w:rPr>
        <w:t>BMIH5005: Personnel Resourcing and Development</w:t>
      </w:r>
    </w:p>
    <w:p w:rsidR="00EB3F12" w:rsidRPr="00B82BC9" w:rsidRDefault="000C228B" w:rsidP="000C228B">
      <w:pPr>
        <w:jc w:val="center"/>
        <w:rPr>
          <w:rFonts w:ascii="Arial" w:hAnsi="Arial" w:cs="Arial"/>
          <w:sz w:val="32"/>
          <w:szCs w:val="28"/>
        </w:rPr>
      </w:pPr>
      <w:r w:rsidRPr="00B82BC9">
        <w:rPr>
          <w:rFonts w:ascii="Arial" w:hAnsi="Arial" w:cs="Arial"/>
          <w:sz w:val="32"/>
          <w:szCs w:val="28"/>
        </w:rPr>
        <w:t>Module Lead: Helen Lee BA (Hons)</w:t>
      </w:r>
    </w:p>
    <w:p w:rsidR="00616431" w:rsidRPr="00BE6925" w:rsidRDefault="00BE6925" w:rsidP="00BE6925">
      <w:pPr>
        <w:spacing w:line="259" w:lineRule="auto"/>
        <w:jc w:val="center"/>
        <w:rPr>
          <w:rFonts w:ascii="Arial" w:hAnsi="Arial" w:cs="Arial"/>
          <w:b/>
          <w:bCs/>
          <w:szCs w:val="24"/>
          <w:u w:val="single"/>
        </w:rPr>
      </w:pPr>
      <w:r w:rsidRPr="00BE6925">
        <w:rPr>
          <w:rFonts w:ascii="Arial" w:hAnsi="Arial" w:cs="Arial"/>
          <w:b/>
          <w:bCs/>
          <w:szCs w:val="24"/>
          <w:u w:val="single"/>
        </w:rPr>
        <w:t>Case Study</w:t>
      </w:r>
    </w:p>
    <w:p w:rsidR="00A957FB" w:rsidRDefault="00A957FB">
      <w:pPr>
        <w:spacing w:line="259" w:lineRule="auto"/>
        <w:jc w:val="left"/>
        <w:rPr>
          <w:rFonts w:ascii="Arial" w:hAnsi="Arial" w:cs="Arial"/>
          <w:sz w:val="32"/>
          <w:szCs w:val="28"/>
        </w:rPr>
      </w:pPr>
    </w:p>
    <w:p w:rsidR="00A957FB" w:rsidRPr="00A957FB" w:rsidRDefault="00A957FB" w:rsidP="00A957FB">
      <w:pPr>
        <w:spacing w:line="259" w:lineRule="auto"/>
        <w:ind w:firstLine="720"/>
        <w:jc w:val="left"/>
        <w:rPr>
          <w:rFonts w:ascii="Arial" w:hAnsi="Arial" w:cs="Arial"/>
          <w:b/>
          <w:bCs/>
          <w:i/>
          <w:iCs/>
          <w:sz w:val="28"/>
          <w:szCs w:val="28"/>
        </w:rPr>
      </w:pPr>
      <w:r w:rsidRPr="00A957FB">
        <w:rPr>
          <w:rFonts w:ascii="Arial" w:hAnsi="Arial" w:cs="Arial"/>
          <w:b/>
          <w:bCs/>
          <w:i/>
          <w:iCs/>
          <w:sz w:val="28"/>
          <w:szCs w:val="28"/>
        </w:rPr>
        <w:t>Student Name</w:t>
      </w:r>
      <w:r w:rsidRPr="00A957FB">
        <w:rPr>
          <w:rFonts w:ascii="Arial" w:hAnsi="Arial" w:cs="Arial"/>
          <w:b/>
          <w:bCs/>
          <w:i/>
          <w:iCs/>
          <w:sz w:val="28"/>
          <w:szCs w:val="28"/>
        </w:rPr>
        <w:tab/>
      </w:r>
      <w:r w:rsidRPr="00A957FB">
        <w:rPr>
          <w:rFonts w:ascii="Arial" w:hAnsi="Arial" w:cs="Arial"/>
          <w:b/>
          <w:bCs/>
          <w:i/>
          <w:iCs/>
          <w:sz w:val="28"/>
          <w:szCs w:val="28"/>
        </w:rPr>
        <w:tab/>
        <w:t>:</w:t>
      </w:r>
      <w:r w:rsidR="005939D0">
        <w:rPr>
          <w:rFonts w:ascii="Arial" w:hAnsi="Arial" w:cs="Arial"/>
          <w:b/>
          <w:bCs/>
          <w:i/>
          <w:iCs/>
          <w:sz w:val="28"/>
          <w:szCs w:val="28"/>
        </w:rPr>
        <w:t>Anna Dunova</w:t>
      </w:r>
    </w:p>
    <w:p w:rsidR="00A957FB" w:rsidRPr="00A957FB" w:rsidRDefault="00A957FB" w:rsidP="00A957FB">
      <w:pPr>
        <w:spacing w:line="259" w:lineRule="auto"/>
        <w:ind w:firstLine="720"/>
        <w:jc w:val="left"/>
        <w:rPr>
          <w:rFonts w:ascii="Arial" w:hAnsi="Arial" w:cs="Arial"/>
          <w:b/>
          <w:bCs/>
          <w:i/>
          <w:iCs/>
          <w:sz w:val="28"/>
          <w:szCs w:val="28"/>
        </w:rPr>
      </w:pPr>
      <w:r w:rsidRPr="00A957FB">
        <w:rPr>
          <w:rFonts w:ascii="Arial" w:hAnsi="Arial" w:cs="Arial"/>
          <w:b/>
          <w:bCs/>
          <w:i/>
          <w:iCs/>
          <w:sz w:val="28"/>
          <w:szCs w:val="28"/>
        </w:rPr>
        <w:t>Student ID</w:t>
      </w:r>
      <w:r w:rsidRPr="00A957FB">
        <w:rPr>
          <w:rFonts w:ascii="Arial" w:hAnsi="Arial" w:cs="Arial"/>
          <w:b/>
          <w:bCs/>
          <w:i/>
          <w:iCs/>
          <w:sz w:val="28"/>
          <w:szCs w:val="28"/>
        </w:rPr>
        <w:tab/>
      </w:r>
      <w:r w:rsidRPr="00A957FB">
        <w:rPr>
          <w:rFonts w:ascii="Arial" w:hAnsi="Arial" w:cs="Arial"/>
          <w:b/>
          <w:bCs/>
          <w:i/>
          <w:iCs/>
          <w:sz w:val="28"/>
          <w:szCs w:val="28"/>
        </w:rPr>
        <w:tab/>
      </w:r>
      <w:r>
        <w:rPr>
          <w:rFonts w:ascii="Arial" w:hAnsi="Arial" w:cs="Arial"/>
          <w:b/>
          <w:bCs/>
          <w:i/>
          <w:iCs/>
          <w:sz w:val="28"/>
          <w:szCs w:val="28"/>
        </w:rPr>
        <w:tab/>
      </w:r>
      <w:r w:rsidRPr="00A957FB">
        <w:rPr>
          <w:rFonts w:ascii="Arial" w:hAnsi="Arial" w:cs="Arial"/>
          <w:b/>
          <w:bCs/>
          <w:i/>
          <w:iCs/>
          <w:sz w:val="28"/>
          <w:szCs w:val="28"/>
        </w:rPr>
        <w:t>:</w:t>
      </w:r>
      <w:r w:rsidR="005939D0">
        <w:rPr>
          <w:rFonts w:ascii="Arial" w:hAnsi="Arial" w:cs="Arial"/>
          <w:b/>
          <w:bCs/>
          <w:i/>
          <w:iCs/>
          <w:sz w:val="28"/>
          <w:szCs w:val="28"/>
        </w:rPr>
        <w:t>2207348</w:t>
      </w:r>
    </w:p>
    <w:p w:rsidR="00A957FB" w:rsidRDefault="00A957FB" w:rsidP="00A957FB">
      <w:pPr>
        <w:spacing w:line="259" w:lineRule="auto"/>
        <w:ind w:firstLine="720"/>
        <w:jc w:val="left"/>
        <w:rPr>
          <w:rFonts w:ascii="Arial" w:hAnsi="Arial" w:cs="Arial"/>
          <w:b/>
          <w:bCs/>
          <w:i/>
          <w:iCs/>
          <w:sz w:val="28"/>
          <w:szCs w:val="28"/>
        </w:rPr>
      </w:pPr>
      <w:r w:rsidRPr="00A957FB">
        <w:rPr>
          <w:rFonts w:ascii="Arial" w:hAnsi="Arial" w:cs="Arial"/>
          <w:b/>
          <w:bCs/>
          <w:i/>
          <w:iCs/>
          <w:sz w:val="28"/>
          <w:szCs w:val="28"/>
        </w:rPr>
        <w:t>Lecturer’s Name</w:t>
      </w:r>
      <w:r w:rsidRPr="00A957FB">
        <w:rPr>
          <w:rFonts w:ascii="Arial" w:hAnsi="Arial" w:cs="Arial"/>
          <w:b/>
          <w:bCs/>
          <w:i/>
          <w:iCs/>
          <w:sz w:val="28"/>
          <w:szCs w:val="28"/>
        </w:rPr>
        <w:tab/>
        <w:t>:</w:t>
      </w:r>
      <w:r w:rsidR="005939D0">
        <w:rPr>
          <w:rFonts w:ascii="Arial" w:hAnsi="Arial" w:cs="Arial"/>
          <w:b/>
          <w:bCs/>
          <w:i/>
          <w:iCs/>
          <w:sz w:val="28"/>
          <w:szCs w:val="28"/>
        </w:rPr>
        <w:t>Helen Lee</w:t>
      </w:r>
    </w:p>
    <w:p w:rsidR="00EA3558" w:rsidRPr="00A957FB" w:rsidRDefault="00EA3558" w:rsidP="00A957FB">
      <w:pPr>
        <w:spacing w:line="259" w:lineRule="auto"/>
        <w:ind w:firstLine="720"/>
        <w:jc w:val="left"/>
        <w:rPr>
          <w:rFonts w:ascii="Arial" w:hAnsi="Arial" w:cs="Arial"/>
          <w:b/>
          <w:bCs/>
          <w:i/>
          <w:iCs/>
          <w:sz w:val="28"/>
          <w:szCs w:val="28"/>
        </w:rPr>
      </w:pPr>
      <w:r>
        <w:rPr>
          <w:rFonts w:ascii="Arial" w:hAnsi="Arial" w:cs="Arial"/>
          <w:b/>
          <w:bCs/>
          <w:i/>
          <w:iCs/>
          <w:sz w:val="28"/>
          <w:szCs w:val="28"/>
        </w:rPr>
        <w:t>Words count</w:t>
      </w:r>
      <w:r>
        <w:rPr>
          <w:rFonts w:ascii="Arial" w:hAnsi="Arial" w:cs="Arial"/>
          <w:b/>
          <w:bCs/>
          <w:i/>
          <w:iCs/>
          <w:sz w:val="28"/>
          <w:szCs w:val="28"/>
        </w:rPr>
        <w:tab/>
      </w:r>
      <w:r>
        <w:rPr>
          <w:rFonts w:ascii="Arial" w:hAnsi="Arial" w:cs="Arial"/>
          <w:b/>
          <w:bCs/>
          <w:i/>
          <w:iCs/>
          <w:sz w:val="28"/>
          <w:szCs w:val="28"/>
        </w:rPr>
        <w:tab/>
        <w:t>: 2032</w:t>
      </w:r>
    </w:p>
    <w:p w:rsidR="000C228B" w:rsidRPr="00B82BC9" w:rsidRDefault="000C228B" w:rsidP="000C228B">
      <w:pPr>
        <w:jc w:val="center"/>
        <w:rPr>
          <w:rFonts w:ascii="Arial" w:hAnsi="Arial" w:cs="Arial"/>
          <w:b/>
          <w:bCs/>
          <w:sz w:val="32"/>
          <w:szCs w:val="28"/>
        </w:rPr>
      </w:pPr>
    </w:p>
    <w:p w:rsidR="000C228B" w:rsidRPr="00B82BC9" w:rsidRDefault="000C228B" w:rsidP="000C228B">
      <w:pPr>
        <w:jc w:val="center"/>
        <w:rPr>
          <w:rFonts w:ascii="Arial" w:hAnsi="Arial" w:cs="Arial"/>
          <w:b/>
          <w:bCs/>
          <w:sz w:val="32"/>
          <w:szCs w:val="28"/>
        </w:rPr>
      </w:pPr>
    </w:p>
    <w:p w:rsidR="000C228B" w:rsidRPr="00B82BC9" w:rsidRDefault="000C228B" w:rsidP="000C228B">
      <w:pPr>
        <w:jc w:val="center"/>
        <w:rPr>
          <w:rFonts w:ascii="Arial" w:hAnsi="Arial" w:cs="Arial"/>
          <w:b/>
          <w:bCs/>
          <w:sz w:val="32"/>
          <w:szCs w:val="28"/>
        </w:rPr>
      </w:pPr>
    </w:p>
    <w:p w:rsidR="000C228B" w:rsidRPr="00B82BC9" w:rsidRDefault="000C228B" w:rsidP="000C228B">
      <w:pPr>
        <w:jc w:val="center"/>
        <w:rPr>
          <w:rFonts w:ascii="Arial" w:hAnsi="Arial" w:cs="Arial"/>
          <w:b/>
          <w:bCs/>
          <w:sz w:val="32"/>
          <w:szCs w:val="28"/>
        </w:rPr>
      </w:pPr>
    </w:p>
    <w:p w:rsidR="000C228B" w:rsidRPr="00B82BC9" w:rsidRDefault="000C228B" w:rsidP="000C228B">
      <w:pPr>
        <w:jc w:val="center"/>
        <w:rPr>
          <w:rFonts w:ascii="Arial" w:hAnsi="Arial" w:cs="Arial"/>
          <w:b/>
          <w:bCs/>
          <w:sz w:val="32"/>
          <w:szCs w:val="28"/>
        </w:rPr>
      </w:pPr>
    </w:p>
    <w:p w:rsidR="000C228B" w:rsidRPr="00B82BC9" w:rsidRDefault="000C228B" w:rsidP="000C228B">
      <w:pPr>
        <w:jc w:val="center"/>
        <w:rPr>
          <w:rFonts w:ascii="Arial" w:hAnsi="Arial" w:cs="Arial"/>
          <w:b/>
          <w:bCs/>
          <w:sz w:val="32"/>
          <w:szCs w:val="28"/>
        </w:rPr>
      </w:pPr>
    </w:p>
    <w:p w:rsidR="000C228B" w:rsidRPr="00B82BC9" w:rsidRDefault="000C228B" w:rsidP="000C228B">
      <w:pPr>
        <w:jc w:val="center"/>
        <w:rPr>
          <w:rFonts w:ascii="Arial" w:hAnsi="Arial" w:cs="Arial"/>
          <w:b/>
          <w:bCs/>
          <w:sz w:val="32"/>
          <w:szCs w:val="28"/>
        </w:rPr>
      </w:pPr>
    </w:p>
    <w:p w:rsidR="00A957FB" w:rsidRDefault="000C228B" w:rsidP="00A957FB">
      <w:pPr>
        <w:jc w:val="center"/>
        <w:rPr>
          <w:rFonts w:ascii="Arial" w:hAnsi="Arial" w:cs="Arial"/>
          <w:b/>
          <w:bCs/>
        </w:rPr>
      </w:pPr>
      <w:r w:rsidRPr="00B82BC9">
        <w:rPr>
          <w:rFonts w:ascii="Arial" w:hAnsi="Arial" w:cs="Arial"/>
          <w:b/>
          <w:bCs/>
          <w:sz w:val="32"/>
          <w:szCs w:val="28"/>
        </w:rPr>
        <w:t>How to engage employees (Generation Ys or Generation Zs) throughout the employee lifecycle?</w:t>
      </w:r>
    </w:p>
    <w:p w:rsidR="00B643D9" w:rsidRPr="00A957FB" w:rsidRDefault="00B643D9" w:rsidP="00A957FB">
      <w:pPr>
        <w:rPr>
          <w:rFonts w:ascii="Arial" w:hAnsi="Arial" w:cs="Arial"/>
          <w:b/>
          <w:bCs/>
        </w:rPr>
      </w:pPr>
      <w:r w:rsidRPr="00B643D9">
        <w:rPr>
          <w:rFonts w:ascii="Arial" w:hAnsi="Arial" w:cs="Arial"/>
        </w:rPr>
        <w:t xml:space="preserve">The Trinity Hotel in London, United Kingdom, has to implement cutting-edge human resources policies and procedures if it wants to attract and retain millennial and Gen Z workers. People of Generation X and Y may be identified by their curiosity in new ideas and technologies, their desire for a work-life balance, and their ambition to advance in their careers. Successful hiring decisions are more likely to come from job postings that are open, progressive, and </w:t>
      </w:r>
      <w:r w:rsidR="001B2242" w:rsidRPr="00B643D9">
        <w:rPr>
          <w:rFonts w:ascii="Arial" w:hAnsi="Arial" w:cs="Arial"/>
        </w:rPr>
        <w:t>fuelled</w:t>
      </w:r>
      <w:r w:rsidRPr="00B643D9">
        <w:rPr>
          <w:rFonts w:ascii="Arial" w:hAnsi="Arial" w:cs="Arial"/>
        </w:rPr>
        <w:t xml:space="preserve"> by social media. From the time of initial hire forward, employees should be encouraged to take advantage of learning and feedback opportunities related to hotel operations (Bardhan, 2022). Several strategies exist for maintaining employee interest in their jobs, such as giving frequent feedback, encouraging lifelong learning through digital platforms, and offering a variety of work schedule options. In addition, focusing on recognition and reward, supporting diversity and inclusion in the workplace, and trying to inspire innovation may be able to appeal to the hopes and ambitions of Generation Y and Generation Z workers.</w:t>
      </w:r>
    </w:p>
    <w:p w:rsidR="00B643D9" w:rsidRPr="00B643D9" w:rsidRDefault="00B643D9" w:rsidP="00B643D9">
      <w:pPr>
        <w:rPr>
          <w:rFonts w:ascii="Arial" w:hAnsi="Arial" w:cs="Arial"/>
        </w:rPr>
      </w:pPr>
      <w:r w:rsidRPr="00B643D9">
        <w:rPr>
          <w:rFonts w:ascii="Arial" w:hAnsi="Arial" w:cs="Arial"/>
        </w:rPr>
        <w:t>Trinity Hotel, UK's human resources division is essential to the success of the business as a whole. It is critical for human resources to be able to identify and entice top performers. The HR team at Trinity Hotel is responsible for recruiting and selecting team members who will not only uphold but also advance the hotel's core values. Employees that are a good fit for the firm's culture will show more loyalty to the organization and their position within it.</w:t>
      </w:r>
    </w:p>
    <w:p w:rsidR="00B643D9" w:rsidRPr="00B643D9" w:rsidRDefault="00B643D9" w:rsidP="00B643D9">
      <w:pPr>
        <w:rPr>
          <w:rFonts w:ascii="Arial" w:hAnsi="Arial" w:cs="Arial"/>
        </w:rPr>
      </w:pPr>
      <w:r w:rsidRPr="00B643D9">
        <w:rPr>
          <w:rFonts w:ascii="Arial" w:hAnsi="Arial" w:cs="Arial"/>
        </w:rPr>
        <w:t xml:space="preserve">HR is also responsible for developing efficient training programs for new employees. When a good onboarding program is in place, new hires have a better time getting settled in, meeting expectations, and making connections with coworkers (Carpenter, and Carpenter, 2021). Such early commitment may provide the groundwork for a successful career. Human resources are also crucial since they allow people to advance in their careers (Card, and Ransom, 2017). The company's commitment to its employees' success is shown in its provision of training, mentorship, and other tools for </w:t>
      </w:r>
      <w:r w:rsidRPr="00B643D9">
        <w:rPr>
          <w:rFonts w:ascii="Arial" w:hAnsi="Arial" w:cs="Arial"/>
        </w:rPr>
        <w:lastRenderedPageBreak/>
        <w:t>professional growth. Employees are more likely to give their best on the job when they have a vested interest in their personal success as well as the company's.</w:t>
      </w:r>
    </w:p>
    <w:p w:rsidR="00B643D9" w:rsidRPr="00B643D9" w:rsidRDefault="00B643D9" w:rsidP="00B643D9">
      <w:pPr>
        <w:rPr>
          <w:rFonts w:ascii="Arial" w:hAnsi="Arial" w:cs="Arial"/>
        </w:rPr>
      </w:pPr>
      <w:r w:rsidRPr="00B643D9">
        <w:rPr>
          <w:rFonts w:ascii="Arial" w:hAnsi="Arial" w:cs="Arial"/>
        </w:rPr>
        <w:t xml:space="preserve">The significance of human resources in strengthening company culture is comparable in importance. Human resource managers mediate conflicts between employers and employees and promote open communication between them (Armstrong &amp; Taylor, 2020). The goal of human resources is to improve morale by making the workplace a pleasant place to work in which every employee feels appreciated and respected. The human resources team at Trinity Hotel regularly polls employees and has one-on-one chats with those who work in the front line to assess morale. They could be able to foresee issues and respond beforehand, increasing morale and output. Human resources </w:t>
      </w:r>
      <w:r w:rsidR="001B2242" w:rsidRPr="00B643D9">
        <w:rPr>
          <w:rFonts w:ascii="Arial" w:hAnsi="Arial" w:cs="Arial"/>
        </w:rPr>
        <w:t>allow</w:t>
      </w:r>
      <w:r w:rsidRPr="00B643D9">
        <w:rPr>
          <w:rFonts w:ascii="Arial" w:hAnsi="Arial" w:cs="Arial"/>
        </w:rPr>
        <w:t xml:space="preserve"> for open lines of communication between superiors and workers, which is crucial in problem-solving (Hyman, 2018).</w:t>
      </w:r>
    </w:p>
    <w:p w:rsidR="00B643D9" w:rsidRPr="00B643D9" w:rsidRDefault="00B643D9" w:rsidP="00B643D9">
      <w:pPr>
        <w:rPr>
          <w:rFonts w:ascii="Arial" w:hAnsi="Arial" w:cs="Arial"/>
        </w:rPr>
      </w:pPr>
      <w:r w:rsidRPr="00B643D9">
        <w:rPr>
          <w:rFonts w:ascii="Arial" w:hAnsi="Arial" w:cs="Arial"/>
        </w:rPr>
        <w:t xml:space="preserve">The human resources team of the Trinity Hotel in the UK is responsible for a wide range of services, including recruitment, orientation, training, and conflict resolution within the company. When human resources </w:t>
      </w:r>
      <w:r w:rsidR="001B2242" w:rsidRPr="00B643D9">
        <w:rPr>
          <w:rFonts w:ascii="Arial" w:hAnsi="Arial" w:cs="Arial"/>
        </w:rPr>
        <w:t>prioritize</w:t>
      </w:r>
      <w:r w:rsidRPr="00B643D9">
        <w:rPr>
          <w:rFonts w:ascii="Arial" w:hAnsi="Arial" w:cs="Arial"/>
        </w:rPr>
        <w:t xml:space="preserve"> employee wellness and job contentment, both the workplace and customer experience benefit.</w:t>
      </w:r>
    </w:p>
    <w:p w:rsidR="00B643D9" w:rsidRPr="00B643D9" w:rsidRDefault="00B643D9" w:rsidP="00B643D9">
      <w:pPr>
        <w:rPr>
          <w:rFonts w:ascii="Arial" w:hAnsi="Arial" w:cs="Arial"/>
        </w:rPr>
      </w:pPr>
      <w:r w:rsidRPr="00B643D9">
        <w:rPr>
          <w:rFonts w:ascii="Arial" w:hAnsi="Arial" w:cs="Arial"/>
        </w:rPr>
        <w:t xml:space="preserve">Millennials (members of Generation Y) are easy to spot at London's Trinity Hotel. The approximately 1980-to-2000-born generation puts more value on having memorable experiences than owning expensive possessions. Trinity Hotel's millennial clientele is on the lookout for one-of-a-kind experiences that speak to their values and passions. Booking, checking in, and utilizing the hotel's amenities are all processes they would rather do online (Dollins, and Stemmle, 2021). Many people in the Millennial generation place a premium on sustainability and environmental friendliness. The Trinity Hotel's eco-friendly initiatives and minimal energy consumption have made it a </w:t>
      </w:r>
      <w:r w:rsidR="001B2242" w:rsidRPr="00B643D9">
        <w:rPr>
          <w:rFonts w:ascii="Arial" w:hAnsi="Arial" w:cs="Arial"/>
        </w:rPr>
        <w:t>favourite</w:t>
      </w:r>
      <w:r w:rsidRPr="00B643D9">
        <w:rPr>
          <w:rFonts w:ascii="Arial" w:hAnsi="Arial" w:cs="Arial"/>
        </w:rPr>
        <w:t xml:space="preserve"> among millennials. They value staying at hotels that have similar environmental philosophies.</w:t>
      </w:r>
    </w:p>
    <w:p w:rsidR="00B643D9" w:rsidRPr="00B643D9" w:rsidRDefault="00B643D9" w:rsidP="00B643D9">
      <w:pPr>
        <w:rPr>
          <w:rFonts w:ascii="Arial" w:hAnsi="Arial" w:cs="Arial"/>
        </w:rPr>
      </w:pPr>
      <w:r w:rsidRPr="00B643D9">
        <w:rPr>
          <w:rFonts w:ascii="Arial" w:hAnsi="Arial" w:cs="Arial"/>
        </w:rPr>
        <w:t xml:space="preserve">Adaptability and user-friendliness are also highly valued by today's youth. Guests of the Trinity Hotel may arrive and go at their convenience thanks to mobile check-in and other services accessible through smartphone (Mattox, 2016). Trinity Hotel may be able to entice the millennial age with its real, diverse local experiences and fine food if it builds relationships with local businesses. The millennial generation places a premium on </w:t>
      </w:r>
      <w:r w:rsidRPr="00B643D9">
        <w:rPr>
          <w:rFonts w:ascii="Arial" w:hAnsi="Arial" w:cs="Arial"/>
        </w:rPr>
        <w:lastRenderedPageBreak/>
        <w:t>social interactions and online community building (Kühnen, 2021). Guests of the Trinity Hotel may be able to network with one another at organized events, in the hotel's common spaces, or at other business-related meetings. If they are exposed to and encouraged to engage with visitors, they may be able to satiate their desire for social contact. Recognizing and adopting these characteristics can help Trinity Hotel better serve the demands of Generation Y clients.</w:t>
      </w:r>
    </w:p>
    <w:p w:rsidR="00B643D9" w:rsidRPr="00B643D9" w:rsidRDefault="00B643D9" w:rsidP="00B643D9">
      <w:pPr>
        <w:rPr>
          <w:rFonts w:ascii="Arial" w:hAnsi="Arial" w:cs="Arial"/>
        </w:rPr>
      </w:pPr>
      <w:r w:rsidRPr="00B643D9">
        <w:rPr>
          <w:rFonts w:ascii="Arial" w:hAnsi="Arial" w:cs="Arial"/>
        </w:rPr>
        <w:t>To keep our staff happy, we at Trinity Hotel, UK provide a friendly work environment, emphasize the importance of teamwork, provide enough room for professional development, and encourage open lines of communication. Making the workplace a pleasant environment should be everyone's first concern (Friedman, 2012). Boosting levels of social cohesiveness, trust, and respect may help move things along toward this goal. It's feasible that more cooperation and faster problem-solving might result from increased communication and listening skills. Cohesive teams provide better results and retain employees longer. Research shows that group activities organized by management lead to greater employee collaboration, information exchange, and skill acquisition (Ringo, 2020). This improves productivity while also making the office a nicer place to be.</w:t>
      </w:r>
    </w:p>
    <w:p w:rsidR="00B643D9" w:rsidRPr="00B643D9" w:rsidRDefault="00B643D9" w:rsidP="00B643D9">
      <w:pPr>
        <w:rPr>
          <w:rFonts w:ascii="Arial" w:hAnsi="Arial" w:cs="Arial"/>
        </w:rPr>
      </w:pPr>
      <w:r w:rsidRPr="00B643D9">
        <w:rPr>
          <w:rFonts w:ascii="Arial" w:hAnsi="Arial" w:cs="Arial"/>
        </w:rPr>
        <w:t>When employees believe their contributions are valued, they are more invested in their work. Providing public and private recognition for outstanding performance has been found to boost employee enthusiasm and productivity (Graban, &amp; Toussaint, 2018). A firm that is committed to its staff's growth and development will provide them with opportunities for education, networking, and professional development. The effectiveness of every team depends on its members' ability to keep lines of communication open and honest at all times. Regular team meetings, one-on-one interactions, and feedback sessions provide employees a forum for airing grievances, asking questions, and gaining a deeper grasp of their positions within the company. According to research by Macey and Fink (2020), team members perform better when they believe their contributions are being acknowledged.</w:t>
      </w:r>
    </w:p>
    <w:p w:rsidR="00B643D9" w:rsidRPr="00B643D9" w:rsidRDefault="00B643D9" w:rsidP="00B643D9">
      <w:pPr>
        <w:rPr>
          <w:rFonts w:ascii="Arial" w:hAnsi="Arial" w:cs="Arial"/>
        </w:rPr>
      </w:pPr>
      <w:r w:rsidRPr="00B643D9">
        <w:rPr>
          <w:rFonts w:ascii="Arial" w:hAnsi="Arial" w:cs="Arial"/>
        </w:rPr>
        <w:t xml:space="preserve">Employees at Trinity Hotel, UK get a lot by working there. Employees that care about the company's success are more likely to go the extra mile for their clients. To save </w:t>
      </w:r>
      <w:r w:rsidRPr="00B643D9">
        <w:rPr>
          <w:rFonts w:ascii="Arial" w:hAnsi="Arial" w:cs="Arial"/>
        </w:rPr>
        <w:lastRenderedPageBreak/>
        <w:t>costs, it helps to foster an atmosphere where workers know they are appreciated (Gallagher, 2016). In the highly competitive hospitality industry, a hotel's growth and profitability are highly dependent on the enthusiasm and hard work of its staff. Workers who care about each other at the Trinity Hotel, UK are more likely to achieve team goals and stay together (Ringard, 2020).</w:t>
      </w:r>
    </w:p>
    <w:p w:rsidR="00B643D9" w:rsidRPr="00B643D9" w:rsidRDefault="00B643D9" w:rsidP="00B643D9">
      <w:pPr>
        <w:rPr>
          <w:rFonts w:ascii="Arial" w:hAnsi="Arial" w:cs="Arial"/>
        </w:rPr>
      </w:pPr>
      <w:r w:rsidRPr="00B643D9">
        <w:rPr>
          <w:rFonts w:ascii="Arial" w:hAnsi="Arial" w:cs="Arial"/>
        </w:rPr>
        <w:t>The employee lifecycle program of the Trinity Hotel in the UK is comprehensive and aims to recruit, train, and retain the finest employees. Guests may be certain that they will get nothing less than the best service thanks to the extensive measures taken to train and motivate their employees.</w:t>
      </w:r>
    </w:p>
    <w:p w:rsidR="00B643D9" w:rsidRPr="00B643D9" w:rsidRDefault="00B643D9" w:rsidP="00B643D9">
      <w:pPr>
        <w:rPr>
          <w:rFonts w:ascii="Arial" w:hAnsi="Arial" w:cs="Arial"/>
        </w:rPr>
      </w:pPr>
      <w:r w:rsidRPr="00B643D9">
        <w:rPr>
          <w:rFonts w:ascii="Arial" w:hAnsi="Arial" w:cs="Arial"/>
        </w:rPr>
        <w:t>When a company actively seeks for, interviews, and eventually hires new employees, they are engaging in what is known as "attraction." Trinity Hotel is always in need of fresh, competent employees and is dedicated to establishing a positive employer brand (Stadter, 2014). They want to recruit individuals who share their values by stressing the value they put on employees' personal and professional development.</w:t>
      </w:r>
    </w:p>
    <w:p w:rsidR="00B643D9" w:rsidRPr="00B643D9" w:rsidRDefault="00B643D9" w:rsidP="00B643D9">
      <w:pPr>
        <w:rPr>
          <w:rFonts w:ascii="Arial" w:hAnsi="Arial" w:cs="Arial"/>
        </w:rPr>
      </w:pPr>
      <w:r w:rsidRPr="00B643D9">
        <w:rPr>
          <w:rFonts w:ascii="Arial" w:hAnsi="Arial" w:cs="Arial"/>
        </w:rPr>
        <w:t>When people are intrigued enough to want to learn more, the "Recruitment" phase may begin. To guarantee that only the most qualified persons are employed, Trinity Hotel has a stringent application and interview process. Interviews, assessments, and consideration of how new employees will fit into the current team dynamic are all factors that contribute to a high percentage of successful placements.</w:t>
      </w:r>
    </w:p>
    <w:p w:rsidR="00B643D9" w:rsidRPr="00B643D9" w:rsidRDefault="00B643D9" w:rsidP="00B643D9">
      <w:pPr>
        <w:rPr>
          <w:rFonts w:ascii="Arial" w:hAnsi="Arial" w:cs="Arial"/>
        </w:rPr>
      </w:pPr>
      <w:r w:rsidRPr="00B643D9">
        <w:rPr>
          <w:rFonts w:ascii="Arial" w:hAnsi="Arial" w:cs="Arial"/>
        </w:rPr>
        <w:t>The "Onboarding" phase occurs just after a new employee is hired. The Trinity Hotel places a premium on a guest's ability to orient themselves (Dollins, and Stemmle, 2021). Extensive orientation programs provide new workers with enough time to learn about the company's background, beliefs, and procedures.</w:t>
      </w:r>
    </w:p>
    <w:p w:rsidR="00B643D9" w:rsidRPr="00B643D9" w:rsidRDefault="00B643D9" w:rsidP="00B643D9">
      <w:pPr>
        <w:rPr>
          <w:rFonts w:ascii="Arial" w:hAnsi="Arial" w:cs="Arial"/>
        </w:rPr>
      </w:pPr>
      <w:r w:rsidRPr="00B643D9">
        <w:rPr>
          <w:rFonts w:ascii="Arial" w:hAnsi="Arial" w:cs="Arial"/>
        </w:rPr>
        <w:t>When training and orientation are complete, the following phase is called "Development." The management of the Trinity Hotel cares deeply about its staff members' personal and professional growth. The organization provides several opportunities for its employees to learn new skills, connect with mentors, and advance their careers.</w:t>
      </w:r>
    </w:p>
    <w:p w:rsidR="00B643D9" w:rsidRPr="00B643D9" w:rsidRDefault="00B643D9" w:rsidP="00B643D9">
      <w:pPr>
        <w:rPr>
          <w:rFonts w:ascii="Arial" w:hAnsi="Arial" w:cs="Arial"/>
        </w:rPr>
      </w:pPr>
      <w:r w:rsidRPr="00B643D9">
        <w:rPr>
          <w:rFonts w:ascii="Arial" w:hAnsi="Arial" w:cs="Arial"/>
        </w:rPr>
        <w:lastRenderedPageBreak/>
        <w:t>Trinity Hotel values their employees so highly that they prioritize the "Retention" phase of their employment. They understand that keeping their finest employees is just as important as finding new ones. In addition to a nice working environment and generous perks, they treat their workers with respect and admiration.</w:t>
      </w:r>
    </w:p>
    <w:p w:rsidR="00B643D9" w:rsidRPr="00B643D9" w:rsidRDefault="00B643D9" w:rsidP="00B643D9">
      <w:pPr>
        <w:rPr>
          <w:rFonts w:ascii="Arial" w:hAnsi="Arial" w:cs="Arial"/>
        </w:rPr>
      </w:pPr>
      <w:r w:rsidRPr="00B643D9">
        <w:rPr>
          <w:rFonts w:ascii="Arial" w:hAnsi="Arial" w:cs="Arial"/>
        </w:rPr>
        <w:t>If a separation is ultimately necessary, it is handled delicately and with respect at the "Separation" stage. Trinity Hotel appreciates its employees and knows that some of them may leave for other opportunities or retire, so it tries to make the transition as smooth as possible and maintain cordial relationships with former employees (Marchington, and Wilkinson, 2016).</w:t>
      </w:r>
    </w:p>
    <w:p w:rsidR="00B643D9" w:rsidRPr="00B643D9" w:rsidRDefault="00B643D9" w:rsidP="00B643D9">
      <w:pPr>
        <w:rPr>
          <w:rFonts w:ascii="Arial" w:hAnsi="Arial" w:cs="Arial"/>
        </w:rPr>
      </w:pPr>
      <w:r w:rsidRPr="00B643D9">
        <w:rPr>
          <w:rFonts w:ascii="Arial" w:hAnsi="Arial" w:cs="Arial"/>
        </w:rPr>
        <w:t>The Trinity Hotel in London, United Kingdom, uses a holistic approach to HRM. They really want their workers to succeed in both their personal lives and in their jobs. The way the firm deals with applicants and former employees is indicative of this.</w:t>
      </w:r>
    </w:p>
    <w:p w:rsidR="00B643D9" w:rsidRPr="00B643D9" w:rsidRDefault="00B643D9" w:rsidP="00B643D9">
      <w:pPr>
        <w:rPr>
          <w:rFonts w:ascii="Arial" w:hAnsi="Arial" w:cs="Arial"/>
        </w:rPr>
      </w:pPr>
      <w:r w:rsidRPr="00B643D9">
        <w:rPr>
          <w:rFonts w:ascii="Arial" w:hAnsi="Arial" w:cs="Arial"/>
        </w:rPr>
        <w:t>Trinity Hotel can improve productivity and teamwork in the workplace in many different ways. In order to start things rolling, it is crucial to regularly engage in team-building activities that bring employees closer together and foster a sense of camaraderie among them. Activities such as team lunches, weekend trips, and friendly competitions may help boost morale and collaboration in the workplace.</w:t>
      </w:r>
    </w:p>
    <w:p w:rsidR="00B643D9" w:rsidRPr="00B643D9" w:rsidRDefault="00B643D9" w:rsidP="00B643D9">
      <w:pPr>
        <w:rPr>
          <w:rFonts w:ascii="Arial" w:hAnsi="Arial" w:cs="Arial"/>
        </w:rPr>
      </w:pPr>
      <w:r w:rsidRPr="00B643D9">
        <w:rPr>
          <w:rFonts w:ascii="Arial" w:hAnsi="Arial" w:cs="Arial"/>
        </w:rPr>
        <w:t>Another useful strategy is to keep the lines of communication open and honest at all times. Tenants may be kept up-to-date on the progress of maintenance and improvements by regular meetings with the property management (Murton, Inman, O'Sullivan, 2010). The members of a team are more inclined to give their best if they think their contributions are acknowledged and rewarded, and when they believe their ideas and proposals are respected. Trinity Hotel is considering instituting a rewards program as a means of showing its personnel how much it values and appreciates their hard work. An increase in income or bonus, or even simply an expression of appreciation, may serve as a reward.</w:t>
      </w:r>
    </w:p>
    <w:p w:rsidR="00B643D9" w:rsidRPr="00B643D9" w:rsidRDefault="00B643D9" w:rsidP="00B643D9">
      <w:pPr>
        <w:rPr>
          <w:rFonts w:ascii="Arial" w:hAnsi="Arial" w:cs="Arial"/>
        </w:rPr>
      </w:pPr>
      <w:r w:rsidRPr="00B643D9">
        <w:rPr>
          <w:rFonts w:ascii="Arial" w:hAnsi="Arial" w:cs="Arial"/>
        </w:rPr>
        <w:t xml:space="preserve">(Gupta, 2019) An employer that values its workers would provide them chances to grow professionally. Hotels often invest in their workers' professional development by </w:t>
      </w:r>
      <w:r w:rsidRPr="00B643D9">
        <w:rPr>
          <w:rFonts w:ascii="Arial" w:hAnsi="Arial" w:cs="Arial"/>
        </w:rPr>
        <w:lastRenderedPageBreak/>
        <w:t>providing tuition reimbursement and subsidized or free access to a variety of courses, seminars, and workshops.</w:t>
      </w:r>
    </w:p>
    <w:p w:rsidR="00B643D9" w:rsidRPr="00B643D9" w:rsidRDefault="00B643D9" w:rsidP="00B643D9">
      <w:pPr>
        <w:rPr>
          <w:rFonts w:ascii="Arial" w:hAnsi="Arial" w:cs="Arial"/>
        </w:rPr>
      </w:pPr>
      <w:r w:rsidRPr="00B643D9">
        <w:rPr>
          <w:rFonts w:ascii="Arial" w:hAnsi="Arial" w:cs="Arial"/>
        </w:rPr>
        <w:t>To sum up, Nikolova (2019) suggests that including hotel personnel in crucial decisions and operations might boost morale and a sense of pride in one's profession. When employees have faith that their input is valued, they are more likely to stay with the company and be happy in their positions.</w:t>
      </w:r>
    </w:p>
    <w:p w:rsidR="00900F75" w:rsidRPr="00B82BC9" w:rsidRDefault="00B643D9" w:rsidP="00B643D9">
      <w:pPr>
        <w:rPr>
          <w:rFonts w:ascii="Arial" w:hAnsi="Arial" w:cs="Arial"/>
        </w:rPr>
      </w:pPr>
      <w:r w:rsidRPr="00B643D9">
        <w:rPr>
          <w:rFonts w:ascii="Arial" w:hAnsi="Arial" w:cs="Arial"/>
        </w:rPr>
        <w:t>The success of every organization depends on having engaged employees, and the Gallup Q12 model is a proven approach for doing just that. The 12 base-level questions of the model are designed to delve into various aspects of employees' commitment to the business. Several strategies exist for implementing this concept (Torrington et al., 2020). Companies may use regular surveys with the 12 questions listed above to begin measuring and monitoring employee engagement levels over time.</w:t>
      </w:r>
    </w:p>
    <w:p w:rsidR="00900F75" w:rsidRPr="00B82BC9" w:rsidRDefault="001B2242" w:rsidP="001B2242">
      <w:pPr>
        <w:jc w:val="center"/>
        <w:rPr>
          <w:rFonts w:ascii="Arial" w:hAnsi="Arial" w:cs="Arial"/>
        </w:rPr>
      </w:pPr>
      <w:r>
        <w:rPr>
          <w:rFonts w:ascii="Arial" w:hAnsi="Arial" w:cs="Arial"/>
          <w:noProof/>
          <w:lang w:val="cs-CZ" w:eastAsia="cs-CZ"/>
        </w:rPr>
        <w:drawing>
          <wp:inline distT="0" distB="0" distL="0" distR="0">
            <wp:extent cx="4000500" cy="3143250"/>
            <wp:effectExtent l="0" t="0" r="0" b="0"/>
            <wp:docPr id="1392869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00500" cy="3143250"/>
                    </a:xfrm>
                    <a:prstGeom prst="rect">
                      <a:avLst/>
                    </a:prstGeom>
                    <a:noFill/>
                  </pic:spPr>
                </pic:pic>
              </a:graphicData>
            </a:graphic>
          </wp:inline>
        </w:drawing>
      </w:r>
    </w:p>
    <w:p w:rsidR="00900F75" w:rsidRPr="001B2242" w:rsidRDefault="00900F75" w:rsidP="001C4D33">
      <w:pPr>
        <w:jc w:val="center"/>
        <w:rPr>
          <w:rFonts w:ascii="Arial" w:hAnsi="Arial" w:cs="Arial"/>
          <w:i/>
          <w:iCs/>
        </w:rPr>
      </w:pPr>
      <w:r w:rsidRPr="001B2242">
        <w:rPr>
          <w:rFonts w:ascii="Arial" w:hAnsi="Arial" w:cs="Arial"/>
          <w:i/>
          <w:iCs/>
        </w:rPr>
        <w:t>Figure: Gallup Q12</w:t>
      </w:r>
      <w:r w:rsidR="001C4D33" w:rsidRPr="001B2242">
        <w:rPr>
          <w:rFonts w:ascii="Arial" w:hAnsi="Arial" w:cs="Arial"/>
          <w:i/>
          <w:iCs/>
          <w:vertAlign w:val="superscript"/>
        </w:rPr>
        <w:t>TM</w:t>
      </w:r>
      <w:r w:rsidR="001C4D33" w:rsidRPr="001B2242">
        <w:rPr>
          <w:rFonts w:ascii="Arial" w:hAnsi="Arial" w:cs="Arial"/>
          <w:i/>
          <w:iCs/>
        </w:rPr>
        <w:t xml:space="preserve"> Engagement Model</w:t>
      </w:r>
    </w:p>
    <w:p w:rsidR="001C4D33" w:rsidRPr="001B2242" w:rsidRDefault="001C4D33" w:rsidP="001C4D33">
      <w:pPr>
        <w:jc w:val="center"/>
        <w:rPr>
          <w:rFonts w:ascii="Arial" w:hAnsi="Arial" w:cs="Arial"/>
          <w:i/>
          <w:iCs/>
        </w:rPr>
      </w:pPr>
      <w:r w:rsidRPr="001B2242">
        <w:rPr>
          <w:rFonts w:ascii="Arial" w:hAnsi="Arial" w:cs="Arial"/>
          <w:i/>
          <w:iCs/>
        </w:rPr>
        <w:t>Source: Author.</w:t>
      </w:r>
    </w:p>
    <w:p w:rsidR="001B2242" w:rsidRPr="001B2242" w:rsidRDefault="001B2242" w:rsidP="001B2242">
      <w:pPr>
        <w:rPr>
          <w:rFonts w:asciiTheme="minorBidi" w:hAnsiTheme="minorBidi"/>
        </w:rPr>
      </w:pPr>
      <w:r w:rsidRPr="001B2242">
        <w:rPr>
          <w:rFonts w:asciiTheme="minorBidi" w:hAnsiTheme="minorBidi"/>
        </w:rPr>
        <w:t xml:space="preserve">Companies like Google use Gallup's Q12 technique to gauge employee satisfaction. The company often polls its employees to get a sense of how they feel about issues like job stability, schedule options, and opportunities for promotion. The data is used to </w:t>
      </w:r>
      <w:r w:rsidRPr="001B2242">
        <w:rPr>
          <w:rFonts w:asciiTheme="minorBidi" w:hAnsiTheme="minorBidi"/>
        </w:rPr>
        <w:lastRenderedPageBreak/>
        <w:t>create new initiatives and policies at Google, such the on-site creche and flexible work arrangements (Nel, 2018).</w:t>
      </w:r>
    </w:p>
    <w:p w:rsidR="00EB3F12" w:rsidRPr="00B82BC9" w:rsidRDefault="001B2242" w:rsidP="001B2242">
      <w:pPr>
        <w:rPr>
          <w:rFonts w:eastAsiaTheme="majorEastAsia"/>
          <w:b/>
          <w:sz w:val="32"/>
          <w:szCs w:val="32"/>
        </w:rPr>
      </w:pPr>
      <w:r w:rsidRPr="001B2242">
        <w:rPr>
          <w:rFonts w:asciiTheme="minorBidi" w:hAnsiTheme="minorBidi"/>
        </w:rPr>
        <w:t>In addition, companies may evaluate their position in the market by comparing their results with those of their competitors. A retailer may evaluate customer participation rates in comparison to those of Amazon and Walmart. The last step in the Gallup Q12 method is making the decision to implement suggestions. Survey results may be used to educate and motivate workers to take part in corporate efforts to foster a culture of accountability (Thompson, 2019). According to Gallup's Q12 model, engaged workers have a positive impact on financial outcomes for organizations of all sizes.</w:t>
      </w:r>
      <w:r w:rsidR="00EB3F12" w:rsidRPr="00B82BC9">
        <w:br w:type="page"/>
      </w:r>
    </w:p>
    <w:p w:rsidR="00FE2D5A" w:rsidRPr="00B82BC9" w:rsidRDefault="00FE2D5A" w:rsidP="00FE2D5A">
      <w:pPr>
        <w:pStyle w:val="Nadpis1"/>
        <w:rPr>
          <w:rFonts w:ascii="Arial" w:hAnsi="Arial" w:cs="Arial"/>
        </w:rPr>
      </w:pPr>
      <w:r w:rsidRPr="00B82BC9">
        <w:rPr>
          <w:rFonts w:ascii="Arial" w:hAnsi="Arial" w:cs="Arial"/>
        </w:rPr>
        <w:lastRenderedPageBreak/>
        <w:t>References</w:t>
      </w:r>
    </w:p>
    <w:p w:rsidR="00411346" w:rsidRPr="00B82BC9" w:rsidRDefault="00411346" w:rsidP="00F67218">
      <w:pPr>
        <w:jc w:val="left"/>
        <w:rPr>
          <w:rFonts w:ascii="Arial" w:hAnsi="Arial" w:cs="Arial"/>
        </w:rPr>
      </w:pPr>
      <w:r w:rsidRPr="00B82BC9">
        <w:rPr>
          <w:rFonts w:ascii="Arial" w:hAnsi="Arial" w:cs="Arial"/>
        </w:rPr>
        <w:t xml:space="preserve">Armstrong, M. and Taylor, S. (2020) </w:t>
      </w:r>
      <w:r w:rsidRPr="00B82BC9">
        <w:rPr>
          <w:rFonts w:ascii="Arial" w:hAnsi="Arial" w:cs="Arial"/>
          <w:i/>
          <w:iCs/>
        </w:rPr>
        <w:t>Armstrong’s handbook of human resource management practice.15th edition</w:t>
      </w:r>
      <w:r w:rsidRPr="00B82BC9">
        <w:rPr>
          <w:rFonts w:ascii="Arial" w:hAnsi="Arial" w:cs="Arial"/>
        </w:rPr>
        <w:t>. London, United Kingdom ;: KoganPage.</w:t>
      </w:r>
    </w:p>
    <w:p w:rsidR="00411346" w:rsidRPr="00B82BC9" w:rsidRDefault="00411346" w:rsidP="00F67218">
      <w:pPr>
        <w:jc w:val="left"/>
        <w:rPr>
          <w:rFonts w:ascii="Arial" w:hAnsi="Arial" w:cs="Arial"/>
        </w:rPr>
      </w:pPr>
      <w:r w:rsidRPr="00B82BC9">
        <w:rPr>
          <w:rFonts w:ascii="Arial" w:hAnsi="Arial" w:cs="Arial"/>
        </w:rPr>
        <w:t xml:space="preserve">Bardhan, S. (2022) “Engaging employees with positivity,” </w:t>
      </w:r>
      <w:r w:rsidRPr="00B82BC9">
        <w:rPr>
          <w:rFonts w:ascii="Arial" w:hAnsi="Arial" w:cs="Arial"/>
          <w:i/>
          <w:iCs/>
        </w:rPr>
        <w:t>Research Anthology on Changing Dynamics of Diversity and Safety in the Workforce</w:t>
      </w:r>
      <w:r w:rsidRPr="00B82BC9">
        <w:rPr>
          <w:rFonts w:ascii="Arial" w:hAnsi="Arial" w:cs="Arial"/>
        </w:rPr>
        <w:t>, pp. 1731–1743.</w:t>
      </w:r>
    </w:p>
    <w:p w:rsidR="00411346" w:rsidRPr="00B82BC9" w:rsidRDefault="00411346" w:rsidP="00F67218">
      <w:pPr>
        <w:jc w:val="left"/>
        <w:rPr>
          <w:rFonts w:ascii="Arial" w:hAnsi="Arial" w:cs="Arial"/>
        </w:rPr>
      </w:pPr>
      <w:r w:rsidRPr="00B82BC9">
        <w:rPr>
          <w:rFonts w:ascii="Arial" w:hAnsi="Arial" w:cs="Arial"/>
        </w:rPr>
        <w:t xml:space="preserve">Card, D. and Ransom, M. (2017) Pension plan characteristics and framing effects in employee savings </w:t>
      </w:r>
      <w:r w:rsidR="00163C34" w:rsidRPr="00B82BC9">
        <w:rPr>
          <w:rFonts w:ascii="Arial" w:hAnsi="Arial" w:cs="Arial"/>
        </w:rPr>
        <w:t>behaviour</w:t>
      </w:r>
      <w:r w:rsidRPr="00B82BC9">
        <w:rPr>
          <w:rFonts w:ascii="Arial" w:hAnsi="Arial" w:cs="Arial"/>
          <w:i/>
          <w:iCs/>
        </w:rPr>
        <w:t>. Cambridge, Mass: National Bureau of Economic Research.</w:t>
      </w:r>
    </w:p>
    <w:p w:rsidR="00411346" w:rsidRPr="00B82BC9" w:rsidRDefault="00411346" w:rsidP="00F67218">
      <w:pPr>
        <w:jc w:val="left"/>
        <w:rPr>
          <w:rFonts w:ascii="Arial" w:hAnsi="Arial" w:cs="Arial"/>
        </w:rPr>
      </w:pPr>
      <w:r w:rsidRPr="00B82BC9">
        <w:rPr>
          <w:rFonts w:ascii="Arial" w:hAnsi="Arial" w:cs="Arial"/>
        </w:rPr>
        <w:t xml:space="preserve">Carpenter, T. and Carpenter, J. (2021) People First: The 5 steps to Pure Human Connection and a thriving organization. </w:t>
      </w:r>
      <w:r w:rsidRPr="00B82BC9">
        <w:rPr>
          <w:rFonts w:ascii="Arial" w:hAnsi="Arial" w:cs="Arial"/>
          <w:i/>
          <w:iCs/>
        </w:rPr>
        <w:t>New York: Post Hill Press.</w:t>
      </w:r>
    </w:p>
    <w:p w:rsidR="00411346" w:rsidRPr="00B82BC9" w:rsidRDefault="00411346" w:rsidP="00F67218">
      <w:pPr>
        <w:jc w:val="left"/>
        <w:rPr>
          <w:rFonts w:ascii="Arial" w:hAnsi="Arial" w:cs="Arial"/>
        </w:rPr>
      </w:pPr>
      <w:r w:rsidRPr="00B82BC9">
        <w:rPr>
          <w:rFonts w:ascii="Arial" w:hAnsi="Arial" w:cs="Arial"/>
        </w:rPr>
        <w:t>Dollins, M. and Stemmle, J. (2021) “Employee communication measurement,”</w:t>
      </w:r>
      <w:r w:rsidRPr="00B82BC9">
        <w:rPr>
          <w:rFonts w:ascii="Arial" w:hAnsi="Arial" w:cs="Arial"/>
          <w:i/>
          <w:iCs/>
        </w:rPr>
        <w:t xml:space="preserve"> Engaging Employees through Strategic Communication, pp. 59–75</w:t>
      </w:r>
      <w:r w:rsidRPr="00B82BC9">
        <w:rPr>
          <w:rFonts w:ascii="Arial" w:hAnsi="Arial" w:cs="Arial"/>
        </w:rPr>
        <w:t xml:space="preserve">. </w:t>
      </w:r>
    </w:p>
    <w:p w:rsidR="00411346" w:rsidRPr="00B82BC9" w:rsidRDefault="00411346" w:rsidP="00F67218">
      <w:pPr>
        <w:jc w:val="left"/>
        <w:rPr>
          <w:rFonts w:ascii="Arial" w:hAnsi="Arial" w:cs="Arial"/>
        </w:rPr>
      </w:pPr>
      <w:r w:rsidRPr="00B82BC9">
        <w:rPr>
          <w:rFonts w:ascii="Arial" w:hAnsi="Arial" w:cs="Arial"/>
        </w:rPr>
        <w:t>Dollins, M. and Stemmle, J. (2021) “The evolution of employee communication to employee engagement,”</w:t>
      </w:r>
      <w:r w:rsidRPr="00B82BC9">
        <w:rPr>
          <w:rFonts w:ascii="Arial" w:hAnsi="Arial" w:cs="Arial"/>
          <w:i/>
          <w:iCs/>
        </w:rPr>
        <w:t xml:space="preserve"> Engaging Employees through Strategic Communication, pp. 197–212.</w:t>
      </w:r>
    </w:p>
    <w:p w:rsidR="00411346" w:rsidRPr="00B82BC9" w:rsidRDefault="00411346" w:rsidP="00F67218">
      <w:pPr>
        <w:jc w:val="left"/>
        <w:rPr>
          <w:rFonts w:ascii="Arial" w:hAnsi="Arial" w:cs="Arial"/>
          <w:i/>
          <w:iCs/>
        </w:rPr>
      </w:pPr>
      <w:r w:rsidRPr="00B82BC9">
        <w:rPr>
          <w:rFonts w:ascii="Arial" w:hAnsi="Arial" w:cs="Arial"/>
        </w:rPr>
        <w:t xml:space="preserve">Friedman, A. (2012) </w:t>
      </w:r>
      <w:r w:rsidRPr="00B82BC9">
        <w:rPr>
          <w:rFonts w:ascii="Arial" w:hAnsi="Arial" w:cs="Arial"/>
          <w:i/>
          <w:iCs/>
        </w:rPr>
        <w:t>Continuing professional development: lifelong learning of millions. London: Routledge.</w:t>
      </w:r>
    </w:p>
    <w:p w:rsidR="00411346" w:rsidRPr="00B82BC9" w:rsidRDefault="00411346" w:rsidP="00F67218">
      <w:pPr>
        <w:jc w:val="left"/>
        <w:rPr>
          <w:rFonts w:ascii="Arial" w:hAnsi="Arial" w:cs="Arial"/>
          <w:i/>
          <w:iCs/>
        </w:rPr>
      </w:pPr>
      <w:r w:rsidRPr="00B82BC9">
        <w:rPr>
          <w:rFonts w:ascii="Arial" w:hAnsi="Arial" w:cs="Arial"/>
        </w:rPr>
        <w:t xml:space="preserve">Gallagher, K. (2016) Essential study and employment skills for business and management students. </w:t>
      </w:r>
      <w:r w:rsidRPr="00B82BC9">
        <w:rPr>
          <w:rFonts w:ascii="Arial" w:hAnsi="Arial" w:cs="Arial"/>
          <w:i/>
          <w:iCs/>
        </w:rPr>
        <w:t>Oxford: Oxford University Press.</w:t>
      </w:r>
    </w:p>
    <w:p w:rsidR="00411346" w:rsidRPr="00B82BC9" w:rsidRDefault="00411346" w:rsidP="00F67218">
      <w:pPr>
        <w:jc w:val="left"/>
        <w:rPr>
          <w:rFonts w:ascii="Arial" w:hAnsi="Arial" w:cs="Arial"/>
          <w:i/>
          <w:iCs/>
        </w:rPr>
      </w:pPr>
      <w:r w:rsidRPr="00B82BC9">
        <w:rPr>
          <w:rFonts w:ascii="Arial" w:hAnsi="Arial" w:cs="Arial"/>
        </w:rPr>
        <w:t xml:space="preserve">Graban, M. and Toussaint, J. (2018) </w:t>
      </w:r>
      <w:r w:rsidRPr="00B82BC9">
        <w:rPr>
          <w:rFonts w:ascii="Arial" w:hAnsi="Arial" w:cs="Arial"/>
          <w:i/>
          <w:iCs/>
        </w:rPr>
        <w:t xml:space="preserve">“Engaging and leading employees,” Lean Hospitals, pp. 237–269. </w:t>
      </w:r>
    </w:p>
    <w:p w:rsidR="00411346" w:rsidRPr="00B82BC9" w:rsidRDefault="00411346" w:rsidP="00F67218">
      <w:pPr>
        <w:jc w:val="left"/>
        <w:rPr>
          <w:rFonts w:ascii="Arial" w:hAnsi="Arial" w:cs="Arial"/>
          <w:i/>
          <w:iCs/>
        </w:rPr>
      </w:pPr>
      <w:r w:rsidRPr="00B82BC9">
        <w:rPr>
          <w:rFonts w:ascii="Arial" w:hAnsi="Arial" w:cs="Arial"/>
        </w:rPr>
        <w:t>Gupta, S. (2019) “Challenges faced by Adecco Employees in handling employee lifecycle</w:t>
      </w:r>
      <w:r w:rsidR="00910A5D" w:rsidRPr="00B82BC9">
        <w:rPr>
          <w:rFonts w:ascii="Arial" w:hAnsi="Arial" w:cs="Arial"/>
        </w:rPr>
        <w:t>.</w:t>
      </w:r>
      <w:r w:rsidRPr="00B82BC9">
        <w:rPr>
          <w:rFonts w:ascii="Arial" w:hAnsi="Arial" w:cs="Arial"/>
        </w:rPr>
        <w:t xml:space="preserve">” </w:t>
      </w:r>
      <w:r w:rsidRPr="00B82BC9">
        <w:rPr>
          <w:rFonts w:ascii="Arial" w:hAnsi="Arial" w:cs="Arial"/>
          <w:i/>
          <w:iCs/>
        </w:rPr>
        <w:t xml:space="preserve">SSRN Electronic Journal [Preprint]. </w:t>
      </w:r>
    </w:p>
    <w:p w:rsidR="00411346" w:rsidRPr="00B82BC9" w:rsidRDefault="00411346" w:rsidP="00F67218">
      <w:pPr>
        <w:jc w:val="left"/>
        <w:rPr>
          <w:rFonts w:ascii="Arial" w:hAnsi="Arial" w:cs="Arial"/>
          <w:i/>
          <w:iCs/>
        </w:rPr>
      </w:pPr>
      <w:r w:rsidRPr="00B82BC9">
        <w:rPr>
          <w:rFonts w:ascii="Arial" w:hAnsi="Arial" w:cs="Arial"/>
        </w:rPr>
        <w:t xml:space="preserve">Hyman, J. (2018) “Empowering and engaging employees?,” </w:t>
      </w:r>
      <w:r w:rsidRPr="00B82BC9">
        <w:rPr>
          <w:rFonts w:ascii="Arial" w:hAnsi="Arial" w:cs="Arial"/>
          <w:i/>
          <w:iCs/>
        </w:rPr>
        <w:t>Employee Voice and Participation, pp. 107–119.</w:t>
      </w:r>
    </w:p>
    <w:p w:rsidR="00411346" w:rsidRPr="00B82BC9" w:rsidRDefault="00411346" w:rsidP="00F67218">
      <w:pPr>
        <w:jc w:val="left"/>
        <w:rPr>
          <w:rFonts w:ascii="Arial" w:hAnsi="Arial" w:cs="Arial"/>
          <w:i/>
          <w:iCs/>
        </w:rPr>
      </w:pPr>
      <w:r w:rsidRPr="00B82BC9">
        <w:rPr>
          <w:rFonts w:ascii="Arial" w:hAnsi="Arial" w:cs="Arial"/>
        </w:rPr>
        <w:lastRenderedPageBreak/>
        <w:t xml:space="preserve">Kühnen, U. (2021) “Engaging employees through corporate social responsibility programs: Aligning Corporate Social Responsibility and employee engagement,” </w:t>
      </w:r>
      <w:r w:rsidRPr="00B82BC9">
        <w:rPr>
          <w:rFonts w:ascii="Arial" w:hAnsi="Arial" w:cs="Arial"/>
          <w:i/>
          <w:iCs/>
        </w:rPr>
        <w:t xml:space="preserve">Journal of Organizational Psychology, 21(1). </w:t>
      </w:r>
    </w:p>
    <w:p w:rsidR="00411346" w:rsidRPr="00B82BC9" w:rsidRDefault="00411346" w:rsidP="00F67218">
      <w:pPr>
        <w:jc w:val="left"/>
        <w:rPr>
          <w:rFonts w:ascii="Arial" w:hAnsi="Arial" w:cs="Arial"/>
          <w:i/>
          <w:iCs/>
        </w:rPr>
      </w:pPr>
      <w:r w:rsidRPr="00B82BC9">
        <w:rPr>
          <w:rFonts w:ascii="Arial" w:hAnsi="Arial" w:cs="Arial"/>
        </w:rPr>
        <w:t xml:space="preserve">Macey, W.H. and Fink, A.A. (2020) Employee surveys and sensing: Challenges and opportunities. </w:t>
      </w:r>
      <w:r w:rsidRPr="00B82BC9">
        <w:rPr>
          <w:rFonts w:ascii="Arial" w:hAnsi="Arial" w:cs="Arial"/>
          <w:i/>
          <w:iCs/>
        </w:rPr>
        <w:t>New York, NY: Oxford University Press.</w:t>
      </w:r>
    </w:p>
    <w:p w:rsidR="00411346" w:rsidRPr="00B82BC9" w:rsidRDefault="00411346" w:rsidP="00F67218">
      <w:pPr>
        <w:jc w:val="left"/>
        <w:rPr>
          <w:rFonts w:ascii="Arial" w:hAnsi="Arial" w:cs="Arial"/>
        </w:rPr>
      </w:pPr>
      <w:r w:rsidRPr="00B82BC9">
        <w:rPr>
          <w:rFonts w:ascii="Arial" w:hAnsi="Arial" w:cs="Arial"/>
        </w:rPr>
        <w:t xml:space="preserve">Marchington, M. and Wilkinson, A. (2016) Human resource management at work. 6th ed. London: </w:t>
      </w:r>
      <w:r w:rsidRPr="00B82BC9">
        <w:rPr>
          <w:rFonts w:ascii="Arial" w:hAnsi="Arial" w:cs="Arial"/>
          <w:i/>
          <w:iCs/>
        </w:rPr>
        <w:t>Chartered Institute of Personnel and Development.</w:t>
      </w:r>
    </w:p>
    <w:p w:rsidR="00411346" w:rsidRPr="00B82BC9" w:rsidRDefault="00411346" w:rsidP="00F67218">
      <w:pPr>
        <w:jc w:val="left"/>
        <w:rPr>
          <w:rFonts w:ascii="Arial" w:hAnsi="Arial" w:cs="Arial"/>
        </w:rPr>
      </w:pPr>
      <w:r w:rsidRPr="00B82BC9">
        <w:rPr>
          <w:rFonts w:ascii="Arial" w:hAnsi="Arial" w:cs="Arial"/>
        </w:rPr>
        <w:t>Mattox, J.R. (2016) Learning analytics. London: Kogan Page.</w:t>
      </w:r>
    </w:p>
    <w:p w:rsidR="00411346" w:rsidRPr="00B82BC9" w:rsidRDefault="00411346" w:rsidP="00F67218">
      <w:pPr>
        <w:jc w:val="left"/>
        <w:rPr>
          <w:rFonts w:ascii="Arial" w:hAnsi="Arial" w:cs="Arial"/>
          <w:i/>
          <w:iCs/>
        </w:rPr>
      </w:pPr>
      <w:r w:rsidRPr="00B82BC9">
        <w:rPr>
          <w:rFonts w:ascii="Arial" w:hAnsi="Arial" w:cs="Arial"/>
        </w:rPr>
        <w:t xml:space="preserve">Murton, A,. Inman, M., O’Sullivan, N. (2010) </w:t>
      </w:r>
      <w:r w:rsidRPr="00B82BC9">
        <w:rPr>
          <w:rFonts w:ascii="Arial" w:hAnsi="Arial" w:cs="Arial"/>
          <w:i/>
          <w:iCs/>
        </w:rPr>
        <w:t>Unlocking Human Resource Management, Hodder Education.</w:t>
      </w:r>
    </w:p>
    <w:p w:rsidR="00411346" w:rsidRPr="00B82BC9" w:rsidRDefault="00411346" w:rsidP="00F67218">
      <w:pPr>
        <w:jc w:val="left"/>
        <w:rPr>
          <w:rFonts w:ascii="Arial" w:hAnsi="Arial" w:cs="Arial"/>
          <w:i/>
          <w:iCs/>
        </w:rPr>
      </w:pPr>
      <w:r w:rsidRPr="00B82BC9">
        <w:rPr>
          <w:rFonts w:ascii="Arial" w:hAnsi="Arial" w:cs="Arial"/>
        </w:rPr>
        <w:t xml:space="preserve">Nel, J.H. (2018) “Framework for engaging unionised employees,” </w:t>
      </w:r>
      <w:r w:rsidRPr="00B82BC9">
        <w:rPr>
          <w:rFonts w:ascii="Arial" w:hAnsi="Arial" w:cs="Arial"/>
          <w:i/>
          <w:iCs/>
        </w:rPr>
        <w:t xml:space="preserve">The Art of Engaging Unionised Employees, pp. 81–99. </w:t>
      </w:r>
    </w:p>
    <w:p w:rsidR="00411346" w:rsidRPr="00B82BC9" w:rsidRDefault="00411346" w:rsidP="00F67218">
      <w:pPr>
        <w:jc w:val="left"/>
        <w:rPr>
          <w:rFonts w:ascii="Arial" w:hAnsi="Arial" w:cs="Arial"/>
        </w:rPr>
      </w:pPr>
      <w:r w:rsidRPr="00B82BC9">
        <w:rPr>
          <w:rFonts w:ascii="Arial" w:hAnsi="Arial" w:cs="Arial"/>
        </w:rPr>
        <w:t xml:space="preserve">Nikolova, I. (2019) “Engaging leader – engaged employees? A cross-lagged study on employee engagement,” </w:t>
      </w:r>
      <w:r w:rsidRPr="00B82BC9">
        <w:rPr>
          <w:rFonts w:ascii="Arial" w:hAnsi="Arial" w:cs="Arial"/>
          <w:i/>
          <w:iCs/>
        </w:rPr>
        <w:t>European Management Journal</w:t>
      </w:r>
      <w:r w:rsidRPr="00B82BC9">
        <w:rPr>
          <w:rFonts w:ascii="Arial" w:hAnsi="Arial" w:cs="Arial"/>
        </w:rPr>
        <w:t>, 37(6), pp. 772–783.</w:t>
      </w:r>
    </w:p>
    <w:p w:rsidR="00411346" w:rsidRPr="00B82BC9" w:rsidRDefault="00411346" w:rsidP="00F67218">
      <w:pPr>
        <w:jc w:val="left"/>
        <w:rPr>
          <w:rFonts w:ascii="Arial" w:hAnsi="Arial" w:cs="Arial"/>
          <w:i/>
          <w:iCs/>
        </w:rPr>
      </w:pPr>
      <w:r w:rsidRPr="00B82BC9">
        <w:rPr>
          <w:rFonts w:ascii="Arial" w:hAnsi="Arial" w:cs="Arial"/>
        </w:rPr>
        <w:t xml:space="preserve">Ringard, J. (2020) How people engagement, innovation and performance will transform the world of work. </w:t>
      </w:r>
      <w:r w:rsidRPr="00B82BC9">
        <w:rPr>
          <w:rFonts w:ascii="Arial" w:hAnsi="Arial" w:cs="Arial"/>
          <w:i/>
          <w:iCs/>
        </w:rPr>
        <w:t>New York: Kogan Page Inc.</w:t>
      </w:r>
    </w:p>
    <w:p w:rsidR="00411346" w:rsidRPr="00B82BC9" w:rsidRDefault="00411346" w:rsidP="00F67218">
      <w:pPr>
        <w:jc w:val="left"/>
        <w:rPr>
          <w:rFonts w:ascii="Arial" w:hAnsi="Arial" w:cs="Arial"/>
        </w:rPr>
      </w:pPr>
      <w:r w:rsidRPr="00B82BC9">
        <w:rPr>
          <w:rFonts w:ascii="Arial" w:hAnsi="Arial" w:cs="Arial"/>
        </w:rPr>
        <w:t xml:space="preserve">Ringo, T. (2020) </w:t>
      </w:r>
      <w:r w:rsidRPr="00B82BC9">
        <w:rPr>
          <w:rFonts w:ascii="Arial" w:hAnsi="Arial" w:cs="Arial"/>
          <w:i/>
          <w:iCs/>
        </w:rPr>
        <w:t>Solving the productivity puzzle: How to engage, motivate and develop employees to improve individual and business performance</w:t>
      </w:r>
      <w:r w:rsidRPr="00B82BC9">
        <w:rPr>
          <w:rFonts w:ascii="Arial" w:hAnsi="Arial" w:cs="Arial"/>
        </w:rPr>
        <w:t>. London: Kogan Page Inc.</w:t>
      </w:r>
    </w:p>
    <w:p w:rsidR="00411346" w:rsidRPr="00B82BC9" w:rsidRDefault="00411346" w:rsidP="00F67218">
      <w:pPr>
        <w:jc w:val="left"/>
        <w:rPr>
          <w:rFonts w:ascii="Arial" w:hAnsi="Arial" w:cs="Arial"/>
          <w:i/>
          <w:iCs/>
        </w:rPr>
      </w:pPr>
      <w:r w:rsidRPr="00B82BC9">
        <w:rPr>
          <w:rFonts w:ascii="Arial" w:hAnsi="Arial" w:cs="Arial"/>
        </w:rPr>
        <w:t xml:space="preserve">Stadter, F. (2014) The role of learning and development in Employer Brand Practices. </w:t>
      </w:r>
      <w:r w:rsidRPr="00B82BC9">
        <w:rPr>
          <w:rFonts w:ascii="Arial" w:hAnsi="Arial" w:cs="Arial"/>
          <w:i/>
          <w:iCs/>
        </w:rPr>
        <w:t>ScholarlyCommons.</w:t>
      </w:r>
    </w:p>
    <w:p w:rsidR="00411346" w:rsidRPr="00B82BC9" w:rsidRDefault="00411346" w:rsidP="00F67218">
      <w:pPr>
        <w:jc w:val="left"/>
        <w:rPr>
          <w:rFonts w:ascii="Arial" w:hAnsi="Arial" w:cs="Arial"/>
        </w:rPr>
      </w:pPr>
      <w:r w:rsidRPr="00B82BC9">
        <w:rPr>
          <w:rFonts w:ascii="Arial" w:hAnsi="Arial" w:cs="Arial"/>
        </w:rPr>
        <w:t xml:space="preserve">Thompsen, J.A. (2019) </w:t>
      </w:r>
      <w:r w:rsidRPr="00B82BC9">
        <w:rPr>
          <w:rFonts w:ascii="Arial" w:hAnsi="Arial" w:cs="Arial"/>
          <w:i/>
          <w:iCs/>
        </w:rPr>
        <w:t>Managing the employee lifecycle.</w:t>
      </w:r>
      <w:r w:rsidRPr="00B82BC9">
        <w:rPr>
          <w:rFonts w:ascii="Arial" w:hAnsi="Arial" w:cs="Arial"/>
        </w:rPr>
        <w:t xml:space="preserve"> London: Routledge.</w:t>
      </w:r>
    </w:p>
    <w:p w:rsidR="00411346" w:rsidRPr="00B82BC9" w:rsidRDefault="00411346" w:rsidP="00F67218">
      <w:pPr>
        <w:jc w:val="left"/>
        <w:rPr>
          <w:rFonts w:ascii="Arial" w:hAnsi="Arial" w:cs="Arial"/>
          <w:i/>
          <w:iCs/>
        </w:rPr>
      </w:pPr>
      <w:r w:rsidRPr="00B82BC9">
        <w:rPr>
          <w:rFonts w:ascii="Arial" w:hAnsi="Arial" w:cs="Arial"/>
        </w:rPr>
        <w:t xml:space="preserve">Torrington, D, Hall, L, Atkinson, C, &amp; Taylor, S </w:t>
      </w:r>
      <w:r w:rsidR="00F67218" w:rsidRPr="00B82BC9">
        <w:rPr>
          <w:rFonts w:ascii="Arial" w:hAnsi="Arial" w:cs="Arial"/>
        </w:rPr>
        <w:t>(</w:t>
      </w:r>
      <w:r w:rsidRPr="00B82BC9">
        <w:rPr>
          <w:rFonts w:ascii="Arial" w:hAnsi="Arial" w:cs="Arial"/>
        </w:rPr>
        <w:t>2020</w:t>
      </w:r>
      <w:r w:rsidR="00F67218" w:rsidRPr="00B82BC9">
        <w:rPr>
          <w:rFonts w:ascii="Arial" w:hAnsi="Arial" w:cs="Arial"/>
        </w:rPr>
        <w:t>)</w:t>
      </w:r>
      <w:r w:rsidRPr="00B82BC9">
        <w:rPr>
          <w:rFonts w:ascii="Arial" w:hAnsi="Arial" w:cs="Arial"/>
        </w:rPr>
        <w:t xml:space="preserve">, </w:t>
      </w:r>
      <w:r w:rsidRPr="00B82BC9">
        <w:rPr>
          <w:rFonts w:ascii="Arial" w:hAnsi="Arial" w:cs="Arial"/>
          <w:i/>
          <w:iCs/>
        </w:rPr>
        <w:t xml:space="preserve">Human Resource Management PDF EBook, Pearson Education, Limited, Harlow. </w:t>
      </w:r>
    </w:p>
    <w:sectPr w:rsidR="00411346" w:rsidRPr="00B82BC9" w:rsidSect="0062744B">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B3F" w:rsidRDefault="00872B3F" w:rsidP="003352CA">
      <w:pPr>
        <w:spacing w:after="0" w:line="240" w:lineRule="auto"/>
      </w:pPr>
      <w:r>
        <w:separator/>
      </w:r>
    </w:p>
  </w:endnote>
  <w:endnote w:type="continuationSeparator" w:id="1">
    <w:p w:rsidR="00872B3F" w:rsidRDefault="00872B3F" w:rsidP="003352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9538947"/>
      <w:docPartObj>
        <w:docPartGallery w:val="Page Numbers (Bottom of Page)"/>
        <w:docPartUnique/>
      </w:docPartObj>
    </w:sdtPr>
    <w:sdtEndPr>
      <w:rPr>
        <w:noProof/>
      </w:rPr>
    </w:sdtEndPr>
    <w:sdtContent>
      <w:p w:rsidR="00616431" w:rsidRDefault="00F43CB2">
        <w:pPr>
          <w:pStyle w:val="Zpat"/>
          <w:jc w:val="right"/>
        </w:pPr>
        <w:r>
          <w:fldChar w:fldCharType="begin"/>
        </w:r>
        <w:r w:rsidR="00616431">
          <w:instrText xml:space="preserve"> PAGE   \* MERGEFORMAT </w:instrText>
        </w:r>
        <w:r>
          <w:fldChar w:fldCharType="separate"/>
        </w:r>
        <w:r w:rsidR="005939D0">
          <w:rPr>
            <w:noProof/>
          </w:rPr>
          <w:t>1</w:t>
        </w:r>
        <w:r>
          <w:rPr>
            <w:noProof/>
          </w:rPr>
          <w:fldChar w:fldCharType="end"/>
        </w:r>
      </w:p>
    </w:sdtContent>
  </w:sdt>
  <w:p w:rsidR="00616431" w:rsidRDefault="00616431">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B3F" w:rsidRDefault="00872B3F" w:rsidP="003352CA">
      <w:pPr>
        <w:spacing w:after="0" w:line="240" w:lineRule="auto"/>
      </w:pPr>
      <w:r>
        <w:separator/>
      </w:r>
    </w:p>
  </w:footnote>
  <w:footnote w:type="continuationSeparator" w:id="1">
    <w:p w:rsidR="00872B3F" w:rsidRDefault="00872B3F" w:rsidP="003352C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hyphenationZone w:val="425"/>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TA3MDMzMrE0MjA0MzJQ0lEKTi0uzszPAykwqgUAPsZf6iwAAAA="/>
  </w:docVars>
  <w:rsids>
    <w:rsidRoot w:val="00DD5BEE"/>
    <w:rsid w:val="00010ABC"/>
    <w:rsid w:val="000559A4"/>
    <w:rsid w:val="00084D5F"/>
    <w:rsid w:val="000C228B"/>
    <w:rsid w:val="001413E1"/>
    <w:rsid w:val="00145778"/>
    <w:rsid w:val="00154ECC"/>
    <w:rsid w:val="00163C34"/>
    <w:rsid w:val="001B2242"/>
    <w:rsid w:val="001C1D74"/>
    <w:rsid w:val="001C4D33"/>
    <w:rsid w:val="002812C0"/>
    <w:rsid w:val="00300E14"/>
    <w:rsid w:val="003352CA"/>
    <w:rsid w:val="0034011C"/>
    <w:rsid w:val="00355F59"/>
    <w:rsid w:val="00392538"/>
    <w:rsid w:val="004076AA"/>
    <w:rsid w:val="00411346"/>
    <w:rsid w:val="00495303"/>
    <w:rsid w:val="00496411"/>
    <w:rsid w:val="004F4A39"/>
    <w:rsid w:val="00504A58"/>
    <w:rsid w:val="005939D0"/>
    <w:rsid w:val="005D11D2"/>
    <w:rsid w:val="00616431"/>
    <w:rsid w:val="0062744B"/>
    <w:rsid w:val="00642490"/>
    <w:rsid w:val="006A0C34"/>
    <w:rsid w:val="006F7672"/>
    <w:rsid w:val="007103AD"/>
    <w:rsid w:val="00732EC7"/>
    <w:rsid w:val="00777F65"/>
    <w:rsid w:val="007B6F07"/>
    <w:rsid w:val="007E0F7A"/>
    <w:rsid w:val="007F2316"/>
    <w:rsid w:val="00803EA5"/>
    <w:rsid w:val="0080548C"/>
    <w:rsid w:val="00872B3F"/>
    <w:rsid w:val="008B347C"/>
    <w:rsid w:val="00900F75"/>
    <w:rsid w:val="00907E92"/>
    <w:rsid w:val="00910A5D"/>
    <w:rsid w:val="009166FB"/>
    <w:rsid w:val="00954787"/>
    <w:rsid w:val="00964F0E"/>
    <w:rsid w:val="00980491"/>
    <w:rsid w:val="00A827D1"/>
    <w:rsid w:val="00A957FB"/>
    <w:rsid w:val="00B643D9"/>
    <w:rsid w:val="00B82BC9"/>
    <w:rsid w:val="00B9234E"/>
    <w:rsid w:val="00BE6925"/>
    <w:rsid w:val="00C12906"/>
    <w:rsid w:val="00C45DD2"/>
    <w:rsid w:val="00CC2E2E"/>
    <w:rsid w:val="00D42D0A"/>
    <w:rsid w:val="00D56D44"/>
    <w:rsid w:val="00D81C49"/>
    <w:rsid w:val="00DC7396"/>
    <w:rsid w:val="00DD5BEE"/>
    <w:rsid w:val="00EA3558"/>
    <w:rsid w:val="00EB3F12"/>
    <w:rsid w:val="00F43CB2"/>
    <w:rsid w:val="00F65E68"/>
    <w:rsid w:val="00F67218"/>
    <w:rsid w:val="00FA0D55"/>
    <w:rsid w:val="00FA632C"/>
    <w:rsid w:val="00FD12E9"/>
    <w:rsid w:val="00FD2635"/>
    <w:rsid w:val="00FE2D5A"/>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92538"/>
    <w:pPr>
      <w:spacing w:line="360" w:lineRule="auto"/>
      <w:jc w:val="both"/>
    </w:pPr>
    <w:rPr>
      <w:rFonts w:ascii="Times New Roman" w:hAnsi="Times New Roman"/>
      <w:kern w:val="2"/>
      <w:sz w:val="24"/>
    </w:rPr>
  </w:style>
  <w:style w:type="paragraph" w:styleId="Nadpis1">
    <w:name w:val="heading 1"/>
    <w:basedOn w:val="Normln"/>
    <w:next w:val="Normln"/>
    <w:link w:val="Nadpis1Char"/>
    <w:autoRedefine/>
    <w:uiPriority w:val="9"/>
    <w:qFormat/>
    <w:rsid w:val="00496411"/>
    <w:pPr>
      <w:keepNext/>
      <w:keepLines/>
      <w:spacing w:before="240" w:after="0"/>
      <w:outlineLvl w:val="0"/>
    </w:pPr>
    <w:rPr>
      <w:rFonts w:eastAsiaTheme="majorEastAsia" w:cstheme="majorBidi"/>
      <w:b/>
      <w:sz w:val="32"/>
      <w:szCs w:val="32"/>
    </w:rPr>
  </w:style>
  <w:style w:type="paragraph" w:styleId="Nadpis2">
    <w:name w:val="heading 2"/>
    <w:basedOn w:val="Normln"/>
    <w:next w:val="Normln"/>
    <w:link w:val="Nadpis2Char"/>
    <w:autoRedefine/>
    <w:uiPriority w:val="9"/>
    <w:unhideWhenUsed/>
    <w:qFormat/>
    <w:rsid w:val="00496411"/>
    <w:pPr>
      <w:keepNext/>
      <w:keepLines/>
      <w:spacing w:before="40" w:after="0"/>
      <w:outlineLvl w:val="1"/>
    </w:pPr>
    <w:rPr>
      <w:rFonts w:eastAsiaTheme="majorEastAsia" w:cstheme="majorBidi"/>
      <w:b/>
      <w:color w:val="2E74B5" w:themeColor="accent5" w:themeShade="BF"/>
      <w:sz w:val="28"/>
      <w:szCs w:val="26"/>
    </w:rPr>
  </w:style>
  <w:style w:type="paragraph" w:styleId="Nadpis3">
    <w:name w:val="heading 3"/>
    <w:basedOn w:val="Normln"/>
    <w:next w:val="Normln"/>
    <w:link w:val="Nadpis3Char"/>
    <w:autoRedefine/>
    <w:uiPriority w:val="9"/>
    <w:unhideWhenUsed/>
    <w:qFormat/>
    <w:rsid w:val="00496411"/>
    <w:pPr>
      <w:keepNext/>
      <w:keepLines/>
      <w:spacing w:before="40" w:after="0"/>
      <w:outlineLvl w:val="2"/>
    </w:pPr>
    <w:rPr>
      <w:rFonts w:eastAsiaTheme="majorEastAsia" w:cstheme="majorBidi"/>
      <w:b/>
      <w:color w:val="1F3763" w:themeColor="accent1" w:themeShade="7F"/>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96411"/>
    <w:rPr>
      <w:rFonts w:ascii="Times New Roman" w:eastAsiaTheme="majorEastAsia" w:hAnsi="Times New Roman" w:cstheme="majorBidi"/>
      <w:b/>
      <w:kern w:val="2"/>
      <w:sz w:val="32"/>
      <w:szCs w:val="32"/>
    </w:rPr>
  </w:style>
  <w:style w:type="paragraph" w:styleId="Podtitul">
    <w:name w:val="Subtitle"/>
    <w:basedOn w:val="Nadpis3"/>
    <w:next w:val="Normln"/>
    <w:link w:val="PodtitulChar"/>
    <w:autoRedefine/>
    <w:uiPriority w:val="11"/>
    <w:qFormat/>
    <w:rsid w:val="00154ECC"/>
    <w:pPr>
      <w:numPr>
        <w:ilvl w:val="1"/>
      </w:numPr>
    </w:pPr>
    <w:rPr>
      <w:rFonts w:eastAsiaTheme="minorEastAsia"/>
      <w:b w:val="0"/>
      <w:color w:val="5B9BD5" w:themeColor="accent5"/>
      <w:spacing w:val="15"/>
    </w:rPr>
  </w:style>
  <w:style w:type="character" w:customStyle="1" w:styleId="PodtitulChar">
    <w:name w:val="Podtitul Char"/>
    <w:basedOn w:val="Standardnpsmoodstavce"/>
    <w:link w:val="Podtitul"/>
    <w:uiPriority w:val="11"/>
    <w:rsid w:val="00154ECC"/>
    <w:rPr>
      <w:rFonts w:ascii="Times New Roman" w:eastAsiaTheme="minorEastAsia" w:hAnsi="Times New Roman" w:cstheme="majorBidi"/>
      <w:b/>
      <w:color w:val="5B9BD5" w:themeColor="accent5"/>
      <w:spacing w:val="15"/>
      <w:sz w:val="28"/>
      <w:szCs w:val="24"/>
    </w:rPr>
  </w:style>
  <w:style w:type="character" w:customStyle="1" w:styleId="Nadpis3Char">
    <w:name w:val="Nadpis 3 Char"/>
    <w:basedOn w:val="Standardnpsmoodstavce"/>
    <w:link w:val="Nadpis3"/>
    <w:uiPriority w:val="9"/>
    <w:rsid w:val="00496411"/>
    <w:rPr>
      <w:rFonts w:ascii="Times New Roman" w:eastAsiaTheme="majorEastAsia" w:hAnsi="Times New Roman" w:cstheme="majorBidi"/>
      <w:b/>
      <w:color w:val="1F3763" w:themeColor="accent1" w:themeShade="7F"/>
      <w:kern w:val="2"/>
      <w:sz w:val="24"/>
      <w:szCs w:val="24"/>
    </w:rPr>
  </w:style>
  <w:style w:type="character" w:customStyle="1" w:styleId="Nadpis2Char">
    <w:name w:val="Nadpis 2 Char"/>
    <w:basedOn w:val="Standardnpsmoodstavce"/>
    <w:link w:val="Nadpis2"/>
    <w:uiPriority w:val="9"/>
    <w:rsid w:val="00496411"/>
    <w:rPr>
      <w:rFonts w:ascii="Times New Roman" w:eastAsiaTheme="majorEastAsia" w:hAnsi="Times New Roman" w:cstheme="majorBidi"/>
      <w:b/>
      <w:color w:val="2E74B5" w:themeColor="accent5" w:themeShade="BF"/>
      <w:kern w:val="2"/>
      <w:sz w:val="28"/>
      <w:szCs w:val="26"/>
    </w:rPr>
  </w:style>
  <w:style w:type="paragraph" w:styleId="Zhlav">
    <w:name w:val="header"/>
    <w:basedOn w:val="Normln"/>
    <w:link w:val="ZhlavChar"/>
    <w:uiPriority w:val="99"/>
    <w:unhideWhenUsed/>
    <w:rsid w:val="003352CA"/>
    <w:pPr>
      <w:tabs>
        <w:tab w:val="center" w:pos="4513"/>
        <w:tab w:val="right" w:pos="9026"/>
      </w:tabs>
      <w:spacing w:after="0" w:line="240" w:lineRule="auto"/>
    </w:pPr>
  </w:style>
  <w:style w:type="character" w:customStyle="1" w:styleId="ZhlavChar">
    <w:name w:val="Záhlaví Char"/>
    <w:basedOn w:val="Standardnpsmoodstavce"/>
    <w:link w:val="Zhlav"/>
    <w:uiPriority w:val="99"/>
    <w:rsid w:val="003352CA"/>
    <w:rPr>
      <w:rFonts w:ascii="Times New Roman" w:hAnsi="Times New Roman"/>
      <w:kern w:val="2"/>
      <w:sz w:val="24"/>
    </w:rPr>
  </w:style>
  <w:style w:type="paragraph" w:styleId="Zpat">
    <w:name w:val="footer"/>
    <w:basedOn w:val="Normln"/>
    <w:link w:val="ZpatChar"/>
    <w:uiPriority w:val="99"/>
    <w:unhideWhenUsed/>
    <w:rsid w:val="003352CA"/>
    <w:pPr>
      <w:tabs>
        <w:tab w:val="center" w:pos="4513"/>
        <w:tab w:val="right" w:pos="9026"/>
      </w:tabs>
      <w:spacing w:after="0" w:line="240" w:lineRule="auto"/>
    </w:pPr>
  </w:style>
  <w:style w:type="character" w:customStyle="1" w:styleId="ZpatChar">
    <w:name w:val="Zápatí Char"/>
    <w:basedOn w:val="Standardnpsmoodstavce"/>
    <w:link w:val="Zpat"/>
    <w:uiPriority w:val="99"/>
    <w:rsid w:val="003352CA"/>
    <w:rPr>
      <w:rFonts w:ascii="Times New Roman" w:hAnsi="Times New Roman"/>
      <w:kern w:val="2"/>
      <w:sz w:val="24"/>
    </w:rPr>
  </w:style>
  <w:style w:type="paragraph" w:styleId="Odstavecseseznamem">
    <w:name w:val="List Paragraph"/>
    <w:basedOn w:val="Normln"/>
    <w:uiPriority w:val="34"/>
    <w:qFormat/>
    <w:rsid w:val="00F67218"/>
    <w:pPr>
      <w:ind w:left="720"/>
      <w:contextualSpacing/>
    </w:pPr>
  </w:style>
  <w:style w:type="paragraph" w:styleId="Textbubliny">
    <w:name w:val="Balloon Text"/>
    <w:basedOn w:val="Normln"/>
    <w:link w:val="TextbublinyChar"/>
    <w:uiPriority w:val="99"/>
    <w:semiHidden/>
    <w:unhideWhenUsed/>
    <w:rsid w:val="005939D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939D0"/>
    <w:rPr>
      <w:rFonts w:ascii="Tahoma" w:hAnsi="Tahoma" w:cs="Tahoma"/>
      <w:kern w:val="2"/>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2403</Words>
  <Characters>14181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2023-10-19T13:53:00Z</dcterms:created>
  <dcterms:modified xsi:type="dcterms:W3CDTF">2023-10-23T10:15:00Z</dcterms:modified>
</cp:coreProperties>
</file>