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E856C" w14:textId="5FF1EAAA" w:rsidR="00BC20D6" w:rsidRPr="00260CC2" w:rsidRDefault="00957C89" w:rsidP="00260CC2">
      <w:pPr>
        <w:spacing w:line="480" w:lineRule="auto"/>
        <w:jc w:val="center"/>
        <w:rPr>
          <w:rFonts w:ascii="Times New Roman" w:eastAsia="Times New Roman" w:hAnsi="Times New Roman" w:cs="Times New Roman"/>
          <w:b/>
          <w:sz w:val="24"/>
          <w:szCs w:val="24"/>
          <w:highlight w:val="white"/>
          <w:lang w:val="en-AU"/>
        </w:rPr>
      </w:pPr>
      <w:r w:rsidRPr="008B63C7">
        <w:rPr>
          <w:rFonts w:ascii="Times New Roman" w:eastAsia="Times New Roman" w:hAnsi="Times New Roman" w:cs="Times New Roman"/>
          <w:b/>
          <w:sz w:val="32"/>
          <w:szCs w:val="24"/>
          <w:highlight w:val="white"/>
          <w:lang w:val="en-AU"/>
        </w:rPr>
        <w:t>CONTRACT LAW</w:t>
      </w:r>
    </w:p>
    <w:p w14:paraId="6421549A" w14:textId="77777777" w:rsidR="00060E71" w:rsidRPr="008B63C7" w:rsidRDefault="004C73CD" w:rsidP="009B09CC">
      <w:pPr>
        <w:pStyle w:val="Heading1"/>
        <w:rPr>
          <w:highlight w:val="white"/>
          <w:lang w:val="en-AU"/>
        </w:rPr>
      </w:pPr>
      <w:bookmarkStart w:id="0" w:name="_Toc95827428"/>
      <w:r w:rsidRPr="008B63C7">
        <w:rPr>
          <w:highlight w:val="white"/>
          <w:lang w:val="en-AU"/>
        </w:rPr>
        <w:t>A) Rule</w:t>
      </w:r>
      <w:r w:rsidR="00360227" w:rsidRPr="008B63C7">
        <w:rPr>
          <w:highlight w:val="white"/>
          <w:lang w:val="en-AU"/>
        </w:rPr>
        <w:t xml:space="preserve"> of privity of contract</w:t>
      </w:r>
      <w:bookmarkEnd w:id="0"/>
    </w:p>
    <w:p w14:paraId="6DB78603" w14:textId="5446F46D" w:rsidR="00060E71" w:rsidRPr="008B63C7" w:rsidRDefault="00360227" w:rsidP="009B09CC">
      <w:pPr>
        <w:spacing w:line="480" w:lineRule="auto"/>
        <w:jc w:val="both"/>
        <w:rPr>
          <w:rFonts w:ascii="Times New Roman" w:eastAsia="Times New Roman" w:hAnsi="Times New Roman" w:cs="Times New Roman"/>
          <w:sz w:val="24"/>
          <w:szCs w:val="24"/>
          <w:highlight w:val="white"/>
          <w:lang w:val="en-AU"/>
        </w:rPr>
      </w:pPr>
      <w:r w:rsidRPr="008B63C7">
        <w:rPr>
          <w:rFonts w:ascii="Times New Roman" w:eastAsia="Times New Roman" w:hAnsi="Times New Roman" w:cs="Times New Roman"/>
          <w:sz w:val="24"/>
          <w:szCs w:val="24"/>
          <w:highlight w:val="white"/>
          <w:lang w:val="en-AU"/>
        </w:rPr>
        <w:t>Privity of contract is known as a doctrine of contract law, and it explains that all the contracts bind the party to a contract, and no third party can enforce the contract or get sued under</w:t>
      </w:r>
      <w:r w:rsidR="00DD582F">
        <w:rPr>
          <w:rFonts w:ascii="Times New Roman" w:eastAsia="Times New Roman" w:hAnsi="Times New Roman" w:cs="Times New Roman"/>
          <w:sz w:val="24"/>
          <w:szCs w:val="24"/>
          <w:highlight w:val="white"/>
          <w:lang w:val="en-AU"/>
        </w:rPr>
        <w:t xml:space="preserve">. Notably, </w:t>
      </w:r>
      <w:r w:rsidRPr="008B63C7">
        <w:rPr>
          <w:rFonts w:ascii="Times New Roman" w:eastAsia="Times New Roman" w:hAnsi="Times New Roman" w:cs="Times New Roman"/>
          <w:sz w:val="24"/>
          <w:szCs w:val="24"/>
          <w:highlight w:val="white"/>
          <w:lang w:val="en-AU"/>
        </w:rPr>
        <w:t>it has been identified that the lack of privity took place when both the contract party e does not have any contractual obligation to each other, and it eliminates all the application and liability as well as proper access to the certain right</w:t>
      </w:r>
      <w:r w:rsidR="00DD582F">
        <w:rPr>
          <w:rFonts w:ascii="Times New Roman" w:eastAsia="Times New Roman" w:hAnsi="Times New Roman" w:cs="Times New Roman"/>
          <w:sz w:val="24"/>
          <w:szCs w:val="24"/>
          <w:highlight w:val="white"/>
          <w:lang w:val="en-AU"/>
        </w:rPr>
        <w:t xml:space="preserve"> (Meng 2001)</w:t>
      </w:r>
      <w:r w:rsidRPr="008B63C7">
        <w:rPr>
          <w:rFonts w:ascii="Times New Roman" w:eastAsia="Times New Roman" w:hAnsi="Times New Roman" w:cs="Times New Roman"/>
          <w:sz w:val="24"/>
          <w:szCs w:val="24"/>
          <w:highlight w:val="white"/>
          <w:lang w:val="en-AU"/>
        </w:rPr>
        <w:t xml:space="preserve">. Apart from this lack of privity generally explained there are no contracts made between any parties and it also allows them not to perform their duties in a certain right. </w:t>
      </w:r>
    </w:p>
    <w:p w14:paraId="349D1AC6" w14:textId="77777777" w:rsidR="00060E71" w:rsidRPr="008B63C7" w:rsidRDefault="00CE1677" w:rsidP="009B09CC">
      <w:pPr>
        <w:pStyle w:val="Heading1"/>
        <w:rPr>
          <w:highlight w:val="white"/>
          <w:lang w:val="en-AU"/>
        </w:rPr>
      </w:pPr>
      <w:bookmarkStart w:id="1" w:name="_Toc95827429"/>
      <w:r w:rsidRPr="008B63C7">
        <w:rPr>
          <w:highlight w:val="white"/>
          <w:lang w:val="en-AU"/>
        </w:rPr>
        <w:t>B) Past</w:t>
      </w:r>
      <w:r w:rsidR="00360227" w:rsidRPr="008B63C7">
        <w:rPr>
          <w:highlight w:val="white"/>
          <w:lang w:val="en-AU"/>
        </w:rPr>
        <w:t xml:space="preserve"> consideration amount to good consideration</w:t>
      </w:r>
      <w:bookmarkEnd w:id="1"/>
    </w:p>
    <w:p w14:paraId="0A18F72C" w14:textId="1A7573D1" w:rsidR="00060E71" w:rsidRPr="008B63C7" w:rsidRDefault="00360227" w:rsidP="009B09CC">
      <w:pPr>
        <w:spacing w:line="480" w:lineRule="auto"/>
        <w:jc w:val="both"/>
        <w:rPr>
          <w:rFonts w:ascii="Times New Roman" w:eastAsia="Times New Roman" w:hAnsi="Times New Roman" w:cs="Times New Roman"/>
          <w:sz w:val="24"/>
          <w:szCs w:val="24"/>
          <w:highlight w:val="white"/>
          <w:lang w:val="en-AU"/>
        </w:rPr>
      </w:pPr>
      <w:r w:rsidRPr="008B63C7">
        <w:rPr>
          <w:rFonts w:ascii="Times New Roman" w:eastAsia="Times New Roman" w:hAnsi="Times New Roman" w:cs="Times New Roman"/>
          <w:sz w:val="24"/>
          <w:szCs w:val="24"/>
          <w:highlight w:val="white"/>
          <w:lang w:val="en-AU"/>
        </w:rPr>
        <w:t xml:space="preserve">For making a contract value, it is important for both parties of the contract to get some benefit, and it is known as consideration. Past consideration is present in the situation where the consideration is not given contemporaneously. </w:t>
      </w:r>
      <w:r w:rsidR="00DD582F">
        <w:rPr>
          <w:rFonts w:ascii="Times New Roman" w:eastAsia="Times New Roman" w:hAnsi="Times New Roman" w:cs="Times New Roman"/>
          <w:sz w:val="24"/>
          <w:szCs w:val="24"/>
          <w:highlight w:val="white"/>
          <w:lang w:val="en-AU"/>
        </w:rPr>
        <w:t>This is likened to</w:t>
      </w:r>
      <w:r w:rsidRPr="008B63C7">
        <w:rPr>
          <w:rFonts w:ascii="Times New Roman" w:eastAsia="Times New Roman" w:hAnsi="Times New Roman" w:cs="Times New Roman"/>
          <w:sz w:val="24"/>
          <w:szCs w:val="24"/>
          <w:highlight w:val="white"/>
          <w:lang w:val="en-AU"/>
        </w:rPr>
        <w:t xml:space="preserve"> conducting an act that is very much important for a promisor's promise. The past consideration is treated as good consideration in several countries, and it is very much sufficient for supporting a promise. Under the contract law, it has been identified that if the act has been done at the request of the promise sir, then it will be treated as a good consideration; however, the promise of the promisor will be given only after the contract has been made</w:t>
      </w:r>
      <w:r w:rsidR="00C733CC">
        <w:rPr>
          <w:rFonts w:ascii="Times New Roman" w:eastAsia="Times New Roman" w:hAnsi="Times New Roman" w:cs="Times New Roman"/>
          <w:sz w:val="24"/>
          <w:szCs w:val="24"/>
          <w:highlight w:val="white"/>
          <w:lang w:val="en-AU"/>
        </w:rPr>
        <w:t xml:space="preserve"> (Higgins 1997)</w:t>
      </w:r>
      <w:r w:rsidRPr="008B63C7">
        <w:rPr>
          <w:rFonts w:ascii="Times New Roman" w:eastAsia="Times New Roman" w:hAnsi="Times New Roman" w:cs="Times New Roman"/>
          <w:sz w:val="24"/>
          <w:szCs w:val="24"/>
          <w:highlight w:val="white"/>
          <w:lang w:val="en-AU"/>
        </w:rPr>
        <w:t>. The court will also allow the consideration as a good because the whole act was done under the defendant's request. In the English position under the common law, the past consideration concept will generally be rejected by the English court (</w:t>
      </w:r>
      <w:proofErr w:type="spellStart"/>
      <w:r w:rsidRPr="008B63C7">
        <w:rPr>
          <w:rFonts w:ascii="Times New Roman" w:eastAsia="Times New Roman" w:hAnsi="Times New Roman" w:cs="Times New Roman"/>
          <w:sz w:val="24"/>
          <w:szCs w:val="24"/>
          <w:highlight w:val="white"/>
          <w:lang w:val="en-AU"/>
        </w:rPr>
        <w:t>PerovićVujačić</w:t>
      </w:r>
      <w:proofErr w:type="spellEnd"/>
      <w:r w:rsidRPr="008B63C7">
        <w:rPr>
          <w:rFonts w:ascii="Times New Roman" w:eastAsia="Times New Roman" w:hAnsi="Times New Roman" w:cs="Times New Roman"/>
          <w:sz w:val="24"/>
          <w:szCs w:val="24"/>
          <w:highlight w:val="white"/>
          <w:lang w:val="en-AU"/>
        </w:rPr>
        <w:t xml:space="preserve">, 2021). Although there is an exception if the act is done by the request of promise, then it will be </w:t>
      </w:r>
      <w:r w:rsidRPr="008B63C7">
        <w:rPr>
          <w:rFonts w:ascii="Times New Roman" w:eastAsia="Times New Roman" w:hAnsi="Times New Roman" w:cs="Times New Roman"/>
          <w:sz w:val="24"/>
          <w:szCs w:val="24"/>
          <w:highlight w:val="white"/>
          <w:lang w:val="en-AU"/>
        </w:rPr>
        <w:lastRenderedPageBreak/>
        <w:t>treated as good consideration although the promise is given by the promisor after completing the act.</w:t>
      </w:r>
    </w:p>
    <w:p w14:paraId="7ACF1345" w14:textId="77777777" w:rsidR="00060E71" w:rsidRPr="008B63C7" w:rsidRDefault="00354F0A" w:rsidP="009B09CC">
      <w:pPr>
        <w:pStyle w:val="Heading1"/>
        <w:rPr>
          <w:highlight w:val="white"/>
          <w:lang w:val="en-AU"/>
        </w:rPr>
      </w:pPr>
      <w:bookmarkStart w:id="2" w:name="_Toc95827430"/>
      <w:r w:rsidRPr="008B63C7">
        <w:rPr>
          <w:highlight w:val="white"/>
          <w:lang w:val="en-AU"/>
        </w:rPr>
        <w:t>C)</w:t>
      </w:r>
      <w:r w:rsidR="00E92234" w:rsidRPr="008B63C7">
        <w:rPr>
          <w:highlight w:val="white"/>
          <w:lang w:val="en-AU"/>
        </w:rPr>
        <w:t xml:space="preserve"> </w:t>
      </w:r>
      <w:r w:rsidR="00360227" w:rsidRPr="008B63C7">
        <w:rPr>
          <w:highlight w:val="white"/>
          <w:lang w:val="en-AU"/>
        </w:rPr>
        <w:t>Three exceptions to the entire performance rule from Cutter v Powell (1975)</w:t>
      </w:r>
      <w:bookmarkEnd w:id="2"/>
    </w:p>
    <w:p w14:paraId="7523386C" w14:textId="77777777" w:rsidR="00060E71" w:rsidRPr="008B63C7" w:rsidRDefault="00360227" w:rsidP="009B09CC">
      <w:pPr>
        <w:spacing w:line="480" w:lineRule="auto"/>
        <w:jc w:val="both"/>
        <w:rPr>
          <w:rFonts w:ascii="Times New Roman" w:eastAsia="Times New Roman" w:hAnsi="Times New Roman" w:cs="Times New Roman"/>
          <w:sz w:val="24"/>
          <w:szCs w:val="24"/>
          <w:highlight w:val="white"/>
          <w:lang w:val="en-AU"/>
        </w:rPr>
      </w:pPr>
      <w:r w:rsidRPr="008B63C7">
        <w:rPr>
          <w:rFonts w:ascii="Times New Roman" w:eastAsia="Times New Roman" w:hAnsi="Times New Roman" w:cs="Times New Roman"/>
          <w:sz w:val="24"/>
          <w:szCs w:val="24"/>
          <w:highlight w:val="white"/>
          <w:lang w:val="en-AU"/>
        </w:rPr>
        <w:t>There are several exceptions present in the entire performance rule from Cutter v Powell (1975).</w:t>
      </w:r>
    </w:p>
    <w:p w14:paraId="633878E6" w14:textId="77777777" w:rsidR="00060E71" w:rsidRPr="008B63C7" w:rsidRDefault="00360227" w:rsidP="009B09CC">
      <w:pPr>
        <w:spacing w:line="480" w:lineRule="auto"/>
        <w:jc w:val="both"/>
        <w:rPr>
          <w:rFonts w:ascii="Times New Roman" w:eastAsia="Times New Roman" w:hAnsi="Times New Roman" w:cs="Times New Roman"/>
          <w:b/>
          <w:sz w:val="24"/>
          <w:szCs w:val="24"/>
          <w:highlight w:val="white"/>
          <w:lang w:val="en-AU"/>
        </w:rPr>
      </w:pPr>
      <w:r w:rsidRPr="008B63C7">
        <w:rPr>
          <w:rFonts w:ascii="Times New Roman" w:eastAsia="Times New Roman" w:hAnsi="Times New Roman" w:cs="Times New Roman"/>
          <w:b/>
          <w:sz w:val="24"/>
          <w:szCs w:val="24"/>
          <w:highlight w:val="white"/>
          <w:lang w:val="en-AU"/>
        </w:rPr>
        <w:t>Several contracts</w:t>
      </w:r>
    </w:p>
    <w:p w14:paraId="0882FE87" w14:textId="77777777" w:rsidR="00060E71" w:rsidRPr="008B63C7" w:rsidRDefault="00360227" w:rsidP="009B09CC">
      <w:pPr>
        <w:spacing w:line="480" w:lineRule="auto"/>
        <w:jc w:val="both"/>
        <w:rPr>
          <w:rFonts w:ascii="Times New Roman" w:eastAsia="Times New Roman" w:hAnsi="Times New Roman" w:cs="Times New Roman"/>
          <w:sz w:val="24"/>
          <w:szCs w:val="24"/>
          <w:highlight w:val="white"/>
          <w:lang w:val="en-AU"/>
        </w:rPr>
      </w:pPr>
      <w:r w:rsidRPr="008B63C7">
        <w:rPr>
          <w:rFonts w:ascii="Times New Roman" w:eastAsia="Times New Roman" w:hAnsi="Times New Roman" w:cs="Times New Roman"/>
          <w:sz w:val="24"/>
          <w:szCs w:val="24"/>
          <w:highlight w:val="white"/>
          <w:lang w:val="en-AU"/>
        </w:rPr>
        <w:t xml:space="preserve">The first exception is several contracts; in the contract of </w:t>
      </w:r>
      <w:r w:rsidRPr="008B63C7">
        <w:rPr>
          <w:rFonts w:ascii="Times New Roman" w:eastAsia="Times New Roman" w:hAnsi="Times New Roman" w:cs="Times New Roman"/>
          <w:b/>
          <w:sz w:val="24"/>
          <w:szCs w:val="24"/>
          <w:highlight w:val="white"/>
          <w:lang w:val="en-AU"/>
        </w:rPr>
        <w:t>Cutter v Powell (1975)</w:t>
      </w:r>
      <w:r w:rsidRPr="008B63C7">
        <w:rPr>
          <w:rFonts w:ascii="Times New Roman" w:eastAsia="Times New Roman" w:hAnsi="Times New Roman" w:cs="Times New Roman"/>
          <w:sz w:val="24"/>
          <w:szCs w:val="24"/>
          <w:highlight w:val="white"/>
          <w:lang w:val="en-AU"/>
        </w:rPr>
        <w:t>, it has been identified that it is known as the entire contract unless both the parties perform their obligation; however, the other party could not be forced to do so that was agreed by them in return. It also stays distinguished from a severable or divisible contract.</w:t>
      </w:r>
    </w:p>
    <w:p w14:paraId="246B34E5" w14:textId="77777777" w:rsidR="00060E71" w:rsidRPr="008B63C7" w:rsidRDefault="00360227" w:rsidP="009B09CC">
      <w:pPr>
        <w:spacing w:line="480" w:lineRule="auto"/>
        <w:jc w:val="both"/>
        <w:rPr>
          <w:rFonts w:ascii="Times New Roman" w:eastAsia="Times New Roman" w:hAnsi="Times New Roman" w:cs="Times New Roman"/>
          <w:b/>
          <w:sz w:val="24"/>
          <w:szCs w:val="24"/>
          <w:highlight w:val="white"/>
          <w:lang w:val="en-AU"/>
        </w:rPr>
      </w:pPr>
      <w:r w:rsidRPr="008B63C7">
        <w:rPr>
          <w:rFonts w:ascii="Times New Roman" w:eastAsia="Times New Roman" w:hAnsi="Times New Roman" w:cs="Times New Roman"/>
          <w:b/>
          <w:sz w:val="24"/>
          <w:szCs w:val="24"/>
          <w:highlight w:val="white"/>
          <w:lang w:val="en-AU"/>
        </w:rPr>
        <w:t>Substantial performances</w:t>
      </w:r>
    </w:p>
    <w:p w14:paraId="3FD90358" w14:textId="77777777" w:rsidR="00060E71" w:rsidRPr="008B63C7" w:rsidRDefault="00360227" w:rsidP="009B09CC">
      <w:pPr>
        <w:spacing w:line="480" w:lineRule="auto"/>
        <w:jc w:val="both"/>
        <w:rPr>
          <w:rFonts w:ascii="Times New Roman" w:eastAsia="Times New Roman" w:hAnsi="Times New Roman" w:cs="Times New Roman"/>
          <w:sz w:val="24"/>
          <w:szCs w:val="24"/>
          <w:highlight w:val="white"/>
          <w:lang w:val="en-AU"/>
        </w:rPr>
      </w:pPr>
      <w:r w:rsidRPr="008B63C7">
        <w:rPr>
          <w:rFonts w:ascii="Times New Roman" w:eastAsia="Times New Roman" w:hAnsi="Times New Roman" w:cs="Times New Roman"/>
          <w:sz w:val="24"/>
          <w:szCs w:val="24"/>
          <w:highlight w:val="white"/>
          <w:lang w:val="en-AU"/>
        </w:rPr>
        <w:t>It is the second exception to this rule, and under this, the substantial performance of the obligation is related to the de minimis rule, and it has been identified that the defaulting party stays permitted to retain the right which is conferre</w:t>
      </w:r>
      <w:r w:rsidR="00751FDD" w:rsidRPr="008B63C7">
        <w:rPr>
          <w:rFonts w:ascii="Times New Roman" w:eastAsia="Times New Roman" w:hAnsi="Times New Roman" w:cs="Times New Roman"/>
          <w:sz w:val="24"/>
          <w:szCs w:val="24"/>
          <w:highlight w:val="white"/>
          <w:lang w:val="en-AU"/>
        </w:rPr>
        <w:t>d by the contract (Shaw-</w:t>
      </w:r>
      <w:proofErr w:type="spellStart"/>
      <w:r w:rsidR="00751FDD" w:rsidRPr="008B63C7">
        <w:rPr>
          <w:rFonts w:ascii="Times New Roman" w:eastAsia="Times New Roman" w:hAnsi="Times New Roman" w:cs="Times New Roman"/>
          <w:sz w:val="24"/>
          <w:szCs w:val="24"/>
          <w:highlight w:val="white"/>
          <w:lang w:val="en-AU"/>
        </w:rPr>
        <w:t>Mellors</w:t>
      </w:r>
      <w:proofErr w:type="spellEnd"/>
      <w:r w:rsidR="00751FDD" w:rsidRPr="008B63C7">
        <w:rPr>
          <w:rFonts w:ascii="Times New Roman" w:eastAsia="Times New Roman" w:hAnsi="Times New Roman" w:cs="Times New Roman"/>
          <w:sz w:val="24"/>
          <w:szCs w:val="24"/>
          <w:highlight w:val="white"/>
          <w:lang w:val="en-AU"/>
        </w:rPr>
        <w:t xml:space="preserve"> and</w:t>
      </w:r>
      <w:r w:rsidRPr="008B63C7">
        <w:rPr>
          <w:rFonts w:ascii="Times New Roman" w:eastAsia="Times New Roman" w:hAnsi="Times New Roman" w:cs="Times New Roman"/>
          <w:sz w:val="24"/>
          <w:szCs w:val="24"/>
          <w:highlight w:val="white"/>
          <w:lang w:val="en-AU"/>
        </w:rPr>
        <w:t xml:space="preserve"> Poole, 2018). On the other hand, this substantial performer also has the right to enforce the contract and also get compensation if any damages take place, and this compensation is achieved by the innocent party of the contract. Apart from this, there is a critical prerequisite that is present for doctrine, and it states that the actual performance must need to be agreed upon, and the restriction present on the doctrine operation has been illustrated in the </w:t>
      </w:r>
      <w:r w:rsidRPr="008B63C7">
        <w:rPr>
          <w:rFonts w:ascii="Times New Roman" w:eastAsia="Times New Roman" w:hAnsi="Times New Roman" w:cs="Times New Roman"/>
          <w:b/>
          <w:sz w:val="24"/>
          <w:szCs w:val="24"/>
          <w:highlight w:val="white"/>
          <w:lang w:val="en-AU"/>
        </w:rPr>
        <w:t>Bolton v Mahadeva [1972]</w:t>
      </w:r>
      <w:r w:rsidRPr="008B63C7">
        <w:rPr>
          <w:rFonts w:ascii="Times New Roman" w:eastAsia="Times New Roman" w:hAnsi="Times New Roman" w:cs="Times New Roman"/>
          <w:sz w:val="24"/>
          <w:szCs w:val="24"/>
          <w:highlight w:val="white"/>
          <w:lang w:val="en-AU"/>
        </w:rPr>
        <w:t>.</w:t>
      </w:r>
    </w:p>
    <w:p w14:paraId="03620BC2" w14:textId="77777777" w:rsidR="00060E71" w:rsidRPr="008B63C7" w:rsidRDefault="00360227" w:rsidP="009B09CC">
      <w:pPr>
        <w:spacing w:line="480" w:lineRule="auto"/>
        <w:jc w:val="both"/>
        <w:rPr>
          <w:rFonts w:ascii="Times New Roman" w:eastAsia="Times New Roman" w:hAnsi="Times New Roman" w:cs="Times New Roman"/>
          <w:b/>
          <w:sz w:val="24"/>
          <w:szCs w:val="24"/>
          <w:highlight w:val="white"/>
          <w:lang w:val="en-AU"/>
        </w:rPr>
      </w:pPr>
      <w:r w:rsidRPr="008B63C7">
        <w:rPr>
          <w:rFonts w:ascii="Times New Roman" w:eastAsia="Times New Roman" w:hAnsi="Times New Roman" w:cs="Times New Roman"/>
          <w:b/>
          <w:sz w:val="24"/>
          <w:szCs w:val="24"/>
          <w:highlight w:val="white"/>
          <w:lang w:val="en-AU"/>
        </w:rPr>
        <w:t>The partial performance acceptance</w:t>
      </w:r>
    </w:p>
    <w:p w14:paraId="6369BB36" w14:textId="77777777" w:rsidR="007C219D" w:rsidRPr="008B63C7" w:rsidRDefault="00360227" w:rsidP="009B09CC">
      <w:pPr>
        <w:spacing w:line="480" w:lineRule="auto"/>
        <w:jc w:val="both"/>
        <w:rPr>
          <w:rFonts w:ascii="Times New Roman" w:eastAsia="Times New Roman" w:hAnsi="Times New Roman" w:cs="Times New Roman"/>
          <w:sz w:val="24"/>
          <w:szCs w:val="24"/>
          <w:lang w:val="en-AU"/>
        </w:rPr>
      </w:pPr>
      <w:r w:rsidRPr="008B63C7">
        <w:rPr>
          <w:rFonts w:ascii="Times New Roman" w:eastAsia="Times New Roman" w:hAnsi="Times New Roman" w:cs="Times New Roman"/>
          <w:sz w:val="24"/>
          <w:szCs w:val="24"/>
          <w:highlight w:val="white"/>
          <w:lang w:val="en-AU"/>
        </w:rPr>
        <w:t xml:space="preserve">It is the third exception to this rule, and it's stated that the performance must provide benefit to the contracting party who is actually bound to get the benefit from the performances. It will increase the satisfaction rate of both the contracting party and the partial performer who does not need to </w:t>
      </w:r>
      <w:r w:rsidRPr="008B63C7">
        <w:rPr>
          <w:rFonts w:ascii="Times New Roman" w:eastAsia="Times New Roman" w:hAnsi="Times New Roman" w:cs="Times New Roman"/>
          <w:sz w:val="24"/>
          <w:szCs w:val="24"/>
          <w:highlight w:val="white"/>
          <w:lang w:val="en-AU"/>
        </w:rPr>
        <w:lastRenderedPageBreak/>
        <w:t>meet the obligation and the other party also get a performance; however, they get less than the original contract, but it is still acceptable and provide less benefit. The acceptance of partial performance must be written in a document and derived from free and willing agreement.</w:t>
      </w:r>
    </w:p>
    <w:p w14:paraId="6A3FE71F" w14:textId="77777777" w:rsidR="007C219D" w:rsidRPr="008B63C7" w:rsidRDefault="007C219D" w:rsidP="00812B40">
      <w:pPr>
        <w:pStyle w:val="Heading1"/>
        <w:rPr>
          <w:lang w:val="en-AU"/>
        </w:rPr>
      </w:pPr>
      <w:bookmarkStart w:id="3" w:name="_Toc95827431"/>
      <w:r w:rsidRPr="008B63C7">
        <w:rPr>
          <w:lang w:val="en-AU"/>
        </w:rPr>
        <w:t>D) Advise to Arthur</w:t>
      </w:r>
      <w:bookmarkEnd w:id="3"/>
      <w:r w:rsidRPr="008B63C7">
        <w:rPr>
          <w:lang w:val="en-AU"/>
        </w:rPr>
        <w:t xml:space="preserve"> </w:t>
      </w:r>
    </w:p>
    <w:p w14:paraId="30928EAB" w14:textId="77777777" w:rsidR="007C219D" w:rsidRPr="008B63C7" w:rsidRDefault="007C219D" w:rsidP="009B09CC">
      <w:pPr>
        <w:pStyle w:val="Normal1"/>
        <w:spacing w:line="480" w:lineRule="auto"/>
        <w:jc w:val="both"/>
        <w:rPr>
          <w:rFonts w:ascii="Times New Roman" w:eastAsia="Times New Roman" w:hAnsi="Times New Roman" w:cs="Times New Roman"/>
          <w:b/>
          <w:sz w:val="24"/>
          <w:szCs w:val="24"/>
          <w:lang w:val="en-AU"/>
        </w:rPr>
      </w:pPr>
      <w:r w:rsidRPr="008B63C7">
        <w:rPr>
          <w:rFonts w:ascii="Times New Roman" w:eastAsia="Times New Roman" w:hAnsi="Times New Roman" w:cs="Times New Roman"/>
          <w:b/>
          <w:sz w:val="24"/>
          <w:szCs w:val="24"/>
          <w:lang w:val="en-AU"/>
        </w:rPr>
        <w:t>Issue</w:t>
      </w:r>
    </w:p>
    <w:p w14:paraId="0177FA03" w14:textId="77777777" w:rsidR="007C219D" w:rsidRPr="008B63C7" w:rsidRDefault="007C219D" w:rsidP="009B09CC">
      <w:pPr>
        <w:pStyle w:val="Normal1"/>
        <w:spacing w:line="480" w:lineRule="auto"/>
        <w:jc w:val="both"/>
        <w:rPr>
          <w:rFonts w:ascii="Times New Roman" w:eastAsia="Times New Roman" w:hAnsi="Times New Roman" w:cs="Times New Roman"/>
          <w:sz w:val="24"/>
          <w:szCs w:val="24"/>
          <w:lang w:val="en-AU"/>
        </w:rPr>
      </w:pPr>
      <w:r w:rsidRPr="008B63C7">
        <w:rPr>
          <w:rFonts w:ascii="Times New Roman" w:eastAsia="Times New Roman" w:hAnsi="Times New Roman" w:cs="Times New Roman"/>
          <w:sz w:val="24"/>
          <w:szCs w:val="24"/>
          <w:lang w:val="en-AU"/>
        </w:rPr>
        <w:t>The issue in this case is concerned with the fact that there is any existence of a valid contract on the sale of the watch.</w:t>
      </w:r>
    </w:p>
    <w:p w14:paraId="72BEE7EE" w14:textId="77777777" w:rsidR="007C219D" w:rsidRPr="008B63C7" w:rsidRDefault="007C219D" w:rsidP="009B09CC">
      <w:pPr>
        <w:pStyle w:val="Normal1"/>
        <w:spacing w:line="480" w:lineRule="auto"/>
        <w:jc w:val="both"/>
        <w:rPr>
          <w:rFonts w:ascii="Times New Roman" w:eastAsia="Times New Roman" w:hAnsi="Times New Roman" w:cs="Times New Roman"/>
          <w:b/>
          <w:sz w:val="24"/>
          <w:szCs w:val="24"/>
          <w:lang w:val="en-AU"/>
        </w:rPr>
      </w:pPr>
      <w:r w:rsidRPr="008B63C7">
        <w:rPr>
          <w:rFonts w:ascii="Times New Roman" w:eastAsia="Times New Roman" w:hAnsi="Times New Roman" w:cs="Times New Roman"/>
          <w:b/>
          <w:sz w:val="24"/>
          <w:szCs w:val="24"/>
          <w:lang w:val="en-AU"/>
        </w:rPr>
        <w:t>Rule</w:t>
      </w:r>
    </w:p>
    <w:p w14:paraId="4DD23567" w14:textId="32FC5199" w:rsidR="00175B5B" w:rsidRDefault="00175B5B" w:rsidP="009B09C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en-AU"/>
        </w:rPr>
        <w:t xml:space="preserve">It is important to consider whether any of the three individuals did accept the offer given by Arthur regarding the sale of the watch. From the offer, Arthur had stated that he was selling the Antique Rolex watch at a value of </w:t>
      </w:r>
      <w:r w:rsidRPr="00175B5B">
        <w:rPr>
          <w:rFonts w:ascii="Times New Roman" w:eastAsia="Times New Roman" w:hAnsi="Times New Roman" w:cs="Times New Roman"/>
          <w:sz w:val="24"/>
          <w:szCs w:val="24"/>
        </w:rPr>
        <w:t>£15,000</w:t>
      </w:r>
      <w:r>
        <w:rPr>
          <w:rFonts w:ascii="Times New Roman" w:eastAsia="Times New Roman" w:hAnsi="Times New Roman" w:cs="Times New Roman"/>
          <w:sz w:val="24"/>
          <w:szCs w:val="24"/>
        </w:rPr>
        <w:t>. This offer was made on 1</w:t>
      </w:r>
      <w:r w:rsidRPr="00175B5B">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May and it attracted three different prospective buyers, Ben, Christine and Dennis. In doing so, consideration will be as to who in the three potential buyers complied with rules of contract relating to the aspects of offer, acceptance and postage rule. </w:t>
      </w:r>
    </w:p>
    <w:p w14:paraId="14D329C9" w14:textId="554B1797" w:rsidR="00175B5B" w:rsidRDefault="00825076" w:rsidP="009B09C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w:t>
      </w:r>
      <w:r w:rsidRPr="00DA044C">
        <w:rPr>
          <w:rFonts w:ascii="Times New Roman" w:eastAsia="Times New Roman" w:hAnsi="Times New Roman" w:cs="Times New Roman"/>
          <w:b/>
          <w:bCs/>
          <w:i/>
          <w:iCs/>
          <w:sz w:val="24"/>
          <w:szCs w:val="24"/>
        </w:rPr>
        <w:t>Moran v University College Salford</w:t>
      </w:r>
      <w:r w:rsidR="00DA044C" w:rsidRPr="00DA044C">
        <w:rPr>
          <w:rFonts w:ascii="Times New Roman" w:eastAsia="Times New Roman" w:hAnsi="Times New Roman" w:cs="Times New Roman"/>
          <w:b/>
          <w:bCs/>
          <w:i/>
          <w:iCs/>
          <w:sz w:val="24"/>
          <w:szCs w:val="24"/>
        </w:rPr>
        <w:t xml:space="preserve"> </w:t>
      </w:r>
      <w:r w:rsidRPr="00DA044C">
        <w:rPr>
          <w:rFonts w:ascii="Times New Roman" w:eastAsia="Times New Roman" w:hAnsi="Times New Roman" w:cs="Times New Roman"/>
          <w:b/>
          <w:bCs/>
          <w:i/>
          <w:iCs/>
          <w:sz w:val="24"/>
          <w:szCs w:val="24"/>
        </w:rPr>
        <w:t>(No2) (1993),</w:t>
      </w:r>
      <w:r>
        <w:rPr>
          <w:rFonts w:ascii="Times New Roman" w:eastAsia="Times New Roman" w:hAnsi="Times New Roman" w:cs="Times New Roman"/>
          <w:sz w:val="24"/>
          <w:szCs w:val="24"/>
        </w:rPr>
        <w:t xml:space="preserve"> it was held that an offer is to be inferred to be in existed in the instances where the offeror makes an objective of being bound by the terms indicated in the offer. In the instances that the third party indicates they willingness, then the offerors will have an obligation of acting as per the terms of the offer given. An offer exists in the instances where the person making the offer sows readiness to be bound by the specified terms ones there is an acceptance as held in the case of </w:t>
      </w:r>
      <w:r w:rsidRPr="00DA044C">
        <w:rPr>
          <w:rFonts w:ascii="Times New Roman" w:eastAsia="Times New Roman" w:hAnsi="Times New Roman" w:cs="Times New Roman"/>
          <w:b/>
          <w:bCs/>
          <w:i/>
          <w:iCs/>
          <w:sz w:val="24"/>
          <w:szCs w:val="24"/>
        </w:rPr>
        <w:t>Stover v Manchester City Council (1974) 1WLR 1403</w:t>
      </w:r>
      <w:r>
        <w:rPr>
          <w:rFonts w:ascii="Times New Roman" w:eastAsia="Times New Roman" w:hAnsi="Times New Roman" w:cs="Times New Roman"/>
          <w:sz w:val="24"/>
          <w:szCs w:val="24"/>
        </w:rPr>
        <w:t xml:space="preserve">. </w:t>
      </w:r>
      <w:r w:rsidR="00DA044C">
        <w:rPr>
          <w:rFonts w:ascii="Times New Roman" w:eastAsia="Times New Roman" w:hAnsi="Times New Roman" w:cs="Times New Roman"/>
          <w:sz w:val="24"/>
          <w:szCs w:val="24"/>
        </w:rPr>
        <w:t xml:space="preserve">A valid offer is said to be in existence where it has been expressly given by way of conduct or in words. </w:t>
      </w:r>
    </w:p>
    <w:p w14:paraId="3CD4EA86" w14:textId="217847A4" w:rsidR="00DA044C" w:rsidRPr="00DA044C" w:rsidRDefault="00DA044C" w:rsidP="009B09CC">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It is </w:t>
      </w:r>
      <w:r w:rsidR="00E04B6E">
        <w:rPr>
          <w:rFonts w:ascii="Times New Roman" w:eastAsia="Times New Roman" w:hAnsi="Times New Roman" w:cs="Times New Roman"/>
          <w:sz w:val="24"/>
          <w:szCs w:val="24"/>
        </w:rPr>
        <w:t>important</w:t>
      </w:r>
      <w:r>
        <w:rPr>
          <w:rFonts w:ascii="Times New Roman" w:eastAsia="Times New Roman" w:hAnsi="Times New Roman" w:cs="Times New Roman"/>
          <w:sz w:val="24"/>
          <w:szCs w:val="24"/>
        </w:rPr>
        <w:t xml:space="preserve"> to distinguish between an offer from an invitation to treat. An invitation to </w:t>
      </w:r>
      <w:r w:rsidR="00E04B6E">
        <w:rPr>
          <w:rFonts w:ascii="Times New Roman" w:eastAsia="Times New Roman" w:hAnsi="Times New Roman" w:cs="Times New Roman"/>
          <w:sz w:val="24"/>
          <w:szCs w:val="24"/>
        </w:rPr>
        <w:t>treat</w:t>
      </w:r>
      <w:r>
        <w:rPr>
          <w:rFonts w:ascii="Times New Roman" w:eastAsia="Times New Roman" w:hAnsi="Times New Roman" w:cs="Times New Roman"/>
          <w:sz w:val="24"/>
          <w:szCs w:val="24"/>
        </w:rPr>
        <w:t xml:space="preserve"> </w:t>
      </w:r>
      <w:r w:rsidR="00E04B6E">
        <w:rPr>
          <w:rFonts w:ascii="Times New Roman" w:eastAsia="Times New Roman" w:hAnsi="Times New Roman" w:cs="Times New Roman"/>
          <w:sz w:val="24"/>
          <w:szCs w:val="24"/>
        </w:rPr>
        <w:t>arises</w:t>
      </w:r>
      <w:r>
        <w:rPr>
          <w:rFonts w:ascii="Times New Roman" w:eastAsia="Times New Roman" w:hAnsi="Times New Roman" w:cs="Times New Roman"/>
          <w:sz w:val="24"/>
          <w:szCs w:val="24"/>
        </w:rPr>
        <w:t xml:space="preserve"> in the </w:t>
      </w:r>
      <w:r w:rsidR="00E04B6E">
        <w:rPr>
          <w:rFonts w:ascii="Times New Roman" w:eastAsia="Times New Roman" w:hAnsi="Times New Roman" w:cs="Times New Roman"/>
          <w:sz w:val="24"/>
          <w:szCs w:val="24"/>
        </w:rPr>
        <w:t>instances</w:t>
      </w:r>
      <w:r>
        <w:rPr>
          <w:rFonts w:ascii="Times New Roman" w:eastAsia="Times New Roman" w:hAnsi="Times New Roman" w:cs="Times New Roman"/>
          <w:sz w:val="24"/>
          <w:szCs w:val="24"/>
        </w:rPr>
        <w:t xml:space="preserve"> where a party invites another party to make an offer and its upon this offer that the inviting party will make a consideration on whether it will </w:t>
      </w:r>
      <w:r w:rsidR="00C733CC">
        <w:rPr>
          <w:rFonts w:ascii="Times New Roman" w:eastAsia="Times New Roman" w:hAnsi="Times New Roman" w:cs="Times New Roman"/>
          <w:sz w:val="24"/>
          <w:szCs w:val="24"/>
        </w:rPr>
        <w:t>accept</w:t>
      </w:r>
      <w:r>
        <w:rPr>
          <w:rFonts w:ascii="Times New Roman" w:eastAsia="Times New Roman" w:hAnsi="Times New Roman" w:cs="Times New Roman"/>
          <w:sz w:val="24"/>
          <w:szCs w:val="24"/>
        </w:rPr>
        <w:t xml:space="preserve"> the offer </w:t>
      </w:r>
      <w:proofErr w:type="spellStart"/>
      <w:r>
        <w:rPr>
          <w:rFonts w:ascii="Times New Roman" w:eastAsia="Times New Roman" w:hAnsi="Times New Roman" w:cs="Times New Roman"/>
          <w:sz w:val="24"/>
          <w:szCs w:val="24"/>
        </w:rPr>
        <w:t>ir</w:t>
      </w:r>
      <w:proofErr w:type="spellEnd"/>
      <w:r>
        <w:rPr>
          <w:rFonts w:ascii="Times New Roman" w:eastAsia="Times New Roman" w:hAnsi="Times New Roman" w:cs="Times New Roman"/>
          <w:sz w:val="24"/>
          <w:szCs w:val="24"/>
        </w:rPr>
        <w:t xml:space="preserve"> not. An invitation to treat is not </w:t>
      </w:r>
      <w:r w:rsidR="00E04B6E">
        <w:rPr>
          <w:rFonts w:ascii="Times New Roman" w:eastAsia="Times New Roman" w:hAnsi="Times New Roman" w:cs="Times New Roman"/>
          <w:sz w:val="24"/>
          <w:szCs w:val="24"/>
        </w:rPr>
        <w:t>made</w:t>
      </w:r>
      <w:r>
        <w:rPr>
          <w:rFonts w:ascii="Times New Roman" w:eastAsia="Times New Roman" w:hAnsi="Times New Roman" w:cs="Times New Roman"/>
          <w:sz w:val="24"/>
          <w:szCs w:val="24"/>
        </w:rPr>
        <w:t xml:space="preserve"> with the intention of becoming binding as is the common case with advertisements. In most </w:t>
      </w:r>
      <w:r w:rsidR="00E04B6E">
        <w:rPr>
          <w:rFonts w:ascii="Times New Roman" w:eastAsia="Times New Roman" w:hAnsi="Times New Roman" w:cs="Times New Roman"/>
          <w:sz w:val="24"/>
          <w:szCs w:val="24"/>
        </w:rPr>
        <w:t>instances</w:t>
      </w:r>
      <w:r>
        <w:rPr>
          <w:rFonts w:ascii="Times New Roman" w:eastAsia="Times New Roman" w:hAnsi="Times New Roman" w:cs="Times New Roman"/>
          <w:sz w:val="24"/>
          <w:szCs w:val="24"/>
        </w:rPr>
        <w:t xml:space="preserve"> as was stated in </w:t>
      </w:r>
      <w:r w:rsidR="00BB7424" w:rsidRPr="00BB7424">
        <w:rPr>
          <w:rFonts w:ascii="Times New Roman" w:eastAsia="Times New Roman" w:hAnsi="Times New Roman" w:cs="Times New Roman"/>
          <w:b/>
          <w:bCs/>
          <w:i/>
          <w:iCs/>
          <w:sz w:val="24"/>
          <w:szCs w:val="24"/>
        </w:rPr>
        <w:t>Partridge</w:t>
      </w:r>
      <w:r w:rsidRPr="00BB7424">
        <w:rPr>
          <w:rFonts w:ascii="Times New Roman" w:eastAsia="Times New Roman" w:hAnsi="Times New Roman" w:cs="Times New Roman"/>
          <w:b/>
          <w:bCs/>
          <w:i/>
          <w:iCs/>
          <w:sz w:val="24"/>
          <w:szCs w:val="24"/>
        </w:rPr>
        <w:t xml:space="preserve"> v Crittenden (1968) 1 WLR 1204</w:t>
      </w:r>
      <w:r>
        <w:rPr>
          <w:rFonts w:ascii="Times New Roman" w:eastAsia="Times New Roman" w:hAnsi="Times New Roman" w:cs="Times New Roman"/>
          <w:sz w:val="24"/>
          <w:szCs w:val="24"/>
        </w:rPr>
        <w:t xml:space="preserve">, </w:t>
      </w:r>
      <w:r w:rsidR="00E04B6E">
        <w:rPr>
          <w:rFonts w:ascii="Times New Roman" w:eastAsia="Times New Roman" w:hAnsi="Times New Roman" w:cs="Times New Roman"/>
          <w:sz w:val="24"/>
          <w:szCs w:val="24"/>
        </w:rPr>
        <w:t>advertisements</w:t>
      </w:r>
      <w:r>
        <w:rPr>
          <w:rFonts w:ascii="Times New Roman" w:eastAsia="Times New Roman" w:hAnsi="Times New Roman" w:cs="Times New Roman"/>
          <w:sz w:val="24"/>
          <w:szCs w:val="24"/>
        </w:rPr>
        <w:t xml:space="preserve"> </w:t>
      </w:r>
      <w:r w:rsidR="00E04B6E">
        <w:rPr>
          <w:rFonts w:ascii="Times New Roman" w:eastAsia="Times New Roman" w:hAnsi="Times New Roman" w:cs="Times New Roman"/>
          <w:sz w:val="24"/>
          <w:szCs w:val="24"/>
        </w:rPr>
        <w:t>fall</w:t>
      </w:r>
      <w:r>
        <w:rPr>
          <w:rFonts w:ascii="Times New Roman" w:eastAsia="Times New Roman" w:hAnsi="Times New Roman" w:cs="Times New Roman"/>
          <w:sz w:val="24"/>
          <w:szCs w:val="24"/>
        </w:rPr>
        <w:t xml:space="preserve"> within the </w:t>
      </w:r>
      <w:r w:rsidR="00E04B6E">
        <w:rPr>
          <w:rFonts w:ascii="Times New Roman" w:eastAsia="Times New Roman" w:hAnsi="Times New Roman" w:cs="Times New Roman"/>
          <w:sz w:val="24"/>
          <w:szCs w:val="24"/>
        </w:rPr>
        <w:t>category</w:t>
      </w:r>
      <w:r>
        <w:rPr>
          <w:rFonts w:ascii="Times New Roman" w:eastAsia="Times New Roman" w:hAnsi="Times New Roman" w:cs="Times New Roman"/>
          <w:sz w:val="24"/>
          <w:szCs w:val="24"/>
        </w:rPr>
        <w:t xml:space="preserve"> of </w:t>
      </w:r>
      <w:r w:rsidR="00E04B6E">
        <w:rPr>
          <w:rFonts w:ascii="Times New Roman" w:eastAsia="Times New Roman" w:hAnsi="Times New Roman" w:cs="Times New Roman"/>
          <w:sz w:val="24"/>
          <w:szCs w:val="24"/>
        </w:rPr>
        <w:t>invitation</w:t>
      </w:r>
      <w:r>
        <w:rPr>
          <w:rFonts w:ascii="Times New Roman" w:eastAsia="Times New Roman" w:hAnsi="Times New Roman" w:cs="Times New Roman"/>
          <w:sz w:val="24"/>
          <w:szCs w:val="24"/>
        </w:rPr>
        <w:t xml:space="preserve"> to treat</w:t>
      </w:r>
      <w:r w:rsidR="00BB7424">
        <w:rPr>
          <w:rFonts w:ascii="Times New Roman" w:eastAsia="Times New Roman" w:hAnsi="Times New Roman" w:cs="Times New Roman"/>
          <w:sz w:val="24"/>
          <w:szCs w:val="24"/>
        </w:rPr>
        <w:t xml:space="preserve">. Additionally, display of goods on </w:t>
      </w:r>
      <w:r w:rsidR="00E04B6E">
        <w:rPr>
          <w:rFonts w:ascii="Times New Roman" w:eastAsia="Times New Roman" w:hAnsi="Times New Roman" w:cs="Times New Roman"/>
          <w:sz w:val="24"/>
          <w:szCs w:val="24"/>
        </w:rPr>
        <w:t>shelf</w:t>
      </w:r>
      <w:r w:rsidR="00BB7424">
        <w:rPr>
          <w:rFonts w:ascii="Times New Roman" w:eastAsia="Times New Roman" w:hAnsi="Times New Roman" w:cs="Times New Roman"/>
          <w:sz w:val="24"/>
          <w:szCs w:val="24"/>
        </w:rPr>
        <w:t xml:space="preserve"> as is the case with self-</w:t>
      </w:r>
      <w:r w:rsidR="00E04B6E">
        <w:rPr>
          <w:rFonts w:ascii="Times New Roman" w:eastAsia="Times New Roman" w:hAnsi="Times New Roman" w:cs="Times New Roman"/>
          <w:sz w:val="24"/>
          <w:szCs w:val="24"/>
        </w:rPr>
        <w:t>service</w:t>
      </w:r>
      <w:r w:rsidR="00BB7424">
        <w:rPr>
          <w:rFonts w:ascii="Times New Roman" w:eastAsia="Times New Roman" w:hAnsi="Times New Roman" w:cs="Times New Roman"/>
          <w:sz w:val="24"/>
          <w:szCs w:val="24"/>
        </w:rPr>
        <w:t xml:space="preserve"> </w:t>
      </w:r>
      <w:r w:rsidR="00E04B6E">
        <w:rPr>
          <w:rFonts w:ascii="Times New Roman" w:eastAsia="Times New Roman" w:hAnsi="Times New Roman" w:cs="Times New Roman"/>
          <w:sz w:val="24"/>
          <w:szCs w:val="24"/>
        </w:rPr>
        <w:t>store</w:t>
      </w:r>
      <w:r w:rsidR="00BB7424">
        <w:rPr>
          <w:rFonts w:ascii="Times New Roman" w:eastAsia="Times New Roman" w:hAnsi="Times New Roman" w:cs="Times New Roman"/>
          <w:sz w:val="24"/>
          <w:szCs w:val="24"/>
        </w:rPr>
        <w:t xml:space="preserve"> falls within the category of an invitation to treat. Invitation to treat serves as an expression of willingness to </w:t>
      </w:r>
      <w:r w:rsidR="00E04B6E">
        <w:rPr>
          <w:rFonts w:ascii="Times New Roman" w:eastAsia="Times New Roman" w:hAnsi="Times New Roman" w:cs="Times New Roman"/>
          <w:sz w:val="24"/>
          <w:szCs w:val="24"/>
        </w:rPr>
        <w:t>negotiate</w:t>
      </w:r>
      <w:r w:rsidR="00BB7424">
        <w:rPr>
          <w:rFonts w:ascii="Times New Roman" w:eastAsia="Times New Roman" w:hAnsi="Times New Roman" w:cs="Times New Roman"/>
          <w:sz w:val="24"/>
          <w:szCs w:val="24"/>
        </w:rPr>
        <w:t xml:space="preserve"> where a person giving the invitation is </w:t>
      </w:r>
      <w:r w:rsidR="00E04B6E">
        <w:rPr>
          <w:rFonts w:ascii="Times New Roman" w:eastAsia="Times New Roman" w:hAnsi="Times New Roman" w:cs="Times New Roman"/>
          <w:sz w:val="24"/>
          <w:szCs w:val="24"/>
        </w:rPr>
        <w:t>not</w:t>
      </w:r>
      <w:r w:rsidR="00BB7424">
        <w:rPr>
          <w:rFonts w:ascii="Times New Roman" w:eastAsia="Times New Roman" w:hAnsi="Times New Roman" w:cs="Times New Roman"/>
          <w:sz w:val="24"/>
          <w:szCs w:val="24"/>
        </w:rPr>
        <w:t xml:space="preserve"> bound by the statement once the </w:t>
      </w:r>
      <w:r w:rsidR="00E04B6E">
        <w:rPr>
          <w:rFonts w:ascii="Times New Roman" w:eastAsia="Times New Roman" w:hAnsi="Times New Roman" w:cs="Times New Roman"/>
          <w:sz w:val="24"/>
          <w:szCs w:val="24"/>
        </w:rPr>
        <w:t>invitation</w:t>
      </w:r>
      <w:r w:rsidR="00BB7424">
        <w:rPr>
          <w:rFonts w:ascii="Times New Roman" w:eastAsia="Times New Roman" w:hAnsi="Times New Roman" w:cs="Times New Roman"/>
          <w:sz w:val="24"/>
          <w:szCs w:val="24"/>
        </w:rPr>
        <w:t xml:space="preserve"> has been </w:t>
      </w:r>
      <w:r w:rsidR="00E04B6E">
        <w:rPr>
          <w:rFonts w:ascii="Times New Roman" w:eastAsia="Times New Roman" w:hAnsi="Times New Roman" w:cs="Times New Roman"/>
          <w:sz w:val="24"/>
          <w:szCs w:val="24"/>
        </w:rPr>
        <w:t xml:space="preserve">accepted. This arises when a person invites the third party with brief information about the product where third parties are invited to give their offer. </w:t>
      </w:r>
    </w:p>
    <w:p w14:paraId="20D48110" w14:textId="64121F5B" w:rsidR="007C219D" w:rsidRPr="00B83145" w:rsidRDefault="00175B5B" w:rsidP="009B09CC">
      <w:pPr>
        <w:pStyle w:val="Normal1"/>
        <w:spacing w:line="480" w:lineRule="auto"/>
        <w:jc w:val="both"/>
        <w:rPr>
          <w:rFonts w:ascii="Times New Roman" w:eastAsia="Times New Roman" w:hAnsi="Times New Roman" w:cs="Times New Roman"/>
          <w:sz w:val="24"/>
          <w:szCs w:val="24"/>
          <w:highlight w:val="white"/>
          <w:lang w:val="en-AU"/>
        </w:rPr>
      </w:pPr>
      <w:r>
        <w:rPr>
          <w:rFonts w:ascii="Times New Roman" w:eastAsia="Times New Roman" w:hAnsi="Times New Roman" w:cs="Times New Roman"/>
          <w:sz w:val="24"/>
          <w:szCs w:val="24"/>
        </w:rPr>
        <w:t xml:space="preserve"> </w:t>
      </w:r>
      <w:r w:rsidR="000F70C9">
        <w:rPr>
          <w:rFonts w:ascii="Times New Roman" w:eastAsia="Times New Roman" w:hAnsi="Times New Roman" w:cs="Times New Roman"/>
          <w:sz w:val="24"/>
          <w:szCs w:val="24"/>
          <w:lang w:val="en-AU"/>
        </w:rPr>
        <w:t>Postage acceptance rule is an important facet in the current case law.</w:t>
      </w:r>
      <w:r w:rsidR="007C219D" w:rsidRPr="00B83145">
        <w:rPr>
          <w:rFonts w:ascii="Times New Roman" w:eastAsia="Times New Roman" w:hAnsi="Times New Roman" w:cs="Times New Roman"/>
          <w:sz w:val="24"/>
          <w:szCs w:val="24"/>
          <w:lang w:val="en-AU"/>
        </w:rPr>
        <w:t xml:space="preserve"> The rule has been observed in the case of </w:t>
      </w:r>
      <w:r w:rsidR="007C219D" w:rsidRPr="00B83145">
        <w:rPr>
          <w:rFonts w:ascii="Times New Roman" w:eastAsia="Times New Roman" w:hAnsi="Times New Roman" w:cs="Times New Roman"/>
          <w:b/>
          <w:i/>
          <w:sz w:val="24"/>
          <w:szCs w:val="24"/>
          <w:highlight w:val="white"/>
          <w:lang w:val="en-AU"/>
        </w:rPr>
        <w:t xml:space="preserve">Adams v Lindsell (1818) 1 B &amp; </w:t>
      </w:r>
      <w:proofErr w:type="spellStart"/>
      <w:r w:rsidR="007C219D" w:rsidRPr="00B83145">
        <w:rPr>
          <w:rFonts w:ascii="Times New Roman" w:eastAsia="Times New Roman" w:hAnsi="Times New Roman" w:cs="Times New Roman"/>
          <w:b/>
          <w:i/>
          <w:sz w:val="24"/>
          <w:szCs w:val="24"/>
          <w:highlight w:val="white"/>
          <w:lang w:val="en-AU"/>
        </w:rPr>
        <w:t>Ald</w:t>
      </w:r>
      <w:proofErr w:type="spellEnd"/>
      <w:r w:rsidR="007C219D" w:rsidRPr="00B83145">
        <w:rPr>
          <w:rFonts w:ascii="Times New Roman" w:eastAsia="Times New Roman" w:hAnsi="Times New Roman" w:cs="Times New Roman"/>
          <w:b/>
          <w:i/>
          <w:sz w:val="24"/>
          <w:szCs w:val="24"/>
          <w:highlight w:val="white"/>
          <w:lang w:val="en-AU"/>
        </w:rPr>
        <w:t xml:space="preserve"> 681 </w:t>
      </w:r>
      <w:r w:rsidR="007C219D" w:rsidRPr="00B83145">
        <w:rPr>
          <w:rFonts w:ascii="Times New Roman" w:eastAsia="Times New Roman" w:hAnsi="Times New Roman" w:cs="Times New Roman"/>
          <w:sz w:val="24"/>
          <w:szCs w:val="24"/>
          <w:highlight w:val="white"/>
          <w:lang w:val="en-AU"/>
        </w:rPr>
        <w:t xml:space="preserve">where the conception of misdirection of post arose (Eprints.lse.ac.uk, 2022). In this case, it was observed that the offer of the defendants was delayed and in this regard the acceptance of the plaintiff by post was delayed too. Therefore, it was decided by the Court that the acceptance of the offer was effective at the time of posting and not during receipt. </w:t>
      </w:r>
      <w:r w:rsidR="0056051F" w:rsidRPr="00B83145">
        <w:rPr>
          <w:rFonts w:ascii="Times New Roman" w:eastAsia="Times New Roman" w:hAnsi="Times New Roman" w:cs="Times New Roman"/>
          <w:sz w:val="24"/>
          <w:szCs w:val="24"/>
          <w:highlight w:val="white"/>
          <w:lang w:val="en-AU"/>
        </w:rPr>
        <w:t>Therefore,</w:t>
      </w:r>
      <w:r w:rsidR="007C219D" w:rsidRPr="00B83145">
        <w:rPr>
          <w:rFonts w:ascii="Times New Roman" w:eastAsia="Times New Roman" w:hAnsi="Times New Roman" w:cs="Times New Roman"/>
          <w:sz w:val="24"/>
          <w:szCs w:val="24"/>
          <w:highlight w:val="white"/>
          <w:lang w:val="en-AU"/>
        </w:rPr>
        <w:t xml:space="preserve"> the defendants were accused of breach of contract. In this regard, mention can be made regarding the fact that an offeror selecting the postal system as a means of his communication is likely to bear the risks associated with such methods like delay in delivery and damages as observed in the case of</w:t>
      </w:r>
      <w:r w:rsidR="007C219D" w:rsidRPr="00B83145">
        <w:rPr>
          <w:rFonts w:ascii="Times New Roman" w:eastAsia="Times New Roman" w:hAnsi="Times New Roman" w:cs="Times New Roman"/>
          <w:b/>
          <w:i/>
          <w:sz w:val="24"/>
          <w:szCs w:val="24"/>
          <w:highlight w:val="white"/>
          <w:lang w:val="en-AU"/>
        </w:rPr>
        <w:t xml:space="preserve"> Henthorn v Fraser [1892] 2 Ch 27 </w:t>
      </w:r>
      <w:r w:rsidR="007C219D" w:rsidRPr="00B83145">
        <w:rPr>
          <w:rFonts w:ascii="Times New Roman" w:eastAsia="Times New Roman" w:hAnsi="Times New Roman" w:cs="Times New Roman"/>
          <w:sz w:val="24"/>
          <w:szCs w:val="24"/>
          <w:highlight w:val="white"/>
          <w:lang w:val="en-AU"/>
        </w:rPr>
        <w:t>(Law.unlv.edu, 2022</w:t>
      </w:r>
      <w:r w:rsidR="0056051F" w:rsidRPr="00B83145">
        <w:rPr>
          <w:rFonts w:ascii="Times New Roman" w:eastAsia="Times New Roman" w:hAnsi="Times New Roman" w:cs="Times New Roman"/>
          <w:sz w:val="24"/>
          <w:szCs w:val="24"/>
          <w:highlight w:val="white"/>
          <w:lang w:val="en-AU"/>
        </w:rPr>
        <w:t>)</w:t>
      </w:r>
      <w:r w:rsidR="0056051F" w:rsidRPr="00B83145">
        <w:rPr>
          <w:rFonts w:ascii="Times New Roman" w:eastAsia="Times New Roman" w:hAnsi="Times New Roman" w:cs="Times New Roman"/>
          <w:b/>
          <w:i/>
          <w:sz w:val="24"/>
          <w:szCs w:val="24"/>
          <w:highlight w:val="white"/>
          <w:lang w:val="en-AU"/>
        </w:rPr>
        <w:t>.</w:t>
      </w:r>
      <w:r w:rsidR="007C219D" w:rsidRPr="00B83145">
        <w:rPr>
          <w:rFonts w:ascii="Times New Roman" w:eastAsia="Times New Roman" w:hAnsi="Times New Roman" w:cs="Times New Roman"/>
          <w:b/>
          <w:i/>
          <w:sz w:val="24"/>
          <w:szCs w:val="24"/>
          <w:highlight w:val="white"/>
          <w:lang w:val="en-AU"/>
        </w:rPr>
        <w:t xml:space="preserve"> </w:t>
      </w:r>
      <w:r w:rsidR="007C219D" w:rsidRPr="00B83145">
        <w:rPr>
          <w:rFonts w:ascii="Times New Roman" w:eastAsia="Times New Roman" w:hAnsi="Times New Roman" w:cs="Times New Roman"/>
          <w:sz w:val="24"/>
          <w:szCs w:val="24"/>
          <w:highlight w:val="white"/>
          <w:lang w:val="en-AU"/>
        </w:rPr>
        <w:t xml:space="preserve">In this case, it was observed by the Court that the parties must clearly communicate the fact that the </w:t>
      </w:r>
      <w:r w:rsidR="00F06BBC" w:rsidRPr="00B83145">
        <w:rPr>
          <w:rFonts w:ascii="Times New Roman" w:eastAsia="Times New Roman" w:hAnsi="Times New Roman" w:cs="Times New Roman"/>
          <w:sz w:val="24"/>
          <w:szCs w:val="24"/>
          <w:highlight w:val="white"/>
          <w:lang w:val="en-AU"/>
        </w:rPr>
        <w:t xml:space="preserve">acceptance is said to be valid once the letter is being posted. </w:t>
      </w:r>
    </w:p>
    <w:p w14:paraId="1367FB89" w14:textId="49B7C958" w:rsidR="007C219D" w:rsidRPr="00B83145" w:rsidRDefault="000F70C9" w:rsidP="00F12E88">
      <w:pPr>
        <w:pStyle w:val="Normal1"/>
        <w:spacing w:line="480" w:lineRule="auto"/>
        <w:jc w:val="both"/>
        <w:rPr>
          <w:rFonts w:ascii="Times New Roman" w:eastAsia="Times New Roman" w:hAnsi="Times New Roman" w:cs="Times New Roman"/>
          <w:sz w:val="24"/>
          <w:szCs w:val="24"/>
          <w:lang w:val="en-AU"/>
        </w:rPr>
      </w:pPr>
      <w:r>
        <w:rPr>
          <w:rFonts w:ascii="Times New Roman" w:eastAsia="Times New Roman" w:hAnsi="Times New Roman" w:cs="Times New Roman"/>
          <w:sz w:val="24"/>
          <w:szCs w:val="24"/>
          <w:lang w:val="en-AU"/>
        </w:rPr>
        <w:lastRenderedPageBreak/>
        <w:t xml:space="preserve">Notably, </w:t>
      </w:r>
      <w:r w:rsidR="007C219D" w:rsidRPr="00B83145">
        <w:rPr>
          <w:rFonts w:ascii="Times New Roman" w:eastAsia="Times New Roman" w:hAnsi="Times New Roman" w:cs="Times New Roman"/>
          <w:sz w:val="24"/>
          <w:szCs w:val="24"/>
          <w:lang w:val="en-AU"/>
        </w:rPr>
        <w:t>intention to bind by the agreement of the contract matters in order to constitute a valid contract. However</w:t>
      </w:r>
      <w:r w:rsidR="004D3F2F" w:rsidRPr="00B83145">
        <w:rPr>
          <w:rFonts w:ascii="Times New Roman" w:eastAsia="Times New Roman" w:hAnsi="Times New Roman" w:cs="Times New Roman"/>
          <w:sz w:val="24"/>
          <w:szCs w:val="24"/>
          <w:lang w:val="en-AU"/>
        </w:rPr>
        <w:t>,</w:t>
      </w:r>
      <w:r w:rsidR="007C219D" w:rsidRPr="00B83145">
        <w:rPr>
          <w:rFonts w:ascii="Times New Roman" w:eastAsia="Times New Roman" w:hAnsi="Times New Roman" w:cs="Times New Roman"/>
          <w:sz w:val="24"/>
          <w:szCs w:val="24"/>
          <w:lang w:val="en-AU"/>
        </w:rPr>
        <w:t xml:space="preserve"> such intention is not confined to the alleged agreement; </w:t>
      </w:r>
      <w:r w:rsidR="0056051F" w:rsidRPr="00B83145">
        <w:rPr>
          <w:rFonts w:ascii="Times New Roman" w:eastAsia="Times New Roman" w:hAnsi="Times New Roman" w:cs="Times New Roman"/>
          <w:sz w:val="24"/>
          <w:szCs w:val="24"/>
          <w:lang w:val="en-AU"/>
        </w:rPr>
        <w:t>however,</w:t>
      </w:r>
      <w:r w:rsidR="007C219D" w:rsidRPr="00B83145">
        <w:rPr>
          <w:rFonts w:ascii="Times New Roman" w:eastAsia="Times New Roman" w:hAnsi="Times New Roman" w:cs="Times New Roman"/>
          <w:sz w:val="24"/>
          <w:szCs w:val="24"/>
          <w:lang w:val="en-AU"/>
        </w:rPr>
        <w:t xml:space="preserve"> the agreement on the formal contract needs to be executed (</w:t>
      </w:r>
      <w:r w:rsidR="007C219D" w:rsidRPr="00B83145">
        <w:rPr>
          <w:rFonts w:ascii="Times New Roman" w:eastAsia="Times New Roman" w:hAnsi="Times New Roman" w:cs="Times New Roman"/>
          <w:lang w:val="en-AU"/>
        </w:rPr>
        <w:t>Beck Legal, 2022)</w:t>
      </w:r>
      <w:r w:rsidR="007C219D" w:rsidRPr="00B83145">
        <w:rPr>
          <w:rFonts w:ascii="Times New Roman" w:eastAsia="Times New Roman" w:hAnsi="Times New Roman" w:cs="Times New Roman"/>
          <w:sz w:val="24"/>
          <w:szCs w:val="24"/>
          <w:lang w:val="en-AU"/>
        </w:rPr>
        <w:t xml:space="preserve">. </w:t>
      </w:r>
      <w:r w:rsidR="0056051F" w:rsidRPr="00B83145">
        <w:rPr>
          <w:rFonts w:ascii="Times New Roman" w:eastAsia="Times New Roman" w:hAnsi="Times New Roman" w:cs="Times New Roman"/>
          <w:sz w:val="24"/>
          <w:szCs w:val="24"/>
          <w:highlight w:val="white"/>
          <w:lang w:val="en-AU"/>
        </w:rPr>
        <w:t xml:space="preserve">It is worthwhile to mention here that in the UK; the postal rule cannot be stated as a rule where one of the party to the contract communicates his acceptance of the offer by way of post. The offer is said to be accepted once the letter is posted as observed in </w:t>
      </w:r>
      <w:r w:rsidR="0056051F" w:rsidRPr="00B83145">
        <w:rPr>
          <w:rFonts w:ascii="Times New Roman" w:eastAsia="Times New Roman" w:hAnsi="Times New Roman" w:cs="Times New Roman"/>
          <w:b/>
          <w:i/>
          <w:sz w:val="24"/>
          <w:szCs w:val="24"/>
          <w:highlight w:val="white"/>
        </w:rPr>
        <w:t xml:space="preserve">Dunlop v Higgins (1848) 1 HLC 381. </w:t>
      </w:r>
      <w:r w:rsidR="0056051F" w:rsidRPr="00B83145">
        <w:rPr>
          <w:rFonts w:ascii="Times New Roman" w:eastAsia="Times New Roman" w:hAnsi="Times New Roman" w:cs="Times New Roman"/>
          <w:sz w:val="24"/>
          <w:szCs w:val="24"/>
          <w:highlight w:val="white"/>
        </w:rPr>
        <w:t xml:space="preserve">However, placing the letter under the sole control of the post office employee does not amount to acceptance of contract as observed in </w:t>
      </w:r>
      <w:r w:rsidR="0056051F" w:rsidRPr="00B83145">
        <w:rPr>
          <w:rFonts w:ascii="Times New Roman" w:eastAsia="Times New Roman" w:hAnsi="Times New Roman" w:cs="Times New Roman"/>
          <w:b/>
          <w:i/>
          <w:sz w:val="24"/>
          <w:szCs w:val="24"/>
          <w:highlight w:val="white"/>
        </w:rPr>
        <w:t>London &amp; Northern Bank [1900] 1 Ch. 220)</w:t>
      </w:r>
      <w:r w:rsidR="00F12E88" w:rsidRPr="00B83145">
        <w:rPr>
          <w:rFonts w:ascii="Times New Roman" w:eastAsia="Times New Roman" w:hAnsi="Times New Roman" w:cs="Times New Roman"/>
          <w:b/>
          <w:i/>
          <w:sz w:val="24"/>
          <w:szCs w:val="24"/>
          <w:highlight w:val="white"/>
        </w:rPr>
        <w:t>.</w:t>
      </w:r>
      <w:r w:rsidR="00F12E88" w:rsidRPr="00B83145">
        <w:rPr>
          <w:rFonts w:ascii="Times New Roman" w:eastAsia="Times New Roman" w:hAnsi="Times New Roman" w:cs="Times New Roman"/>
          <w:b/>
          <w:i/>
          <w:sz w:val="24"/>
          <w:szCs w:val="24"/>
          <w:lang w:val="en-AU"/>
        </w:rPr>
        <w:t xml:space="preserve"> </w:t>
      </w:r>
      <w:r w:rsidR="00F12E88" w:rsidRPr="00B83145">
        <w:rPr>
          <w:rFonts w:ascii="Times New Roman" w:eastAsia="Times New Roman" w:hAnsi="Times New Roman" w:cs="Times New Roman"/>
          <w:sz w:val="24"/>
          <w:szCs w:val="24"/>
          <w:lang w:val="en-AU"/>
        </w:rPr>
        <w:t xml:space="preserve">It was held by the Court that the intention to bind by the agreement of the contract matters in order to constitute a valid contract. However, such intention is not confined to the alleged agreement; however, the agreement on the formal contract needs to be executed. </w:t>
      </w:r>
    </w:p>
    <w:p w14:paraId="2DC08353" w14:textId="77777777" w:rsidR="007C219D" w:rsidRPr="008B63C7" w:rsidRDefault="007C219D" w:rsidP="009B09CC">
      <w:pPr>
        <w:pStyle w:val="Normal1"/>
        <w:spacing w:line="480" w:lineRule="auto"/>
        <w:jc w:val="both"/>
        <w:rPr>
          <w:rFonts w:ascii="Times New Roman" w:eastAsia="Times New Roman" w:hAnsi="Times New Roman" w:cs="Times New Roman"/>
          <w:b/>
          <w:color w:val="202124"/>
          <w:sz w:val="24"/>
          <w:szCs w:val="24"/>
          <w:highlight w:val="white"/>
          <w:lang w:val="en-AU"/>
        </w:rPr>
      </w:pPr>
      <w:r w:rsidRPr="008B63C7">
        <w:rPr>
          <w:rFonts w:ascii="Times New Roman" w:eastAsia="Times New Roman" w:hAnsi="Times New Roman" w:cs="Times New Roman"/>
          <w:b/>
          <w:color w:val="202124"/>
          <w:sz w:val="24"/>
          <w:szCs w:val="24"/>
          <w:highlight w:val="white"/>
          <w:lang w:val="en-AU"/>
        </w:rPr>
        <w:t>Application</w:t>
      </w:r>
    </w:p>
    <w:p w14:paraId="66FBD074" w14:textId="77777777" w:rsidR="000A0A3B" w:rsidRDefault="000A0A3B" w:rsidP="009B09CC">
      <w:pPr>
        <w:pStyle w:val="Normal1"/>
        <w:spacing w:line="480" w:lineRule="auto"/>
        <w:jc w:val="both"/>
        <w:rPr>
          <w:rFonts w:ascii="Times New Roman" w:eastAsia="Times New Roman" w:hAnsi="Times New Roman" w:cs="Times New Roman"/>
          <w:color w:val="202124"/>
          <w:sz w:val="24"/>
          <w:szCs w:val="24"/>
          <w:highlight w:val="white"/>
          <w:lang w:val="en-AU"/>
        </w:rPr>
      </w:pPr>
      <w:r>
        <w:rPr>
          <w:rFonts w:ascii="Times New Roman" w:eastAsia="Times New Roman" w:hAnsi="Times New Roman" w:cs="Times New Roman"/>
          <w:color w:val="202124"/>
          <w:sz w:val="24"/>
          <w:szCs w:val="24"/>
          <w:highlight w:val="white"/>
          <w:lang w:val="en-AU"/>
        </w:rPr>
        <w:t xml:space="preserve">The advertisement by Arthur can be ether treated as an offer or an invitation to treat depending on the manner in which Arthur responds to the third parties who express their interest to purchase the watch that has been advertised. In the instance where Arthur accepts the expression of the third party, then the advertisement qualifies as an offer waiting the acceptance. In the current case, Ben, albeit his letter not having reached Arthur is the one that makes the advertisement qualify as an offer. </w:t>
      </w:r>
    </w:p>
    <w:p w14:paraId="4D7AC93D" w14:textId="11BD3AA7" w:rsidR="0056051F" w:rsidRPr="000A0A3B" w:rsidRDefault="000A0A3B" w:rsidP="009B09CC">
      <w:pPr>
        <w:pStyle w:val="Normal1"/>
        <w:spacing w:line="480" w:lineRule="auto"/>
        <w:jc w:val="both"/>
        <w:rPr>
          <w:rFonts w:ascii="Times New Roman" w:eastAsia="Times New Roman" w:hAnsi="Times New Roman" w:cs="Times New Roman"/>
          <w:color w:val="202124"/>
          <w:sz w:val="24"/>
          <w:szCs w:val="24"/>
          <w:highlight w:val="white"/>
          <w:lang w:val="en-AU"/>
        </w:rPr>
      </w:pPr>
      <w:r>
        <w:rPr>
          <w:rFonts w:ascii="Times New Roman" w:eastAsia="Times New Roman" w:hAnsi="Times New Roman" w:cs="Times New Roman"/>
          <w:color w:val="202124"/>
          <w:sz w:val="24"/>
          <w:szCs w:val="24"/>
          <w:highlight w:val="white"/>
          <w:lang w:val="en-AU"/>
        </w:rPr>
        <w:t xml:space="preserve">Notably, </w:t>
      </w:r>
      <w:r w:rsidR="007C219D" w:rsidRPr="008B63C7">
        <w:rPr>
          <w:rFonts w:ascii="Times New Roman" w:eastAsia="Times New Roman" w:hAnsi="Times New Roman" w:cs="Times New Roman"/>
          <w:color w:val="202124"/>
          <w:sz w:val="24"/>
          <w:szCs w:val="24"/>
          <w:highlight w:val="white"/>
          <w:lang w:val="en-AU"/>
        </w:rPr>
        <w:t xml:space="preserve">it can be observed that Ben was not computer competent and therefore he posted a letter to inform Arthur regarding his acceptance to buy the watch, however it can be observed that the letter being sent on 4th of May has been delivered on 7th of May. Therefore, </w:t>
      </w:r>
      <w:r w:rsidR="003E7909">
        <w:rPr>
          <w:rFonts w:ascii="Times New Roman" w:eastAsia="Times New Roman" w:hAnsi="Times New Roman" w:cs="Times New Roman"/>
          <w:color w:val="202124"/>
          <w:sz w:val="24"/>
          <w:szCs w:val="24"/>
          <w:highlight w:val="white"/>
          <w:lang w:val="en-AU"/>
        </w:rPr>
        <w:t xml:space="preserve">the applicable law </w:t>
      </w:r>
      <w:r w:rsidR="007C219D" w:rsidRPr="008B63C7">
        <w:rPr>
          <w:rFonts w:ascii="Times New Roman" w:eastAsia="Times New Roman" w:hAnsi="Times New Roman" w:cs="Times New Roman"/>
          <w:b/>
          <w:i/>
          <w:color w:val="212529"/>
          <w:sz w:val="24"/>
          <w:szCs w:val="24"/>
          <w:highlight w:val="white"/>
          <w:lang w:val="en-AU"/>
        </w:rPr>
        <w:t xml:space="preserve">Adams v Lindsell (1818) 1 B &amp; </w:t>
      </w:r>
      <w:proofErr w:type="spellStart"/>
      <w:r w:rsidR="007C219D" w:rsidRPr="008B63C7">
        <w:rPr>
          <w:rFonts w:ascii="Times New Roman" w:eastAsia="Times New Roman" w:hAnsi="Times New Roman" w:cs="Times New Roman"/>
          <w:b/>
          <w:i/>
          <w:color w:val="212529"/>
          <w:sz w:val="24"/>
          <w:szCs w:val="24"/>
          <w:highlight w:val="white"/>
          <w:lang w:val="en-AU"/>
        </w:rPr>
        <w:t>Ald</w:t>
      </w:r>
      <w:proofErr w:type="spellEnd"/>
      <w:r w:rsidR="007C219D" w:rsidRPr="008B63C7">
        <w:rPr>
          <w:rFonts w:ascii="Times New Roman" w:eastAsia="Times New Roman" w:hAnsi="Times New Roman" w:cs="Times New Roman"/>
          <w:b/>
          <w:i/>
          <w:color w:val="212529"/>
          <w:sz w:val="24"/>
          <w:szCs w:val="24"/>
          <w:highlight w:val="white"/>
          <w:lang w:val="en-AU"/>
        </w:rPr>
        <w:t xml:space="preserve"> 681</w:t>
      </w:r>
      <w:r w:rsidR="007C219D" w:rsidRPr="008B63C7">
        <w:rPr>
          <w:rFonts w:ascii="Times New Roman" w:eastAsia="Times New Roman" w:hAnsi="Times New Roman" w:cs="Times New Roman"/>
          <w:b/>
          <w:i/>
          <w:color w:val="212529"/>
          <w:sz w:val="32"/>
          <w:szCs w:val="32"/>
          <w:highlight w:val="white"/>
          <w:lang w:val="en-AU"/>
        </w:rPr>
        <w:t xml:space="preserve">. </w:t>
      </w:r>
      <w:r w:rsidR="007C219D" w:rsidRPr="008B63C7">
        <w:rPr>
          <w:rFonts w:ascii="Times New Roman" w:eastAsia="Times New Roman" w:hAnsi="Times New Roman" w:cs="Times New Roman"/>
          <w:color w:val="212529"/>
          <w:sz w:val="24"/>
          <w:szCs w:val="24"/>
          <w:highlight w:val="white"/>
          <w:lang w:val="en-AU"/>
        </w:rPr>
        <w:t xml:space="preserve">Therefore, applying the case law in the present case study it can be said that the acceptance of the offer is effective during the time of posting the letter </w:t>
      </w:r>
      <w:r w:rsidR="007C219D" w:rsidRPr="008B63C7">
        <w:rPr>
          <w:rFonts w:ascii="Times New Roman" w:eastAsia="Times New Roman" w:hAnsi="Times New Roman" w:cs="Times New Roman"/>
          <w:color w:val="212529"/>
          <w:sz w:val="24"/>
          <w:szCs w:val="24"/>
          <w:highlight w:val="white"/>
          <w:lang w:val="en-AU"/>
        </w:rPr>
        <w:lastRenderedPageBreak/>
        <w:t xml:space="preserve">and not on receipt. Therefore, in this case, Ben is likely to deal with the consequences of delay of delivery of the letter. </w:t>
      </w:r>
      <w:r w:rsidR="0056051F" w:rsidRPr="008B63C7">
        <w:rPr>
          <w:rFonts w:ascii="Times New Roman" w:eastAsia="Times New Roman" w:hAnsi="Times New Roman" w:cs="Times New Roman"/>
          <w:color w:val="212529"/>
          <w:sz w:val="24"/>
          <w:szCs w:val="24"/>
          <w:highlight w:val="white"/>
          <w:lang w:val="en-AU"/>
        </w:rPr>
        <w:t>Therefore,</w:t>
      </w:r>
      <w:r w:rsidR="007C219D" w:rsidRPr="008B63C7">
        <w:rPr>
          <w:rFonts w:ascii="Times New Roman" w:eastAsia="Times New Roman" w:hAnsi="Times New Roman" w:cs="Times New Roman"/>
          <w:color w:val="212529"/>
          <w:sz w:val="24"/>
          <w:szCs w:val="24"/>
          <w:highlight w:val="white"/>
          <w:lang w:val="en-AU"/>
        </w:rPr>
        <w:t xml:space="preserve"> </w:t>
      </w:r>
      <w:r w:rsidR="007C219D" w:rsidRPr="008B63C7">
        <w:rPr>
          <w:rFonts w:ascii="Times New Roman" w:eastAsia="Times New Roman" w:hAnsi="Times New Roman" w:cs="Times New Roman"/>
          <w:b/>
          <w:i/>
          <w:color w:val="212529"/>
          <w:sz w:val="24"/>
          <w:szCs w:val="24"/>
          <w:highlight w:val="white"/>
          <w:lang w:val="en-AU"/>
        </w:rPr>
        <w:t xml:space="preserve">Henthorn v Fraser [1892] 2 Ch 27 </w:t>
      </w:r>
      <w:r w:rsidR="007C219D" w:rsidRPr="008B63C7">
        <w:rPr>
          <w:rFonts w:ascii="Times New Roman" w:eastAsia="Times New Roman" w:hAnsi="Times New Roman" w:cs="Times New Roman"/>
          <w:color w:val="212529"/>
          <w:sz w:val="24"/>
          <w:szCs w:val="24"/>
          <w:highlight w:val="white"/>
          <w:lang w:val="en-AU"/>
        </w:rPr>
        <w:t xml:space="preserve">is applicable in this regard. This is because Ben must have communicated earlier that the acceptance will be completed once the letter is posted. </w:t>
      </w:r>
    </w:p>
    <w:p w14:paraId="671454FD" w14:textId="77777777" w:rsidR="004E77A3" w:rsidRDefault="0056051F" w:rsidP="00F12E88">
      <w:pPr>
        <w:pStyle w:val="Normal1"/>
        <w:spacing w:line="480" w:lineRule="auto"/>
        <w:jc w:val="both"/>
        <w:rPr>
          <w:rFonts w:ascii="Times New Roman" w:eastAsia="Times New Roman" w:hAnsi="Times New Roman" w:cs="Times New Roman"/>
          <w:color w:val="202124"/>
          <w:sz w:val="24"/>
          <w:szCs w:val="24"/>
          <w:highlight w:val="white"/>
          <w:lang w:val="en-AU"/>
        </w:rPr>
      </w:pPr>
      <w:r w:rsidRPr="008B63C7">
        <w:rPr>
          <w:rFonts w:ascii="Times New Roman" w:eastAsia="Times New Roman" w:hAnsi="Times New Roman" w:cs="Times New Roman"/>
          <w:color w:val="212529"/>
          <w:sz w:val="24"/>
          <w:szCs w:val="24"/>
          <w:highlight w:val="white"/>
          <w:lang w:val="en-AU"/>
        </w:rPr>
        <w:t>In the present case it can be observed that various communications have taken place by way of emails among Arthur and two other buyers Dennis and Christine. In this regard, the cases</w:t>
      </w:r>
      <w:r>
        <w:rPr>
          <w:rFonts w:ascii="Times New Roman" w:eastAsia="Times New Roman" w:hAnsi="Times New Roman" w:cs="Times New Roman"/>
          <w:color w:val="212529"/>
          <w:sz w:val="24"/>
          <w:szCs w:val="24"/>
          <w:highlight w:val="white"/>
          <w:lang w:val="en-AU"/>
        </w:rPr>
        <w:t xml:space="preserve"> </w:t>
      </w:r>
      <w:r w:rsidRPr="0056051F">
        <w:rPr>
          <w:rFonts w:ascii="Times New Roman" w:eastAsia="Times New Roman" w:hAnsi="Times New Roman" w:cs="Times New Roman"/>
          <w:b/>
          <w:i/>
          <w:color w:val="212529"/>
          <w:sz w:val="24"/>
          <w:szCs w:val="24"/>
          <w:highlight w:val="white"/>
        </w:rPr>
        <w:t>D</w:t>
      </w:r>
      <w:r>
        <w:rPr>
          <w:rFonts w:ascii="Times New Roman" w:eastAsia="Times New Roman" w:hAnsi="Times New Roman" w:cs="Times New Roman"/>
          <w:b/>
          <w:i/>
          <w:color w:val="212529"/>
          <w:sz w:val="24"/>
          <w:szCs w:val="24"/>
          <w:highlight w:val="white"/>
        </w:rPr>
        <w:t xml:space="preserve">unlop v Higgins (1848) 1 HLC 381 </w:t>
      </w:r>
      <w:r w:rsidRPr="0056051F">
        <w:rPr>
          <w:rFonts w:ascii="Times New Roman" w:eastAsia="Times New Roman" w:hAnsi="Times New Roman" w:cs="Times New Roman"/>
          <w:color w:val="212529"/>
          <w:sz w:val="24"/>
          <w:szCs w:val="24"/>
          <w:highlight w:val="white"/>
        </w:rPr>
        <w:t xml:space="preserve">and </w:t>
      </w:r>
      <w:r w:rsidRPr="0056051F">
        <w:rPr>
          <w:rFonts w:ascii="Times New Roman" w:eastAsia="Times New Roman" w:hAnsi="Times New Roman" w:cs="Times New Roman"/>
          <w:b/>
          <w:i/>
          <w:color w:val="212529"/>
          <w:sz w:val="24"/>
          <w:szCs w:val="24"/>
          <w:highlight w:val="white"/>
        </w:rPr>
        <w:t>London &amp; Northern Bank [1900] 1 Ch. 220).</w:t>
      </w:r>
      <w:r w:rsidRPr="008B63C7">
        <w:rPr>
          <w:rFonts w:ascii="Times New Roman" w:eastAsia="Times New Roman" w:hAnsi="Times New Roman" w:cs="Times New Roman"/>
          <w:color w:val="212529"/>
          <w:sz w:val="24"/>
          <w:szCs w:val="24"/>
          <w:highlight w:val="white"/>
          <w:lang w:val="en-AU"/>
        </w:rPr>
        <w:t xml:space="preserve"> This is due to the reason that in the first case, it was held by the Court that email serves as the main purpose of the exchange of conversation by making it binding among the parties. In this regard, it was held by the Court that in order to abide by the rules of a valid contract it is important to signify the fact that the formal requirements of the contract have been executed. As held by the </w:t>
      </w:r>
      <w:r>
        <w:rPr>
          <w:rFonts w:ascii="Times New Roman" w:eastAsia="Times New Roman" w:hAnsi="Times New Roman" w:cs="Times New Roman"/>
          <w:color w:val="212529"/>
          <w:sz w:val="24"/>
          <w:szCs w:val="24"/>
          <w:highlight w:val="white"/>
          <w:lang w:val="en-AU"/>
        </w:rPr>
        <w:t xml:space="preserve">Court of UK, </w:t>
      </w:r>
      <w:r w:rsidRPr="008B63C7">
        <w:rPr>
          <w:rFonts w:ascii="Times New Roman" w:eastAsia="Times New Roman" w:hAnsi="Times New Roman" w:cs="Times New Roman"/>
          <w:color w:val="212529"/>
          <w:sz w:val="24"/>
          <w:szCs w:val="24"/>
          <w:highlight w:val="white"/>
          <w:lang w:val="en-AU"/>
        </w:rPr>
        <w:t>clearly express</w:t>
      </w:r>
      <w:r>
        <w:rPr>
          <w:rFonts w:ascii="Times New Roman" w:eastAsia="Times New Roman" w:hAnsi="Times New Roman" w:cs="Times New Roman"/>
          <w:color w:val="212529"/>
          <w:sz w:val="24"/>
          <w:szCs w:val="24"/>
          <w:highlight w:val="white"/>
          <w:lang w:val="en-AU"/>
        </w:rPr>
        <w:t>ing</w:t>
      </w:r>
      <w:r w:rsidRPr="008B63C7">
        <w:rPr>
          <w:rFonts w:ascii="Times New Roman" w:eastAsia="Times New Roman" w:hAnsi="Times New Roman" w:cs="Times New Roman"/>
          <w:color w:val="212529"/>
          <w:sz w:val="24"/>
          <w:szCs w:val="24"/>
          <w:highlight w:val="white"/>
          <w:lang w:val="en-AU"/>
        </w:rPr>
        <w:t xml:space="preserve"> the language in contract for the purpose of making the parties legally binding to the contract.</w:t>
      </w:r>
      <w:r w:rsidR="00F12E88" w:rsidRPr="00F12E88">
        <w:rPr>
          <w:rFonts w:ascii="Times New Roman" w:eastAsia="Times New Roman" w:hAnsi="Times New Roman" w:cs="Times New Roman"/>
          <w:b/>
          <w:i/>
          <w:color w:val="FF0000"/>
          <w:sz w:val="24"/>
          <w:szCs w:val="24"/>
          <w:highlight w:val="white"/>
          <w:lang w:val="en-AU"/>
        </w:rPr>
        <w:t xml:space="preserve"> </w:t>
      </w:r>
      <w:r w:rsidR="00F12E88" w:rsidRPr="00F12E88">
        <w:rPr>
          <w:rFonts w:ascii="Times New Roman" w:eastAsia="Times New Roman" w:hAnsi="Times New Roman" w:cs="Times New Roman"/>
          <w:color w:val="000000" w:themeColor="text1"/>
          <w:sz w:val="24"/>
          <w:szCs w:val="24"/>
          <w:highlight w:val="white"/>
          <w:lang w:val="en-AU"/>
        </w:rPr>
        <w:t xml:space="preserve">The case of </w:t>
      </w:r>
      <w:r w:rsidR="00F12E88" w:rsidRPr="00F12E88">
        <w:rPr>
          <w:rFonts w:ascii="Times New Roman" w:eastAsia="Times New Roman" w:hAnsi="Times New Roman" w:cs="Times New Roman"/>
          <w:b/>
          <w:i/>
          <w:color w:val="000000" w:themeColor="text1"/>
          <w:sz w:val="24"/>
          <w:szCs w:val="24"/>
          <w:highlight w:val="white"/>
          <w:lang w:val="en-AU"/>
        </w:rPr>
        <w:t xml:space="preserve">Adams v Lindsell (1818) 1 B &amp; </w:t>
      </w:r>
      <w:proofErr w:type="spellStart"/>
      <w:r w:rsidR="00F12E88" w:rsidRPr="00F12E88">
        <w:rPr>
          <w:rFonts w:ascii="Times New Roman" w:eastAsia="Times New Roman" w:hAnsi="Times New Roman" w:cs="Times New Roman"/>
          <w:b/>
          <w:i/>
          <w:color w:val="000000" w:themeColor="text1"/>
          <w:sz w:val="24"/>
          <w:szCs w:val="24"/>
          <w:highlight w:val="white"/>
          <w:lang w:val="en-AU"/>
        </w:rPr>
        <w:t>Ald</w:t>
      </w:r>
      <w:proofErr w:type="spellEnd"/>
      <w:r w:rsidR="00F12E88" w:rsidRPr="00F12E88">
        <w:rPr>
          <w:rFonts w:ascii="Times New Roman" w:eastAsia="Times New Roman" w:hAnsi="Times New Roman" w:cs="Times New Roman"/>
          <w:b/>
          <w:i/>
          <w:color w:val="000000" w:themeColor="text1"/>
          <w:sz w:val="24"/>
          <w:szCs w:val="24"/>
          <w:highlight w:val="white"/>
          <w:lang w:val="en-AU"/>
        </w:rPr>
        <w:t xml:space="preserve"> 681</w:t>
      </w:r>
      <w:r w:rsidR="00F12E88">
        <w:rPr>
          <w:rFonts w:ascii="Times New Roman" w:eastAsia="Times New Roman" w:hAnsi="Times New Roman" w:cs="Times New Roman"/>
          <w:b/>
          <w:i/>
          <w:color w:val="000000" w:themeColor="text1"/>
          <w:sz w:val="24"/>
          <w:szCs w:val="24"/>
          <w:highlight w:val="white"/>
          <w:lang w:val="en-AU"/>
        </w:rPr>
        <w:t xml:space="preserve"> </w:t>
      </w:r>
      <w:r w:rsidR="00F12E88" w:rsidRPr="008B63C7">
        <w:rPr>
          <w:rFonts w:ascii="Times New Roman" w:eastAsia="Times New Roman" w:hAnsi="Times New Roman" w:cs="Times New Roman"/>
          <w:b/>
          <w:i/>
          <w:color w:val="202124"/>
          <w:sz w:val="24"/>
          <w:szCs w:val="24"/>
          <w:highlight w:val="white"/>
          <w:lang w:val="en-AU"/>
        </w:rPr>
        <w:t xml:space="preserve">622 </w:t>
      </w:r>
      <w:r w:rsidR="00F12E88" w:rsidRPr="008B63C7">
        <w:rPr>
          <w:rFonts w:ascii="Times New Roman" w:eastAsia="Times New Roman" w:hAnsi="Times New Roman" w:cs="Times New Roman"/>
          <w:color w:val="202124"/>
          <w:sz w:val="24"/>
          <w:szCs w:val="24"/>
          <w:highlight w:val="white"/>
          <w:lang w:val="en-AU"/>
        </w:rPr>
        <w:t xml:space="preserve">can also be applied in the present case. </w:t>
      </w:r>
    </w:p>
    <w:p w14:paraId="7A870AF0" w14:textId="42703E57" w:rsidR="0056051F" w:rsidRPr="00F12E88" w:rsidRDefault="00F12E88" w:rsidP="00F12E88">
      <w:pPr>
        <w:pStyle w:val="Normal1"/>
        <w:spacing w:line="480" w:lineRule="auto"/>
        <w:jc w:val="both"/>
        <w:rPr>
          <w:rFonts w:ascii="Times New Roman" w:eastAsia="Times New Roman" w:hAnsi="Times New Roman" w:cs="Times New Roman"/>
          <w:color w:val="212529"/>
          <w:sz w:val="24"/>
          <w:szCs w:val="24"/>
          <w:highlight w:val="white"/>
          <w:lang w:val="en-AU"/>
        </w:rPr>
      </w:pPr>
      <w:r w:rsidRPr="008B63C7">
        <w:rPr>
          <w:rFonts w:ascii="Times New Roman" w:eastAsia="Times New Roman" w:hAnsi="Times New Roman" w:cs="Times New Roman"/>
          <w:color w:val="202124"/>
          <w:sz w:val="24"/>
          <w:szCs w:val="24"/>
          <w:highlight w:val="white"/>
          <w:lang w:val="en-AU"/>
        </w:rPr>
        <w:t xml:space="preserve">The contract between Christine and Arthur was a valid contract as Christine rightly informed any changes in her plan effectively by way of exchange of email and in this regard, </w:t>
      </w:r>
      <w:r>
        <w:rPr>
          <w:rFonts w:ascii="Times New Roman" w:eastAsia="Times New Roman" w:hAnsi="Times New Roman" w:cs="Times New Roman"/>
          <w:color w:val="202124"/>
          <w:sz w:val="24"/>
          <w:szCs w:val="24"/>
          <w:highlight w:val="white"/>
          <w:lang w:val="en-AU"/>
        </w:rPr>
        <w:t xml:space="preserve">therefore it can be said that in the case of </w:t>
      </w:r>
      <w:r w:rsidRPr="00F12E88">
        <w:rPr>
          <w:rFonts w:ascii="Times New Roman" w:eastAsia="Times New Roman" w:hAnsi="Times New Roman" w:cs="Times New Roman"/>
          <w:b/>
          <w:i/>
          <w:color w:val="000000" w:themeColor="text1"/>
          <w:sz w:val="24"/>
          <w:szCs w:val="24"/>
          <w:highlight w:val="white"/>
          <w:lang w:val="en-AU"/>
        </w:rPr>
        <w:t xml:space="preserve">Adams v Lindsell (1818) 1 B &amp; </w:t>
      </w:r>
      <w:proofErr w:type="spellStart"/>
      <w:r w:rsidRPr="00F12E88">
        <w:rPr>
          <w:rFonts w:ascii="Times New Roman" w:eastAsia="Times New Roman" w:hAnsi="Times New Roman" w:cs="Times New Roman"/>
          <w:b/>
          <w:i/>
          <w:color w:val="000000" w:themeColor="text1"/>
          <w:sz w:val="24"/>
          <w:szCs w:val="24"/>
          <w:highlight w:val="white"/>
          <w:lang w:val="en-AU"/>
        </w:rPr>
        <w:t>Ald</w:t>
      </w:r>
      <w:proofErr w:type="spellEnd"/>
      <w:r w:rsidRPr="00F12E88">
        <w:rPr>
          <w:rFonts w:ascii="Times New Roman" w:eastAsia="Times New Roman" w:hAnsi="Times New Roman" w:cs="Times New Roman"/>
          <w:b/>
          <w:i/>
          <w:color w:val="000000" w:themeColor="text1"/>
          <w:sz w:val="24"/>
          <w:szCs w:val="24"/>
          <w:highlight w:val="white"/>
          <w:lang w:val="en-AU"/>
        </w:rPr>
        <w:t xml:space="preserve"> 681</w:t>
      </w:r>
      <w:r>
        <w:rPr>
          <w:rFonts w:ascii="Times New Roman" w:eastAsia="Times New Roman" w:hAnsi="Times New Roman" w:cs="Times New Roman"/>
          <w:b/>
          <w:i/>
          <w:color w:val="000000" w:themeColor="text1"/>
          <w:sz w:val="24"/>
          <w:szCs w:val="24"/>
          <w:highlight w:val="white"/>
          <w:lang w:val="en-AU"/>
        </w:rPr>
        <w:t xml:space="preserve"> </w:t>
      </w:r>
      <w:r w:rsidRPr="008B63C7">
        <w:rPr>
          <w:rFonts w:ascii="Times New Roman" w:eastAsia="Times New Roman" w:hAnsi="Times New Roman" w:cs="Times New Roman"/>
          <w:b/>
          <w:i/>
          <w:color w:val="202124"/>
          <w:sz w:val="24"/>
          <w:szCs w:val="24"/>
          <w:highlight w:val="white"/>
          <w:lang w:val="en-AU"/>
        </w:rPr>
        <w:t>622</w:t>
      </w:r>
      <w:r>
        <w:rPr>
          <w:rFonts w:ascii="Times New Roman" w:eastAsia="Times New Roman" w:hAnsi="Times New Roman" w:cs="Times New Roman"/>
          <w:b/>
          <w:i/>
          <w:color w:val="202124"/>
          <w:sz w:val="24"/>
          <w:szCs w:val="24"/>
          <w:highlight w:val="white"/>
          <w:lang w:val="en-AU"/>
        </w:rPr>
        <w:t xml:space="preserve">. </w:t>
      </w:r>
      <w:r>
        <w:rPr>
          <w:rFonts w:ascii="Times New Roman" w:eastAsia="Times New Roman" w:hAnsi="Times New Roman" w:cs="Times New Roman"/>
          <w:color w:val="202124"/>
          <w:sz w:val="24"/>
          <w:szCs w:val="24"/>
          <w:highlight w:val="white"/>
          <w:lang w:val="en-AU"/>
        </w:rPr>
        <w:t>T</w:t>
      </w:r>
      <w:r w:rsidRPr="008B63C7">
        <w:rPr>
          <w:rFonts w:ascii="Times New Roman" w:eastAsia="Times New Roman" w:hAnsi="Times New Roman" w:cs="Times New Roman"/>
          <w:color w:val="202124"/>
          <w:sz w:val="24"/>
          <w:szCs w:val="24"/>
          <w:highlight w:val="white"/>
          <w:lang w:val="en-AU"/>
        </w:rPr>
        <w:t>he Courts have undertaken the importance of subject to contract in order to signify the fact that whether offer and acceptance are unconditional. In this regard, the Court was of the opinion that in the context of two exchanged emails and the expressions depicted in them. This strongly signifies the fact that both the parties are binding to the contract by including the additional terms on consent.</w:t>
      </w:r>
    </w:p>
    <w:p w14:paraId="29BB9AF7" w14:textId="77777777" w:rsidR="007C219D" w:rsidRPr="008B63C7" w:rsidRDefault="007C219D" w:rsidP="009B09CC">
      <w:pPr>
        <w:pStyle w:val="Normal1"/>
        <w:spacing w:line="480" w:lineRule="auto"/>
        <w:jc w:val="both"/>
        <w:rPr>
          <w:rFonts w:ascii="Times New Roman" w:eastAsia="Times New Roman" w:hAnsi="Times New Roman" w:cs="Times New Roman"/>
          <w:b/>
          <w:color w:val="202124"/>
          <w:sz w:val="24"/>
          <w:szCs w:val="24"/>
          <w:highlight w:val="white"/>
          <w:lang w:val="en-AU"/>
        </w:rPr>
      </w:pPr>
      <w:r w:rsidRPr="008B63C7">
        <w:rPr>
          <w:rFonts w:ascii="Times New Roman" w:eastAsia="Times New Roman" w:hAnsi="Times New Roman" w:cs="Times New Roman"/>
          <w:b/>
          <w:color w:val="202124"/>
          <w:sz w:val="24"/>
          <w:szCs w:val="24"/>
          <w:highlight w:val="white"/>
          <w:lang w:val="en-AU"/>
        </w:rPr>
        <w:t>Conclusion</w:t>
      </w:r>
    </w:p>
    <w:p w14:paraId="1D34C049" w14:textId="77777777" w:rsidR="007C219D" w:rsidRPr="008B63C7" w:rsidRDefault="000D07C3" w:rsidP="009B09CC">
      <w:pPr>
        <w:pStyle w:val="Normal1"/>
        <w:spacing w:line="480" w:lineRule="auto"/>
        <w:jc w:val="both"/>
        <w:rPr>
          <w:rFonts w:ascii="Times New Roman" w:eastAsia="Times New Roman" w:hAnsi="Times New Roman" w:cs="Times New Roman"/>
          <w:color w:val="202124"/>
          <w:sz w:val="24"/>
          <w:szCs w:val="24"/>
          <w:highlight w:val="white"/>
          <w:lang w:val="en-AU"/>
        </w:rPr>
      </w:pPr>
      <w:r>
        <w:rPr>
          <w:rFonts w:ascii="Times New Roman" w:eastAsia="Times New Roman" w:hAnsi="Times New Roman" w:cs="Times New Roman"/>
          <w:color w:val="202124"/>
          <w:sz w:val="24"/>
          <w:szCs w:val="24"/>
          <w:highlight w:val="white"/>
          <w:lang w:val="en-AU"/>
        </w:rPr>
        <w:lastRenderedPageBreak/>
        <w:t xml:space="preserve">In the conclusion, it can be stated that, </w:t>
      </w:r>
      <w:r w:rsidR="00E97D9D">
        <w:rPr>
          <w:rFonts w:ascii="Times New Roman" w:eastAsia="Times New Roman" w:hAnsi="Times New Roman" w:cs="Times New Roman"/>
          <w:color w:val="202124"/>
          <w:sz w:val="24"/>
          <w:szCs w:val="24"/>
          <w:highlight w:val="white"/>
          <w:lang w:val="en-AU"/>
        </w:rPr>
        <w:t xml:space="preserve">there exists a valid contract of sale between Christine and Arthur. </w:t>
      </w:r>
      <w:r w:rsidR="007C219D" w:rsidRPr="008B63C7">
        <w:rPr>
          <w:rFonts w:ascii="Times New Roman" w:eastAsia="Times New Roman" w:hAnsi="Times New Roman" w:cs="Times New Roman"/>
          <w:color w:val="202124"/>
          <w:sz w:val="24"/>
          <w:szCs w:val="24"/>
          <w:highlight w:val="white"/>
          <w:lang w:val="en-AU"/>
        </w:rPr>
        <w:t xml:space="preserve"> </w:t>
      </w:r>
    </w:p>
    <w:p w14:paraId="0BC18019" w14:textId="77777777" w:rsidR="007C219D" w:rsidRPr="008B63C7" w:rsidRDefault="007C219D" w:rsidP="009B09CC">
      <w:pPr>
        <w:pStyle w:val="Normal1"/>
        <w:spacing w:line="480" w:lineRule="auto"/>
        <w:jc w:val="both"/>
        <w:rPr>
          <w:rFonts w:ascii="Times New Roman" w:eastAsia="Times New Roman" w:hAnsi="Times New Roman" w:cs="Times New Roman"/>
          <w:color w:val="202124"/>
          <w:sz w:val="24"/>
          <w:szCs w:val="24"/>
          <w:highlight w:val="white"/>
          <w:lang w:val="en-AU"/>
        </w:rPr>
      </w:pPr>
      <w:r w:rsidRPr="008B63C7">
        <w:rPr>
          <w:lang w:val="en-AU"/>
        </w:rPr>
        <w:br w:type="page"/>
      </w:r>
    </w:p>
    <w:p w14:paraId="195BEED0" w14:textId="5FCDDD11" w:rsidR="00060E71" w:rsidRPr="008B63C7" w:rsidRDefault="00C733CC" w:rsidP="009B09CC">
      <w:pPr>
        <w:pStyle w:val="Heading1"/>
        <w:rPr>
          <w:highlight w:val="white"/>
          <w:lang w:val="en-AU"/>
        </w:rPr>
      </w:pPr>
      <w:r>
        <w:rPr>
          <w:highlight w:val="white"/>
          <w:lang w:val="en-AU"/>
        </w:rPr>
        <w:lastRenderedPageBreak/>
        <w:t>Bibliography</w:t>
      </w:r>
    </w:p>
    <w:p w14:paraId="477D05E5" w14:textId="77777777" w:rsidR="00C733CC" w:rsidRDefault="00C733CC" w:rsidP="009B09CC">
      <w:pPr>
        <w:pStyle w:val="Normal1"/>
        <w:spacing w:before="240" w:after="240" w:line="480" w:lineRule="auto"/>
        <w:jc w:val="both"/>
        <w:rPr>
          <w:rFonts w:ascii="Times New Roman" w:eastAsia="Times New Roman" w:hAnsi="Times New Roman" w:cs="Times New Roman"/>
          <w:color w:val="202124"/>
          <w:sz w:val="24"/>
          <w:szCs w:val="24"/>
          <w:highlight w:val="white"/>
          <w:lang w:val="en-AU"/>
        </w:rPr>
      </w:pPr>
      <w:r w:rsidRPr="008B63C7">
        <w:rPr>
          <w:rFonts w:ascii="Times New Roman" w:eastAsia="Times New Roman" w:hAnsi="Times New Roman" w:cs="Times New Roman"/>
          <w:color w:val="202124"/>
          <w:sz w:val="24"/>
          <w:szCs w:val="24"/>
          <w:highlight w:val="white"/>
          <w:lang w:val="en-AU"/>
        </w:rPr>
        <w:t xml:space="preserve">Beck Legal (2022) </w:t>
      </w:r>
      <w:r w:rsidRPr="008B63C7">
        <w:rPr>
          <w:rFonts w:ascii="Times New Roman" w:eastAsia="Times New Roman" w:hAnsi="Times New Roman" w:cs="Times New Roman"/>
          <w:i/>
          <w:color w:val="202124"/>
          <w:sz w:val="24"/>
          <w:szCs w:val="24"/>
          <w:highlight w:val="white"/>
          <w:lang w:val="en-AU"/>
        </w:rPr>
        <w:t>Court Case – Email Negotiations equal binding Lease</w:t>
      </w:r>
      <w:r w:rsidRPr="008B63C7">
        <w:rPr>
          <w:rFonts w:ascii="Times New Roman" w:eastAsia="Times New Roman" w:hAnsi="Times New Roman" w:cs="Times New Roman"/>
          <w:color w:val="202124"/>
          <w:sz w:val="24"/>
          <w:szCs w:val="24"/>
          <w:highlight w:val="white"/>
          <w:lang w:val="en-AU"/>
        </w:rPr>
        <w:t xml:space="preserve">, Available </w:t>
      </w:r>
      <w:proofErr w:type="gramStart"/>
      <w:r w:rsidRPr="008B63C7">
        <w:rPr>
          <w:rFonts w:ascii="Times New Roman" w:eastAsia="Times New Roman" w:hAnsi="Times New Roman" w:cs="Times New Roman"/>
          <w:color w:val="202124"/>
          <w:sz w:val="24"/>
          <w:szCs w:val="24"/>
          <w:highlight w:val="white"/>
          <w:lang w:val="en-AU"/>
        </w:rPr>
        <w:t>at:https://becklegal.com.au/property-and-conveyancing-transactions/court-case-email-negotiations-equal-binding-lease-2/#:~:text=In%20the%20decision%20of%20Vantage,lease%20document%20was%20entered%20into</w:t>
      </w:r>
      <w:proofErr w:type="gramEnd"/>
      <w:r w:rsidRPr="008B63C7">
        <w:rPr>
          <w:rFonts w:ascii="Times New Roman" w:eastAsia="Times New Roman" w:hAnsi="Times New Roman" w:cs="Times New Roman"/>
          <w:color w:val="202124"/>
          <w:sz w:val="24"/>
          <w:szCs w:val="24"/>
          <w:highlight w:val="white"/>
          <w:lang w:val="en-AU"/>
        </w:rPr>
        <w:t>. [Accessed on: 5/2/2022]</w:t>
      </w:r>
    </w:p>
    <w:p w14:paraId="2257F98F" w14:textId="77777777" w:rsidR="00C733CC" w:rsidRPr="008B63C7" w:rsidRDefault="00C733CC" w:rsidP="009B09CC">
      <w:pPr>
        <w:pStyle w:val="Normal1"/>
        <w:spacing w:before="240" w:after="240" w:line="480" w:lineRule="auto"/>
        <w:jc w:val="both"/>
        <w:rPr>
          <w:rFonts w:ascii="Times New Roman" w:eastAsia="Times New Roman" w:hAnsi="Times New Roman" w:cs="Times New Roman"/>
          <w:color w:val="202124"/>
          <w:sz w:val="24"/>
          <w:szCs w:val="24"/>
          <w:highlight w:val="white"/>
          <w:lang w:val="en-AU"/>
        </w:rPr>
      </w:pPr>
      <w:r w:rsidRPr="008B63C7">
        <w:rPr>
          <w:rFonts w:ascii="Times New Roman" w:eastAsia="Times New Roman" w:hAnsi="Times New Roman" w:cs="Times New Roman"/>
          <w:color w:val="202124"/>
          <w:sz w:val="24"/>
          <w:szCs w:val="24"/>
          <w:highlight w:val="white"/>
          <w:lang w:val="en-AU"/>
        </w:rPr>
        <w:t>Eprints.lse.ac.uk</w:t>
      </w:r>
      <w:r>
        <w:rPr>
          <w:rFonts w:ascii="Times New Roman" w:eastAsia="Times New Roman" w:hAnsi="Times New Roman" w:cs="Times New Roman"/>
          <w:color w:val="202124"/>
          <w:sz w:val="24"/>
          <w:szCs w:val="24"/>
          <w:highlight w:val="white"/>
          <w:lang w:val="en-AU"/>
        </w:rPr>
        <w:t xml:space="preserve">, </w:t>
      </w:r>
      <w:r w:rsidRPr="008B63C7">
        <w:rPr>
          <w:rFonts w:ascii="Times New Roman" w:eastAsia="Times New Roman" w:hAnsi="Times New Roman" w:cs="Times New Roman"/>
          <w:color w:val="202124"/>
          <w:sz w:val="24"/>
          <w:szCs w:val="24"/>
          <w:highlight w:val="white"/>
          <w:lang w:val="en-AU"/>
        </w:rPr>
        <w:t xml:space="preserve">2022 </w:t>
      </w:r>
      <w:r w:rsidRPr="008B63C7">
        <w:rPr>
          <w:rFonts w:ascii="Times New Roman" w:eastAsia="Times New Roman" w:hAnsi="Times New Roman" w:cs="Times New Roman"/>
          <w:i/>
          <w:color w:val="202124"/>
          <w:sz w:val="24"/>
          <w:szCs w:val="24"/>
          <w:highlight w:val="white"/>
          <w:lang w:val="en-AU"/>
        </w:rPr>
        <w:t>The Significance of Adams v Lindsell</w:t>
      </w:r>
      <w:r w:rsidRPr="008B63C7">
        <w:rPr>
          <w:rFonts w:ascii="Times New Roman" w:eastAsia="Times New Roman" w:hAnsi="Times New Roman" w:cs="Times New Roman"/>
          <w:color w:val="202124"/>
          <w:sz w:val="24"/>
          <w:szCs w:val="24"/>
          <w:highlight w:val="white"/>
          <w:lang w:val="en-AU"/>
        </w:rPr>
        <w:t>, Available at: http://eprints.lse.ac.uk/101571/1/Significance_of_Adams_v_Lindsell.pdf [Accessed on: 5/2/2022]</w:t>
      </w:r>
    </w:p>
    <w:p w14:paraId="240DB4D9" w14:textId="77777777" w:rsidR="00C733CC" w:rsidRPr="008B63C7" w:rsidRDefault="00C733CC" w:rsidP="009B09CC">
      <w:pPr>
        <w:spacing w:line="480" w:lineRule="auto"/>
        <w:jc w:val="both"/>
        <w:rPr>
          <w:rFonts w:ascii="Times New Roman" w:eastAsia="Times New Roman" w:hAnsi="Times New Roman" w:cs="Times New Roman"/>
          <w:sz w:val="24"/>
          <w:szCs w:val="24"/>
          <w:highlight w:val="white"/>
          <w:lang w:val="en-AU"/>
        </w:rPr>
      </w:pPr>
      <w:r w:rsidRPr="00C733CC">
        <w:rPr>
          <w:rFonts w:ascii="Times New Roman" w:eastAsia="Times New Roman" w:hAnsi="Times New Roman" w:cs="Times New Roman"/>
          <w:sz w:val="24"/>
          <w:szCs w:val="24"/>
          <w:highlight w:val="white"/>
        </w:rPr>
        <w:t>Higgins, R., 1997. Time and the law: international perspectives on an old problem. </w:t>
      </w:r>
      <w:r w:rsidRPr="00C733CC">
        <w:rPr>
          <w:rFonts w:ascii="Times New Roman" w:eastAsia="Times New Roman" w:hAnsi="Times New Roman" w:cs="Times New Roman"/>
          <w:i/>
          <w:iCs/>
          <w:sz w:val="24"/>
          <w:szCs w:val="24"/>
          <w:highlight w:val="white"/>
        </w:rPr>
        <w:t>International &amp; Comparative Law Quarterly</w:t>
      </w:r>
      <w:r w:rsidRPr="00C733CC">
        <w:rPr>
          <w:rFonts w:ascii="Times New Roman" w:eastAsia="Times New Roman" w:hAnsi="Times New Roman" w:cs="Times New Roman"/>
          <w:sz w:val="24"/>
          <w:szCs w:val="24"/>
          <w:highlight w:val="white"/>
        </w:rPr>
        <w:t>, </w:t>
      </w:r>
      <w:r w:rsidRPr="00C733CC">
        <w:rPr>
          <w:rFonts w:ascii="Times New Roman" w:eastAsia="Times New Roman" w:hAnsi="Times New Roman" w:cs="Times New Roman"/>
          <w:i/>
          <w:iCs/>
          <w:sz w:val="24"/>
          <w:szCs w:val="24"/>
          <w:highlight w:val="white"/>
        </w:rPr>
        <w:t>46</w:t>
      </w:r>
      <w:r w:rsidRPr="00C733CC">
        <w:rPr>
          <w:rFonts w:ascii="Times New Roman" w:eastAsia="Times New Roman" w:hAnsi="Times New Roman" w:cs="Times New Roman"/>
          <w:sz w:val="24"/>
          <w:szCs w:val="24"/>
          <w:highlight w:val="white"/>
        </w:rPr>
        <w:t>(3), pp.501-520.</w:t>
      </w:r>
    </w:p>
    <w:p w14:paraId="3CDFB0C4" w14:textId="77777777" w:rsidR="00C733CC" w:rsidRPr="008B63C7" w:rsidRDefault="00C733CC" w:rsidP="009B09CC">
      <w:pPr>
        <w:pStyle w:val="Normal1"/>
        <w:spacing w:before="240" w:after="240" w:line="480" w:lineRule="auto"/>
        <w:jc w:val="both"/>
        <w:rPr>
          <w:rFonts w:ascii="Times New Roman" w:eastAsia="Times New Roman" w:hAnsi="Times New Roman" w:cs="Times New Roman"/>
          <w:color w:val="202124"/>
          <w:sz w:val="24"/>
          <w:szCs w:val="24"/>
          <w:highlight w:val="white"/>
          <w:lang w:val="en-AU"/>
        </w:rPr>
      </w:pPr>
      <w:r w:rsidRPr="008B63C7">
        <w:rPr>
          <w:rFonts w:ascii="Times New Roman" w:eastAsia="Times New Roman" w:hAnsi="Times New Roman" w:cs="Times New Roman"/>
          <w:color w:val="202124"/>
          <w:sz w:val="24"/>
          <w:szCs w:val="24"/>
          <w:highlight w:val="white"/>
          <w:lang w:val="en-AU"/>
        </w:rPr>
        <w:t>Law.unlv.edu</w:t>
      </w:r>
      <w:r>
        <w:rPr>
          <w:rFonts w:ascii="Times New Roman" w:eastAsia="Times New Roman" w:hAnsi="Times New Roman" w:cs="Times New Roman"/>
          <w:color w:val="202124"/>
          <w:sz w:val="24"/>
          <w:szCs w:val="24"/>
          <w:highlight w:val="white"/>
          <w:lang w:val="en-AU"/>
        </w:rPr>
        <w:t xml:space="preserve">, </w:t>
      </w:r>
      <w:r w:rsidRPr="008B63C7">
        <w:rPr>
          <w:rFonts w:ascii="Times New Roman" w:eastAsia="Times New Roman" w:hAnsi="Times New Roman" w:cs="Times New Roman"/>
          <w:color w:val="202124"/>
          <w:sz w:val="24"/>
          <w:szCs w:val="24"/>
          <w:highlight w:val="white"/>
          <w:lang w:val="en-AU"/>
        </w:rPr>
        <w:t xml:space="preserve">2022 </w:t>
      </w:r>
      <w:r w:rsidRPr="008B63C7">
        <w:rPr>
          <w:rFonts w:ascii="Times New Roman" w:eastAsia="Times New Roman" w:hAnsi="Times New Roman" w:cs="Times New Roman"/>
          <w:i/>
          <w:color w:val="202124"/>
          <w:sz w:val="24"/>
          <w:szCs w:val="24"/>
          <w:highlight w:val="white"/>
          <w:lang w:val="en-AU"/>
        </w:rPr>
        <w:t>HENTHORN v FRASER</w:t>
      </w:r>
      <w:r w:rsidRPr="008B63C7">
        <w:rPr>
          <w:rFonts w:ascii="Times New Roman" w:eastAsia="Times New Roman" w:hAnsi="Times New Roman" w:cs="Times New Roman"/>
          <w:color w:val="202124"/>
          <w:sz w:val="24"/>
          <w:szCs w:val="24"/>
          <w:highlight w:val="white"/>
          <w:lang w:val="en-AU"/>
        </w:rPr>
        <w:t xml:space="preserve">, Available </w:t>
      </w:r>
      <w:proofErr w:type="spellStart"/>
      <w:proofErr w:type="gramStart"/>
      <w:r w:rsidRPr="008B63C7">
        <w:rPr>
          <w:rFonts w:ascii="Times New Roman" w:eastAsia="Times New Roman" w:hAnsi="Times New Roman" w:cs="Times New Roman"/>
          <w:color w:val="202124"/>
          <w:sz w:val="24"/>
          <w:szCs w:val="24"/>
          <w:highlight w:val="white"/>
          <w:lang w:val="en-AU"/>
        </w:rPr>
        <w:t>at:https</w:t>
      </w:r>
      <w:proofErr w:type="spellEnd"/>
      <w:r w:rsidRPr="008B63C7">
        <w:rPr>
          <w:rFonts w:ascii="Times New Roman" w:eastAsia="Times New Roman" w:hAnsi="Times New Roman" w:cs="Times New Roman"/>
          <w:color w:val="202124"/>
          <w:sz w:val="24"/>
          <w:szCs w:val="24"/>
          <w:highlight w:val="white"/>
          <w:lang w:val="en-AU"/>
        </w:rPr>
        <w:t>://law.unlv.edu/faculty/</w:t>
      </w:r>
      <w:proofErr w:type="spellStart"/>
      <w:r w:rsidRPr="008B63C7">
        <w:rPr>
          <w:rFonts w:ascii="Times New Roman" w:eastAsia="Times New Roman" w:hAnsi="Times New Roman" w:cs="Times New Roman"/>
          <w:color w:val="202124"/>
          <w:sz w:val="24"/>
          <w:szCs w:val="24"/>
          <w:highlight w:val="white"/>
          <w:lang w:val="en-AU"/>
        </w:rPr>
        <w:t>rowley</w:t>
      </w:r>
      <w:proofErr w:type="spellEnd"/>
      <w:r w:rsidRPr="008B63C7">
        <w:rPr>
          <w:rFonts w:ascii="Times New Roman" w:eastAsia="Times New Roman" w:hAnsi="Times New Roman" w:cs="Times New Roman"/>
          <w:color w:val="202124"/>
          <w:sz w:val="24"/>
          <w:szCs w:val="24"/>
          <w:highlight w:val="white"/>
          <w:lang w:val="en-AU"/>
        </w:rPr>
        <w:t>/Henthorn.pdf</w:t>
      </w:r>
      <w:proofErr w:type="gramEnd"/>
      <w:r w:rsidRPr="008B63C7">
        <w:rPr>
          <w:rFonts w:ascii="Times New Roman" w:eastAsia="Times New Roman" w:hAnsi="Times New Roman" w:cs="Times New Roman"/>
          <w:color w:val="202124"/>
          <w:sz w:val="24"/>
          <w:szCs w:val="24"/>
          <w:highlight w:val="white"/>
          <w:lang w:val="en-AU"/>
        </w:rPr>
        <w:t>[Accessed on: 5/2/2022]</w:t>
      </w:r>
    </w:p>
    <w:p w14:paraId="2BB47093" w14:textId="77777777" w:rsidR="00C733CC" w:rsidRDefault="00C733CC" w:rsidP="00C733CC">
      <w:pPr>
        <w:pStyle w:val="Normal1"/>
        <w:spacing w:before="240" w:after="240" w:line="480" w:lineRule="auto"/>
        <w:jc w:val="both"/>
        <w:rPr>
          <w:rFonts w:ascii="Times New Roman" w:eastAsia="Times New Roman" w:hAnsi="Times New Roman" w:cs="Times New Roman"/>
          <w:color w:val="202124"/>
          <w:sz w:val="24"/>
          <w:szCs w:val="24"/>
          <w:highlight w:val="white"/>
        </w:rPr>
      </w:pPr>
      <w:r w:rsidRPr="00DD582F">
        <w:rPr>
          <w:rFonts w:ascii="Times New Roman" w:eastAsia="Times New Roman" w:hAnsi="Times New Roman" w:cs="Times New Roman"/>
          <w:color w:val="202124"/>
          <w:sz w:val="24"/>
          <w:szCs w:val="24"/>
          <w:highlight w:val="white"/>
        </w:rPr>
        <w:t>Meng, C.W., 2001. Contracts (Rights of Third Parties) Act 1999-Legislative Reform of the Doctrine of Privity in the United Kingdom. </w:t>
      </w:r>
      <w:r w:rsidRPr="00DD582F">
        <w:rPr>
          <w:rFonts w:ascii="Times New Roman" w:eastAsia="Times New Roman" w:hAnsi="Times New Roman" w:cs="Times New Roman"/>
          <w:i/>
          <w:iCs/>
          <w:color w:val="202124"/>
          <w:sz w:val="24"/>
          <w:szCs w:val="24"/>
          <w:highlight w:val="white"/>
        </w:rPr>
        <w:t>JMCL</w:t>
      </w:r>
      <w:r w:rsidRPr="00DD582F">
        <w:rPr>
          <w:rFonts w:ascii="Times New Roman" w:eastAsia="Times New Roman" w:hAnsi="Times New Roman" w:cs="Times New Roman"/>
          <w:color w:val="202124"/>
          <w:sz w:val="24"/>
          <w:szCs w:val="24"/>
          <w:highlight w:val="white"/>
        </w:rPr>
        <w:t>, </w:t>
      </w:r>
      <w:r w:rsidRPr="00DD582F">
        <w:rPr>
          <w:rFonts w:ascii="Times New Roman" w:eastAsia="Times New Roman" w:hAnsi="Times New Roman" w:cs="Times New Roman"/>
          <w:i/>
          <w:iCs/>
          <w:color w:val="202124"/>
          <w:sz w:val="24"/>
          <w:szCs w:val="24"/>
          <w:highlight w:val="white"/>
        </w:rPr>
        <w:t>28</w:t>
      </w:r>
      <w:r w:rsidRPr="00DD582F">
        <w:rPr>
          <w:rFonts w:ascii="Times New Roman" w:eastAsia="Times New Roman" w:hAnsi="Times New Roman" w:cs="Times New Roman"/>
          <w:color w:val="202124"/>
          <w:sz w:val="24"/>
          <w:szCs w:val="24"/>
          <w:highlight w:val="white"/>
        </w:rPr>
        <w:t>, p.137.</w:t>
      </w:r>
    </w:p>
    <w:p w14:paraId="7AD4860D" w14:textId="4D78BB40" w:rsidR="00C733CC" w:rsidRPr="00C733CC" w:rsidRDefault="00C733CC" w:rsidP="00C733CC">
      <w:pPr>
        <w:pStyle w:val="Normal1"/>
        <w:spacing w:before="240" w:after="240" w:line="480" w:lineRule="auto"/>
        <w:jc w:val="both"/>
        <w:rPr>
          <w:rFonts w:ascii="Times New Roman" w:eastAsia="Times New Roman" w:hAnsi="Times New Roman" w:cs="Times New Roman"/>
          <w:color w:val="202124"/>
          <w:sz w:val="24"/>
          <w:szCs w:val="24"/>
          <w:highlight w:val="white"/>
          <w:lang w:val="en-AU"/>
        </w:rPr>
      </w:pPr>
      <w:proofErr w:type="spellStart"/>
      <w:r w:rsidRPr="008B63C7">
        <w:rPr>
          <w:rFonts w:ascii="Times New Roman" w:eastAsia="Times New Roman" w:hAnsi="Times New Roman" w:cs="Times New Roman"/>
          <w:sz w:val="24"/>
          <w:szCs w:val="24"/>
          <w:highlight w:val="white"/>
          <w:lang w:val="en-AU"/>
        </w:rPr>
        <w:t>PerovićVujačić</w:t>
      </w:r>
      <w:proofErr w:type="spellEnd"/>
      <w:r w:rsidRPr="008B63C7">
        <w:rPr>
          <w:rFonts w:ascii="Times New Roman" w:eastAsia="Times New Roman" w:hAnsi="Times New Roman" w:cs="Times New Roman"/>
          <w:sz w:val="24"/>
          <w:szCs w:val="24"/>
          <w:highlight w:val="white"/>
          <w:lang w:val="en-AU"/>
        </w:rPr>
        <w:t xml:space="preserve">, J. S. </w:t>
      </w:r>
      <w:r>
        <w:rPr>
          <w:rFonts w:ascii="Times New Roman" w:eastAsia="Times New Roman" w:hAnsi="Times New Roman" w:cs="Times New Roman"/>
          <w:sz w:val="24"/>
          <w:szCs w:val="24"/>
          <w:highlight w:val="white"/>
          <w:lang w:val="en-AU"/>
        </w:rPr>
        <w:t>,</w:t>
      </w:r>
      <w:r w:rsidRPr="008B63C7">
        <w:rPr>
          <w:rFonts w:ascii="Times New Roman" w:eastAsia="Times New Roman" w:hAnsi="Times New Roman" w:cs="Times New Roman"/>
          <w:sz w:val="24"/>
          <w:szCs w:val="24"/>
          <w:highlight w:val="white"/>
          <w:lang w:val="en-AU"/>
        </w:rPr>
        <w:t xml:space="preserve">2021. Anticipatory Breach of Contract in Uniform Contract Law: Overview of the Solution of the UN Convention on the International Sale of Goods. </w:t>
      </w:r>
      <w:r w:rsidRPr="008B63C7">
        <w:rPr>
          <w:rFonts w:ascii="Times New Roman" w:eastAsia="Times New Roman" w:hAnsi="Times New Roman" w:cs="Times New Roman"/>
          <w:i/>
          <w:sz w:val="24"/>
          <w:szCs w:val="24"/>
          <w:highlight w:val="white"/>
          <w:lang w:val="en-AU"/>
        </w:rPr>
        <w:t>Balkan Yearbook of European and International Law 2020</w:t>
      </w:r>
      <w:r w:rsidRPr="008B63C7">
        <w:rPr>
          <w:rFonts w:ascii="Times New Roman" w:eastAsia="Times New Roman" w:hAnsi="Times New Roman" w:cs="Times New Roman"/>
          <w:sz w:val="24"/>
          <w:szCs w:val="24"/>
          <w:highlight w:val="white"/>
          <w:lang w:val="en-AU"/>
        </w:rPr>
        <w:t>, pp.61-76.</w:t>
      </w:r>
    </w:p>
    <w:p w14:paraId="462788A6" w14:textId="77777777" w:rsidR="00C733CC" w:rsidRPr="008B63C7" w:rsidRDefault="00C733CC" w:rsidP="009B09CC">
      <w:pPr>
        <w:spacing w:line="480" w:lineRule="auto"/>
        <w:jc w:val="both"/>
        <w:rPr>
          <w:rFonts w:ascii="Times New Roman" w:eastAsia="Times New Roman" w:hAnsi="Times New Roman" w:cs="Times New Roman"/>
          <w:sz w:val="24"/>
          <w:szCs w:val="24"/>
          <w:highlight w:val="white"/>
          <w:lang w:val="en-AU"/>
        </w:rPr>
      </w:pPr>
      <w:r w:rsidRPr="008B63C7">
        <w:rPr>
          <w:rFonts w:ascii="Times New Roman" w:eastAsia="Times New Roman" w:hAnsi="Times New Roman" w:cs="Times New Roman"/>
          <w:sz w:val="24"/>
          <w:szCs w:val="24"/>
          <w:highlight w:val="white"/>
          <w:lang w:val="en-AU"/>
        </w:rPr>
        <w:t>Shaw-</w:t>
      </w:r>
      <w:proofErr w:type="spellStart"/>
      <w:r w:rsidRPr="008B63C7">
        <w:rPr>
          <w:rFonts w:ascii="Times New Roman" w:eastAsia="Times New Roman" w:hAnsi="Times New Roman" w:cs="Times New Roman"/>
          <w:sz w:val="24"/>
          <w:szCs w:val="24"/>
          <w:highlight w:val="white"/>
          <w:lang w:val="en-AU"/>
        </w:rPr>
        <w:t>Mellors</w:t>
      </w:r>
      <w:proofErr w:type="spellEnd"/>
      <w:r w:rsidRPr="008B63C7">
        <w:rPr>
          <w:rFonts w:ascii="Times New Roman" w:eastAsia="Times New Roman" w:hAnsi="Times New Roman" w:cs="Times New Roman"/>
          <w:sz w:val="24"/>
          <w:szCs w:val="24"/>
          <w:highlight w:val="white"/>
          <w:lang w:val="en-AU"/>
        </w:rPr>
        <w:t xml:space="preserve">, A., and Poole, J. </w:t>
      </w:r>
      <w:r>
        <w:rPr>
          <w:rFonts w:ascii="Times New Roman" w:eastAsia="Times New Roman" w:hAnsi="Times New Roman" w:cs="Times New Roman"/>
          <w:sz w:val="24"/>
          <w:szCs w:val="24"/>
          <w:highlight w:val="white"/>
          <w:lang w:val="en-AU"/>
        </w:rPr>
        <w:t>,</w:t>
      </w:r>
      <w:r w:rsidRPr="008B63C7">
        <w:rPr>
          <w:rFonts w:ascii="Times New Roman" w:eastAsia="Times New Roman" w:hAnsi="Times New Roman" w:cs="Times New Roman"/>
          <w:sz w:val="24"/>
          <w:szCs w:val="24"/>
          <w:highlight w:val="white"/>
          <w:lang w:val="en-AU"/>
        </w:rPr>
        <w:t xml:space="preserve">2018. Recession, changed circumstances, and renegotiations: the inadequacy of principle in English law. </w:t>
      </w:r>
      <w:r w:rsidRPr="008B63C7">
        <w:rPr>
          <w:rFonts w:ascii="Times New Roman" w:eastAsia="Times New Roman" w:hAnsi="Times New Roman" w:cs="Times New Roman"/>
          <w:i/>
          <w:sz w:val="24"/>
          <w:szCs w:val="24"/>
          <w:highlight w:val="white"/>
          <w:lang w:val="en-AU"/>
        </w:rPr>
        <w:t>Journal of Business Law</w:t>
      </w:r>
      <w:r w:rsidRPr="008B63C7">
        <w:rPr>
          <w:rFonts w:ascii="Times New Roman" w:eastAsia="Times New Roman" w:hAnsi="Times New Roman" w:cs="Times New Roman"/>
          <w:sz w:val="24"/>
          <w:szCs w:val="24"/>
          <w:highlight w:val="white"/>
          <w:lang w:val="en-AU"/>
        </w:rPr>
        <w:t xml:space="preserve">, </w:t>
      </w:r>
      <w:r w:rsidRPr="008B63C7">
        <w:rPr>
          <w:rFonts w:ascii="Times New Roman" w:eastAsia="Times New Roman" w:hAnsi="Times New Roman" w:cs="Times New Roman"/>
          <w:i/>
          <w:sz w:val="24"/>
          <w:szCs w:val="24"/>
          <w:highlight w:val="white"/>
          <w:lang w:val="en-AU"/>
        </w:rPr>
        <w:t>2018</w:t>
      </w:r>
      <w:r w:rsidRPr="008B63C7">
        <w:rPr>
          <w:rFonts w:ascii="Times New Roman" w:eastAsia="Times New Roman" w:hAnsi="Times New Roman" w:cs="Times New Roman"/>
          <w:sz w:val="24"/>
          <w:szCs w:val="24"/>
          <w:highlight w:val="white"/>
          <w:lang w:val="en-AU"/>
        </w:rPr>
        <w:t>(2), pp.101-121.</w:t>
      </w:r>
    </w:p>
    <w:sectPr w:rsidR="00C733CC" w:rsidRPr="008B63C7" w:rsidSect="00C60200">
      <w:footerReference w:type="default" r:id="rId7"/>
      <w:pgSz w:w="12240" w:h="15840" w:code="1"/>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4C5EE" w14:textId="77777777" w:rsidR="00E1176B" w:rsidRDefault="00E1176B" w:rsidP="006C0586">
      <w:pPr>
        <w:spacing w:line="240" w:lineRule="auto"/>
      </w:pPr>
      <w:r>
        <w:separator/>
      </w:r>
    </w:p>
  </w:endnote>
  <w:endnote w:type="continuationSeparator" w:id="0">
    <w:p w14:paraId="1FE870C0" w14:textId="77777777" w:rsidR="00E1176B" w:rsidRDefault="00E1176B" w:rsidP="006C05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5917838"/>
      <w:docPartObj>
        <w:docPartGallery w:val="Page Numbers (Bottom of Page)"/>
        <w:docPartUnique/>
      </w:docPartObj>
    </w:sdtPr>
    <w:sdtEndPr>
      <w:rPr>
        <w:noProof/>
      </w:rPr>
    </w:sdtEndPr>
    <w:sdtContent>
      <w:p w14:paraId="7D32A929" w14:textId="77777777" w:rsidR="006C0586" w:rsidRDefault="005E43CB" w:rsidP="007948B0">
        <w:pPr>
          <w:pStyle w:val="Footer"/>
          <w:spacing w:line="480" w:lineRule="auto"/>
          <w:jc w:val="right"/>
        </w:pPr>
        <w:r w:rsidRPr="007948B0">
          <w:rPr>
            <w:rFonts w:ascii="Times New Roman" w:hAnsi="Times New Roman" w:cs="Times New Roman"/>
          </w:rPr>
          <w:fldChar w:fldCharType="begin"/>
        </w:r>
        <w:r w:rsidR="006C0586" w:rsidRPr="007948B0">
          <w:rPr>
            <w:rFonts w:ascii="Times New Roman" w:hAnsi="Times New Roman" w:cs="Times New Roman"/>
          </w:rPr>
          <w:instrText xml:space="preserve"> PAGE   \* MERGEFORMAT </w:instrText>
        </w:r>
        <w:r w:rsidRPr="007948B0">
          <w:rPr>
            <w:rFonts w:ascii="Times New Roman" w:hAnsi="Times New Roman" w:cs="Times New Roman"/>
          </w:rPr>
          <w:fldChar w:fldCharType="separate"/>
        </w:r>
        <w:r w:rsidR="00EA26B2">
          <w:rPr>
            <w:rFonts w:ascii="Times New Roman" w:hAnsi="Times New Roman" w:cs="Times New Roman"/>
            <w:noProof/>
          </w:rPr>
          <w:t>9</w:t>
        </w:r>
        <w:r w:rsidRPr="007948B0">
          <w:rPr>
            <w:rFonts w:ascii="Times New Roman" w:hAnsi="Times New Roman" w:cs="Times New Roman"/>
            <w:noProof/>
          </w:rPr>
          <w:fldChar w:fldCharType="end"/>
        </w:r>
      </w:p>
    </w:sdtContent>
  </w:sdt>
  <w:p w14:paraId="1B9087A0" w14:textId="77777777" w:rsidR="006C0586" w:rsidRDefault="006C0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CC568" w14:textId="77777777" w:rsidR="00E1176B" w:rsidRDefault="00E1176B" w:rsidP="006C0586">
      <w:pPr>
        <w:spacing w:line="240" w:lineRule="auto"/>
      </w:pPr>
      <w:r>
        <w:separator/>
      </w:r>
    </w:p>
  </w:footnote>
  <w:footnote w:type="continuationSeparator" w:id="0">
    <w:p w14:paraId="577641C5" w14:textId="77777777" w:rsidR="00E1176B" w:rsidRDefault="00E1176B" w:rsidP="006C058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0E71"/>
    <w:rsid w:val="00060E71"/>
    <w:rsid w:val="00064B58"/>
    <w:rsid w:val="000A0A3B"/>
    <w:rsid w:val="000D07C3"/>
    <w:rsid w:val="000F70C9"/>
    <w:rsid w:val="001316EF"/>
    <w:rsid w:val="00145B0D"/>
    <w:rsid w:val="0016719A"/>
    <w:rsid w:val="00170174"/>
    <w:rsid w:val="00175B5B"/>
    <w:rsid w:val="001C7584"/>
    <w:rsid w:val="001C7A9B"/>
    <w:rsid w:val="002267A1"/>
    <w:rsid w:val="00260CC2"/>
    <w:rsid w:val="002A4B3E"/>
    <w:rsid w:val="002D317B"/>
    <w:rsid w:val="002E1F4A"/>
    <w:rsid w:val="00324ACC"/>
    <w:rsid w:val="00324EBC"/>
    <w:rsid w:val="00354F0A"/>
    <w:rsid w:val="00360227"/>
    <w:rsid w:val="003A3294"/>
    <w:rsid w:val="003B32CA"/>
    <w:rsid w:val="003E7909"/>
    <w:rsid w:val="003F17FD"/>
    <w:rsid w:val="004560F4"/>
    <w:rsid w:val="00493EA9"/>
    <w:rsid w:val="004B3800"/>
    <w:rsid w:val="004B7178"/>
    <w:rsid w:val="004C73CD"/>
    <w:rsid w:val="004D3F2F"/>
    <w:rsid w:val="004E77A3"/>
    <w:rsid w:val="0056051F"/>
    <w:rsid w:val="00562C6E"/>
    <w:rsid w:val="005A56F2"/>
    <w:rsid w:val="005E43CB"/>
    <w:rsid w:val="00614CFD"/>
    <w:rsid w:val="006207FD"/>
    <w:rsid w:val="006A3EA5"/>
    <w:rsid w:val="006A6637"/>
    <w:rsid w:val="006C044B"/>
    <w:rsid w:val="006C0586"/>
    <w:rsid w:val="006F71D3"/>
    <w:rsid w:val="00702CE6"/>
    <w:rsid w:val="00751FDD"/>
    <w:rsid w:val="00753462"/>
    <w:rsid w:val="00775E14"/>
    <w:rsid w:val="007948B0"/>
    <w:rsid w:val="007C219D"/>
    <w:rsid w:val="007D5369"/>
    <w:rsid w:val="007E210B"/>
    <w:rsid w:val="008039BE"/>
    <w:rsid w:val="0081211A"/>
    <w:rsid w:val="00812B40"/>
    <w:rsid w:val="00825076"/>
    <w:rsid w:val="008B63C7"/>
    <w:rsid w:val="008F19B8"/>
    <w:rsid w:val="0090282C"/>
    <w:rsid w:val="00927870"/>
    <w:rsid w:val="009306EB"/>
    <w:rsid w:val="009476A8"/>
    <w:rsid w:val="00957C89"/>
    <w:rsid w:val="00974440"/>
    <w:rsid w:val="009A1ABB"/>
    <w:rsid w:val="009B09CC"/>
    <w:rsid w:val="00A755E1"/>
    <w:rsid w:val="00A97DF2"/>
    <w:rsid w:val="00AA5965"/>
    <w:rsid w:val="00B13A80"/>
    <w:rsid w:val="00B4454F"/>
    <w:rsid w:val="00B60D74"/>
    <w:rsid w:val="00B62337"/>
    <w:rsid w:val="00B83145"/>
    <w:rsid w:val="00B84B63"/>
    <w:rsid w:val="00BB7424"/>
    <w:rsid w:val="00BC20D6"/>
    <w:rsid w:val="00BD132C"/>
    <w:rsid w:val="00C321E4"/>
    <w:rsid w:val="00C448FD"/>
    <w:rsid w:val="00C51717"/>
    <w:rsid w:val="00C60200"/>
    <w:rsid w:val="00C733CC"/>
    <w:rsid w:val="00C9124E"/>
    <w:rsid w:val="00CE1677"/>
    <w:rsid w:val="00D16FC6"/>
    <w:rsid w:val="00DA044C"/>
    <w:rsid w:val="00DD259C"/>
    <w:rsid w:val="00DD582F"/>
    <w:rsid w:val="00E00FF7"/>
    <w:rsid w:val="00E04B6E"/>
    <w:rsid w:val="00E1176B"/>
    <w:rsid w:val="00E158FF"/>
    <w:rsid w:val="00E67946"/>
    <w:rsid w:val="00E92234"/>
    <w:rsid w:val="00E97D9D"/>
    <w:rsid w:val="00EA26B2"/>
    <w:rsid w:val="00EB0D76"/>
    <w:rsid w:val="00ED67CF"/>
    <w:rsid w:val="00F06BBC"/>
    <w:rsid w:val="00F12E88"/>
    <w:rsid w:val="00F36DAF"/>
    <w:rsid w:val="00F81DDE"/>
    <w:rsid w:val="00FD3B8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1F96A"/>
  <w15:docId w15:val="{7FF618CC-069D-44D5-B7BD-D06561605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97DF2"/>
  </w:style>
  <w:style w:type="paragraph" w:styleId="Heading1">
    <w:name w:val="heading 1"/>
    <w:basedOn w:val="Normal"/>
    <w:next w:val="Normal"/>
    <w:rsid w:val="003F17FD"/>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A97DF2"/>
    <w:pPr>
      <w:keepNext/>
      <w:keepLines/>
      <w:spacing w:before="360" w:after="120"/>
      <w:outlineLvl w:val="1"/>
    </w:pPr>
    <w:rPr>
      <w:sz w:val="32"/>
      <w:szCs w:val="32"/>
    </w:rPr>
  </w:style>
  <w:style w:type="paragraph" w:styleId="Heading3">
    <w:name w:val="heading 3"/>
    <w:basedOn w:val="Normal"/>
    <w:next w:val="Normal"/>
    <w:rsid w:val="00A97DF2"/>
    <w:pPr>
      <w:keepNext/>
      <w:keepLines/>
      <w:spacing w:before="320" w:after="80"/>
      <w:outlineLvl w:val="2"/>
    </w:pPr>
    <w:rPr>
      <w:color w:val="434343"/>
      <w:sz w:val="28"/>
      <w:szCs w:val="28"/>
    </w:rPr>
  </w:style>
  <w:style w:type="paragraph" w:styleId="Heading4">
    <w:name w:val="heading 4"/>
    <w:basedOn w:val="Normal"/>
    <w:next w:val="Normal"/>
    <w:rsid w:val="00A97DF2"/>
    <w:pPr>
      <w:keepNext/>
      <w:keepLines/>
      <w:spacing w:before="280" w:after="80"/>
      <w:outlineLvl w:val="3"/>
    </w:pPr>
    <w:rPr>
      <w:color w:val="666666"/>
      <w:sz w:val="24"/>
      <w:szCs w:val="24"/>
    </w:rPr>
  </w:style>
  <w:style w:type="paragraph" w:styleId="Heading5">
    <w:name w:val="heading 5"/>
    <w:basedOn w:val="Normal"/>
    <w:next w:val="Normal"/>
    <w:rsid w:val="00A97DF2"/>
    <w:pPr>
      <w:keepNext/>
      <w:keepLines/>
      <w:spacing w:before="240" w:after="80"/>
      <w:outlineLvl w:val="4"/>
    </w:pPr>
    <w:rPr>
      <w:color w:val="666666"/>
    </w:rPr>
  </w:style>
  <w:style w:type="paragraph" w:styleId="Heading6">
    <w:name w:val="heading 6"/>
    <w:basedOn w:val="Normal"/>
    <w:next w:val="Normal"/>
    <w:rsid w:val="00A97DF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97DF2"/>
    <w:pPr>
      <w:keepNext/>
      <w:keepLines/>
      <w:spacing w:after="60"/>
    </w:pPr>
    <w:rPr>
      <w:sz w:val="52"/>
      <w:szCs w:val="52"/>
    </w:rPr>
  </w:style>
  <w:style w:type="paragraph" w:styleId="Subtitle">
    <w:name w:val="Subtitle"/>
    <w:basedOn w:val="Normal"/>
    <w:next w:val="Normal"/>
    <w:rsid w:val="00A97DF2"/>
    <w:pPr>
      <w:keepNext/>
      <w:keepLines/>
      <w:spacing w:after="320"/>
    </w:pPr>
    <w:rPr>
      <w:color w:val="666666"/>
      <w:sz w:val="30"/>
      <w:szCs w:val="30"/>
    </w:rPr>
  </w:style>
  <w:style w:type="paragraph" w:styleId="Header">
    <w:name w:val="header"/>
    <w:basedOn w:val="Normal"/>
    <w:link w:val="HeaderChar"/>
    <w:uiPriority w:val="99"/>
    <w:unhideWhenUsed/>
    <w:rsid w:val="006C0586"/>
    <w:pPr>
      <w:tabs>
        <w:tab w:val="center" w:pos="4513"/>
        <w:tab w:val="right" w:pos="9026"/>
      </w:tabs>
      <w:spacing w:line="240" w:lineRule="auto"/>
    </w:pPr>
  </w:style>
  <w:style w:type="character" w:customStyle="1" w:styleId="HeaderChar">
    <w:name w:val="Header Char"/>
    <w:basedOn w:val="DefaultParagraphFont"/>
    <w:link w:val="Header"/>
    <w:uiPriority w:val="99"/>
    <w:rsid w:val="006C0586"/>
  </w:style>
  <w:style w:type="paragraph" w:styleId="Footer">
    <w:name w:val="footer"/>
    <w:basedOn w:val="Normal"/>
    <w:link w:val="FooterChar"/>
    <w:uiPriority w:val="99"/>
    <w:unhideWhenUsed/>
    <w:rsid w:val="006C0586"/>
    <w:pPr>
      <w:tabs>
        <w:tab w:val="center" w:pos="4513"/>
        <w:tab w:val="right" w:pos="9026"/>
      </w:tabs>
      <w:spacing w:line="240" w:lineRule="auto"/>
    </w:pPr>
  </w:style>
  <w:style w:type="character" w:customStyle="1" w:styleId="FooterChar">
    <w:name w:val="Footer Char"/>
    <w:basedOn w:val="DefaultParagraphFont"/>
    <w:link w:val="Footer"/>
    <w:uiPriority w:val="99"/>
    <w:rsid w:val="006C0586"/>
  </w:style>
  <w:style w:type="paragraph" w:styleId="TOCHeading">
    <w:name w:val="TOC Heading"/>
    <w:basedOn w:val="Heading1"/>
    <w:next w:val="Normal"/>
    <w:uiPriority w:val="39"/>
    <w:unhideWhenUsed/>
    <w:qFormat/>
    <w:rsid w:val="004B717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B7178"/>
    <w:pPr>
      <w:spacing w:after="100"/>
    </w:pPr>
  </w:style>
  <w:style w:type="character" w:styleId="Hyperlink">
    <w:name w:val="Hyperlink"/>
    <w:basedOn w:val="DefaultParagraphFont"/>
    <w:uiPriority w:val="99"/>
    <w:unhideWhenUsed/>
    <w:rsid w:val="004B7178"/>
    <w:rPr>
      <w:color w:val="0000FF" w:themeColor="hyperlink"/>
      <w:u w:val="single"/>
    </w:rPr>
  </w:style>
  <w:style w:type="paragraph" w:styleId="BalloonText">
    <w:name w:val="Balloon Text"/>
    <w:basedOn w:val="Normal"/>
    <w:link w:val="BalloonTextChar"/>
    <w:uiPriority w:val="99"/>
    <w:semiHidden/>
    <w:unhideWhenUsed/>
    <w:rsid w:val="00BD13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132C"/>
    <w:rPr>
      <w:rFonts w:ascii="Tahoma" w:hAnsi="Tahoma" w:cs="Tahoma"/>
      <w:sz w:val="16"/>
      <w:szCs w:val="16"/>
    </w:rPr>
  </w:style>
  <w:style w:type="paragraph" w:customStyle="1" w:styleId="Normal1">
    <w:name w:val="Normal1"/>
    <w:rsid w:val="007C21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C223D0-6447-4BBD-AB84-5858A678D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1887</Words>
  <Characters>10761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Fattush</dc:creator>
  <cp:lastModifiedBy>Faisal Shamsdin</cp:lastModifiedBy>
  <cp:revision>2</cp:revision>
  <dcterms:created xsi:type="dcterms:W3CDTF">2022-03-04T23:46:00Z</dcterms:created>
  <dcterms:modified xsi:type="dcterms:W3CDTF">2022-03-04T23:46:00Z</dcterms:modified>
</cp:coreProperties>
</file>