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55B1" w:rsidRPr="00A43012" w:rsidRDefault="00135E2A" w:rsidP="00135E2A">
      <w:pPr>
        <w:spacing w:line="480" w:lineRule="auto"/>
        <w:rPr>
          <w:rFonts w:ascii="Times New Roman" w:hAnsi="Times New Roman" w:cs="Times New Roman"/>
          <w:b/>
          <w:sz w:val="24"/>
          <w:szCs w:val="24"/>
        </w:rPr>
      </w:pPr>
      <w:proofErr w:type="gramStart"/>
      <w:r w:rsidRPr="00A43012">
        <w:rPr>
          <w:rFonts w:ascii="Times New Roman" w:hAnsi="Times New Roman" w:cs="Times New Roman"/>
          <w:b/>
          <w:sz w:val="24"/>
          <w:szCs w:val="24"/>
        </w:rPr>
        <w:t>Scholarly reply.</w:t>
      </w:r>
      <w:proofErr w:type="gramEnd"/>
      <w:r w:rsidRPr="00A43012">
        <w:rPr>
          <w:rFonts w:ascii="Times New Roman" w:hAnsi="Times New Roman" w:cs="Times New Roman"/>
          <w:b/>
          <w:sz w:val="24"/>
          <w:szCs w:val="24"/>
        </w:rPr>
        <w:t xml:space="preserve"> </w:t>
      </w:r>
      <w:proofErr w:type="gramStart"/>
      <w:r w:rsidRPr="00A43012">
        <w:rPr>
          <w:rFonts w:ascii="Times New Roman" w:hAnsi="Times New Roman" w:cs="Times New Roman"/>
          <w:b/>
          <w:sz w:val="24"/>
          <w:szCs w:val="24"/>
        </w:rPr>
        <w:t>‘Excavating Women’s homoeroticism in Ancient Greece.</w:t>
      </w:r>
      <w:proofErr w:type="gramEnd"/>
      <w:r w:rsidRPr="00A43012">
        <w:rPr>
          <w:rFonts w:ascii="Times New Roman" w:hAnsi="Times New Roman" w:cs="Times New Roman"/>
          <w:b/>
          <w:sz w:val="24"/>
          <w:szCs w:val="24"/>
        </w:rPr>
        <w:t xml:space="preserve"> The evidence from Attic vase painting – Nancy </w:t>
      </w:r>
      <w:proofErr w:type="spellStart"/>
      <w:r w:rsidRPr="00A43012">
        <w:rPr>
          <w:rFonts w:ascii="Times New Roman" w:hAnsi="Times New Roman" w:cs="Times New Roman"/>
          <w:b/>
          <w:sz w:val="24"/>
          <w:szCs w:val="24"/>
        </w:rPr>
        <w:t>Sorkin</w:t>
      </w:r>
      <w:proofErr w:type="spellEnd"/>
      <w:r w:rsidRPr="00A43012">
        <w:rPr>
          <w:rFonts w:ascii="Times New Roman" w:hAnsi="Times New Roman" w:cs="Times New Roman"/>
          <w:b/>
          <w:sz w:val="24"/>
          <w:szCs w:val="24"/>
        </w:rPr>
        <w:t xml:space="preserve"> Rabinow</w:t>
      </w:r>
      <w:r w:rsidR="00BE7787" w:rsidRPr="00A43012">
        <w:rPr>
          <w:rFonts w:ascii="Times New Roman" w:hAnsi="Times New Roman" w:cs="Times New Roman"/>
          <w:b/>
          <w:sz w:val="24"/>
          <w:szCs w:val="24"/>
        </w:rPr>
        <w:t>i</w:t>
      </w:r>
      <w:r w:rsidRPr="00A43012">
        <w:rPr>
          <w:rFonts w:ascii="Times New Roman" w:hAnsi="Times New Roman" w:cs="Times New Roman"/>
          <w:b/>
          <w:sz w:val="24"/>
          <w:szCs w:val="24"/>
        </w:rPr>
        <w:t>tz</w:t>
      </w:r>
    </w:p>
    <w:p w:rsidR="005650BD" w:rsidRPr="00A43012" w:rsidRDefault="005650BD"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Rabinowitz is to be congratulated for attempting to unlock possible evidence of female homoerotic relationships in Ancient Greece through the study of Attic vases. She admits that her conclusions are speculative and in this reply it will be demonstrated that her attempt to reclaim the past is probably impossible from the sources she investigates.</w:t>
      </w:r>
    </w:p>
    <w:p w:rsidR="00693D85" w:rsidRPr="00A43012" w:rsidRDefault="00693D85"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Rabinowitz has concentrated on one source of evidence, Attic vases. In adopting this approach she has failed to offer any other collaborative evidence to support her thesis. Whilst she mentions poetry in passing in relation to Sappho she is unable to offer any meaningful evidence, literary or otherwise to support her claims. In this she falls foul of the claims made by James and Dillon in their introduction</w:t>
      </w:r>
    </w:p>
    <w:p w:rsidR="00693D85" w:rsidRPr="00A43012" w:rsidRDefault="00693D85" w:rsidP="00A43012">
      <w:pPr>
        <w:spacing w:line="480" w:lineRule="auto"/>
        <w:ind w:left="397" w:right="397"/>
        <w:rPr>
          <w:rFonts w:ascii="Times New Roman" w:hAnsi="Times New Roman" w:cs="Times New Roman"/>
          <w:sz w:val="24"/>
          <w:szCs w:val="24"/>
        </w:rPr>
      </w:pPr>
      <w:r w:rsidRPr="00A43012">
        <w:rPr>
          <w:rFonts w:ascii="Times New Roman" w:hAnsi="Times New Roman" w:cs="Times New Roman"/>
          <w:sz w:val="24"/>
          <w:szCs w:val="24"/>
        </w:rPr>
        <w:t>“We present here an integrated, interdisciplinary focus that brings material and visual evidence together with textual evidence, and applies articulated methodologies. We do so in the firm belief that to study women in antiquity on the basis of exclusively or even primarily one form of evidence-textual or material-is more than merely impoverished. It is inadequate.”</w:t>
      </w:r>
      <w:r w:rsidRPr="00A43012">
        <w:rPr>
          <w:rStyle w:val="FootnoteReference"/>
          <w:rFonts w:ascii="Times New Roman" w:hAnsi="Times New Roman" w:cs="Times New Roman"/>
          <w:sz w:val="24"/>
          <w:szCs w:val="24"/>
        </w:rPr>
        <w:footnoteReference w:id="1"/>
      </w:r>
    </w:p>
    <w:p w:rsidR="009C39BF" w:rsidRPr="00A43012" w:rsidRDefault="001C4153"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We need to situate Rabinowitz’s investig</w:t>
      </w:r>
      <w:r w:rsidR="00667966" w:rsidRPr="00A43012">
        <w:rPr>
          <w:rFonts w:ascii="Times New Roman" w:hAnsi="Times New Roman" w:cs="Times New Roman"/>
          <w:sz w:val="24"/>
          <w:szCs w:val="24"/>
        </w:rPr>
        <w:t>ation in the context of</w:t>
      </w:r>
      <w:r w:rsidRPr="00A43012">
        <w:rPr>
          <w:rFonts w:ascii="Times New Roman" w:hAnsi="Times New Roman" w:cs="Times New Roman"/>
          <w:sz w:val="24"/>
          <w:szCs w:val="24"/>
        </w:rPr>
        <w:t xml:space="preserve"> the presentation of women in Ancient </w:t>
      </w:r>
      <w:proofErr w:type="spellStart"/>
      <w:r w:rsidRPr="00A43012">
        <w:rPr>
          <w:rFonts w:ascii="Times New Roman" w:hAnsi="Times New Roman" w:cs="Times New Roman"/>
          <w:sz w:val="24"/>
          <w:szCs w:val="24"/>
        </w:rPr>
        <w:t>Greece.</w:t>
      </w:r>
      <w:r w:rsidR="009C39BF" w:rsidRPr="00A43012">
        <w:rPr>
          <w:rFonts w:ascii="Times New Roman" w:hAnsi="Times New Roman" w:cs="Times New Roman"/>
          <w:sz w:val="24"/>
          <w:szCs w:val="24"/>
        </w:rPr>
        <w:t>The</w:t>
      </w:r>
      <w:proofErr w:type="spellEnd"/>
      <w:r w:rsidR="009C39BF" w:rsidRPr="00A43012">
        <w:rPr>
          <w:rFonts w:ascii="Times New Roman" w:hAnsi="Times New Roman" w:cs="Times New Roman"/>
          <w:sz w:val="24"/>
          <w:szCs w:val="24"/>
        </w:rPr>
        <w:t xml:space="preserve"> prevailing orthodoxy regarding the depiction of women in Greek art is summarised by </w:t>
      </w:r>
      <w:proofErr w:type="spellStart"/>
      <w:r w:rsidR="009C39BF" w:rsidRPr="00A43012">
        <w:rPr>
          <w:rFonts w:ascii="Times New Roman" w:hAnsi="Times New Roman" w:cs="Times New Roman"/>
          <w:sz w:val="24"/>
          <w:szCs w:val="24"/>
        </w:rPr>
        <w:t>Bonfante</w:t>
      </w:r>
      <w:proofErr w:type="spellEnd"/>
      <w:r w:rsidR="009C39BF" w:rsidRPr="00A43012">
        <w:rPr>
          <w:rStyle w:val="FootnoteReference"/>
          <w:rFonts w:ascii="Times New Roman" w:hAnsi="Times New Roman" w:cs="Times New Roman"/>
          <w:sz w:val="24"/>
          <w:szCs w:val="24"/>
        </w:rPr>
        <w:footnoteReference w:id="2"/>
      </w:r>
    </w:p>
    <w:p w:rsidR="009C39BF" w:rsidRPr="00A43012" w:rsidRDefault="009C39BF" w:rsidP="00A43012">
      <w:pPr>
        <w:spacing w:line="480" w:lineRule="auto"/>
        <w:ind w:left="397" w:right="397"/>
        <w:rPr>
          <w:rFonts w:ascii="Times New Roman" w:hAnsi="Times New Roman" w:cs="Times New Roman"/>
          <w:sz w:val="24"/>
          <w:szCs w:val="24"/>
        </w:rPr>
      </w:pPr>
      <w:r w:rsidRPr="00A43012">
        <w:rPr>
          <w:rFonts w:ascii="Times New Roman" w:hAnsi="Times New Roman" w:cs="Times New Roman"/>
          <w:sz w:val="24"/>
          <w:szCs w:val="24"/>
        </w:rPr>
        <w:t xml:space="preserve">“In art the female nude appears briefly, in the early </w:t>
      </w:r>
      <w:proofErr w:type="gramStart"/>
      <w:r w:rsidRPr="00A43012">
        <w:rPr>
          <w:rFonts w:ascii="Times New Roman" w:hAnsi="Times New Roman" w:cs="Times New Roman"/>
          <w:sz w:val="24"/>
          <w:szCs w:val="24"/>
        </w:rPr>
        <w:t>Archaic</w:t>
      </w:r>
      <w:proofErr w:type="gramEnd"/>
      <w:r w:rsidRPr="00A43012">
        <w:rPr>
          <w:rFonts w:ascii="Times New Roman" w:hAnsi="Times New Roman" w:cs="Times New Roman"/>
          <w:sz w:val="24"/>
          <w:szCs w:val="24"/>
        </w:rPr>
        <w:t xml:space="preserve"> period, as a religious fertility motif, following the near Eastern model of the naked mother goddess. After </w:t>
      </w:r>
      <w:r w:rsidRPr="00A43012">
        <w:rPr>
          <w:rFonts w:ascii="Times New Roman" w:hAnsi="Times New Roman" w:cs="Times New Roman"/>
          <w:sz w:val="24"/>
          <w:szCs w:val="24"/>
        </w:rPr>
        <w:lastRenderedPageBreak/>
        <w:t>these early figures the image was used for pathetic appeal, for magic or erotic appeal, or for scenes from the life of a courtesan.”</w:t>
      </w:r>
    </w:p>
    <w:p w:rsidR="009C39BF" w:rsidRPr="00A43012" w:rsidRDefault="00667966"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And adds</w:t>
      </w:r>
    </w:p>
    <w:p w:rsidR="009C39BF" w:rsidRPr="00A43012" w:rsidRDefault="009C39BF" w:rsidP="00A43012">
      <w:pPr>
        <w:spacing w:line="480" w:lineRule="auto"/>
        <w:ind w:left="397" w:right="397"/>
        <w:rPr>
          <w:rFonts w:ascii="Times New Roman" w:hAnsi="Times New Roman" w:cs="Times New Roman"/>
          <w:sz w:val="24"/>
          <w:szCs w:val="24"/>
        </w:rPr>
      </w:pPr>
      <w:r w:rsidRPr="00A43012">
        <w:rPr>
          <w:rFonts w:ascii="Times New Roman" w:hAnsi="Times New Roman" w:cs="Times New Roman"/>
          <w:sz w:val="24"/>
          <w:szCs w:val="24"/>
        </w:rPr>
        <w:t>“In Classical Greek art, particularly in Attic vase painting, naked women are usually prostitutes. Respectable women did not go out much, they did not attend male symposia, and they certainly did not undress in public. They were in fact protected from the sun, from men’s eyes and from the evil eye by dresses and mantles that covered them from head to foot.”</w:t>
      </w:r>
      <w:r w:rsidRPr="00A43012">
        <w:rPr>
          <w:rStyle w:val="FootnoteReference"/>
          <w:rFonts w:ascii="Times New Roman" w:hAnsi="Times New Roman" w:cs="Times New Roman"/>
          <w:sz w:val="24"/>
          <w:szCs w:val="24"/>
        </w:rPr>
        <w:footnoteReference w:id="3"/>
      </w:r>
    </w:p>
    <w:p w:rsidR="001C4153" w:rsidRPr="00A43012" w:rsidRDefault="001C4153"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 xml:space="preserve">Jenkins reviewing </w:t>
      </w:r>
      <w:proofErr w:type="spellStart"/>
      <w:r w:rsidRPr="00A43012">
        <w:rPr>
          <w:rFonts w:ascii="Times New Roman" w:hAnsi="Times New Roman" w:cs="Times New Roman"/>
          <w:sz w:val="24"/>
          <w:szCs w:val="24"/>
        </w:rPr>
        <w:t>Rabinowitz’s</w:t>
      </w:r>
      <w:proofErr w:type="spellEnd"/>
      <w:r w:rsidRPr="00A43012">
        <w:rPr>
          <w:rFonts w:ascii="Times New Roman" w:hAnsi="Times New Roman" w:cs="Times New Roman"/>
          <w:sz w:val="24"/>
          <w:szCs w:val="24"/>
        </w:rPr>
        <w:t xml:space="preserve"> work </w:t>
      </w:r>
      <w:proofErr w:type="spellStart"/>
      <w:r w:rsidRPr="00A43012">
        <w:rPr>
          <w:rFonts w:ascii="Times New Roman" w:hAnsi="Times New Roman" w:cs="Times New Roman"/>
          <w:sz w:val="24"/>
          <w:szCs w:val="24"/>
        </w:rPr>
        <w:t>suggests“Artistic</w:t>
      </w:r>
      <w:proofErr w:type="spellEnd"/>
      <w:r w:rsidRPr="00A43012">
        <w:rPr>
          <w:rFonts w:ascii="Times New Roman" w:hAnsi="Times New Roman" w:cs="Times New Roman"/>
          <w:sz w:val="24"/>
          <w:szCs w:val="24"/>
        </w:rPr>
        <w:t xml:space="preserve"> interpretation is even more treacherous because of the mediation of women’s relationships through the ideologically laden workshops of Athenian male artisans.”</w:t>
      </w:r>
      <w:r w:rsidRPr="00A43012">
        <w:rPr>
          <w:rStyle w:val="FootnoteReference"/>
          <w:rFonts w:ascii="Times New Roman" w:hAnsi="Times New Roman" w:cs="Times New Roman"/>
          <w:sz w:val="24"/>
          <w:szCs w:val="24"/>
        </w:rPr>
        <w:footnoteReference w:id="4"/>
      </w:r>
    </w:p>
    <w:p w:rsidR="00B04B96" w:rsidRPr="00A43012" w:rsidRDefault="00177F24"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 xml:space="preserve">Before looking at the specific evidence in the form of vases that Rabinowitz </w:t>
      </w:r>
      <w:r w:rsidR="00667966" w:rsidRPr="00A43012">
        <w:rPr>
          <w:rFonts w:ascii="Times New Roman" w:hAnsi="Times New Roman" w:cs="Times New Roman"/>
          <w:sz w:val="24"/>
          <w:szCs w:val="24"/>
        </w:rPr>
        <w:t>cites it</w:t>
      </w:r>
      <w:r w:rsidRPr="00A43012">
        <w:rPr>
          <w:rFonts w:ascii="Times New Roman" w:hAnsi="Times New Roman" w:cs="Times New Roman"/>
          <w:sz w:val="24"/>
          <w:szCs w:val="24"/>
        </w:rPr>
        <w:t xml:space="preserve"> is worthwhile looking at whether scenes on vases were representati</w:t>
      </w:r>
      <w:r w:rsidR="00667966" w:rsidRPr="00A43012">
        <w:rPr>
          <w:rFonts w:ascii="Times New Roman" w:hAnsi="Times New Roman" w:cs="Times New Roman"/>
          <w:sz w:val="24"/>
          <w:szCs w:val="24"/>
        </w:rPr>
        <w:t>ve of Greek life. Regarding women this is addressed</w:t>
      </w:r>
      <w:r w:rsidRPr="00A43012">
        <w:rPr>
          <w:rFonts w:ascii="Times New Roman" w:hAnsi="Times New Roman" w:cs="Times New Roman"/>
          <w:sz w:val="24"/>
          <w:szCs w:val="24"/>
        </w:rPr>
        <w:t xml:space="preserve"> by </w:t>
      </w:r>
      <w:proofErr w:type="spellStart"/>
      <w:r w:rsidRPr="00A43012">
        <w:rPr>
          <w:rFonts w:ascii="Times New Roman" w:hAnsi="Times New Roman" w:cs="Times New Roman"/>
          <w:sz w:val="24"/>
          <w:szCs w:val="24"/>
        </w:rPr>
        <w:t>Llewllyn</w:t>
      </w:r>
      <w:proofErr w:type="spellEnd"/>
      <w:r w:rsidRPr="00A43012">
        <w:rPr>
          <w:rFonts w:ascii="Times New Roman" w:hAnsi="Times New Roman" w:cs="Times New Roman"/>
          <w:sz w:val="24"/>
          <w:szCs w:val="24"/>
        </w:rPr>
        <w:t xml:space="preserve"> -Jones</w:t>
      </w:r>
      <w:r w:rsidRPr="00A43012">
        <w:rPr>
          <w:rStyle w:val="FootnoteReference"/>
          <w:rFonts w:ascii="Times New Roman" w:hAnsi="Times New Roman" w:cs="Times New Roman"/>
          <w:sz w:val="24"/>
          <w:szCs w:val="24"/>
        </w:rPr>
        <w:footnoteReference w:id="5"/>
      </w:r>
      <w:r w:rsidR="00667966" w:rsidRPr="00A43012">
        <w:rPr>
          <w:rFonts w:ascii="Times New Roman" w:hAnsi="Times New Roman" w:cs="Times New Roman"/>
          <w:sz w:val="24"/>
          <w:szCs w:val="24"/>
        </w:rPr>
        <w:t xml:space="preserve">. </w:t>
      </w:r>
      <w:r w:rsidRPr="00A43012">
        <w:rPr>
          <w:rFonts w:ascii="Times New Roman" w:hAnsi="Times New Roman" w:cs="Times New Roman"/>
          <w:sz w:val="24"/>
          <w:szCs w:val="24"/>
        </w:rPr>
        <w:t xml:space="preserve"> “The images found on Attic vases are still used by some historians as </w:t>
      </w:r>
      <w:r w:rsidR="006A55B1" w:rsidRPr="00A43012">
        <w:rPr>
          <w:rFonts w:ascii="Times New Roman" w:hAnsi="Times New Roman" w:cs="Times New Roman"/>
          <w:sz w:val="24"/>
          <w:szCs w:val="24"/>
        </w:rPr>
        <w:t>faithful,</w:t>
      </w:r>
      <w:r w:rsidRPr="00A43012">
        <w:rPr>
          <w:rFonts w:ascii="Times New Roman" w:hAnsi="Times New Roman" w:cs="Times New Roman"/>
          <w:sz w:val="24"/>
          <w:szCs w:val="24"/>
        </w:rPr>
        <w:t xml:space="preserve"> </w:t>
      </w:r>
      <w:r w:rsidR="00292F12" w:rsidRPr="00A43012">
        <w:rPr>
          <w:rFonts w:ascii="Times New Roman" w:hAnsi="Times New Roman" w:cs="Times New Roman"/>
          <w:sz w:val="24"/>
          <w:szCs w:val="24"/>
        </w:rPr>
        <w:t>almost photographic</w:t>
      </w:r>
      <w:r w:rsidRPr="00A43012">
        <w:rPr>
          <w:rFonts w:ascii="Times New Roman" w:hAnsi="Times New Roman" w:cs="Times New Roman"/>
          <w:sz w:val="24"/>
          <w:szCs w:val="24"/>
        </w:rPr>
        <w:t>, depictions of ancient life.”</w:t>
      </w:r>
      <w:r w:rsidRPr="00A43012">
        <w:rPr>
          <w:rStyle w:val="FootnoteReference"/>
          <w:rFonts w:ascii="Times New Roman" w:hAnsi="Times New Roman" w:cs="Times New Roman"/>
          <w:sz w:val="24"/>
          <w:szCs w:val="24"/>
        </w:rPr>
        <w:footnoteReference w:id="6"/>
      </w:r>
      <w:r w:rsidR="001C4153" w:rsidRPr="00A43012">
        <w:rPr>
          <w:rFonts w:ascii="Times New Roman" w:hAnsi="Times New Roman" w:cs="Times New Roman"/>
          <w:sz w:val="24"/>
          <w:szCs w:val="24"/>
        </w:rPr>
        <w:t xml:space="preserve"> He</w:t>
      </w:r>
      <w:r w:rsidR="006A55B1" w:rsidRPr="00A43012">
        <w:rPr>
          <w:rFonts w:ascii="Times New Roman" w:hAnsi="Times New Roman" w:cs="Times New Roman"/>
          <w:sz w:val="24"/>
          <w:szCs w:val="24"/>
        </w:rPr>
        <w:t xml:space="preserve"> suggests this is problematic as images on vases were created by men for a largely male audience “women in art were desirable, </w:t>
      </w:r>
      <w:r w:rsidR="00292F12" w:rsidRPr="00A43012">
        <w:rPr>
          <w:rFonts w:ascii="Times New Roman" w:hAnsi="Times New Roman" w:cs="Times New Roman"/>
          <w:sz w:val="24"/>
          <w:szCs w:val="24"/>
        </w:rPr>
        <w:t>beautiful</w:t>
      </w:r>
      <w:r w:rsidR="006A55B1" w:rsidRPr="00A43012">
        <w:rPr>
          <w:rFonts w:ascii="Times New Roman" w:hAnsi="Times New Roman" w:cs="Times New Roman"/>
          <w:sz w:val="24"/>
          <w:szCs w:val="24"/>
        </w:rPr>
        <w:t xml:space="preserve"> and sexualised objects of the male gaze and the dress of these women became an instrument in creating that ideal erotic image.”</w:t>
      </w:r>
      <w:r w:rsidR="006A55B1" w:rsidRPr="00A43012">
        <w:rPr>
          <w:rStyle w:val="FootnoteReference"/>
          <w:rFonts w:ascii="Times New Roman" w:hAnsi="Times New Roman" w:cs="Times New Roman"/>
          <w:sz w:val="24"/>
          <w:szCs w:val="24"/>
        </w:rPr>
        <w:footnoteReference w:id="7"/>
      </w:r>
      <w:r w:rsidR="00A97ABA" w:rsidRPr="00A43012">
        <w:rPr>
          <w:rFonts w:ascii="Times New Roman" w:hAnsi="Times New Roman" w:cs="Times New Roman"/>
          <w:sz w:val="24"/>
          <w:szCs w:val="24"/>
        </w:rPr>
        <w:t xml:space="preserve"> He</w:t>
      </w:r>
      <w:r w:rsidR="006A55B1" w:rsidRPr="00A43012">
        <w:rPr>
          <w:rFonts w:ascii="Times New Roman" w:hAnsi="Times New Roman" w:cs="Times New Roman"/>
          <w:sz w:val="24"/>
          <w:szCs w:val="24"/>
        </w:rPr>
        <w:t xml:space="preserve"> elaborate</w:t>
      </w:r>
      <w:r w:rsidR="00A97ABA" w:rsidRPr="00A43012">
        <w:rPr>
          <w:rFonts w:ascii="Times New Roman" w:hAnsi="Times New Roman" w:cs="Times New Roman"/>
          <w:sz w:val="24"/>
          <w:szCs w:val="24"/>
        </w:rPr>
        <w:t>s</w:t>
      </w:r>
      <w:r w:rsidR="006A55B1" w:rsidRPr="00A43012">
        <w:rPr>
          <w:rFonts w:ascii="Times New Roman" w:hAnsi="Times New Roman" w:cs="Times New Roman"/>
          <w:sz w:val="24"/>
          <w:szCs w:val="24"/>
        </w:rPr>
        <w:t xml:space="preserve"> how </w:t>
      </w:r>
      <w:r w:rsidR="00A97ABA" w:rsidRPr="00A43012">
        <w:rPr>
          <w:rFonts w:ascii="Times New Roman" w:hAnsi="Times New Roman" w:cs="Times New Roman"/>
          <w:sz w:val="24"/>
          <w:szCs w:val="24"/>
        </w:rPr>
        <w:t>diaphanous robes revealing female bodies were</w:t>
      </w:r>
      <w:r w:rsidR="006A55B1" w:rsidRPr="00A43012">
        <w:rPr>
          <w:rFonts w:ascii="Times New Roman" w:hAnsi="Times New Roman" w:cs="Times New Roman"/>
          <w:sz w:val="24"/>
          <w:szCs w:val="24"/>
        </w:rPr>
        <w:t xml:space="preserve"> a purely artistic notion far removed from the reality of real clothing. Thus representations of women were produced to create erotic feelings. He acknowledges we have no textual accounts of how women viewed </w:t>
      </w:r>
      <w:r w:rsidR="006A55B1" w:rsidRPr="00A43012">
        <w:rPr>
          <w:rFonts w:ascii="Times New Roman" w:hAnsi="Times New Roman" w:cs="Times New Roman"/>
          <w:sz w:val="24"/>
          <w:szCs w:val="24"/>
        </w:rPr>
        <w:lastRenderedPageBreak/>
        <w:t>their representation and concludes that “The scholar has to deal with suppositions.”</w:t>
      </w:r>
      <w:r w:rsidR="00292F12" w:rsidRPr="00A43012">
        <w:rPr>
          <w:rStyle w:val="FootnoteReference"/>
          <w:rFonts w:ascii="Times New Roman" w:hAnsi="Times New Roman" w:cs="Times New Roman"/>
          <w:sz w:val="24"/>
          <w:szCs w:val="24"/>
        </w:rPr>
        <w:footnoteReference w:id="8"/>
      </w:r>
      <w:r w:rsidR="00292F12" w:rsidRPr="00A43012">
        <w:rPr>
          <w:rFonts w:ascii="Times New Roman" w:hAnsi="Times New Roman" w:cs="Times New Roman"/>
          <w:sz w:val="24"/>
          <w:szCs w:val="24"/>
        </w:rPr>
        <w:t xml:space="preserve"> He suggests that there are two key attributes of Greek art, the erotic and the idealizing and notes that the erotic is more evident “as in the blatantly pornographic vase paintings created during the period 530-460 BC.”</w:t>
      </w:r>
      <w:r w:rsidR="00292F12" w:rsidRPr="00A43012">
        <w:rPr>
          <w:rStyle w:val="FootnoteReference"/>
          <w:rFonts w:ascii="Times New Roman" w:hAnsi="Times New Roman" w:cs="Times New Roman"/>
          <w:sz w:val="24"/>
          <w:szCs w:val="24"/>
        </w:rPr>
        <w:footnoteReference w:id="9"/>
      </w:r>
      <w:r w:rsidR="00292F12" w:rsidRPr="00A43012">
        <w:rPr>
          <w:rFonts w:ascii="Times New Roman" w:hAnsi="Times New Roman" w:cs="Times New Roman"/>
          <w:sz w:val="24"/>
          <w:szCs w:val="24"/>
        </w:rPr>
        <w:t xml:space="preserve"> This fits neatly with the period</w:t>
      </w:r>
      <w:r w:rsidR="00A97ABA" w:rsidRPr="00A43012">
        <w:rPr>
          <w:rFonts w:ascii="Times New Roman" w:hAnsi="Times New Roman" w:cs="Times New Roman"/>
          <w:sz w:val="24"/>
          <w:szCs w:val="24"/>
        </w:rPr>
        <w:t xml:space="preserve"> Rabinowitz examines. Maybe the</w:t>
      </w:r>
      <w:r w:rsidR="00292F12" w:rsidRPr="00A43012">
        <w:rPr>
          <w:rFonts w:ascii="Times New Roman" w:hAnsi="Times New Roman" w:cs="Times New Roman"/>
          <w:sz w:val="24"/>
          <w:szCs w:val="24"/>
        </w:rPr>
        <w:t xml:space="preserve"> vases Rabinowitz cites could be better analysed in relation to other pornographic or erotic vases</w:t>
      </w:r>
      <w:r w:rsidR="00943D3C" w:rsidRPr="00A43012">
        <w:rPr>
          <w:rFonts w:ascii="Times New Roman" w:hAnsi="Times New Roman" w:cs="Times New Roman"/>
          <w:sz w:val="24"/>
          <w:szCs w:val="24"/>
        </w:rPr>
        <w:t xml:space="preserve"> produced in this period. </w:t>
      </w:r>
      <w:r w:rsidR="00B04B96" w:rsidRPr="00A43012">
        <w:rPr>
          <w:rFonts w:ascii="Times New Roman" w:hAnsi="Times New Roman" w:cs="Times New Roman"/>
          <w:sz w:val="24"/>
          <w:szCs w:val="24"/>
        </w:rPr>
        <w:t xml:space="preserve">In restricting her evidence to painted vase Rabinowitz appears to be overlooking the issue of whether vase paintings ever copied reality. Llewellyn-Jones </w:t>
      </w:r>
      <w:r w:rsidR="00B04B96" w:rsidRPr="00A43012">
        <w:rPr>
          <w:rStyle w:val="FootnoteReference"/>
          <w:rFonts w:ascii="Times New Roman" w:hAnsi="Times New Roman" w:cs="Times New Roman"/>
          <w:sz w:val="24"/>
          <w:szCs w:val="24"/>
        </w:rPr>
        <w:footnoteReference w:id="10"/>
      </w:r>
      <w:r w:rsidR="00B04B96" w:rsidRPr="00A43012">
        <w:rPr>
          <w:rFonts w:ascii="Times New Roman" w:hAnsi="Times New Roman" w:cs="Times New Roman"/>
          <w:sz w:val="24"/>
          <w:szCs w:val="24"/>
        </w:rPr>
        <w:t xml:space="preserve"> makes the point that a headdress popular in Greece from the fourth century BCE onwards is only found on terracotta figures “coraplasts were at liberty to show the ‘reality’ of dress far more than, say vase painters.”</w:t>
      </w:r>
    </w:p>
    <w:p w:rsidR="00DB15B0" w:rsidRPr="00A43012" w:rsidRDefault="00DB15B0"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 xml:space="preserve">In order to excavate women’s homoeroticism in ancient Greece it could be argued that one has to accept that notions of heterosexual, homosexual and lesbianism were not used in ancient Greece. There is a powerful body of work that suggests that such concepts would be alien to ancient Greeks and that the important distinction regarding sexuality was whether one was active or passive in relation to a penetrative sexual act. A male was not regarded as homosexual if he penetrated another male but a male who enjoyed being penetrated when an adult was viewed with disfavour and regarded as effeminate. It may be the case that sexual relations between women were viewed in the same light and therefore Rabinowitz’s suggested quest is totally inappropriate and seeks to portray women </w:t>
      </w:r>
      <w:r w:rsidR="009A5B7F" w:rsidRPr="00A43012">
        <w:rPr>
          <w:rFonts w:ascii="Times New Roman" w:hAnsi="Times New Roman" w:cs="Times New Roman"/>
          <w:sz w:val="24"/>
          <w:szCs w:val="24"/>
        </w:rPr>
        <w:t>in a category of which they would have no knowledge. As Parker notes “The system shared by the ancient Greeks and Romans was quite different and divided acts and people on the axis of active versus passive”</w:t>
      </w:r>
      <w:r w:rsidR="009A5B7F" w:rsidRPr="00A43012">
        <w:rPr>
          <w:rStyle w:val="FootnoteReference"/>
          <w:rFonts w:ascii="Times New Roman" w:hAnsi="Times New Roman" w:cs="Times New Roman"/>
          <w:sz w:val="24"/>
          <w:szCs w:val="24"/>
        </w:rPr>
        <w:footnoteReference w:id="11"/>
      </w:r>
      <w:r w:rsidRPr="00A43012">
        <w:rPr>
          <w:rFonts w:ascii="Times New Roman" w:hAnsi="Times New Roman" w:cs="Times New Roman"/>
          <w:sz w:val="24"/>
          <w:szCs w:val="24"/>
        </w:rPr>
        <w:t xml:space="preserve">   </w:t>
      </w:r>
      <w:r w:rsidR="009A5B7F" w:rsidRPr="00A43012">
        <w:rPr>
          <w:rFonts w:ascii="Times New Roman" w:hAnsi="Times New Roman" w:cs="Times New Roman"/>
          <w:sz w:val="24"/>
          <w:szCs w:val="24"/>
        </w:rPr>
        <w:t xml:space="preserve">Parker outlines the problem of recovering ancient sexualities “we begin the </w:t>
      </w:r>
      <w:r w:rsidR="009A5B7F" w:rsidRPr="00A43012">
        <w:rPr>
          <w:rFonts w:ascii="Times New Roman" w:hAnsi="Times New Roman" w:cs="Times New Roman"/>
          <w:sz w:val="24"/>
          <w:szCs w:val="24"/>
        </w:rPr>
        <w:lastRenderedPageBreak/>
        <w:t>investigation with the assumption that their sexuality is the same as our, that our sexuality is natural, is given, is the only sexuality there is.”</w:t>
      </w:r>
      <w:r w:rsidR="009A5B7F" w:rsidRPr="00A43012">
        <w:rPr>
          <w:rStyle w:val="FootnoteReference"/>
          <w:rFonts w:ascii="Times New Roman" w:hAnsi="Times New Roman" w:cs="Times New Roman"/>
          <w:sz w:val="24"/>
          <w:szCs w:val="24"/>
        </w:rPr>
        <w:footnoteReference w:id="12"/>
      </w:r>
      <w:r w:rsidR="009A5B7F" w:rsidRPr="00A43012">
        <w:rPr>
          <w:rFonts w:ascii="Times New Roman" w:hAnsi="Times New Roman" w:cs="Times New Roman"/>
          <w:sz w:val="24"/>
          <w:szCs w:val="24"/>
        </w:rPr>
        <w:t xml:space="preserve"> </w:t>
      </w:r>
      <w:r w:rsidRPr="00A43012">
        <w:rPr>
          <w:rFonts w:ascii="Times New Roman" w:hAnsi="Times New Roman" w:cs="Times New Roman"/>
          <w:sz w:val="24"/>
          <w:szCs w:val="24"/>
        </w:rPr>
        <w:t xml:space="preserve"> </w:t>
      </w:r>
    </w:p>
    <w:p w:rsidR="00A43012" w:rsidRDefault="00943D3C"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It is worth expanding a little</w:t>
      </w:r>
      <w:r w:rsidR="0085392A" w:rsidRPr="00A43012">
        <w:rPr>
          <w:rFonts w:ascii="Times New Roman" w:hAnsi="Times New Roman" w:cs="Times New Roman"/>
          <w:sz w:val="24"/>
          <w:szCs w:val="24"/>
        </w:rPr>
        <w:t xml:space="preserve"> on the debate about whether it is appropriate to look at the ancient world with concepts derived much later. For instance Weeks</w:t>
      </w:r>
      <w:r w:rsidR="0085392A" w:rsidRPr="00A43012">
        <w:rPr>
          <w:rStyle w:val="FootnoteReference"/>
          <w:rFonts w:ascii="Times New Roman" w:hAnsi="Times New Roman" w:cs="Times New Roman"/>
          <w:sz w:val="24"/>
          <w:szCs w:val="24"/>
        </w:rPr>
        <w:footnoteReference w:id="13"/>
      </w:r>
    </w:p>
    <w:p w:rsidR="0085392A" w:rsidRPr="00A43012" w:rsidRDefault="0085392A" w:rsidP="00A43012">
      <w:pPr>
        <w:spacing w:line="480" w:lineRule="auto"/>
        <w:ind w:left="397" w:right="397"/>
        <w:rPr>
          <w:rFonts w:ascii="Times New Roman" w:hAnsi="Times New Roman" w:cs="Times New Roman"/>
          <w:sz w:val="24"/>
          <w:szCs w:val="24"/>
        </w:rPr>
      </w:pPr>
      <w:r w:rsidRPr="00A43012">
        <w:rPr>
          <w:rFonts w:ascii="Times New Roman" w:hAnsi="Times New Roman" w:cs="Times New Roman"/>
          <w:sz w:val="24"/>
          <w:szCs w:val="24"/>
        </w:rPr>
        <w:t xml:space="preserve"> “</w:t>
      </w:r>
      <w:proofErr w:type="gramStart"/>
      <w:r w:rsidRPr="00A43012">
        <w:rPr>
          <w:rFonts w:ascii="Times New Roman" w:hAnsi="Times New Roman" w:cs="Times New Roman"/>
          <w:sz w:val="24"/>
          <w:szCs w:val="24"/>
        </w:rPr>
        <w:t>these</w:t>
      </w:r>
      <w:proofErr w:type="gramEnd"/>
      <w:r w:rsidRPr="00A43012">
        <w:rPr>
          <w:rFonts w:ascii="Times New Roman" w:hAnsi="Times New Roman" w:cs="Times New Roman"/>
          <w:sz w:val="24"/>
          <w:szCs w:val="24"/>
        </w:rPr>
        <w:t xml:space="preserve"> social identities and intimacies based on sex are relatively new. They have </w:t>
      </w:r>
      <w:r w:rsidR="006850EE" w:rsidRPr="00A43012">
        <w:rPr>
          <w:rFonts w:ascii="Times New Roman" w:hAnsi="Times New Roman" w:cs="Times New Roman"/>
          <w:sz w:val="24"/>
          <w:szCs w:val="24"/>
        </w:rPr>
        <w:t>not, could</w:t>
      </w:r>
      <w:r w:rsidRPr="00A43012">
        <w:rPr>
          <w:rFonts w:ascii="Times New Roman" w:hAnsi="Times New Roman" w:cs="Times New Roman"/>
          <w:sz w:val="24"/>
          <w:szCs w:val="24"/>
        </w:rPr>
        <w:t xml:space="preserve"> not have existed through the mists of </w:t>
      </w:r>
      <w:r w:rsidR="006850EE" w:rsidRPr="00A43012">
        <w:rPr>
          <w:rFonts w:ascii="Times New Roman" w:hAnsi="Times New Roman" w:cs="Times New Roman"/>
          <w:sz w:val="24"/>
          <w:szCs w:val="24"/>
        </w:rPr>
        <w:t>time,</w:t>
      </w:r>
      <w:r w:rsidRPr="00A43012">
        <w:rPr>
          <w:rFonts w:ascii="Times New Roman" w:hAnsi="Times New Roman" w:cs="Times New Roman"/>
          <w:sz w:val="24"/>
          <w:szCs w:val="24"/>
        </w:rPr>
        <w:t xml:space="preserve"> because the conditions that gave rise to them just did not exist.”</w:t>
      </w:r>
    </w:p>
    <w:p w:rsidR="0085392A" w:rsidRPr="00A43012" w:rsidRDefault="006850EE"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Or Halperin</w:t>
      </w:r>
      <w:r w:rsidR="0085392A" w:rsidRPr="00A43012">
        <w:rPr>
          <w:rStyle w:val="FootnoteReference"/>
          <w:rFonts w:ascii="Times New Roman" w:hAnsi="Times New Roman" w:cs="Times New Roman"/>
          <w:sz w:val="24"/>
          <w:szCs w:val="24"/>
        </w:rPr>
        <w:footnoteReference w:id="14"/>
      </w:r>
    </w:p>
    <w:p w:rsidR="0085392A" w:rsidRPr="00A43012" w:rsidRDefault="0085392A" w:rsidP="00A43012">
      <w:pPr>
        <w:spacing w:line="480" w:lineRule="auto"/>
        <w:ind w:left="397" w:right="397"/>
        <w:rPr>
          <w:rFonts w:ascii="Times New Roman" w:hAnsi="Times New Roman" w:cs="Times New Roman"/>
          <w:sz w:val="24"/>
          <w:szCs w:val="24"/>
        </w:rPr>
      </w:pPr>
      <w:r w:rsidRPr="00A43012">
        <w:rPr>
          <w:rFonts w:ascii="Times New Roman" w:hAnsi="Times New Roman" w:cs="Times New Roman"/>
          <w:sz w:val="24"/>
          <w:szCs w:val="24"/>
        </w:rPr>
        <w:t>“Before the scientific construction of ‘sexuality’ as a supposedly positive, distinct, and consultative feature of individual human beings-an autonomous system within the physiological and psychological economy of the human organism</w:t>
      </w:r>
      <w:r w:rsidR="006850EE" w:rsidRPr="00A43012">
        <w:rPr>
          <w:rFonts w:ascii="Times New Roman" w:hAnsi="Times New Roman" w:cs="Times New Roman"/>
          <w:sz w:val="24"/>
          <w:szCs w:val="24"/>
        </w:rPr>
        <w:t xml:space="preserve">-certain kinds of sexual </w:t>
      </w:r>
      <w:r w:rsidR="006850EE" w:rsidRPr="00A43012">
        <w:rPr>
          <w:rFonts w:ascii="Times New Roman" w:hAnsi="Times New Roman" w:cs="Times New Roman"/>
          <w:i/>
          <w:sz w:val="24"/>
          <w:szCs w:val="24"/>
        </w:rPr>
        <w:t>acts</w:t>
      </w:r>
      <w:r w:rsidRPr="00A43012">
        <w:rPr>
          <w:rFonts w:ascii="Times New Roman" w:hAnsi="Times New Roman" w:cs="Times New Roman"/>
          <w:sz w:val="24"/>
          <w:szCs w:val="24"/>
        </w:rPr>
        <w:t xml:space="preserve"> </w:t>
      </w:r>
      <w:r w:rsidR="006850EE" w:rsidRPr="00A43012">
        <w:rPr>
          <w:rFonts w:ascii="Times New Roman" w:hAnsi="Times New Roman" w:cs="Times New Roman"/>
          <w:sz w:val="24"/>
          <w:szCs w:val="24"/>
        </w:rPr>
        <w:t xml:space="preserve">could be individually evaluated and categorized, and so could certain tastes or inclinations, but there was no conceptual apparatus available for identifying a person’s fixed and determinate sexual </w:t>
      </w:r>
      <w:r w:rsidR="006850EE" w:rsidRPr="00A43012">
        <w:rPr>
          <w:rFonts w:ascii="Times New Roman" w:hAnsi="Times New Roman" w:cs="Times New Roman"/>
          <w:i/>
          <w:sz w:val="24"/>
          <w:szCs w:val="24"/>
        </w:rPr>
        <w:t>orientation</w:t>
      </w:r>
      <w:r w:rsidR="006850EE" w:rsidRPr="00A43012">
        <w:rPr>
          <w:rFonts w:ascii="Times New Roman" w:hAnsi="Times New Roman" w:cs="Times New Roman"/>
          <w:sz w:val="24"/>
          <w:szCs w:val="24"/>
        </w:rPr>
        <w:t>, much less for assessing and classifying it.”</w:t>
      </w:r>
    </w:p>
    <w:p w:rsidR="006850EE" w:rsidRPr="00A43012" w:rsidRDefault="006850EE"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Therefore it is possible to suggest that while it seems logical to assume women in ancient Attica engaged in lesbian sexual acts there was no direct connection with modern lesbian lifestyles with women openly identifying their sexuality. Given the patriarchy of ancient Greece it would appear logical to suggest that any lesbian sexual occurrences remained hidden from wider society and therefore any depictions were based on a male fantasy produced by men for men.</w:t>
      </w:r>
    </w:p>
    <w:p w:rsidR="003B2072" w:rsidRPr="00A43012" w:rsidRDefault="00A97ABA"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lastRenderedPageBreak/>
        <w:t>In her interpretation of</w:t>
      </w:r>
      <w:r w:rsidR="003B2072" w:rsidRPr="00A43012">
        <w:rPr>
          <w:rFonts w:ascii="Times New Roman" w:hAnsi="Times New Roman" w:cs="Times New Roman"/>
          <w:sz w:val="24"/>
          <w:szCs w:val="24"/>
        </w:rPr>
        <w:t xml:space="preserve"> the meaning of sc</w:t>
      </w:r>
      <w:r w:rsidRPr="00A43012">
        <w:rPr>
          <w:rFonts w:ascii="Times New Roman" w:hAnsi="Times New Roman" w:cs="Times New Roman"/>
          <w:sz w:val="24"/>
          <w:szCs w:val="24"/>
        </w:rPr>
        <w:t>enes of women on Attic vases she claims</w:t>
      </w:r>
      <w:r w:rsidR="003B2072" w:rsidRPr="00A43012">
        <w:rPr>
          <w:rFonts w:ascii="Times New Roman" w:hAnsi="Times New Roman" w:cs="Times New Roman"/>
          <w:sz w:val="24"/>
          <w:szCs w:val="24"/>
        </w:rPr>
        <w:t xml:space="preserve"> to be readdressing what was the prevailing orthodoxy in classical studies which originally appeared to deny the existence of homoerotic relationships between women or dismissed such relationships with comments such as this when referring to </w:t>
      </w:r>
      <w:proofErr w:type="spellStart"/>
      <w:r w:rsidR="003B2072" w:rsidRPr="00A43012">
        <w:rPr>
          <w:rFonts w:ascii="Times New Roman" w:hAnsi="Times New Roman" w:cs="Times New Roman"/>
          <w:sz w:val="24"/>
          <w:szCs w:val="24"/>
        </w:rPr>
        <w:t>lesbianism“for</w:t>
      </w:r>
      <w:proofErr w:type="spellEnd"/>
      <w:r w:rsidR="003B2072" w:rsidRPr="00A43012">
        <w:rPr>
          <w:rFonts w:ascii="Times New Roman" w:hAnsi="Times New Roman" w:cs="Times New Roman"/>
          <w:sz w:val="24"/>
          <w:szCs w:val="24"/>
        </w:rPr>
        <w:t xml:space="preserve"> obvious reasons the author considers it unnecessary to describe the purely anatomical nature of the proceedings and for this would refer the student to the medical handbooks.”</w:t>
      </w:r>
      <w:r w:rsidR="003B2072" w:rsidRPr="00A43012">
        <w:rPr>
          <w:rStyle w:val="FootnoteReference"/>
          <w:rFonts w:ascii="Times New Roman" w:hAnsi="Times New Roman" w:cs="Times New Roman"/>
          <w:sz w:val="24"/>
          <w:szCs w:val="24"/>
        </w:rPr>
        <w:footnoteReference w:id="15"/>
      </w:r>
    </w:p>
    <w:p w:rsidR="001D1BEE" w:rsidRPr="00A43012" w:rsidRDefault="001D1BEE"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 xml:space="preserve">However even by her own standards a </w:t>
      </w:r>
      <w:r w:rsidR="00943D3C" w:rsidRPr="00A43012">
        <w:rPr>
          <w:rFonts w:ascii="Times New Roman" w:hAnsi="Times New Roman" w:cs="Times New Roman"/>
          <w:sz w:val="24"/>
          <w:szCs w:val="24"/>
        </w:rPr>
        <w:t>number</w:t>
      </w:r>
      <w:r w:rsidR="00BE7787" w:rsidRPr="00A43012">
        <w:rPr>
          <w:rFonts w:ascii="Times New Roman" w:hAnsi="Times New Roman" w:cs="Times New Roman"/>
          <w:sz w:val="24"/>
          <w:szCs w:val="24"/>
        </w:rPr>
        <w:t xml:space="preserve"> </w:t>
      </w:r>
      <w:r w:rsidRPr="00A43012">
        <w:rPr>
          <w:rFonts w:ascii="Times New Roman" w:hAnsi="Times New Roman" w:cs="Times New Roman"/>
          <w:sz w:val="24"/>
          <w:szCs w:val="24"/>
        </w:rPr>
        <w:t xml:space="preserve">of the vases she investigates she labels as homosocial which is clearly different from her intended search for homoerotic relationships or images of such potential relationships. In essence she relies on 25 images </w:t>
      </w:r>
      <w:r w:rsidR="00BE7787" w:rsidRPr="00A43012">
        <w:rPr>
          <w:rFonts w:ascii="Times New Roman" w:hAnsi="Times New Roman" w:cs="Times New Roman"/>
          <w:sz w:val="24"/>
          <w:szCs w:val="24"/>
        </w:rPr>
        <w:t xml:space="preserve">represented in the body of the text but occasionally refers to other vases which are not illustrated. </w:t>
      </w:r>
      <w:r w:rsidR="00943D3C" w:rsidRPr="00A43012">
        <w:rPr>
          <w:rFonts w:ascii="Times New Roman" w:hAnsi="Times New Roman" w:cs="Times New Roman"/>
          <w:sz w:val="24"/>
          <w:szCs w:val="24"/>
        </w:rPr>
        <w:t>Rabinowitz realizes</w:t>
      </w:r>
      <w:r w:rsidR="00BE7787" w:rsidRPr="00A43012">
        <w:rPr>
          <w:rFonts w:ascii="Times New Roman" w:hAnsi="Times New Roman" w:cs="Times New Roman"/>
          <w:sz w:val="24"/>
          <w:szCs w:val="24"/>
        </w:rPr>
        <w:t xml:space="preserve"> that there is a significant challenge in trying to identify such scenes, admitting that “most statements about the vases are debatable</w:t>
      </w:r>
      <w:r w:rsidR="003D0090" w:rsidRPr="00A43012">
        <w:rPr>
          <w:rFonts w:ascii="Times New Roman" w:hAnsi="Times New Roman" w:cs="Times New Roman"/>
          <w:sz w:val="24"/>
          <w:szCs w:val="24"/>
        </w:rPr>
        <w:t>”</w:t>
      </w:r>
      <w:r w:rsidR="00BE7787" w:rsidRPr="00A43012">
        <w:rPr>
          <w:rStyle w:val="FootnoteReference"/>
          <w:rFonts w:ascii="Times New Roman" w:hAnsi="Times New Roman" w:cs="Times New Roman"/>
          <w:sz w:val="24"/>
          <w:szCs w:val="24"/>
        </w:rPr>
        <w:footnoteReference w:id="16"/>
      </w:r>
      <w:r w:rsidR="00BE7787" w:rsidRPr="00A43012">
        <w:rPr>
          <w:rFonts w:ascii="Times New Roman" w:hAnsi="Times New Roman" w:cs="Times New Roman"/>
          <w:sz w:val="24"/>
          <w:szCs w:val="24"/>
        </w:rPr>
        <w:t xml:space="preserve"> </w:t>
      </w:r>
      <w:r w:rsidR="003D0090" w:rsidRPr="00A43012">
        <w:rPr>
          <w:rFonts w:ascii="Times New Roman" w:hAnsi="Times New Roman" w:cs="Times New Roman"/>
          <w:sz w:val="24"/>
          <w:szCs w:val="24"/>
        </w:rPr>
        <w:t>and that “what we think we know is determined by the ways in which we see these objects</w:t>
      </w:r>
      <w:r w:rsidR="00943D3C" w:rsidRPr="00A43012">
        <w:rPr>
          <w:rFonts w:ascii="Times New Roman" w:hAnsi="Times New Roman" w:cs="Times New Roman"/>
          <w:sz w:val="24"/>
          <w:szCs w:val="24"/>
        </w:rPr>
        <w:t>.</w:t>
      </w:r>
      <w:r w:rsidR="003D0090" w:rsidRPr="00A43012">
        <w:rPr>
          <w:rFonts w:ascii="Times New Roman" w:hAnsi="Times New Roman" w:cs="Times New Roman"/>
          <w:sz w:val="24"/>
          <w:szCs w:val="24"/>
        </w:rPr>
        <w:t>”</w:t>
      </w:r>
      <w:r w:rsidR="003D0090" w:rsidRPr="00A43012">
        <w:rPr>
          <w:rStyle w:val="FootnoteReference"/>
          <w:rFonts w:ascii="Times New Roman" w:hAnsi="Times New Roman" w:cs="Times New Roman"/>
          <w:sz w:val="24"/>
          <w:szCs w:val="24"/>
        </w:rPr>
        <w:footnoteReference w:id="17"/>
      </w:r>
      <w:r w:rsidR="003D0090" w:rsidRPr="00A43012">
        <w:rPr>
          <w:rFonts w:ascii="Times New Roman" w:hAnsi="Times New Roman" w:cs="Times New Roman"/>
          <w:sz w:val="24"/>
          <w:szCs w:val="24"/>
        </w:rPr>
        <w:t xml:space="preserve"> </w:t>
      </w:r>
      <w:r w:rsidR="00943D3C" w:rsidRPr="00A43012">
        <w:rPr>
          <w:rFonts w:ascii="Times New Roman" w:hAnsi="Times New Roman" w:cs="Times New Roman"/>
          <w:sz w:val="24"/>
          <w:szCs w:val="24"/>
        </w:rPr>
        <w:t xml:space="preserve"> This </w:t>
      </w:r>
      <w:r w:rsidR="003D0090" w:rsidRPr="00A43012">
        <w:rPr>
          <w:rFonts w:ascii="Times New Roman" w:hAnsi="Times New Roman" w:cs="Times New Roman"/>
          <w:sz w:val="24"/>
          <w:szCs w:val="24"/>
        </w:rPr>
        <w:t xml:space="preserve">suggests that the way we see objects is influenced by the way they have been labelled by past interpretations. She admits that even determining the gender of figures in the </w:t>
      </w:r>
      <w:r w:rsidR="00002057" w:rsidRPr="00A43012">
        <w:rPr>
          <w:rFonts w:ascii="Times New Roman" w:hAnsi="Times New Roman" w:cs="Times New Roman"/>
          <w:sz w:val="24"/>
          <w:szCs w:val="24"/>
        </w:rPr>
        <w:t>absence of</w:t>
      </w:r>
      <w:r w:rsidR="003D0090" w:rsidRPr="00A43012">
        <w:rPr>
          <w:rFonts w:ascii="Times New Roman" w:hAnsi="Times New Roman" w:cs="Times New Roman"/>
          <w:sz w:val="24"/>
          <w:szCs w:val="24"/>
        </w:rPr>
        <w:t xml:space="preserve"> primary sex organs can be problematic</w:t>
      </w:r>
      <w:r w:rsidR="00002057" w:rsidRPr="00A43012">
        <w:rPr>
          <w:rStyle w:val="FootnoteReference"/>
          <w:rFonts w:ascii="Times New Roman" w:hAnsi="Times New Roman" w:cs="Times New Roman"/>
          <w:sz w:val="24"/>
          <w:szCs w:val="24"/>
        </w:rPr>
        <w:footnoteReference w:id="18"/>
      </w:r>
      <w:r w:rsidR="003D0090" w:rsidRPr="00A43012">
        <w:rPr>
          <w:rFonts w:ascii="Times New Roman" w:hAnsi="Times New Roman" w:cs="Times New Roman"/>
          <w:sz w:val="24"/>
          <w:szCs w:val="24"/>
        </w:rPr>
        <w:t xml:space="preserve"> and this is a view shared by this author who has experienced difficulty in understanding the labelling of some vases where gender to this viewer is somewhat circumspect. Rabinowitz admits that </w:t>
      </w:r>
      <w:r w:rsidR="00002057" w:rsidRPr="00A43012">
        <w:rPr>
          <w:rFonts w:ascii="Times New Roman" w:hAnsi="Times New Roman" w:cs="Times New Roman"/>
          <w:sz w:val="24"/>
          <w:szCs w:val="24"/>
        </w:rPr>
        <w:t>“in</w:t>
      </w:r>
      <w:r w:rsidR="003D0090" w:rsidRPr="00A43012">
        <w:rPr>
          <w:rFonts w:ascii="Times New Roman" w:hAnsi="Times New Roman" w:cs="Times New Roman"/>
          <w:sz w:val="24"/>
          <w:szCs w:val="24"/>
        </w:rPr>
        <w:t xml:space="preserve"> early black figure painting, for instance, the nude female body appears masculine in the hips and shoulders” </w:t>
      </w:r>
      <w:r w:rsidR="00002057" w:rsidRPr="00A43012">
        <w:rPr>
          <w:rStyle w:val="FootnoteReference"/>
          <w:rFonts w:ascii="Times New Roman" w:hAnsi="Times New Roman" w:cs="Times New Roman"/>
          <w:sz w:val="24"/>
          <w:szCs w:val="24"/>
        </w:rPr>
        <w:footnoteReference w:id="19"/>
      </w:r>
      <w:r w:rsidR="003D0090" w:rsidRPr="00A43012">
        <w:rPr>
          <w:rFonts w:ascii="Times New Roman" w:hAnsi="Times New Roman" w:cs="Times New Roman"/>
          <w:sz w:val="24"/>
          <w:szCs w:val="24"/>
        </w:rPr>
        <w:t xml:space="preserve"> </w:t>
      </w:r>
      <w:r w:rsidR="00387ED8" w:rsidRPr="00A43012">
        <w:rPr>
          <w:rFonts w:ascii="Times New Roman" w:hAnsi="Times New Roman" w:cs="Times New Roman"/>
          <w:sz w:val="24"/>
          <w:szCs w:val="24"/>
        </w:rPr>
        <w:t>and suggests that in the late red figure style genders are hard to distinguish if genitals are not visible and again points out that “what you believe or think you know....will determine what you see.”</w:t>
      </w:r>
      <w:r w:rsidR="00387ED8" w:rsidRPr="00A43012">
        <w:rPr>
          <w:rStyle w:val="FootnoteReference"/>
          <w:rFonts w:ascii="Times New Roman" w:hAnsi="Times New Roman" w:cs="Times New Roman"/>
          <w:sz w:val="24"/>
          <w:szCs w:val="24"/>
        </w:rPr>
        <w:footnoteReference w:id="20"/>
      </w:r>
      <w:r w:rsidR="00387ED8" w:rsidRPr="00A43012">
        <w:rPr>
          <w:rFonts w:ascii="Times New Roman" w:hAnsi="Times New Roman" w:cs="Times New Roman"/>
          <w:sz w:val="24"/>
          <w:szCs w:val="24"/>
        </w:rPr>
        <w:t xml:space="preserve"> It is this statement that points out the flaws in Rabinowitz’s article. I suggest that as a lesbian and feminist </w:t>
      </w:r>
      <w:r w:rsidR="00387ED8" w:rsidRPr="00A43012">
        <w:rPr>
          <w:rFonts w:ascii="Times New Roman" w:hAnsi="Times New Roman" w:cs="Times New Roman"/>
          <w:sz w:val="24"/>
          <w:szCs w:val="24"/>
        </w:rPr>
        <w:lastRenderedPageBreak/>
        <w:t xml:space="preserve">academic she is seeking correlation for her own ideas. In fairness Rabinowitz does suggest in her conclusion that the evidence to support her assumption is pretty thin on the </w:t>
      </w:r>
      <w:r w:rsidR="00084B69" w:rsidRPr="00A43012">
        <w:rPr>
          <w:rFonts w:ascii="Times New Roman" w:hAnsi="Times New Roman" w:cs="Times New Roman"/>
          <w:sz w:val="24"/>
          <w:szCs w:val="24"/>
        </w:rPr>
        <w:t>ground and admits that her overall aim</w:t>
      </w:r>
      <w:r w:rsidR="00943D3C" w:rsidRPr="00A43012">
        <w:rPr>
          <w:rFonts w:ascii="Times New Roman" w:hAnsi="Times New Roman" w:cs="Times New Roman"/>
          <w:sz w:val="24"/>
          <w:szCs w:val="24"/>
        </w:rPr>
        <w:t xml:space="preserve"> is</w:t>
      </w:r>
      <w:r w:rsidR="00084B69" w:rsidRPr="00A43012">
        <w:rPr>
          <w:rFonts w:ascii="Times New Roman" w:hAnsi="Times New Roman" w:cs="Times New Roman"/>
          <w:sz w:val="24"/>
          <w:szCs w:val="24"/>
        </w:rPr>
        <w:t xml:space="preserve"> to find connections between the past and the present when she suggests “to deny the similarity </w:t>
      </w:r>
      <w:r w:rsidR="00387ED8" w:rsidRPr="00A43012">
        <w:rPr>
          <w:rFonts w:ascii="Times New Roman" w:hAnsi="Times New Roman" w:cs="Times New Roman"/>
          <w:sz w:val="24"/>
          <w:szCs w:val="24"/>
        </w:rPr>
        <w:t xml:space="preserve">  </w:t>
      </w:r>
      <w:r w:rsidR="00084B69" w:rsidRPr="00A43012">
        <w:rPr>
          <w:rFonts w:ascii="Times New Roman" w:hAnsi="Times New Roman" w:cs="Times New Roman"/>
          <w:sz w:val="24"/>
          <w:szCs w:val="24"/>
        </w:rPr>
        <w:t>between and past may be to deny a bit of history that could empower those struggling for rights and representation in the present.”</w:t>
      </w:r>
      <w:r w:rsidR="00084B69" w:rsidRPr="00A43012">
        <w:rPr>
          <w:rStyle w:val="FootnoteReference"/>
          <w:rFonts w:ascii="Times New Roman" w:hAnsi="Times New Roman" w:cs="Times New Roman"/>
          <w:sz w:val="24"/>
          <w:szCs w:val="24"/>
        </w:rPr>
        <w:footnoteReference w:id="21"/>
      </w:r>
      <w:r w:rsidR="00387ED8" w:rsidRPr="00A43012">
        <w:rPr>
          <w:rFonts w:ascii="Times New Roman" w:hAnsi="Times New Roman" w:cs="Times New Roman"/>
          <w:sz w:val="24"/>
          <w:szCs w:val="24"/>
        </w:rPr>
        <w:t xml:space="preserve">  </w:t>
      </w:r>
    </w:p>
    <w:p w:rsidR="00084B69" w:rsidRPr="00A43012" w:rsidRDefault="00084B69"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There is a lack of evidence for women potters or painters of vases which reflects what we know of Attic society with women largely restri</w:t>
      </w:r>
      <w:r w:rsidR="00A43012">
        <w:rPr>
          <w:rFonts w:ascii="Times New Roman" w:hAnsi="Times New Roman" w:cs="Times New Roman"/>
          <w:sz w:val="24"/>
          <w:szCs w:val="24"/>
        </w:rPr>
        <w:t>cted to the household</w:t>
      </w:r>
      <w:r w:rsidR="00A43012">
        <w:rPr>
          <w:rStyle w:val="FootnoteReference"/>
          <w:rFonts w:ascii="Times New Roman" w:hAnsi="Times New Roman" w:cs="Times New Roman"/>
          <w:sz w:val="24"/>
          <w:szCs w:val="24"/>
        </w:rPr>
        <w:footnoteReference w:id="22"/>
      </w:r>
      <w:r w:rsidRPr="00A43012">
        <w:rPr>
          <w:rFonts w:ascii="Times New Roman" w:hAnsi="Times New Roman" w:cs="Times New Roman"/>
          <w:sz w:val="24"/>
          <w:szCs w:val="24"/>
        </w:rPr>
        <w:t>. But even if there were female potters and painters the question remains as to for whom were vases produced, a male or female gaze, or both</w:t>
      </w:r>
      <w:r w:rsidR="00943D3C" w:rsidRPr="00A43012">
        <w:rPr>
          <w:rFonts w:ascii="Times New Roman" w:hAnsi="Times New Roman" w:cs="Times New Roman"/>
          <w:sz w:val="24"/>
          <w:szCs w:val="24"/>
        </w:rPr>
        <w:t>,</w:t>
      </w:r>
      <w:r w:rsidRPr="00A43012">
        <w:rPr>
          <w:rFonts w:ascii="Times New Roman" w:hAnsi="Times New Roman" w:cs="Times New Roman"/>
          <w:sz w:val="24"/>
          <w:szCs w:val="24"/>
        </w:rPr>
        <w:t xml:space="preserve"> and who actually purchased such objects</w:t>
      </w:r>
      <w:r w:rsidR="00943D3C" w:rsidRPr="00A43012">
        <w:rPr>
          <w:rFonts w:ascii="Times New Roman" w:hAnsi="Times New Roman" w:cs="Times New Roman"/>
          <w:sz w:val="24"/>
          <w:szCs w:val="24"/>
        </w:rPr>
        <w:t>.  I</w:t>
      </w:r>
      <w:r w:rsidRPr="00A43012">
        <w:rPr>
          <w:rFonts w:ascii="Times New Roman" w:hAnsi="Times New Roman" w:cs="Times New Roman"/>
          <w:sz w:val="24"/>
          <w:szCs w:val="24"/>
        </w:rPr>
        <w:t>s there evidence of women, confined to households actually having the freedom and financial means to purchase</w:t>
      </w:r>
      <w:r w:rsidR="00943D3C" w:rsidRPr="00A43012">
        <w:rPr>
          <w:rFonts w:ascii="Times New Roman" w:hAnsi="Times New Roman" w:cs="Times New Roman"/>
          <w:sz w:val="24"/>
          <w:szCs w:val="24"/>
        </w:rPr>
        <w:t xml:space="preserve"> vases</w:t>
      </w:r>
      <w:r w:rsidRPr="00A43012">
        <w:rPr>
          <w:rFonts w:ascii="Times New Roman" w:hAnsi="Times New Roman" w:cs="Times New Roman"/>
          <w:sz w:val="24"/>
          <w:szCs w:val="24"/>
        </w:rPr>
        <w:t xml:space="preserve"> </w:t>
      </w:r>
      <w:r w:rsidR="00943D3C" w:rsidRPr="00A43012">
        <w:rPr>
          <w:rFonts w:ascii="Times New Roman" w:hAnsi="Times New Roman" w:cs="Times New Roman"/>
          <w:sz w:val="24"/>
          <w:szCs w:val="24"/>
        </w:rPr>
        <w:t>themselves,</w:t>
      </w:r>
      <w:r w:rsidRPr="00A43012">
        <w:rPr>
          <w:rFonts w:ascii="Times New Roman" w:hAnsi="Times New Roman" w:cs="Times New Roman"/>
          <w:sz w:val="24"/>
          <w:szCs w:val="24"/>
        </w:rPr>
        <w:t xml:space="preserve"> or were they produced purely for the male gaze. However if this was the case why do we find pottery representing females </w:t>
      </w:r>
      <w:r w:rsidR="003749D6" w:rsidRPr="00A43012">
        <w:rPr>
          <w:rFonts w:ascii="Times New Roman" w:hAnsi="Times New Roman" w:cs="Times New Roman"/>
          <w:sz w:val="24"/>
          <w:szCs w:val="24"/>
        </w:rPr>
        <w:t xml:space="preserve">on vases of shapes maybe more associated with Greek female activities such as </w:t>
      </w:r>
      <w:r w:rsidR="00E5755D" w:rsidRPr="00A43012">
        <w:rPr>
          <w:rFonts w:ascii="Times New Roman" w:hAnsi="Times New Roman" w:cs="Times New Roman"/>
          <w:i/>
          <w:sz w:val="24"/>
          <w:szCs w:val="24"/>
        </w:rPr>
        <w:t>pyxides</w:t>
      </w:r>
      <w:r w:rsidR="00E5755D" w:rsidRPr="00A43012">
        <w:rPr>
          <w:rFonts w:ascii="Times New Roman" w:hAnsi="Times New Roman" w:cs="Times New Roman"/>
          <w:sz w:val="24"/>
          <w:szCs w:val="24"/>
        </w:rPr>
        <w:t xml:space="preserve">  for jewellery or cosmetics, </w:t>
      </w:r>
      <w:r w:rsidR="00E5755D" w:rsidRPr="00A43012">
        <w:rPr>
          <w:rFonts w:ascii="Times New Roman" w:hAnsi="Times New Roman" w:cs="Times New Roman"/>
          <w:i/>
          <w:sz w:val="24"/>
          <w:szCs w:val="24"/>
        </w:rPr>
        <w:t>loutrophoros hydria</w:t>
      </w:r>
      <w:r w:rsidR="00E5755D" w:rsidRPr="00A43012">
        <w:rPr>
          <w:rFonts w:ascii="Times New Roman" w:hAnsi="Times New Roman" w:cs="Times New Roman"/>
          <w:sz w:val="24"/>
          <w:szCs w:val="24"/>
        </w:rPr>
        <w:t xml:space="preserve"> for water carrying for ritual baths and associated with weddings and funerals, </w:t>
      </w:r>
      <w:r w:rsidR="00E5755D" w:rsidRPr="00A43012">
        <w:rPr>
          <w:rFonts w:ascii="Times New Roman" w:hAnsi="Times New Roman" w:cs="Times New Roman"/>
          <w:i/>
          <w:sz w:val="24"/>
          <w:szCs w:val="24"/>
        </w:rPr>
        <w:t xml:space="preserve">alabastron </w:t>
      </w:r>
      <w:r w:rsidR="00E5755D" w:rsidRPr="00A43012">
        <w:rPr>
          <w:rFonts w:ascii="Times New Roman" w:hAnsi="Times New Roman" w:cs="Times New Roman"/>
          <w:sz w:val="24"/>
          <w:szCs w:val="24"/>
        </w:rPr>
        <w:t xml:space="preserve">for perfume and </w:t>
      </w:r>
      <w:r w:rsidR="00E5755D" w:rsidRPr="00A43012">
        <w:rPr>
          <w:rFonts w:ascii="Times New Roman" w:hAnsi="Times New Roman" w:cs="Times New Roman"/>
          <w:i/>
          <w:sz w:val="24"/>
          <w:szCs w:val="24"/>
        </w:rPr>
        <w:t>lebes gamikos</w:t>
      </w:r>
      <w:r w:rsidR="00E5755D" w:rsidRPr="00A43012">
        <w:rPr>
          <w:rFonts w:ascii="Times New Roman" w:hAnsi="Times New Roman" w:cs="Times New Roman"/>
          <w:sz w:val="24"/>
          <w:szCs w:val="24"/>
        </w:rPr>
        <w:t xml:space="preserve">  , wedding vase.</w:t>
      </w:r>
    </w:p>
    <w:p w:rsidR="00591B59" w:rsidRPr="00A43012" w:rsidRDefault="00943D3C"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It may have been helpful if Rabinowitz had supplied do</w:t>
      </w:r>
      <w:r w:rsidR="00E5755D" w:rsidRPr="00A43012">
        <w:rPr>
          <w:rFonts w:ascii="Times New Roman" w:hAnsi="Times New Roman" w:cs="Times New Roman"/>
          <w:sz w:val="24"/>
          <w:szCs w:val="24"/>
        </w:rPr>
        <w:t xml:space="preserve"> information o</w:t>
      </w:r>
      <w:r w:rsidRPr="00A43012">
        <w:rPr>
          <w:rFonts w:ascii="Times New Roman" w:hAnsi="Times New Roman" w:cs="Times New Roman"/>
          <w:sz w:val="24"/>
          <w:szCs w:val="24"/>
        </w:rPr>
        <w:t xml:space="preserve">n the distribution of the </w:t>
      </w:r>
      <w:proofErr w:type="spellStart"/>
      <w:r w:rsidRPr="00A43012">
        <w:rPr>
          <w:rFonts w:ascii="Times New Roman" w:hAnsi="Times New Roman" w:cs="Times New Roman"/>
          <w:sz w:val="24"/>
          <w:szCs w:val="24"/>
        </w:rPr>
        <w:t>vases.</w:t>
      </w:r>
      <w:r w:rsidR="00E5755D" w:rsidRPr="00A43012">
        <w:rPr>
          <w:rFonts w:ascii="Times New Roman" w:hAnsi="Times New Roman" w:cs="Times New Roman"/>
          <w:sz w:val="24"/>
          <w:szCs w:val="24"/>
        </w:rPr>
        <w:t>Rabinowitz</w:t>
      </w:r>
      <w:proofErr w:type="spellEnd"/>
      <w:r w:rsidR="00E5755D" w:rsidRPr="00A43012">
        <w:rPr>
          <w:rFonts w:ascii="Times New Roman" w:hAnsi="Times New Roman" w:cs="Times New Roman"/>
          <w:sz w:val="24"/>
          <w:szCs w:val="24"/>
        </w:rPr>
        <w:t xml:space="preserve"> accepts that pottery could not escape male domination regarding the way women were represented on vases</w:t>
      </w:r>
      <w:r w:rsidR="00E5755D" w:rsidRPr="00A43012">
        <w:rPr>
          <w:rStyle w:val="FootnoteReference"/>
          <w:rFonts w:ascii="Times New Roman" w:hAnsi="Times New Roman" w:cs="Times New Roman"/>
          <w:sz w:val="24"/>
          <w:szCs w:val="24"/>
        </w:rPr>
        <w:footnoteReference w:id="23"/>
      </w:r>
      <w:r w:rsidR="00E5755D" w:rsidRPr="00A43012">
        <w:rPr>
          <w:rFonts w:ascii="Times New Roman" w:hAnsi="Times New Roman" w:cs="Times New Roman"/>
          <w:sz w:val="24"/>
          <w:szCs w:val="24"/>
        </w:rPr>
        <w:t xml:space="preserve">  </w:t>
      </w:r>
      <w:r w:rsidRPr="00A43012">
        <w:rPr>
          <w:rFonts w:ascii="Times New Roman" w:hAnsi="Times New Roman" w:cs="Times New Roman"/>
          <w:sz w:val="24"/>
          <w:szCs w:val="24"/>
        </w:rPr>
        <w:t>but it is possible</w:t>
      </w:r>
      <w:r w:rsidR="0049658C" w:rsidRPr="00A43012">
        <w:rPr>
          <w:rFonts w:ascii="Times New Roman" w:hAnsi="Times New Roman" w:cs="Times New Roman"/>
          <w:sz w:val="24"/>
          <w:szCs w:val="24"/>
        </w:rPr>
        <w:t xml:space="preserve"> women</w:t>
      </w:r>
      <w:r w:rsidRPr="00A43012">
        <w:rPr>
          <w:rFonts w:ascii="Times New Roman" w:hAnsi="Times New Roman" w:cs="Times New Roman"/>
          <w:sz w:val="24"/>
          <w:szCs w:val="24"/>
        </w:rPr>
        <w:t xml:space="preserve"> </w:t>
      </w:r>
      <w:r w:rsidR="00BC3259" w:rsidRPr="00A43012">
        <w:rPr>
          <w:rFonts w:ascii="Times New Roman" w:hAnsi="Times New Roman" w:cs="Times New Roman"/>
          <w:sz w:val="24"/>
          <w:szCs w:val="24"/>
        </w:rPr>
        <w:t>could have</w:t>
      </w:r>
      <w:r w:rsidRPr="00A43012">
        <w:rPr>
          <w:rFonts w:ascii="Times New Roman" w:hAnsi="Times New Roman" w:cs="Times New Roman"/>
          <w:sz w:val="24"/>
          <w:szCs w:val="24"/>
        </w:rPr>
        <w:t xml:space="preserve"> seen the vases </w:t>
      </w:r>
      <w:proofErr w:type="spellStart"/>
      <w:r w:rsidRPr="00A43012">
        <w:rPr>
          <w:rFonts w:ascii="Times New Roman" w:hAnsi="Times New Roman" w:cs="Times New Roman"/>
          <w:sz w:val="24"/>
          <w:szCs w:val="24"/>
        </w:rPr>
        <w:t>differently.</w:t>
      </w:r>
      <w:r w:rsidR="0049658C" w:rsidRPr="00A43012">
        <w:rPr>
          <w:rFonts w:ascii="Times New Roman" w:hAnsi="Times New Roman" w:cs="Times New Roman"/>
          <w:sz w:val="24"/>
          <w:szCs w:val="24"/>
        </w:rPr>
        <w:t>Rabinowitz</w:t>
      </w:r>
      <w:proofErr w:type="spellEnd"/>
      <w:r w:rsidR="0049658C" w:rsidRPr="00A43012">
        <w:rPr>
          <w:rFonts w:ascii="Times New Roman" w:hAnsi="Times New Roman" w:cs="Times New Roman"/>
          <w:sz w:val="24"/>
          <w:szCs w:val="24"/>
        </w:rPr>
        <w:t xml:space="preserve"> cites academics who claim that representation of women working with textiles have been produced for the male gaze. Berlin 2289 is viewed as erotic for the male but Rabinowitz challenges this and suggests it may also be erotic for a woman viewer but also suggests</w:t>
      </w:r>
    </w:p>
    <w:p w:rsidR="0049658C" w:rsidRPr="00A43012" w:rsidRDefault="0049658C"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lastRenderedPageBreak/>
        <w:t xml:space="preserve"> “The divergence of opinion alone is a sign of the complexity of the images and the process of interpretation and should therefore remind us to exercise care in our assessment of what information the vases convey”</w:t>
      </w:r>
      <w:r w:rsidRPr="00A43012">
        <w:rPr>
          <w:rStyle w:val="FootnoteReference"/>
          <w:rFonts w:ascii="Times New Roman" w:hAnsi="Times New Roman" w:cs="Times New Roman"/>
          <w:sz w:val="24"/>
          <w:szCs w:val="24"/>
        </w:rPr>
        <w:footnoteReference w:id="24"/>
      </w:r>
    </w:p>
    <w:p w:rsidR="00684A97" w:rsidRPr="00A43012" w:rsidRDefault="00591B59"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Rabinowitz then questions how an artist could depict female desire. We know from Dover that male desire, in the form of an erect penis was depicted in vases of the same period</w:t>
      </w:r>
      <w:r w:rsidR="00257CA9" w:rsidRPr="00A43012">
        <w:rPr>
          <w:rFonts w:ascii="Times New Roman" w:hAnsi="Times New Roman" w:cs="Times New Roman"/>
          <w:sz w:val="24"/>
          <w:szCs w:val="24"/>
        </w:rPr>
        <w:t>.</w:t>
      </w:r>
      <w:r w:rsidRPr="00A43012">
        <w:rPr>
          <w:rStyle w:val="FootnoteReference"/>
          <w:rFonts w:ascii="Times New Roman" w:hAnsi="Times New Roman" w:cs="Times New Roman"/>
          <w:sz w:val="24"/>
          <w:szCs w:val="24"/>
        </w:rPr>
        <w:footnoteReference w:id="25"/>
      </w:r>
      <w:r w:rsidR="00684A97" w:rsidRPr="00A43012">
        <w:rPr>
          <w:rFonts w:ascii="Times New Roman" w:hAnsi="Times New Roman" w:cs="Times New Roman"/>
          <w:sz w:val="24"/>
          <w:szCs w:val="24"/>
        </w:rPr>
        <w:t>Rabinowitz states “I call homoerotic those looks and touches that seem to point to intimacy”</w:t>
      </w:r>
      <w:r w:rsidR="00684A97" w:rsidRPr="00A43012">
        <w:rPr>
          <w:rStyle w:val="FootnoteReference"/>
          <w:rFonts w:ascii="Times New Roman" w:hAnsi="Times New Roman" w:cs="Times New Roman"/>
          <w:sz w:val="24"/>
          <w:szCs w:val="24"/>
        </w:rPr>
        <w:footnoteReference w:id="26"/>
      </w:r>
      <w:r w:rsidR="00684A97" w:rsidRPr="00A43012">
        <w:rPr>
          <w:rFonts w:ascii="Times New Roman" w:hAnsi="Times New Roman" w:cs="Times New Roman"/>
          <w:sz w:val="24"/>
          <w:szCs w:val="24"/>
        </w:rPr>
        <w:t xml:space="preserve"> drawing on the work of others that does not specifically relate to ancient Greece.</w:t>
      </w:r>
      <w:r w:rsidR="00684A97" w:rsidRPr="00A43012">
        <w:rPr>
          <w:rStyle w:val="FootnoteReference"/>
          <w:rFonts w:ascii="Times New Roman" w:hAnsi="Times New Roman" w:cs="Times New Roman"/>
          <w:sz w:val="24"/>
          <w:szCs w:val="24"/>
        </w:rPr>
        <w:footnoteReference w:id="27"/>
      </w:r>
      <w:r w:rsidR="00684A97" w:rsidRPr="00A43012">
        <w:rPr>
          <w:rFonts w:ascii="Times New Roman" w:hAnsi="Times New Roman" w:cs="Times New Roman"/>
          <w:sz w:val="24"/>
          <w:szCs w:val="24"/>
        </w:rPr>
        <w:t xml:space="preserve"> Even if one accepts this definition how can one draw a distinction between homoerotic and homosocial</w:t>
      </w:r>
      <w:r w:rsidR="004834D9" w:rsidRPr="00A43012">
        <w:rPr>
          <w:rFonts w:ascii="Times New Roman" w:hAnsi="Times New Roman" w:cs="Times New Roman"/>
          <w:sz w:val="24"/>
          <w:szCs w:val="24"/>
        </w:rPr>
        <w:t>, does a touch in a homosocial setting necessarily become homoerotic or is it all in the eyes of the beholder?</w:t>
      </w:r>
    </w:p>
    <w:p w:rsidR="00554B1C" w:rsidRPr="00A43012" w:rsidRDefault="00554B1C"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Rabinowitz comments that in the 5</w:t>
      </w:r>
      <w:r w:rsidRPr="00A43012">
        <w:rPr>
          <w:rFonts w:ascii="Times New Roman" w:hAnsi="Times New Roman" w:cs="Times New Roman"/>
          <w:sz w:val="24"/>
          <w:szCs w:val="24"/>
          <w:vertAlign w:val="superscript"/>
        </w:rPr>
        <w:t>th</w:t>
      </w:r>
      <w:r w:rsidRPr="00A43012">
        <w:rPr>
          <w:rFonts w:ascii="Times New Roman" w:hAnsi="Times New Roman" w:cs="Times New Roman"/>
          <w:sz w:val="24"/>
          <w:szCs w:val="24"/>
        </w:rPr>
        <w:t xml:space="preserve"> century BCE women are depicted touching each other and suggests that they “seem to the modern viewer at least to connote intimacy and affection, if not explicit love interest”</w:t>
      </w:r>
      <w:r w:rsidRPr="00A43012">
        <w:rPr>
          <w:rStyle w:val="FootnoteReference"/>
          <w:rFonts w:ascii="Times New Roman" w:hAnsi="Times New Roman" w:cs="Times New Roman"/>
          <w:sz w:val="24"/>
          <w:szCs w:val="24"/>
        </w:rPr>
        <w:footnoteReference w:id="28"/>
      </w:r>
      <w:r w:rsidRPr="00A43012">
        <w:rPr>
          <w:rFonts w:ascii="Times New Roman" w:hAnsi="Times New Roman" w:cs="Times New Roman"/>
          <w:sz w:val="24"/>
          <w:szCs w:val="24"/>
        </w:rPr>
        <w:t xml:space="preserve"> and suggests it’s possible to get at what ancient viewers would have thought about the vases. She suggests corroboration can be found in ancient texts but does not supply any. She suggests looking at the context in which women appear on vases and states that if multiple pairs of women are on a vase or there is sexual imagery elsewhere on the vase that it is justified to take the ambiguous image as sexual. I would suggest that this may be a step too far. Because some critics have suggested the giving of gifts between men </w:t>
      </w:r>
      <w:r w:rsidR="003E7AC8" w:rsidRPr="00A43012">
        <w:rPr>
          <w:rFonts w:ascii="Times New Roman" w:hAnsi="Times New Roman" w:cs="Times New Roman"/>
          <w:sz w:val="24"/>
          <w:szCs w:val="24"/>
        </w:rPr>
        <w:t xml:space="preserve">are painted on scenes described as pederastic, or in heterosexual settings she claims the giving of gifts between women can be inferred as love gifts. Again this can be interpreted as a step too far. But she then points out the </w:t>
      </w:r>
      <w:r w:rsidR="00D33913" w:rsidRPr="00A43012">
        <w:rPr>
          <w:rFonts w:ascii="Times New Roman" w:hAnsi="Times New Roman" w:cs="Times New Roman"/>
          <w:sz w:val="24"/>
          <w:szCs w:val="24"/>
        </w:rPr>
        <w:t>difficulty in</w:t>
      </w:r>
      <w:r w:rsidR="003E7AC8" w:rsidRPr="00A43012">
        <w:rPr>
          <w:rFonts w:ascii="Times New Roman" w:hAnsi="Times New Roman" w:cs="Times New Roman"/>
          <w:sz w:val="24"/>
          <w:szCs w:val="24"/>
        </w:rPr>
        <w:t xml:space="preserve"> making these suggestions and states </w:t>
      </w:r>
      <w:r w:rsidR="003E7AC8" w:rsidRPr="00A43012">
        <w:rPr>
          <w:rFonts w:ascii="Times New Roman" w:hAnsi="Times New Roman" w:cs="Times New Roman"/>
          <w:sz w:val="24"/>
          <w:szCs w:val="24"/>
        </w:rPr>
        <w:lastRenderedPageBreak/>
        <w:t xml:space="preserve">that the current interest in the field of sexuality could skew </w:t>
      </w:r>
      <w:r w:rsidR="00624B78" w:rsidRPr="00A43012">
        <w:rPr>
          <w:rFonts w:ascii="Times New Roman" w:hAnsi="Times New Roman" w:cs="Times New Roman"/>
          <w:sz w:val="24"/>
          <w:szCs w:val="24"/>
        </w:rPr>
        <w:t xml:space="preserve">interpretations. </w:t>
      </w:r>
      <w:r w:rsidR="003E7AC8" w:rsidRPr="00A43012">
        <w:rPr>
          <w:rFonts w:ascii="Times New Roman" w:hAnsi="Times New Roman" w:cs="Times New Roman"/>
          <w:sz w:val="24"/>
          <w:szCs w:val="24"/>
        </w:rPr>
        <w:t>This can be read</w:t>
      </w:r>
      <w:r w:rsidR="00624B78" w:rsidRPr="00A43012">
        <w:rPr>
          <w:rFonts w:ascii="Times New Roman" w:hAnsi="Times New Roman" w:cs="Times New Roman"/>
          <w:sz w:val="24"/>
          <w:szCs w:val="24"/>
        </w:rPr>
        <w:t xml:space="preserve"> as</w:t>
      </w:r>
      <w:r w:rsidR="00BC3259" w:rsidRPr="00A43012">
        <w:rPr>
          <w:rFonts w:ascii="Times New Roman" w:hAnsi="Times New Roman" w:cs="Times New Roman"/>
          <w:sz w:val="24"/>
          <w:szCs w:val="24"/>
        </w:rPr>
        <w:t xml:space="preserve"> she</w:t>
      </w:r>
      <w:r w:rsidR="003E7AC8" w:rsidRPr="00A43012">
        <w:rPr>
          <w:rFonts w:ascii="Times New Roman" w:hAnsi="Times New Roman" w:cs="Times New Roman"/>
          <w:sz w:val="24"/>
          <w:szCs w:val="24"/>
        </w:rPr>
        <w:t xml:space="preserve"> perceive</w:t>
      </w:r>
      <w:r w:rsidR="00BC3259" w:rsidRPr="00A43012">
        <w:rPr>
          <w:rFonts w:ascii="Times New Roman" w:hAnsi="Times New Roman" w:cs="Times New Roman"/>
          <w:sz w:val="24"/>
          <w:szCs w:val="24"/>
        </w:rPr>
        <w:t>s what she</w:t>
      </w:r>
      <w:r w:rsidR="003E7AC8" w:rsidRPr="00A43012">
        <w:rPr>
          <w:rFonts w:ascii="Times New Roman" w:hAnsi="Times New Roman" w:cs="Times New Roman"/>
          <w:sz w:val="24"/>
          <w:szCs w:val="24"/>
        </w:rPr>
        <w:t xml:space="preserve"> want</w:t>
      </w:r>
      <w:r w:rsidR="00BC3259" w:rsidRPr="00A43012">
        <w:rPr>
          <w:rFonts w:ascii="Times New Roman" w:hAnsi="Times New Roman" w:cs="Times New Roman"/>
          <w:sz w:val="24"/>
          <w:szCs w:val="24"/>
        </w:rPr>
        <w:t>s</w:t>
      </w:r>
      <w:r w:rsidR="003E7AC8" w:rsidRPr="00A43012">
        <w:rPr>
          <w:rFonts w:ascii="Times New Roman" w:hAnsi="Times New Roman" w:cs="Times New Roman"/>
          <w:sz w:val="24"/>
          <w:szCs w:val="24"/>
        </w:rPr>
        <w:t xml:space="preserve"> to perceive. </w:t>
      </w:r>
    </w:p>
    <w:p w:rsidR="003E7AC8" w:rsidRPr="00A43012" w:rsidRDefault="003E7AC8"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 xml:space="preserve">She admits her “desire .... </w:t>
      </w:r>
      <w:proofErr w:type="gramStart"/>
      <w:r w:rsidRPr="00A43012">
        <w:rPr>
          <w:rFonts w:ascii="Times New Roman" w:hAnsi="Times New Roman" w:cs="Times New Roman"/>
          <w:sz w:val="24"/>
          <w:szCs w:val="24"/>
        </w:rPr>
        <w:t>is</w:t>
      </w:r>
      <w:proofErr w:type="gramEnd"/>
      <w:r w:rsidRPr="00A43012">
        <w:rPr>
          <w:rFonts w:ascii="Times New Roman" w:hAnsi="Times New Roman" w:cs="Times New Roman"/>
          <w:sz w:val="24"/>
          <w:szCs w:val="24"/>
        </w:rPr>
        <w:t xml:space="preserve"> to find gaps in the total masculinity of ancient culture, to find women escaping male domination.”</w:t>
      </w:r>
      <w:r w:rsidRPr="00A43012">
        <w:rPr>
          <w:rStyle w:val="FootnoteReference"/>
          <w:rFonts w:ascii="Times New Roman" w:hAnsi="Times New Roman" w:cs="Times New Roman"/>
          <w:sz w:val="24"/>
          <w:szCs w:val="24"/>
        </w:rPr>
        <w:footnoteReference w:id="29"/>
      </w:r>
      <w:r w:rsidRPr="00A43012">
        <w:rPr>
          <w:rFonts w:ascii="Times New Roman" w:hAnsi="Times New Roman" w:cs="Times New Roman"/>
          <w:sz w:val="24"/>
          <w:szCs w:val="24"/>
        </w:rPr>
        <w:t xml:space="preserve"> This is an explicit political viewpoint to take. In contrast a male dominated society may not have permitted expressions of female homoerotic </w:t>
      </w:r>
      <w:r w:rsidR="00220897" w:rsidRPr="00A43012">
        <w:rPr>
          <w:rFonts w:ascii="Times New Roman" w:hAnsi="Times New Roman" w:cs="Times New Roman"/>
          <w:sz w:val="24"/>
          <w:szCs w:val="24"/>
        </w:rPr>
        <w:t xml:space="preserve">desire that were not made by men for men’s own gratification. Given the patriarchy of ancient Athens it can be postulated that this is the most likely reason such scenes appear on a number of vases. </w:t>
      </w:r>
    </w:p>
    <w:p w:rsidR="008C48CE" w:rsidRPr="00A43012" w:rsidRDefault="00220897"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Rabinowitz states that she will investigate homosocial scenes between women for her initial evidence and then look for homoer</w:t>
      </w:r>
      <w:r w:rsidR="00BC3259" w:rsidRPr="00A43012">
        <w:rPr>
          <w:rFonts w:ascii="Times New Roman" w:hAnsi="Times New Roman" w:cs="Times New Roman"/>
          <w:sz w:val="24"/>
          <w:szCs w:val="24"/>
        </w:rPr>
        <w:t xml:space="preserve">otic overtones. </w:t>
      </w:r>
      <w:r w:rsidR="00257CA9" w:rsidRPr="00A43012">
        <w:rPr>
          <w:rFonts w:ascii="Times New Roman" w:hAnsi="Times New Roman" w:cs="Times New Roman"/>
          <w:sz w:val="24"/>
          <w:szCs w:val="24"/>
        </w:rPr>
        <w:t xml:space="preserve">This is again quite </w:t>
      </w:r>
      <w:proofErr w:type="spellStart"/>
      <w:r w:rsidR="00257CA9" w:rsidRPr="00A43012">
        <w:rPr>
          <w:rFonts w:ascii="Times New Roman" w:hAnsi="Times New Roman" w:cs="Times New Roman"/>
          <w:sz w:val="24"/>
          <w:szCs w:val="24"/>
        </w:rPr>
        <w:t>speculative.</w:t>
      </w:r>
      <w:r w:rsidR="0056281B" w:rsidRPr="00A43012">
        <w:rPr>
          <w:rFonts w:ascii="Times New Roman" w:hAnsi="Times New Roman" w:cs="Times New Roman"/>
          <w:sz w:val="24"/>
          <w:szCs w:val="24"/>
        </w:rPr>
        <w:t>Rabinowitz</w:t>
      </w:r>
      <w:proofErr w:type="spellEnd"/>
      <w:r w:rsidR="0056281B" w:rsidRPr="00A43012">
        <w:rPr>
          <w:rFonts w:ascii="Times New Roman" w:hAnsi="Times New Roman" w:cs="Times New Roman"/>
          <w:sz w:val="24"/>
          <w:szCs w:val="24"/>
        </w:rPr>
        <w:t xml:space="preserve"> “My goals are sympathetic both with the new lesbian studies....as well as with queer theory.”</w:t>
      </w:r>
      <w:r w:rsidR="0056281B" w:rsidRPr="00A43012">
        <w:rPr>
          <w:rStyle w:val="FootnoteReference"/>
          <w:rFonts w:ascii="Times New Roman" w:hAnsi="Times New Roman" w:cs="Times New Roman"/>
          <w:sz w:val="24"/>
          <w:szCs w:val="24"/>
        </w:rPr>
        <w:footnoteReference w:id="30"/>
      </w:r>
      <w:r w:rsidR="0056281B" w:rsidRPr="00A43012">
        <w:rPr>
          <w:rFonts w:ascii="Times New Roman" w:hAnsi="Times New Roman" w:cs="Times New Roman"/>
          <w:sz w:val="24"/>
          <w:szCs w:val="24"/>
        </w:rPr>
        <w:t xml:space="preserve"> Therefore she nails her colours to the mast and the reader must recognize that her theoretical position is likely to suggest that she will respond to viewing objects in a way that may confirm her own interests rather than being totally objective. However this raises the question of objectivity and whether anyone is truly objective. I assume that Rabinowitz would say that because the majority of commentators of these vases have not been openly lesbian or declared their interest in lesbian studies that they miss the point of the scenes on the vases and instead provide what they assume is a more conven</w:t>
      </w:r>
      <w:r w:rsidR="008C48CE" w:rsidRPr="00A43012">
        <w:rPr>
          <w:rFonts w:ascii="Times New Roman" w:hAnsi="Times New Roman" w:cs="Times New Roman"/>
          <w:sz w:val="24"/>
          <w:szCs w:val="24"/>
        </w:rPr>
        <w:t>tional approach</w:t>
      </w:r>
    </w:p>
    <w:p w:rsidR="001B4058" w:rsidRPr="00A43012" w:rsidRDefault="00BC3259"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 xml:space="preserve"> T</w:t>
      </w:r>
      <w:r w:rsidR="008C48CE" w:rsidRPr="00A43012">
        <w:rPr>
          <w:rFonts w:ascii="Times New Roman" w:hAnsi="Times New Roman" w:cs="Times New Roman"/>
          <w:sz w:val="24"/>
          <w:szCs w:val="24"/>
        </w:rPr>
        <w:t>here</w:t>
      </w:r>
      <w:r w:rsidRPr="00A43012">
        <w:rPr>
          <w:rFonts w:ascii="Times New Roman" w:hAnsi="Times New Roman" w:cs="Times New Roman"/>
          <w:sz w:val="24"/>
          <w:szCs w:val="24"/>
        </w:rPr>
        <w:t xml:space="preserve"> were</w:t>
      </w:r>
      <w:r w:rsidR="008C48CE" w:rsidRPr="00A43012">
        <w:rPr>
          <w:rFonts w:ascii="Times New Roman" w:hAnsi="Times New Roman" w:cs="Times New Roman"/>
          <w:sz w:val="24"/>
          <w:szCs w:val="24"/>
        </w:rPr>
        <w:t xml:space="preserve"> separate wome</w:t>
      </w:r>
      <w:r w:rsidRPr="00A43012">
        <w:rPr>
          <w:rFonts w:ascii="Times New Roman" w:hAnsi="Times New Roman" w:cs="Times New Roman"/>
          <w:sz w:val="24"/>
          <w:szCs w:val="24"/>
        </w:rPr>
        <w:t>n’s quarters in Athenian houses and women were largely confined to the h</w:t>
      </w:r>
      <w:r w:rsidR="00AB0F55" w:rsidRPr="00A43012">
        <w:rPr>
          <w:rFonts w:ascii="Times New Roman" w:hAnsi="Times New Roman" w:cs="Times New Roman"/>
          <w:sz w:val="24"/>
          <w:szCs w:val="24"/>
        </w:rPr>
        <w:t>ouse</w:t>
      </w:r>
      <w:r w:rsidRPr="00A43012">
        <w:rPr>
          <w:rFonts w:ascii="Times New Roman" w:hAnsi="Times New Roman" w:cs="Times New Roman"/>
          <w:sz w:val="24"/>
          <w:szCs w:val="24"/>
        </w:rPr>
        <w:t>.</w:t>
      </w:r>
      <w:r w:rsidR="00AB0F55" w:rsidRPr="00A43012">
        <w:rPr>
          <w:rStyle w:val="FootnoteReference"/>
          <w:rFonts w:ascii="Times New Roman" w:hAnsi="Times New Roman" w:cs="Times New Roman"/>
          <w:sz w:val="24"/>
          <w:szCs w:val="24"/>
        </w:rPr>
        <w:footnoteReference w:id="31"/>
      </w:r>
      <w:r w:rsidRPr="00A43012">
        <w:rPr>
          <w:rFonts w:ascii="Times New Roman" w:hAnsi="Times New Roman" w:cs="Times New Roman"/>
          <w:sz w:val="24"/>
          <w:szCs w:val="24"/>
        </w:rPr>
        <w:t xml:space="preserve"> However</w:t>
      </w:r>
      <w:r w:rsidR="008C48CE" w:rsidRPr="00A43012">
        <w:rPr>
          <w:rFonts w:ascii="Times New Roman" w:hAnsi="Times New Roman" w:cs="Times New Roman"/>
          <w:sz w:val="24"/>
          <w:szCs w:val="24"/>
        </w:rPr>
        <w:t xml:space="preserve"> Rabinowitz suggests that tragedy shows heroic women appearing in public</w:t>
      </w:r>
      <w:r w:rsidRPr="00A43012">
        <w:rPr>
          <w:rFonts w:ascii="Times New Roman" w:hAnsi="Times New Roman" w:cs="Times New Roman"/>
          <w:sz w:val="24"/>
          <w:szCs w:val="24"/>
        </w:rPr>
        <w:t>, conveniently</w:t>
      </w:r>
      <w:r w:rsidR="008C48CE" w:rsidRPr="00A43012">
        <w:rPr>
          <w:rFonts w:ascii="Times New Roman" w:hAnsi="Times New Roman" w:cs="Times New Roman"/>
          <w:sz w:val="24"/>
          <w:szCs w:val="24"/>
        </w:rPr>
        <w:t xml:space="preserve"> forgetting that tragedy did not pertain </w:t>
      </w:r>
      <w:r w:rsidRPr="00A43012">
        <w:rPr>
          <w:rFonts w:ascii="Times New Roman" w:hAnsi="Times New Roman" w:cs="Times New Roman"/>
          <w:sz w:val="24"/>
          <w:szCs w:val="24"/>
        </w:rPr>
        <w:t xml:space="preserve">to </w:t>
      </w:r>
      <w:r w:rsidR="00D04D67" w:rsidRPr="00A43012">
        <w:rPr>
          <w:rFonts w:ascii="Times New Roman" w:hAnsi="Times New Roman" w:cs="Times New Roman"/>
          <w:sz w:val="24"/>
          <w:szCs w:val="24"/>
        </w:rPr>
        <w:lastRenderedPageBreak/>
        <w:t>realism. Rabinowitz</w:t>
      </w:r>
      <w:r w:rsidRPr="00A43012">
        <w:rPr>
          <w:rFonts w:ascii="Times New Roman" w:hAnsi="Times New Roman" w:cs="Times New Roman"/>
          <w:sz w:val="24"/>
          <w:szCs w:val="24"/>
        </w:rPr>
        <w:t xml:space="preserve"> states that women acted</w:t>
      </w:r>
      <w:r w:rsidR="008C48CE" w:rsidRPr="00A43012">
        <w:rPr>
          <w:rFonts w:ascii="Times New Roman" w:hAnsi="Times New Roman" w:cs="Times New Roman"/>
          <w:sz w:val="24"/>
          <w:szCs w:val="24"/>
        </w:rPr>
        <w:t xml:space="preserve"> collectively in r</w:t>
      </w:r>
      <w:r w:rsidRPr="00A43012">
        <w:rPr>
          <w:rFonts w:ascii="Times New Roman" w:hAnsi="Times New Roman" w:cs="Times New Roman"/>
          <w:sz w:val="24"/>
          <w:szCs w:val="24"/>
        </w:rPr>
        <w:t xml:space="preserve">eligious festivals. </w:t>
      </w:r>
      <w:r w:rsidR="00257CA9" w:rsidRPr="00A43012">
        <w:rPr>
          <w:rFonts w:ascii="Times New Roman" w:hAnsi="Times New Roman" w:cs="Times New Roman"/>
          <w:sz w:val="24"/>
          <w:szCs w:val="24"/>
        </w:rPr>
        <w:t>But this</w:t>
      </w:r>
      <w:r w:rsidR="008C48CE" w:rsidRPr="00A43012">
        <w:rPr>
          <w:rFonts w:ascii="Times New Roman" w:hAnsi="Times New Roman" w:cs="Times New Roman"/>
          <w:sz w:val="24"/>
          <w:szCs w:val="24"/>
        </w:rPr>
        <w:t xml:space="preserve"> </w:t>
      </w:r>
      <w:r w:rsidRPr="00A43012">
        <w:rPr>
          <w:rFonts w:ascii="Times New Roman" w:hAnsi="Times New Roman" w:cs="Times New Roman"/>
          <w:sz w:val="24"/>
          <w:szCs w:val="24"/>
        </w:rPr>
        <w:t xml:space="preserve">is incidental to </w:t>
      </w:r>
      <w:r w:rsidR="00257CA9" w:rsidRPr="00A43012">
        <w:rPr>
          <w:rFonts w:ascii="Times New Roman" w:hAnsi="Times New Roman" w:cs="Times New Roman"/>
          <w:sz w:val="24"/>
          <w:szCs w:val="24"/>
        </w:rPr>
        <w:t>the evidence</w:t>
      </w:r>
      <w:r w:rsidRPr="00A43012">
        <w:rPr>
          <w:rFonts w:ascii="Times New Roman" w:hAnsi="Times New Roman" w:cs="Times New Roman"/>
          <w:sz w:val="24"/>
          <w:szCs w:val="24"/>
        </w:rPr>
        <w:t xml:space="preserve"> as depicted on vases she </w:t>
      </w:r>
      <w:proofErr w:type="spellStart"/>
      <w:r w:rsidRPr="00A43012">
        <w:rPr>
          <w:rFonts w:ascii="Times New Roman" w:hAnsi="Times New Roman" w:cs="Times New Roman"/>
          <w:sz w:val="24"/>
          <w:szCs w:val="24"/>
        </w:rPr>
        <w:t>examines.</w:t>
      </w:r>
      <w:r w:rsidR="008C48CE" w:rsidRPr="00A43012">
        <w:rPr>
          <w:rFonts w:ascii="Times New Roman" w:hAnsi="Times New Roman" w:cs="Times New Roman"/>
          <w:sz w:val="24"/>
          <w:szCs w:val="24"/>
        </w:rPr>
        <w:t>She</w:t>
      </w:r>
      <w:proofErr w:type="spellEnd"/>
      <w:r w:rsidR="008C48CE" w:rsidRPr="00A43012">
        <w:rPr>
          <w:rFonts w:ascii="Times New Roman" w:hAnsi="Times New Roman" w:cs="Times New Roman"/>
          <w:sz w:val="24"/>
          <w:szCs w:val="24"/>
        </w:rPr>
        <w:t xml:space="preserve"> admits there is a large number of vases depicting women in domestic scenes and from this suggests that women did inhabit</w:t>
      </w:r>
      <w:r w:rsidRPr="00A43012">
        <w:rPr>
          <w:rFonts w:ascii="Times New Roman" w:hAnsi="Times New Roman" w:cs="Times New Roman"/>
          <w:sz w:val="24"/>
          <w:szCs w:val="24"/>
        </w:rPr>
        <w:t xml:space="preserve"> a largely homosocial world. These scenes </w:t>
      </w:r>
      <w:r w:rsidR="008C48CE" w:rsidRPr="00A43012">
        <w:rPr>
          <w:rFonts w:ascii="Times New Roman" w:hAnsi="Times New Roman" w:cs="Times New Roman"/>
          <w:sz w:val="24"/>
          <w:szCs w:val="24"/>
        </w:rPr>
        <w:t xml:space="preserve">may be an indication </w:t>
      </w:r>
      <w:r w:rsidR="001B4058" w:rsidRPr="00A43012">
        <w:rPr>
          <w:rFonts w:ascii="Times New Roman" w:hAnsi="Times New Roman" w:cs="Times New Roman"/>
          <w:sz w:val="24"/>
          <w:szCs w:val="24"/>
        </w:rPr>
        <w:t>of how attractiveness was important for women or for their men. Also probably very idealized and removed from reality.</w:t>
      </w:r>
    </w:p>
    <w:p w:rsidR="00E036C3" w:rsidRPr="00A43012" w:rsidRDefault="00BC3259"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At times Rabinowitz</w:t>
      </w:r>
      <w:r w:rsidR="00E036C3" w:rsidRPr="00A43012">
        <w:rPr>
          <w:rFonts w:ascii="Times New Roman" w:hAnsi="Times New Roman" w:cs="Times New Roman"/>
          <w:sz w:val="24"/>
          <w:szCs w:val="24"/>
        </w:rPr>
        <w:t xml:space="preserve"> seems to be clutching at straws in fig. 5.5 a woman leads another woman with a hand on her wrist </w:t>
      </w:r>
      <w:proofErr w:type="gramStart"/>
      <w:r w:rsidR="00E036C3" w:rsidRPr="00A43012">
        <w:rPr>
          <w:rFonts w:ascii="Times New Roman" w:hAnsi="Times New Roman" w:cs="Times New Roman"/>
          <w:sz w:val="24"/>
          <w:szCs w:val="24"/>
        </w:rPr>
        <w:t>who</w:t>
      </w:r>
      <w:proofErr w:type="gramEnd"/>
      <w:r w:rsidR="00E036C3" w:rsidRPr="00A43012">
        <w:rPr>
          <w:rFonts w:ascii="Times New Roman" w:hAnsi="Times New Roman" w:cs="Times New Roman"/>
          <w:sz w:val="24"/>
          <w:szCs w:val="24"/>
        </w:rPr>
        <w:t xml:space="preserve"> has a writing tablet in her other hand. Rabinowitz seeks to draw parallels and suggests that the gesture of hand on wrist is reminiscent of depictions of heterosexual marriage seen in fig. 5.6. For this reader the woman being led looks startled.</w:t>
      </w:r>
    </w:p>
    <w:p w:rsidR="00E036C3" w:rsidRPr="00A43012" w:rsidRDefault="00E036C3"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Rabinowitz refers to fig 5.7 which shows a woman placing a necklace</w:t>
      </w:r>
      <w:r w:rsidR="005F64C8" w:rsidRPr="00A43012">
        <w:rPr>
          <w:rFonts w:ascii="Times New Roman" w:hAnsi="Times New Roman" w:cs="Times New Roman"/>
          <w:sz w:val="24"/>
          <w:szCs w:val="24"/>
        </w:rPr>
        <w:t xml:space="preserve"> on a bride. </w:t>
      </w:r>
      <w:r w:rsidRPr="00A43012">
        <w:rPr>
          <w:rFonts w:ascii="Times New Roman" w:hAnsi="Times New Roman" w:cs="Times New Roman"/>
          <w:sz w:val="24"/>
          <w:szCs w:val="24"/>
        </w:rPr>
        <w:t xml:space="preserve"> </w:t>
      </w:r>
      <w:proofErr w:type="gramStart"/>
      <w:r w:rsidRPr="00A43012">
        <w:rPr>
          <w:rFonts w:ascii="Times New Roman" w:hAnsi="Times New Roman" w:cs="Times New Roman"/>
          <w:sz w:val="24"/>
          <w:szCs w:val="24"/>
        </w:rPr>
        <w:t xml:space="preserve">Rabinowitz’s comments that </w:t>
      </w:r>
      <w:r w:rsidR="005F64C8" w:rsidRPr="00A43012">
        <w:rPr>
          <w:rFonts w:ascii="Times New Roman" w:hAnsi="Times New Roman" w:cs="Times New Roman"/>
          <w:sz w:val="24"/>
          <w:szCs w:val="24"/>
        </w:rPr>
        <w:t>“the small distance between them seems highly charged.”</w:t>
      </w:r>
      <w:proofErr w:type="gramEnd"/>
      <w:r w:rsidR="005F64C8" w:rsidRPr="00A43012">
        <w:rPr>
          <w:rStyle w:val="FootnoteReference"/>
          <w:rFonts w:ascii="Times New Roman" w:hAnsi="Times New Roman" w:cs="Times New Roman"/>
          <w:sz w:val="24"/>
          <w:szCs w:val="24"/>
        </w:rPr>
        <w:footnoteReference w:id="32"/>
      </w:r>
      <w:r w:rsidRPr="00A43012">
        <w:rPr>
          <w:rFonts w:ascii="Times New Roman" w:hAnsi="Times New Roman" w:cs="Times New Roman"/>
          <w:sz w:val="24"/>
          <w:szCs w:val="24"/>
        </w:rPr>
        <w:t xml:space="preserve">  </w:t>
      </w:r>
      <w:r w:rsidR="005F64C8" w:rsidRPr="00A43012">
        <w:rPr>
          <w:rFonts w:ascii="Times New Roman" w:hAnsi="Times New Roman" w:cs="Times New Roman"/>
          <w:sz w:val="24"/>
          <w:szCs w:val="24"/>
        </w:rPr>
        <w:t>But this is mere conjecture; they could be close relatives or just friends. On another vase, fig. 5.8 a woman leans over another with her arm on her shoulder. For Rabinowitz “the softness of their eyes suggests that this is an intimate touch, although we cannot be sure”.</w:t>
      </w:r>
      <w:r w:rsidR="005F64C8" w:rsidRPr="00A43012">
        <w:rPr>
          <w:rStyle w:val="FootnoteReference"/>
          <w:rFonts w:ascii="Times New Roman" w:hAnsi="Times New Roman" w:cs="Times New Roman"/>
          <w:sz w:val="24"/>
          <w:szCs w:val="24"/>
        </w:rPr>
        <w:footnoteReference w:id="33"/>
      </w:r>
      <w:r w:rsidR="005F64C8" w:rsidRPr="00A43012">
        <w:rPr>
          <w:rFonts w:ascii="Times New Roman" w:hAnsi="Times New Roman" w:cs="Times New Roman"/>
          <w:sz w:val="24"/>
          <w:szCs w:val="24"/>
        </w:rPr>
        <w:t xml:space="preserve"> Again for this reader it is difficult to detect‘softness in the eyes’ on this or any other vase. Again it is an example of looking for particular actions on a vase and then at least partially convincing oneself that what one sees is what one was looking for. Rabinowitz suggests that these women only bridal scenes are “eroticised”</w:t>
      </w:r>
      <w:r w:rsidR="005F64C8" w:rsidRPr="00A43012">
        <w:rPr>
          <w:rStyle w:val="FootnoteReference"/>
          <w:rFonts w:ascii="Times New Roman" w:hAnsi="Times New Roman" w:cs="Times New Roman"/>
          <w:sz w:val="24"/>
          <w:szCs w:val="24"/>
        </w:rPr>
        <w:footnoteReference w:id="34"/>
      </w:r>
      <w:r w:rsidR="002B5891" w:rsidRPr="00A43012">
        <w:rPr>
          <w:rFonts w:ascii="Times New Roman" w:hAnsi="Times New Roman" w:cs="Times New Roman"/>
          <w:sz w:val="24"/>
          <w:szCs w:val="24"/>
        </w:rPr>
        <w:t xml:space="preserve"> because of the depiction of </w:t>
      </w:r>
      <w:proofErr w:type="spellStart"/>
      <w:proofErr w:type="gramStart"/>
      <w:r w:rsidR="002B5891" w:rsidRPr="00A43012">
        <w:rPr>
          <w:rFonts w:ascii="Times New Roman" w:hAnsi="Times New Roman" w:cs="Times New Roman"/>
          <w:i/>
          <w:sz w:val="24"/>
          <w:szCs w:val="24"/>
        </w:rPr>
        <w:t>erotes</w:t>
      </w:r>
      <w:proofErr w:type="spellEnd"/>
      <w:r w:rsidR="002B5891" w:rsidRPr="00A43012">
        <w:rPr>
          <w:rFonts w:ascii="Times New Roman" w:hAnsi="Times New Roman" w:cs="Times New Roman"/>
          <w:sz w:val="24"/>
          <w:szCs w:val="24"/>
        </w:rPr>
        <w:t xml:space="preserve"> .</w:t>
      </w:r>
      <w:proofErr w:type="gramEnd"/>
      <w:r w:rsidR="002B5891" w:rsidRPr="00A43012">
        <w:rPr>
          <w:rFonts w:ascii="Times New Roman" w:hAnsi="Times New Roman" w:cs="Times New Roman"/>
          <w:sz w:val="24"/>
          <w:szCs w:val="24"/>
        </w:rPr>
        <w:t xml:space="preserve"> But an alternative explanation could be that they indicate that it is a bridal scene. If Athenian marriages were essentially arranged marriages engineered by males in furtherance of expanding ties </w:t>
      </w:r>
      <w:r w:rsidR="002B5891" w:rsidRPr="00A43012">
        <w:rPr>
          <w:rFonts w:ascii="Times New Roman" w:hAnsi="Times New Roman" w:cs="Times New Roman"/>
          <w:sz w:val="24"/>
          <w:szCs w:val="24"/>
        </w:rPr>
        <w:lastRenderedPageBreak/>
        <w:t xml:space="preserve">of obligation between families then the appearance of </w:t>
      </w:r>
      <w:proofErr w:type="spellStart"/>
      <w:r w:rsidR="002B5891" w:rsidRPr="00A43012">
        <w:rPr>
          <w:rFonts w:ascii="Times New Roman" w:hAnsi="Times New Roman" w:cs="Times New Roman"/>
          <w:i/>
          <w:sz w:val="24"/>
          <w:szCs w:val="24"/>
        </w:rPr>
        <w:t>erotes</w:t>
      </w:r>
      <w:proofErr w:type="spellEnd"/>
      <w:r w:rsidR="002B5891" w:rsidRPr="00A43012">
        <w:rPr>
          <w:rFonts w:ascii="Times New Roman" w:hAnsi="Times New Roman" w:cs="Times New Roman"/>
          <w:i/>
          <w:sz w:val="24"/>
          <w:szCs w:val="24"/>
        </w:rPr>
        <w:t xml:space="preserve"> </w:t>
      </w:r>
      <w:r w:rsidR="002B5891" w:rsidRPr="00A43012">
        <w:rPr>
          <w:rFonts w:ascii="Times New Roman" w:hAnsi="Times New Roman" w:cs="Times New Roman"/>
          <w:sz w:val="24"/>
          <w:szCs w:val="24"/>
        </w:rPr>
        <w:t>is probably a figment of the idealisation of marriage that was not particularly concerned with a loving relationship between a bride and groom.</w:t>
      </w:r>
    </w:p>
    <w:p w:rsidR="00D8295C" w:rsidRPr="00A43012" w:rsidRDefault="00FA3CD0" w:rsidP="00591B59">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 xml:space="preserve">To assist in her interpretation of the images Rabinowitz discusses the poetry of Alcman and Sappho although conceding neither </w:t>
      </w:r>
      <w:proofErr w:type="gramStart"/>
      <w:r w:rsidRPr="00A43012">
        <w:rPr>
          <w:rFonts w:ascii="Times New Roman" w:hAnsi="Times New Roman" w:cs="Times New Roman"/>
          <w:sz w:val="24"/>
          <w:szCs w:val="24"/>
        </w:rPr>
        <w:t>were</w:t>
      </w:r>
      <w:proofErr w:type="gramEnd"/>
      <w:r w:rsidRPr="00A43012">
        <w:rPr>
          <w:rFonts w:ascii="Times New Roman" w:hAnsi="Times New Roman" w:cs="Times New Roman"/>
          <w:sz w:val="24"/>
          <w:szCs w:val="24"/>
        </w:rPr>
        <w:t xml:space="preserve"> Athenian or from the time period of the vases she seeks to interpret. She then mentions ceremonies at Brauron wh</w:t>
      </w:r>
      <w:r w:rsidR="00D8295C" w:rsidRPr="00A43012">
        <w:rPr>
          <w:rFonts w:ascii="Times New Roman" w:hAnsi="Times New Roman" w:cs="Times New Roman"/>
          <w:sz w:val="24"/>
          <w:szCs w:val="24"/>
        </w:rPr>
        <w:t>ich have no direct bearing</w:t>
      </w:r>
      <w:r w:rsidRPr="00A43012">
        <w:rPr>
          <w:rFonts w:ascii="Times New Roman" w:hAnsi="Times New Roman" w:cs="Times New Roman"/>
          <w:sz w:val="24"/>
          <w:szCs w:val="24"/>
        </w:rPr>
        <w:t xml:space="preserve"> on the vases either. She is reduced to suggesting “women who had such youthful experiences might have desired one another</w:t>
      </w:r>
      <w:r w:rsidR="00D8295C" w:rsidRPr="00A43012">
        <w:rPr>
          <w:rFonts w:ascii="Times New Roman" w:hAnsi="Times New Roman" w:cs="Times New Roman"/>
          <w:sz w:val="24"/>
          <w:szCs w:val="24"/>
        </w:rPr>
        <w:t>.</w:t>
      </w:r>
      <w:r w:rsidRPr="00A43012">
        <w:rPr>
          <w:rFonts w:ascii="Times New Roman" w:hAnsi="Times New Roman" w:cs="Times New Roman"/>
          <w:sz w:val="24"/>
          <w:szCs w:val="24"/>
        </w:rPr>
        <w:t xml:space="preserve"> </w:t>
      </w:r>
      <w:r w:rsidR="00D8295C" w:rsidRPr="00A43012">
        <w:rPr>
          <w:rFonts w:ascii="Times New Roman" w:hAnsi="Times New Roman" w:cs="Times New Roman"/>
          <w:sz w:val="24"/>
          <w:szCs w:val="24"/>
        </w:rPr>
        <w:t>“</w:t>
      </w:r>
      <w:r w:rsidR="00D8295C" w:rsidRPr="00A43012">
        <w:rPr>
          <w:rStyle w:val="FootnoteReference"/>
          <w:rFonts w:ascii="Times New Roman" w:hAnsi="Times New Roman" w:cs="Times New Roman"/>
          <w:sz w:val="24"/>
          <w:szCs w:val="24"/>
        </w:rPr>
        <w:footnoteReference w:id="35"/>
      </w:r>
      <w:r w:rsidRPr="00A43012">
        <w:rPr>
          <w:rFonts w:ascii="Times New Roman" w:hAnsi="Times New Roman" w:cs="Times New Roman"/>
          <w:sz w:val="24"/>
          <w:szCs w:val="24"/>
        </w:rPr>
        <w:t xml:space="preserve"> </w:t>
      </w:r>
      <w:r w:rsidR="00D8295C" w:rsidRPr="00A43012">
        <w:rPr>
          <w:rFonts w:ascii="Times New Roman" w:hAnsi="Times New Roman" w:cs="Times New Roman"/>
          <w:sz w:val="24"/>
          <w:szCs w:val="24"/>
        </w:rPr>
        <w:t>Then again they may not and in any case it has little bearing on female homoeroticism possibly being depicted on Attic vases of the 4</w:t>
      </w:r>
      <w:r w:rsidR="00D8295C" w:rsidRPr="00A43012">
        <w:rPr>
          <w:rFonts w:ascii="Times New Roman" w:hAnsi="Times New Roman" w:cs="Times New Roman"/>
          <w:sz w:val="24"/>
          <w:szCs w:val="24"/>
          <w:vertAlign w:val="superscript"/>
        </w:rPr>
        <w:t>th</w:t>
      </w:r>
      <w:r w:rsidR="00D8295C" w:rsidRPr="00A43012">
        <w:rPr>
          <w:rFonts w:ascii="Times New Roman" w:hAnsi="Times New Roman" w:cs="Times New Roman"/>
          <w:sz w:val="24"/>
          <w:szCs w:val="24"/>
        </w:rPr>
        <w:t xml:space="preserve"> and 5</w:t>
      </w:r>
      <w:r w:rsidR="00D8295C" w:rsidRPr="00A43012">
        <w:rPr>
          <w:rFonts w:ascii="Times New Roman" w:hAnsi="Times New Roman" w:cs="Times New Roman"/>
          <w:sz w:val="24"/>
          <w:szCs w:val="24"/>
          <w:vertAlign w:val="superscript"/>
        </w:rPr>
        <w:t>th</w:t>
      </w:r>
      <w:r w:rsidR="00D8295C" w:rsidRPr="00A43012">
        <w:rPr>
          <w:rFonts w:ascii="Times New Roman" w:hAnsi="Times New Roman" w:cs="Times New Roman"/>
          <w:sz w:val="24"/>
          <w:szCs w:val="24"/>
        </w:rPr>
        <w:t xml:space="preserve"> century BCE.</w:t>
      </w:r>
    </w:p>
    <w:p w:rsidR="00D04D67" w:rsidRDefault="00D8295C" w:rsidP="00856D4F">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Again talking of the marriage scenes Rabinowitz is again reduced to speculation</w:t>
      </w:r>
    </w:p>
    <w:p w:rsidR="00FA3CD0" w:rsidRPr="00A43012" w:rsidRDefault="00D8295C" w:rsidP="00856D4F">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“Women are imbued with an erotic aura; consequently the representation seems to accept not only women’s sense of community but also their physical and emotional intimacy.”</w:t>
      </w:r>
      <w:r w:rsidRPr="00A43012">
        <w:rPr>
          <w:rStyle w:val="FootnoteReference"/>
          <w:rFonts w:ascii="Times New Roman" w:hAnsi="Times New Roman" w:cs="Times New Roman"/>
          <w:sz w:val="24"/>
          <w:szCs w:val="24"/>
        </w:rPr>
        <w:footnoteReference w:id="36"/>
      </w:r>
    </w:p>
    <w:p w:rsidR="003045CB" w:rsidRPr="00A43012" w:rsidRDefault="003045CB" w:rsidP="00856D4F">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Again the author has to rely on conjecture to add any weight to her central point.</w:t>
      </w:r>
    </w:p>
    <w:p w:rsidR="00856D4F" w:rsidRPr="00A43012" w:rsidRDefault="00856D4F" w:rsidP="00856D4F">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She says that while the motifs on the vases may have been a male fantasy “we can reclaim them now for different purposes”</w:t>
      </w:r>
      <w:r w:rsidRPr="00A43012">
        <w:rPr>
          <w:rStyle w:val="FootnoteReference"/>
          <w:rFonts w:ascii="Times New Roman" w:hAnsi="Times New Roman" w:cs="Times New Roman"/>
          <w:sz w:val="24"/>
          <w:szCs w:val="24"/>
        </w:rPr>
        <w:footnoteReference w:id="37"/>
      </w:r>
      <w:r w:rsidR="005345D6" w:rsidRPr="00A43012">
        <w:rPr>
          <w:rFonts w:ascii="Times New Roman" w:hAnsi="Times New Roman" w:cs="Times New Roman"/>
          <w:sz w:val="24"/>
          <w:szCs w:val="24"/>
        </w:rPr>
        <w:t xml:space="preserve"> which for this reader means adopting a 21</w:t>
      </w:r>
      <w:r w:rsidR="005345D6" w:rsidRPr="00A43012">
        <w:rPr>
          <w:rFonts w:ascii="Times New Roman" w:hAnsi="Times New Roman" w:cs="Times New Roman"/>
          <w:sz w:val="24"/>
          <w:szCs w:val="24"/>
          <w:vertAlign w:val="superscript"/>
        </w:rPr>
        <w:t>st</w:t>
      </w:r>
      <w:r w:rsidR="005345D6" w:rsidRPr="00A43012">
        <w:rPr>
          <w:rFonts w:ascii="Times New Roman" w:hAnsi="Times New Roman" w:cs="Times New Roman"/>
          <w:sz w:val="24"/>
          <w:szCs w:val="24"/>
        </w:rPr>
        <w:t xml:space="preserve"> century view of the vases for which there appears to be a lack of evidence. This does not mean that lesbian relationships did not exist in Attica circa 5</w:t>
      </w:r>
      <w:r w:rsidR="005345D6" w:rsidRPr="00A43012">
        <w:rPr>
          <w:rFonts w:ascii="Times New Roman" w:hAnsi="Times New Roman" w:cs="Times New Roman"/>
          <w:sz w:val="24"/>
          <w:szCs w:val="24"/>
          <w:vertAlign w:val="superscript"/>
        </w:rPr>
        <w:t>th</w:t>
      </w:r>
      <w:r w:rsidR="005345D6" w:rsidRPr="00A43012">
        <w:rPr>
          <w:rFonts w:ascii="Times New Roman" w:hAnsi="Times New Roman" w:cs="Times New Roman"/>
          <w:sz w:val="24"/>
          <w:szCs w:val="24"/>
        </w:rPr>
        <w:t xml:space="preserve"> and 4</w:t>
      </w:r>
      <w:r w:rsidR="005345D6" w:rsidRPr="00A43012">
        <w:rPr>
          <w:rFonts w:ascii="Times New Roman" w:hAnsi="Times New Roman" w:cs="Times New Roman"/>
          <w:sz w:val="24"/>
          <w:szCs w:val="24"/>
          <w:vertAlign w:val="superscript"/>
        </w:rPr>
        <w:t>th</w:t>
      </w:r>
      <w:r w:rsidR="005345D6" w:rsidRPr="00A43012">
        <w:rPr>
          <w:rFonts w:ascii="Times New Roman" w:hAnsi="Times New Roman" w:cs="Times New Roman"/>
          <w:sz w:val="24"/>
          <w:szCs w:val="24"/>
        </w:rPr>
        <w:t xml:space="preserve"> centuries BCE but that there is little evidence to prove it and so far as represented on vases chosen by Rabinowitz little evidence as well.</w:t>
      </w:r>
    </w:p>
    <w:p w:rsidR="00C149A8" w:rsidRPr="00A43012" w:rsidRDefault="00C149A8" w:rsidP="00856D4F">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lastRenderedPageBreak/>
        <w:t xml:space="preserve">Rabinowitz investigates a number of vases depicting women sharing a mantle and decides that the scenes are </w:t>
      </w:r>
      <w:r w:rsidR="00044B9E" w:rsidRPr="00A43012">
        <w:rPr>
          <w:rFonts w:ascii="Times New Roman" w:hAnsi="Times New Roman" w:cs="Times New Roman"/>
          <w:sz w:val="24"/>
          <w:szCs w:val="24"/>
        </w:rPr>
        <w:t>ambiguous</w:t>
      </w:r>
      <w:r w:rsidRPr="00A43012">
        <w:rPr>
          <w:rFonts w:ascii="Times New Roman" w:hAnsi="Times New Roman" w:cs="Times New Roman"/>
          <w:sz w:val="24"/>
          <w:szCs w:val="24"/>
        </w:rPr>
        <w:t xml:space="preserve"> and it is impossible to say that the women are sharing an intimate moment or indeed are lesbians. From this she suggests that in the case of women the sexual needs to be visible to be identified as such and not merely defined as friendship. She admits that a 21</w:t>
      </w:r>
      <w:r w:rsidRPr="00A43012">
        <w:rPr>
          <w:rFonts w:ascii="Times New Roman" w:hAnsi="Times New Roman" w:cs="Times New Roman"/>
          <w:sz w:val="24"/>
          <w:szCs w:val="24"/>
          <w:vertAlign w:val="superscript"/>
        </w:rPr>
        <w:t>st</w:t>
      </w:r>
      <w:r w:rsidRPr="00A43012">
        <w:rPr>
          <w:rFonts w:ascii="Times New Roman" w:hAnsi="Times New Roman" w:cs="Times New Roman"/>
          <w:sz w:val="24"/>
          <w:szCs w:val="24"/>
        </w:rPr>
        <w:t xml:space="preserve"> century viewpoint may be emphasising a sexual relationship that is not present.</w:t>
      </w:r>
    </w:p>
    <w:p w:rsidR="00044B9E" w:rsidRPr="00A43012" w:rsidRDefault="00C149A8" w:rsidP="00856D4F">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 xml:space="preserve">Vase 5.15 labelled ‘women’s symposium’ with two naked women </w:t>
      </w:r>
      <w:r w:rsidR="00044B9E" w:rsidRPr="00A43012">
        <w:rPr>
          <w:rFonts w:ascii="Times New Roman" w:hAnsi="Times New Roman" w:cs="Times New Roman"/>
          <w:sz w:val="24"/>
          <w:szCs w:val="24"/>
        </w:rPr>
        <w:t xml:space="preserve">, legs intertwined , one playing pipes the other holding wine cups can be interpreted as women sharing intimacy but may have been produced for the male gaze .On vases with dildos and women Rabinowtz admits that it is difficult to interpret and to offer a female homoerotic </w:t>
      </w:r>
      <w:r w:rsidR="00D04D67" w:rsidRPr="00A43012">
        <w:rPr>
          <w:rFonts w:ascii="Times New Roman" w:hAnsi="Times New Roman" w:cs="Times New Roman"/>
          <w:sz w:val="24"/>
          <w:szCs w:val="24"/>
        </w:rPr>
        <w:t>implication. Fig</w:t>
      </w:r>
      <w:r w:rsidR="00044B9E" w:rsidRPr="00A43012">
        <w:rPr>
          <w:rFonts w:ascii="Times New Roman" w:hAnsi="Times New Roman" w:cs="Times New Roman"/>
          <w:sz w:val="24"/>
          <w:szCs w:val="24"/>
        </w:rPr>
        <w:t>. 5.25 appears to show</w:t>
      </w:r>
      <w:r w:rsidR="003045CB" w:rsidRPr="00A43012">
        <w:rPr>
          <w:rFonts w:ascii="Times New Roman" w:hAnsi="Times New Roman" w:cs="Times New Roman"/>
          <w:sz w:val="24"/>
          <w:szCs w:val="24"/>
        </w:rPr>
        <w:t xml:space="preserve"> naked woman</w:t>
      </w:r>
      <w:r w:rsidR="00044B9E" w:rsidRPr="00A43012">
        <w:rPr>
          <w:rFonts w:ascii="Times New Roman" w:hAnsi="Times New Roman" w:cs="Times New Roman"/>
          <w:sz w:val="24"/>
          <w:szCs w:val="24"/>
        </w:rPr>
        <w:t xml:space="preserve"> with another with her hand on her crotch. This seems to illustrate a sexual liaison but has also been interpreted as depilation </w:t>
      </w:r>
      <w:r w:rsidR="00667966" w:rsidRPr="00A43012">
        <w:rPr>
          <w:rFonts w:ascii="Times New Roman" w:hAnsi="Times New Roman" w:cs="Times New Roman"/>
          <w:sz w:val="24"/>
          <w:szCs w:val="24"/>
        </w:rPr>
        <w:t>or delousing.</w:t>
      </w:r>
      <w:r w:rsidR="00667966" w:rsidRPr="00A43012">
        <w:rPr>
          <w:rStyle w:val="FootnoteReference"/>
          <w:rFonts w:ascii="Times New Roman" w:hAnsi="Times New Roman" w:cs="Times New Roman"/>
          <w:sz w:val="24"/>
          <w:szCs w:val="24"/>
        </w:rPr>
        <w:footnoteReference w:id="38"/>
      </w:r>
    </w:p>
    <w:p w:rsidR="00D33913" w:rsidRPr="00A43012" w:rsidRDefault="00044B9E" w:rsidP="00856D4F">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 xml:space="preserve">Rabinowitz concludes that there are scenes of women in homosocial settings that can be interpreted as erotic and there are scenes depicting women bathing which are more erotically explicit. </w:t>
      </w:r>
      <w:r w:rsidR="00D33913" w:rsidRPr="00A43012">
        <w:rPr>
          <w:rFonts w:ascii="Times New Roman" w:hAnsi="Times New Roman" w:cs="Times New Roman"/>
          <w:sz w:val="24"/>
          <w:szCs w:val="24"/>
        </w:rPr>
        <w:t>She suggests that a failure to acknowledge an erotic interpretation of a relationship between women could be a sign of homophobic resistance.</w:t>
      </w:r>
    </w:p>
    <w:p w:rsidR="00D04D67" w:rsidRDefault="003045CB" w:rsidP="00D04D67">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 xml:space="preserve">In conclusion I deduce that Rabinowitz fails in her central thrust of identifying homoeroticism amongst women on Attic vases. The number of vases she refers to is quite small and she is unable to provide a convincing case for why a patriarchal society would manufacture such vases except for the delight of male viewers. In a review of Rabinowitz’s article Jenkins notes that even the women only gatherings on </w:t>
      </w:r>
      <w:proofErr w:type="spellStart"/>
      <w:r w:rsidRPr="00A43012">
        <w:rPr>
          <w:rFonts w:ascii="Times New Roman" w:hAnsi="Times New Roman" w:cs="Times New Roman"/>
          <w:sz w:val="24"/>
          <w:szCs w:val="24"/>
        </w:rPr>
        <w:lastRenderedPageBreak/>
        <w:t>Rabinowitz’s</w:t>
      </w:r>
      <w:proofErr w:type="spellEnd"/>
      <w:r w:rsidRPr="00A43012">
        <w:rPr>
          <w:rFonts w:ascii="Times New Roman" w:hAnsi="Times New Roman" w:cs="Times New Roman"/>
          <w:sz w:val="24"/>
          <w:szCs w:val="24"/>
        </w:rPr>
        <w:t xml:space="preserve"> chosen vases are “nebulously homosocial”</w:t>
      </w:r>
      <w:r w:rsidRPr="00A43012">
        <w:rPr>
          <w:rStyle w:val="FootnoteReference"/>
          <w:rFonts w:ascii="Times New Roman" w:hAnsi="Times New Roman" w:cs="Times New Roman"/>
          <w:sz w:val="24"/>
          <w:szCs w:val="24"/>
        </w:rPr>
        <w:footnoteReference w:id="39"/>
      </w:r>
      <w:r w:rsidRPr="00A43012">
        <w:rPr>
          <w:rFonts w:ascii="Times New Roman" w:hAnsi="Times New Roman" w:cs="Times New Roman"/>
          <w:sz w:val="24"/>
          <w:szCs w:val="24"/>
        </w:rPr>
        <w:t xml:space="preserve"> and overall</w:t>
      </w:r>
      <w:r w:rsidR="00B7229F" w:rsidRPr="00A43012">
        <w:rPr>
          <w:rFonts w:ascii="Times New Roman" w:hAnsi="Times New Roman" w:cs="Times New Roman"/>
          <w:sz w:val="24"/>
          <w:szCs w:val="24"/>
        </w:rPr>
        <w:t xml:space="preserve"> “the results are speculative.”</w:t>
      </w:r>
      <w:r w:rsidR="00B7229F" w:rsidRPr="00A43012">
        <w:rPr>
          <w:rStyle w:val="FootnoteReference"/>
          <w:rFonts w:ascii="Times New Roman" w:hAnsi="Times New Roman" w:cs="Times New Roman"/>
          <w:sz w:val="24"/>
          <w:szCs w:val="24"/>
        </w:rPr>
        <w:footnoteReference w:id="40"/>
      </w:r>
    </w:p>
    <w:p w:rsidR="00F02FD3" w:rsidRPr="00F02FD3" w:rsidRDefault="00F02FD3" w:rsidP="00D04D67">
      <w:pPr>
        <w:spacing w:line="480" w:lineRule="auto"/>
        <w:ind w:left="397" w:right="397"/>
        <w:jc w:val="both"/>
        <w:rPr>
          <w:rFonts w:ascii="Times New Roman" w:hAnsi="Times New Roman" w:cs="Times New Roman"/>
          <w:b/>
          <w:sz w:val="24"/>
          <w:szCs w:val="24"/>
        </w:rPr>
      </w:pPr>
      <w:r w:rsidRPr="00F02FD3">
        <w:rPr>
          <w:rFonts w:ascii="Times New Roman" w:hAnsi="Times New Roman" w:cs="Times New Roman"/>
          <w:b/>
          <w:sz w:val="24"/>
          <w:szCs w:val="24"/>
        </w:rPr>
        <w:t>Word Count 3257</w:t>
      </w:r>
    </w:p>
    <w:p w:rsidR="00002057" w:rsidRPr="00D04D67" w:rsidRDefault="0049658C" w:rsidP="00D04D67">
      <w:pPr>
        <w:spacing w:line="480" w:lineRule="auto"/>
        <w:ind w:left="397" w:right="397"/>
        <w:jc w:val="both"/>
        <w:rPr>
          <w:rFonts w:ascii="Times New Roman" w:hAnsi="Times New Roman" w:cs="Times New Roman"/>
          <w:sz w:val="24"/>
          <w:szCs w:val="24"/>
        </w:rPr>
      </w:pPr>
      <w:r w:rsidRPr="00A43012">
        <w:rPr>
          <w:rFonts w:ascii="Times New Roman" w:hAnsi="Times New Roman" w:cs="Times New Roman"/>
          <w:sz w:val="24"/>
          <w:szCs w:val="24"/>
        </w:rPr>
        <w:t xml:space="preserve">  </w:t>
      </w:r>
      <w:r w:rsidR="00D04D67">
        <w:rPr>
          <w:rFonts w:ascii="Times New Roman" w:hAnsi="Times New Roman" w:cs="Times New Roman"/>
          <w:b/>
          <w:sz w:val="24"/>
          <w:szCs w:val="24"/>
        </w:rPr>
        <w:t>B</w:t>
      </w:r>
      <w:r w:rsidR="00002057" w:rsidRPr="00A43012">
        <w:rPr>
          <w:rFonts w:ascii="Times New Roman" w:hAnsi="Times New Roman" w:cs="Times New Roman"/>
          <w:b/>
          <w:sz w:val="24"/>
          <w:szCs w:val="24"/>
        </w:rPr>
        <w:t>ibliography</w:t>
      </w:r>
    </w:p>
    <w:p w:rsidR="00002057" w:rsidRPr="00A43012" w:rsidRDefault="00002057" w:rsidP="00135E2A">
      <w:pPr>
        <w:spacing w:line="480" w:lineRule="auto"/>
        <w:rPr>
          <w:rFonts w:ascii="Times New Roman" w:hAnsi="Times New Roman" w:cs="Times New Roman"/>
          <w:b/>
          <w:sz w:val="24"/>
          <w:szCs w:val="24"/>
        </w:rPr>
      </w:pPr>
      <w:r w:rsidRPr="00A43012">
        <w:rPr>
          <w:rFonts w:ascii="Times New Roman" w:hAnsi="Times New Roman" w:cs="Times New Roman"/>
          <w:b/>
          <w:sz w:val="24"/>
          <w:szCs w:val="24"/>
        </w:rPr>
        <w:t>Modern sources</w:t>
      </w:r>
    </w:p>
    <w:p w:rsidR="00F40239" w:rsidRPr="00A43012" w:rsidRDefault="00F40239" w:rsidP="00F15364">
      <w:pPr>
        <w:spacing w:line="240" w:lineRule="auto"/>
        <w:rPr>
          <w:rFonts w:ascii="Times New Roman" w:hAnsi="Times New Roman" w:cs="Times New Roman"/>
          <w:sz w:val="24"/>
          <w:szCs w:val="24"/>
        </w:rPr>
      </w:pPr>
      <w:proofErr w:type="spellStart"/>
      <w:r w:rsidRPr="00A43012">
        <w:rPr>
          <w:rFonts w:ascii="Times New Roman" w:hAnsi="Times New Roman" w:cs="Times New Roman"/>
          <w:sz w:val="24"/>
          <w:szCs w:val="24"/>
        </w:rPr>
        <w:t>Bonfante</w:t>
      </w:r>
      <w:proofErr w:type="spellEnd"/>
      <w:r w:rsidRPr="00A43012">
        <w:rPr>
          <w:rFonts w:ascii="Times New Roman" w:hAnsi="Times New Roman" w:cs="Times New Roman"/>
          <w:sz w:val="24"/>
          <w:szCs w:val="24"/>
        </w:rPr>
        <w:t xml:space="preserve">, L., (1989) Nudity as a Costume in Classical Art, </w:t>
      </w:r>
      <w:r w:rsidRPr="00A43012">
        <w:rPr>
          <w:rFonts w:ascii="Times New Roman" w:hAnsi="Times New Roman" w:cs="Times New Roman"/>
          <w:i/>
          <w:sz w:val="24"/>
          <w:szCs w:val="24"/>
        </w:rPr>
        <w:t>American Journal of Archaeology</w:t>
      </w:r>
      <w:r w:rsidRPr="00A43012">
        <w:rPr>
          <w:rFonts w:ascii="Times New Roman" w:hAnsi="Times New Roman" w:cs="Times New Roman"/>
          <w:sz w:val="24"/>
          <w:szCs w:val="24"/>
        </w:rPr>
        <w:t xml:space="preserve">, Vol. 93. </w:t>
      </w:r>
      <w:proofErr w:type="gramStart"/>
      <w:r w:rsidRPr="00A43012">
        <w:rPr>
          <w:rFonts w:ascii="Times New Roman" w:hAnsi="Times New Roman" w:cs="Times New Roman"/>
          <w:sz w:val="24"/>
          <w:szCs w:val="24"/>
        </w:rPr>
        <w:t>No. 4 (Oct., 1989), pp543-570.</w:t>
      </w:r>
      <w:proofErr w:type="gramEnd"/>
      <w:r w:rsidRPr="00A43012">
        <w:rPr>
          <w:rFonts w:ascii="Times New Roman" w:hAnsi="Times New Roman" w:cs="Times New Roman"/>
          <w:sz w:val="24"/>
          <w:szCs w:val="24"/>
        </w:rPr>
        <w:t xml:space="preserve"> </w:t>
      </w:r>
      <w:proofErr w:type="gramStart"/>
      <w:r w:rsidRPr="00A43012">
        <w:rPr>
          <w:rFonts w:ascii="Times New Roman" w:hAnsi="Times New Roman" w:cs="Times New Roman"/>
          <w:sz w:val="24"/>
          <w:szCs w:val="24"/>
        </w:rPr>
        <w:t>Archaeological Institute of America.</w:t>
      </w:r>
      <w:proofErr w:type="gramEnd"/>
    </w:p>
    <w:p w:rsidR="004834D9" w:rsidRPr="00A43012" w:rsidRDefault="004834D9" w:rsidP="00135E2A">
      <w:pPr>
        <w:spacing w:line="480" w:lineRule="auto"/>
        <w:rPr>
          <w:rFonts w:ascii="Times New Roman" w:hAnsi="Times New Roman" w:cs="Times New Roman"/>
          <w:sz w:val="24"/>
          <w:szCs w:val="24"/>
        </w:rPr>
      </w:pPr>
      <w:r w:rsidRPr="00A43012">
        <w:rPr>
          <w:rFonts w:ascii="Times New Roman" w:hAnsi="Times New Roman" w:cs="Times New Roman"/>
          <w:sz w:val="24"/>
          <w:szCs w:val="24"/>
        </w:rPr>
        <w:t xml:space="preserve">Dover, K.J. (1989) </w:t>
      </w:r>
      <w:r w:rsidRPr="00A43012">
        <w:rPr>
          <w:rFonts w:ascii="Times New Roman" w:hAnsi="Times New Roman" w:cs="Times New Roman"/>
          <w:i/>
          <w:sz w:val="24"/>
          <w:szCs w:val="24"/>
        </w:rPr>
        <w:t>Greek Homosexuality</w:t>
      </w:r>
      <w:r w:rsidRPr="00A43012">
        <w:rPr>
          <w:rFonts w:ascii="Times New Roman" w:hAnsi="Times New Roman" w:cs="Times New Roman"/>
          <w:sz w:val="24"/>
          <w:szCs w:val="24"/>
        </w:rPr>
        <w:t>, London, Bloomsbury</w:t>
      </w:r>
    </w:p>
    <w:p w:rsidR="00F72AA0" w:rsidRPr="00BD66F4" w:rsidRDefault="00F72AA0" w:rsidP="00F15364">
      <w:pPr>
        <w:spacing w:line="240" w:lineRule="auto"/>
        <w:rPr>
          <w:rFonts w:ascii="Times New Roman" w:hAnsi="Times New Roman" w:cs="Times New Roman"/>
          <w:sz w:val="24"/>
          <w:szCs w:val="24"/>
        </w:rPr>
      </w:pPr>
      <w:proofErr w:type="spellStart"/>
      <w:r w:rsidRPr="00A43012">
        <w:rPr>
          <w:rFonts w:ascii="Times New Roman" w:hAnsi="Times New Roman" w:cs="Times New Roman"/>
          <w:sz w:val="24"/>
          <w:szCs w:val="24"/>
        </w:rPr>
        <w:t>Halperin</w:t>
      </w:r>
      <w:proofErr w:type="spellEnd"/>
      <w:r w:rsidRPr="00A43012">
        <w:rPr>
          <w:rFonts w:ascii="Times New Roman" w:hAnsi="Times New Roman" w:cs="Times New Roman"/>
          <w:sz w:val="24"/>
          <w:szCs w:val="24"/>
        </w:rPr>
        <w:t xml:space="preserve">, D., (1990) </w:t>
      </w:r>
      <w:r w:rsidRPr="00A43012">
        <w:rPr>
          <w:rFonts w:ascii="Times New Roman" w:hAnsi="Times New Roman" w:cs="Times New Roman"/>
          <w:i/>
          <w:sz w:val="24"/>
          <w:szCs w:val="24"/>
        </w:rPr>
        <w:t>One Hundred Years of Homosexuality</w:t>
      </w:r>
      <w:r w:rsidRPr="00A43012">
        <w:rPr>
          <w:rFonts w:ascii="Times New Roman" w:hAnsi="Times New Roman" w:cs="Times New Roman"/>
          <w:sz w:val="24"/>
          <w:szCs w:val="24"/>
        </w:rPr>
        <w:t xml:space="preserve">, New York, </w:t>
      </w:r>
      <w:proofErr w:type="spellStart"/>
      <w:r w:rsidR="00BD66F4">
        <w:rPr>
          <w:rFonts w:ascii="Times New Roman" w:hAnsi="Times New Roman" w:cs="Times New Roman"/>
          <w:sz w:val="24"/>
          <w:szCs w:val="24"/>
        </w:rPr>
        <w:t>Routledge</w:t>
      </w:r>
      <w:proofErr w:type="spellEnd"/>
    </w:p>
    <w:p w:rsidR="00415B1B" w:rsidRPr="00A43012" w:rsidRDefault="00415B1B" w:rsidP="00F15364">
      <w:pPr>
        <w:spacing w:line="240" w:lineRule="auto"/>
        <w:rPr>
          <w:rFonts w:ascii="Times New Roman" w:hAnsi="Times New Roman" w:cs="Times New Roman"/>
          <w:sz w:val="24"/>
          <w:szCs w:val="24"/>
        </w:rPr>
      </w:pPr>
      <w:proofErr w:type="spellStart"/>
      <w:r w:rsidRPr="00A43012">
        <w:rPr>
          <w:rFonts w:ascii="Times New Roman" w:hAnsi="Times New Roman" w:cs="Times New Roman"/>
          <w:sz w:val="24"/>
          <w:szCs w:val="24"/>
        </w:rPr>
        <w:t>James</w:t>
      </w:r>
      <w:proofErr w:type="gramStart"/>
      <w:r w:rsidRPr="00A43012">
        <w:rPr>
          <w:rFonts w:ascii="Times New Roman" w:hAnsi="Times New Roman" w:cs="Times New Roman"/>
          <w:sz w:val="24"/>
          <w:szCs w:val="24"/>
        </w:rPr>
        <w:t>,S.L</w:t>
      </w:r>
      <w:proofErr w:type="spellEnd"/>
      <w:proofErr w:type="gramEnd"/>
      <w:r w:rsidRPr="00A43012">
        <w:rPr>
          <w:rFonts w:ascii="Times New Roman" w:hAnsi="Times New Roman" w:cs="Times New Roman"/>
          <w:sz w:val="24"/>
          <w:szCs w:val="24"/>
        </w:rPr>
        <w:t>., and Dillon, S., (</w:t>
      </w:r>
      <w:proofErr w:type="spellStart"/>
      <w:r w:rsidRPr="00A43012">
        <w:rPr>
          <w:rFonts w:ascii="Times New Roman" w:hAnsi="Times New Roman" w:cs="Times New Roman"/>
          <w:sz w:val="24"/>
          <w:szCs w:val="24"/>
        </w:rPr>
        <w:t>eds</w:t>
      </w:r>
      <w:proofErr w:type="spellEnd"/>
      <w:r w:rsidRPr="00A43012">
        <w:rPr>
          <w:rFonts w:ascii="Times New Roman" w:hAnsi="Times New Roman" w:cs="Times New Roman"/>
          <w:sz w:val="24"/>
          <w:szCs w:val="24"/>
        </w:rPr>
        <w:t xml:space="preserve">) (2012) </w:t>
      </w:r>
      <w:r w:rsidRPr="00A43012">
        <w:rPr>
          <w:rFonts w:ascii="Times New Roman" w:hAnsi="Times New Roman" w:cs="Times New Roman"/>
          <w:i/>
          <w:sz w:val="24"/>
          <w:szCs w:val="24"/>
        </w:rPr>
        <w:t>A Companion to Women in the Ancient World</w:t>
      </w:r>
      <w:r w:rsidRPr="00A43012">
        <w:rPr>
          <w:rFonts w:ascii="Times New Roman" w:hAnsi="Times New Roman" w:cs="Times New Roman"/>
          <w:sz w:val="24"/>
          <w:szCs w:val="24"/>
        </w:rPr>
        <w:t xml:space="preserve">, Blackwell Reference Online. </w:t>
      </w:r>
      <w:hyperlink r:id="rId7" w:history="1">
        <w:r w:rsidRPr="00A43012">
          <w:rPr>
            <w:rStyle w:val="Hyperlink"/>
            <w:rFonts w:ascii="Times New Roman" w:hAnsi="Times New Roman" w:cs="Times New Roman"/>
            <w:sz w:val="24"/>
            <w:szCs w:val="24"/>
          </w:rPr>
          <w:t>http://www.blackwellreference.com/suscriber/tocnode.html?id=g9781405192842_chunk_g97814051928425</w:t>
        </w:r>
      </w:hyperlink>
      <w:r w:rsidRPr="00A43012">
        <w:rPr>
          <w:rFonts w:ascii="Times New Roman" w:hAnsi="Times New Roman" w:cs="Times New Roman"/>
          <w:sz w:val="24"/>
          <w:szCs w:val="24"/>
        </w:rPr>
        <w:t xml:space="preserve">  [accessed 24</w:t>
      </w:r>
      <w:r w:rsidRPr="00A43012">
        <w:rPr>
          <w:rFonts w:ascii="Times New Roman" w:hAnsi="Times New Roman" w:cs="Times New Roman"/>
          <w:sz w:val="24"/>
          <w:szCs w:val="24"/>
          <w:vertAlign w:val="superscript"/>
        </w:rPr>
        <w:t>th</w:t>
      </w:r>
      <w:r w:rsidRPr="00A43012">
        <w:rPr>
          <w:rFonts w:ascii="Times New Roman" w:hAnsi="Times New Roman" w:cs="Times New Roman"/>
          <w:sz w:val="24"/>
          <w:szCs w:val="24"/>
        </w:rPr>
        <w:t xml:space="preserve"> May 2015]</w:t>
      </w:r>
    </w:p>
    <w:p w:rsidR="00F15364" w:rsidRPr="00A43012" w:rsidRDefault="00F15364" w:rsidP="00F15364">
      <w:pPr>
        <w:spacing w:line="240" w:lineRule="auto"/>
        <w:rPr>
          <w:rFonts w:ascii="Times New Roman" w:hAnsi="Times New Roman" w:cs="Times New Roman"/>
          <w:sz w:val="24"/>
          <w:szCs w:val="24"/>
        </w:rPr>
      </w:pPr>
      <w:r w:rsidRPr="00A43012">
        <w:rPr>
          <w:rFonts w:ascii="Times New Roman" w:hAnsi="Times New Roman" w:cs="Times New Roman"/>
          <w:sz w:val="24"/>
          <w:szCs w:val="24"/>
        </w:rPr>
        <w:t xml:space="preserve">Jenkins, T.E., (2003) Review of Among </w:t>
      </w:r>
      <w:proofErr w:type="spellStart"/>
      <w:r w:rsidRPr="00A43012">
        <w:rPr>
          <w:rFonts w:ascii="Times New Roman" w:hAnsi="Times New Roman" w:cs="Times New Roman"/>
          <w:sz w:val="24"/>
          <w:szCs w:val="24"/>
        </w:rPr>
        <w:t>Women</w:t>
      </w:r>
      <w:proofErr w:type="gramStart"/>
      <w:r w:rsidRPr="00A43012">
        <w:rPr>
          <w:rFonts w:ascii="Times New Roman" w:hAnsi="Times New Roman" w:cs="Times New Roman"/>
          <w:sz w:val="24"/>
          <w:szCs w:val="24"/>
        </w:rPr>
        <w:t>:From</w:t>
      </w:r>
      <w:proofErr w:type="spellEnd"/>
      <w:proofErr w:type="gramEnd"/>
      <w:r w:rsidRPr="00A43012">
        <w:rPr>
          <w:rFonts w:ascii="Times New Roman" w:hAnsi="Times New Roman" w:cs="Times New Roman"/>
          <w:sz w:val="24"/>
          <w:szCs w:val="24"/>
        </w:rPr>
        <w:t xml:space="preserve"> the Homosocial to the Homoerotic in the Ancient W</w:t>
      </w:r>
      <w:r w:rsidR="00362C8F" w:rsidRPr="00A43012">
        <w:rPr>
          <w:rFonts w:ascii="Times New Roman" w:hAnsi="Times New Roman" w:cs="Times New Roman"/>
          <w:sz w:val="24"/>
          <w:szCs w:val="24"/>
        </w:rPr>
        <w:t>orld</w:t>
      </w:r>
      <w:r w:rsidR="00362C8F" w:rsidRPr="00A43012">
        <w:rPr>
          <w:rFonts w:ascii="Times New Roman" w:hAnsi="Times New Roman" w:cs="Times New Roman"/>
          <w:i/>
          <w:sz w:val="24"/>
          <w:szCs w:val="24"/>
        </w:rPr>
        <w:t xml:space="preserve">. </w:t>
      </w:r>
      <w:proofErr w:type="gramStart"/>
      <w:r w:rsidR="00362C8F" w:rsidRPr="00A43012">
        <w:rPr>
          <w:rFonts w:ascii="Times New Roman" w:hAnsi="Times New Roman" w:cs="Times New Roman"/>
          <w:i/>
          <w:sz w:val="24"/>
          <w:szCs w:val="24"/>
        </w:rPr>
        <w:t>Journal of the History of Sexuality</w:t>
      </w:r>
      <w:r w:rsidR="00362C8F" w:rsidRPr="00A43012">
        <w:rPr>
          <w:rFonts w:ascii="Times New Roman" w:hAnsi="Times New Roman" w:cs="Times New Roman"/>
          <w:sz w:val="24"/>
          <w:szCs w:val="24"/>
        </w:rPr>
        <w:t>.</w:t>
      </w:r>
      <w:proofErr w:type="gramEnd"/>
      <w:r w:rsidR="00362C8F" w:rsidRPr="00A43012">
        <w:rPr>
          <w:rFonts w:ascii="Times New Roman" w:hAnsi="Times New Roman" w:cs="Times New Roman"/>
          <w:sz w:val="24"/>
          <w:szCs w:val="24"/>
        </w:rPr>
        <w:t xml:space="preserve"> </w:t>
      </w:r>
      <w:proofErr w:type="gramStart"/>
      <w:r w:rsidR="00362C8F" w:rsidRPr="00A43012">
        <w:rPr>
          <w:rFonts w:ascii="Times New Roman" w:hAnsi="Times New Roman" w:cs="Times New Roman"/>
          <w:sz w:val="24"/>
          <w:szCs w:val="24"/>
        </w:rPr>
        <w:t>Vol. 12.</w:t>
      </w:r>
      <w:proofErr w:type="gramEnd"/>
      <w:r w:rsidR="00362C8F" w:rsidRPr="00A43012">
        <w:rPr>
          <w:rFonts w:ascii="Times New Roman" w:hAnsi="Times New Roman" w:cs="Times New Roman"/>
          <w:sz w:val="24"/>
          <w:szCs w:val="24"/>
        </w:rPr>
        <w:t xml:space="preserve"> No. 1 (Jan 2003) pp 150-153</w:t>
      </w:r>
    </w:p>
    <w:p w:rsidR="003B0B5D" w:rsidRPr="00A43012" w:rsidRDefault="003B0B5D" w:rsidP="00135E2A">
      <w:pPr>
        <w:spacing w:line="480" w:lineRule="auto"/>
        <w:rPr>
          <w:rFonts w:ascii="Times New Roman" w:hAnsi="Times New Roman" w:cs="Times New Roman"/>
          <w:sz w:val="24"/>
          <w:szCs w:val="24"/>
        </w:rPr>
      </w:pPr>
      <w:proofErr w:type="spellStart"/>
      <w:r w:rsidRPr="00A43012">
        <w:rPr>
          <w:rFonts w:ascii="Times New Roman" w:hAnsi="Times New Roman" w:cs="Times New Roman"/>
          <w:sz w:val="24"/>
          <w:szCs w:val="24"/>
        </w:rPr>
        <w:t>Licht</w:t>
      </w:r>
      <w:proofErr w:type="spellEnd"/>
      <w:r w:rsidRPr="00A43012">
        <w:rPr>
          <w:rFonts w:ascii="Times New Roman" w:hAnsi="Times New Roman" w:cs="Times New Roman"/>
          <w:sz w:val="24"/>
          <w:szCs w:val="24"/>
        </w:rPr>
        <w:t xml:space="preserve">, </w:t>
      </w:r>
      <w:r w:rsidR="005D3586" w:rsidRPr="00A43012">
        <w:rPr>
          <w:rFonts w:ascii="Times New Roman" w:hAnsi="Times New Roman" w:cs="Times New Roman"/>
          <w:sz w:val="24"/>
          <w:szCs w:val="24"/>
        </w:rPr>
        <w:t>H.</w:t>
      </w:r>
      <w:r w:rsidRPr="00A43012">
        <w:rPr>
          <w:rFonts w:ascii="Times New Roman" w:hAnsi="Times New Roman" w:cs="Times New Roman"/>
          <w:sz w:val="24"/>
          <w:szCs w:val="24"/>
        </w:rPr>
        <w:t xml:space="preserve">, (1994) </w:t>
      </w:r>
      <w:r w:rsidRPr="00A43012">
        <w:rPr>
          <w:rFonts w:ascii="Times New Roman" w:hAnsi="Times New Roman" w:cs="Times New Roman"/>
          <w:i/>
          <w:sz w:val="24"/>
          <w:szCs w:val="24"/>
        </w:rPr>
        <w:t xml:space="preserve">Sexual Life in Ancient </w:t>
      </w:r>
      <w:r w:rsidR="005D3586" w:rsidRPr="00A43012">
        <w:rPr>
          <w:rFonts w:ascii="Times New Roman" w:hAnsi="Times New Roman" w:cs="Times New Roman"/>
          <w:i/>
          <w:sz w:val="24"/>
          <w:szCs w:val="24"/>
        </w:rPr>
        <w:t>Greece</w:t>
      </w:r>
      <w:r w:rsidR="005D3586" w:rsidRPr="00A43012">
        <w:rPr>
          <w:rFonts w:ascii="Times New Roman" w:hAnsi="Times New Roman" w:cs="Times New Roman"/>
          <w:sz w:val="24"/>
          <w:szCs w:val="24"/>
        </w:rPr>
        <w:t>,</w:t>
      </w:r>
      <w:r w:rsidRPr="00A43012">
        <w:rPr>
          <w:rFonts w:ascii="Times New Roman" w:hAnsi="Times New Roman" w:cs="Times New Roman"/>
          <w:sz w:val="24"/>
          <w:szCs w:val="24"/>
        </w:rPr>
        <w:t xml:space="preserve"> London, Constable</w:t>
      </w:r>
    </w:p>
    <w:p w:rsidR="005D3586" w:rsidRPr="00A43012" w:rsidRDefault="005D3586" w:rsidP="00F15364">
      <w:pPr>
        <w:spacing w:line="240" w:lineRule="auto"/>
        <w:rPr>
          <w:rFonts w:ascii="Times New Roman" w:hAnsi="Times New Roman" w:cs="Times New Roman"/>
          <w:sz w:val="24"/>
          <w:szCs w:val="24"/>
        </w:rPr>
      </w:pPr>
      <w:r w:rsidRPr="00A43012">
        <w:rPr>
          <w:rFonts w:ascii="Times New Roman" w:hAnsi="Times New Roman" w:cs="Times New Roman"/>
          <w:sz w:val="24"/>
          <w:szCs w:val="24"/>
        </w:rPr>
        <w:t xml:space="preserve">Llewellyn-Jones, L., (2002) </w:t>
      </w:r>
      <w:r w:rsidRPr="00A43012">
        <w:rPr>
          <w:rFonts w:ascii="Times New Roman" w:hAnsi="Times New Roman" w:cs="Times New Roman"/>
          <w:i/>
          <w:sz w:val="24"/>
          <w:szCs w:val="24"/>
        </w:rPr>
        <w:t>Women’s Dress in the Ancient World</w:t>
      </w:r>
      <w:r w:rsidRPr="00A43012">
        <w:rPr>
          <w:rFonts w:ascii="Times New Roman" w:hAnsi="Times New Roman" w:cs="Times New Roman"/>
          <w:sz w:val="24"/>
          <w:szCs w:val="24"/>
        </w:rPr>
        <w:t>, Swansea, The Classical Press of Wales</w:t>
      </w:r>
    </w:p>
    <w:p w:rsidR="005D3586" w:rsidRPr="00A43012" w:rsidRDefault="005D3586" w:rsidP="00F15364">
      <w:pPr>
        <w:spacing w:line="240" w:lineRule="auto"/>
        <w:rPr>
          <w:rFonts w:ascii="Times New Roman" w:hAnsi="Times New Roman" w:cs="Times New Roman"/>
          <w:sz w:val="24"/>
          <w:szCs w:val="24"/>
        </w:rPr>
      </w:pPr>
      <w:r w:rsidRPr="00A43012">
        <w:rPr>
          <w:rFonts w:ascii="Times New Roman" w:hAnsi="Times New Roman" w:cs="Times New Roman"/>
          <w:sz w:val="24"/>
          <w:szCs w:val="24"/>
        </w:rPr>
        <w:t xml:space="preserve">Llewellyn-Jones, L., (2007) House and veil in ancient Greece, </w:t>
      </w:r>
      <w:proofErr w:type="spellStart"/>
      <w:r w:rsidRPr="00A43012">
        <w:rPr>
          <w:rFonts w:ascii="Times New Roman" w:hAnsi="Times New Roman" w:cs="Times New Roman"/>
          <w:sz w:val="24"/>
          <w:szCs w:val="24"/>
        </w:rPr>
        <w:t>Vol</w:t>
      </w:r>
      <w:proofErr w:type="spellEnd"/>
      <w:r w:rsidRPr="00A43012">
        <w:rPr>
          <w:rFonts w:ascii="Times New Roman" w:hAnsi="Times New Roman" w:cs="Times New Roman"/>
          <w:sz w:val="24"/>
          <w:szCs w:val="24"/>
        </w:rPr>
        <w:t xml:space="preserve"> 15.</w:t>
      </w:r>
      <w:r w:rsidRPr="00A43012">
        <w:rPr>
          <w:rFonts w:ascii="Times New Roman" w:hAnsi="Times New Roman" w:cs="Times New Roman"/>
          <w:i/>
          <w:sz w:val="24"/>
          <w:szCs w:val="24"/>
        </w:rPr>
        <w:t xml:space="preserve">Building </w:t>
      </w:r>
      <w:proofErr w:type="spellStart"/>
      <w:r w:rsidRPr="00A43012">
        <w:rPr>
          <w:rFonts w:ascii="Times New Roman" w:hAnsi="Times New Roman" w:cs="Times New Roman"/>
          <w:i/>
          <w:sz w:val="24"/>
          <w:szCs w:val="24"/>
        </w:rPr>
        <w:t>Communities</w:t>
      </w:r>
      <w:proofErr w:type="gramStart"/>
      <w:r w:rsidRPr="00A43012">
        <w:rPr>
          <w:rFonts w:ascii="Times New Roman" w:hAnsi="Times New Roman" w:cs="Times New Roman"/>
          <w:i/>
          <w:sz w:val="24"/>
          <w:szCs w:val="24"/>
        </w:rPr>
        <w:t>:House</w:t>
      </w:r>
      <w:proofErr w:type="spellEnd"/>
      <w:proofErr w:type="gramEnd"/>
      <w:r w:rsidRPr="00A43012">
        <w:rPr>
          <w:rFonts w:ascii="Times New Roman" w:hAnsi="Times New Roman" w:cs="Times New Roman"/>
          <w:i/>
          <w:sz w:val="24"/>
          <w:szCs w:val="24"/>
        </w:rPr>
        <w:t xml:space="preserve">, Settlement and Society in the Aegean and Beyond </w:t>
      </w:r>
      <w:r w:rsidRPr="00A43012">
        <w:rPr>
          <w:rFonts w:ascii="Times New Roman" w:hAnsi="Times New Roman" w:cs="Times New Roman"/>
          <w:sz w:val="24"/>
          <w:szCs w:val="24"/>
        </w:rPr>
        <w:t xml:space="preserve">. Athens. </w:t>
      </w:r>
      <w:proofErr w:type="gramStart"/>
      <w:r w:rsidRPr="00A43012">
        <w:rPr>
          <w:rFonts w:ascii="Times New Roman" w:hAnsi="Times New Roman" w:cs="Times New Roman"/>
          <w:sz w:val="24"/>
          <w:szCs w:val="24"/>
        </w:rPr>
        <w:t>British School at Athens.</w:t>
      </w:r>
      <w:proofErr w:type="gramEnd"/>
    </w:p>
    <w:p w:rsidR="00AF1612" w:rsidRPr="00A43012" w:rsidRDefault="00AF1612" w:rsidP="00F15364">
      <w:pPr>
        <w:spacing w:line="240" w:lineRule="auto"/>
        <w:rPr>
          <w:rFonts w:ascii="Times New Roman" w:hAnsi="Times New Roman" w:cs="Times New Roman"/>
          <w:sz w:val="24"/>
          <w:szCs w:val="24"/>
        </w:rPr>
      </w:pPr>
      <w:r w:rsidRPr="00A43012">
        <w:rPr>
          <w:rFonts w:ascii="Times New Roman" w:hAnsi="Times New Roman" w:cs="Times New Roman"/>
          <w:sz w:val="24"/>
          <w:szCs w:val="24"/>
        </w:rPr>
        <w:t xml:space="preserve">Parker, H.N., (2001) </w:t>
      </w:r>
      <w:proofErr w:type="gramStart"/>
      <w:r w:rsidRPr="00A43012">
        <w:rPr>
          <w:rFonts w:ascii="Times New Roman" w:hAnsi="Times New Roman" w:cs="Times New Roman"/>
          <w:sz w:val="24"/>
          <w:szCs w:val="24"/>
        </w:rPr>
        <w:t>The</w:t>
      </w:r>
      <w:proofErr w:type="gramEnd"/>
      <w:r w:rsidRPr="00A43012">
        <w:rPr>
          <w:rFonts w:ascii="Times New Roman" w:hAnsi="Times New Roman" w:cs="Times New Roman"/>
          <w:sz w:val="24"/>
          <w:szCs w:val="24"/>
        </w:rPr>
        <w:t xml:space="preserve"> Myth of the Heterosexual: Anthropology and Sexuality for Classicists. </w:t>
      </w:r>
      <w:r w:rsidRPr="00A43012">
        <w:rPr>
          <w:rFonts w:ascii="Times New Roman" w:hAnsi="Times New Roman" w:cs="Times New Roman"/>
          <w:i/>
          <w:sz w:val="24"/>
          <w:szCs w:val="24"/>
        </w:rPr>
        <w:t xml:space="preserve">Arethusa, </w:t>
      </w:r>
      <w:r w:rsidRPr="00A43012">
        <w:rPr>
          <w:rFonts w:ascii="Times New Roman" w:hAnsi="Times New Roman" w:cs="Times New Roman"/>
          <w:sz w:val="24"/>
          <w:szCs w:val="24"/>
        </w:rPr>
        <w:t>Vol. 34.No. 3, Fall 2001</w:t>
      </w:r>
      <w:proofErr w:type="gramStart"/>
      <w:r w:rsidRPr="00A43012">
        <w:rPr>
          <w:rFonts w:ascii="Times New Roman" w:hAnsi="Times New Roman" w:cs="Times New Roman"/>
          <w:sz w:val="24"/>
          <w:szCs w:val="24"/>
        </w:rPr>
        <w:t>,pp313</w:t>
      </w:r>
      <w:proofErr w:type="gramEnd"/>
      <w:r w:rsidRPr="00A43012">
        <w:rPr>
          <w:rFonts w:ascii="Times New Roman" w:hAnsi="Times New Roman" w:cs="Times New Roman"/>
          <w:sz w:val="24"/>
          <w:szCs w:val="24"/>
        </w:rPr>
        <w:t xml:space="preserve">-362. </w:t>
      </w:r>
      <w:proofErr w:type="gramStart"/>
      <w:r w:rsidRPr="00A43012">
        <w:rPr>
          <w:rFonts w:ascii="Times New Roman" w:hAnsi="Times New Roman" w:cs="Times New Roman"/>
          <w:sz w:val="24"/>
          <w:szCs w:val="24"/>
        </w:rPr>
        <w:t>John Hopkins University Press.</w:t>
      </w:r>
      <w:proofErr w:type="gramEnd"/>
    </w:p>
    <w:p w:rsidR="00AB0F55" w:rsidRPr="00A43012" w:rsidRDefault="00AB0F55" w:rsidP="00F15364">
      <w:pPr>
        <w:spacing w:line="240" w:lineRule="auto"/>
        <w:rPr>
          <w:rFonts w:ascii="Times New Roman" w:hAnsi="Times New Roman" w:cs="Times New Roman"/>
          <w:sz w:val="24"/>
          <w:szCs w:val="24"/>
        </w:rPr>
      </w:pPr>
      <w:proofErr w:type="spellStart"/>
      <w:r w:rsidRPr="00A43012">
        <w:rPr>
          <w:rFonts w:ascii="Times New Roman" w:hAnsi="Times New Roman" w:cs="Times New Roman"/>
          <w:sz w:val="24"/>
          <w:szCs w:val="24"/>
        </w:rPr>
        <w:t>Pomeroy</w:t>
      </w:r>
      <w:proofErr w:type="gramStart"/>
      <w:r w:rsidRPr="00A43012">
        <w:rPr>
          <w:rFonts w:ascii="Times New Roman" w:hAnsi="Times New Roman" w:cs="Times New Roman"/>
          <w:sz w:val="24"/>
          <w:szCs w:val="24"/>
        </w:rPr>
        <w:t>,S.B</w:t>
      </w:r>
      <w:proofErr w:type="spellEnd"/>
      <w:proofErr w:type="gramEnd"/>
      <w:r w:rsidRPr="00A43012">
        <w:rPr>
          <w:rFonts w:ascii="Times New Roman" w:hAnsi="Times New Roman" w:cs="Times New Roman"/>
          <w:sz w:val="24"/>
          <w:szCs w:val="24"/>
        </w:rPr>
        <w:t xml:space="preserve">. (1975) </w:t>
      </w:r>
      <w:r w:rsidRPr="00A43012">
        <w:rPr>
          <w:rFonts w:ascii="Times New Roman" w:hAnsi="Times New Roman" w:cs="Times New Roman"/>
          <w:i/>
          <w:sz w:val="24"/>
          <w:szCs w:val="24"/>
        </w:rPr>
        <w:t>Goddesses, Whores, Wives, &amp; Slaves: Women in Classical Antiquity</w:t>
      </w:r>
      <w:r w:rsidRPr="00A43012">
        <w:rPr>
          <w:rFonts w:ascii="Times New Roman" w:hAnsi="Times New Roman" w:cs="Times New Roman"/>
          <w:sz w:val="24"/>
          <w:szCs w:val="24"/>
        </w:rPr>
        <w:t xml:space="preserve">. London. </w:t>
      </w:r>
      <w:proofErr w:type="spellStart"/>
      <w:r w:rsidRPr="00A43012">
        <w:rPr>
          <w:rFonts w:ascii="Times New Roman" w:hAnsi="Times New Roman" w:cs="Times New Roman"/>
          <w:sz w:val="24"/>
          <w:szCs w:val="24"/>
        </w:rPr>
        <w:t>Pimilco</w:t>
      </w:r>
      <w:proofErr w:type="spellEnd"/>
    </w:p>
    <w:p w:rsidR="00002057" w:rsidRPr="00A43012" w:rsidRDefault="00002057" w:rsidP="00F15364">
      <w:pPr>
        <w:spacing w:line="240" w:lineRule="auto"/>
        <w:rPr>
          <w:rFonts w:ascii="Times New Roman" w:hAnsi="Times New Roman" w:cs="Times New Roman"/>
          <w:i/>
          <w:sz w:val="24"/>
          <w:szCs w:val="24"/>
        </w:rPr>
      </w:pPr>
      <w:r w:rsidRPr="00A43012">
        <w:rPr>
          <w:rFonts w:ascii="Times New Roman" w:hAnsi="Times New Roman" w:cs="Times New Roman"/>
          <w:sz w:val="24"/>
          <w:szCs w:val="24"/>
        </w:rPr>
        <w:t>Rabinowitz, N.S</w:t>
      </w:r>
      <w:proofErr w:type="gramStart"/>
      <w:r w:rsidRPr="00A43012">
        <w:rPr>
          <w:rFonts w:ascii="Times New Roman" w:hAnsi="Times New Roman" w:cs="Times New Roman"/>
          <w:sz w:val="24"/>
          <w:szCs w:val="24"/>
        </w:rPr>
        <w:t>.</w:t>
      </w:r>
      <w:r w:rsidR="00AB0F55" w:rsidRPr="00A43012">
        <w:rPr>
          <w:rFonts w:ascii="Times New Roman" w:hAnsi="Times New Roman" w:cs="Times New Roman"/>
          <w:sz w:val="24"/>
          <w:szCs w:val="24"/>
        </w:rPr>
        <w:t>(</w:t>
      </w:r>
      <w:proofErr w:type="gramEnd"/>
      <w:r w:rsidRPr="00A43012">
        <w:rPr>
          <w:rFonts w:ascii="Times New Roman" w:hAnsi="Times New Roman" w:cs="Times New Roman"/>
          <w:sz w:val="24"/>
          <w:szCs w:val="24"/>
        </w:rPr>
        <w:t xml:space="preserve"> 2002</w:t>
      </w:r>
      <w:r w:rsidR="00AB0F55" w:rsidRPr="00A43012">
        <w:rPr>
          <w:rFonts w:ascii="Times New Roman" w:hAnsi="Times New Roman" w:cs="Times New Roman"/>
          <w:sz w:val="24"/>
          <w:szCs w:val="24"/>
        </w:rPr>
        <w:t>)</w:t>
      </w:r>
      <w:r w:rsidRPr="00A43012">
        <w:rPr>
          <w:rFonts w:ascii="Times New Roman" w:hAnsi="Times New Roman" w:cs="Times New Roman"/>
          <w:sz w:val="24"/>
          <w:szCs w:val="24"/>
        </w:rPr>
        <w:t xml:space="preserve">. Excavating women’s homoeroticism in ancient Greece: the evidence from Attic vase painting in Rabinowitz, N.R. and </w:t>
      </w:r>
      <w:proofErr w:type="spellStart"/>
      <w:r w:rsidRPr="00A43012">
        <w:rPr>
          <w:rFonts w:ascii="Times New Roman" w:hAnsi="Times New Roman" w:cs="Times New Roman"/>
          <w:sz w:val="24"/>
          <w:szCs w:val="24"/>
        </w:rPr>
        <w:t>Auanger</w:t>
      </w:r>
      <w:proofErr w:type="spellEnd"/>
      <w:r w:rsidRPr="00A43012">
        <w:rPr>
          <w:rFonts w:ascii="Times New Roman" w:hAnsi="Times New Roman" w:cs="Times New Roman"/>
          <w:sz w:val="24"/>
          <w:szCs w:val="24"/>
        </w:rPr>
        <w:t>, L.</w:t>
      </w:r>
      <w:r w:rsidR="00F15364" w:rsidRPr="00A43012">
        <w:rPr>
          <w:rFonts w:ascii="Times New Roman" w:hAnsi="Times New Roman" w:cs="Times New Roman"/>
          <w:sz w:val="24"/>
          <w:szCs w:val="24"/>
        </w:rPr>
        <w:t xml:space="preserve"> </w:t>
      </w:r>
      <w:r w:rsidR="00F15364" w:rsidRPr="00A43012">
        <w:rPr>
          <w:rFonts w:ascii="Times New Roman" w:hAnsi="Times New Roman" w:cs="Times New Roman"/>
          <w:i/>
          <w:sz w:val="24"/>
          <w:szCs w:val="24"/>
        </w:rPr>
        <w:t>Among Women:</w:t>
      </w:r>
      <w:r w:rsidRPr="00A43012">
        <w:rPr>
          <w:rFonts w:ascii="Times New Roman" w:hAnsi="Times New Roman" w:cs="Times New Roman"/>
          <w:sz w:val="24"/>
          <w:szCs w:val="24"/>
        </w:rPr>
        <w:t xml:space="preserve"> </w:t>
      </w:r>
      <w:proofErr w:type="gramStart"/>
      <w:r w:rsidRPr="00A43012">
        <w:rPr>
          <w:rFonts w:ascii="Times New Roman" w:hAnsi="Times New Roman" w:cs="Times New Roman"/>
          <w:i/>
          <w:sz w:val="24"/>
          <w:szCs w:val="24"/>
        </w:rPr>
        <w:t>From</w:t>
      </w:r>
      <w:proofErr w:type="gramEnd"/>
      <w:r w:rsidRPr="00A43012">
        <w:rPr>
          <w:rFonts w:ascii="Times New Roman" w:hAnsi="Times New Roman" w:cs="Times New Roman"/>
          <w:i/>
          <w:sz w:val="24"/>
          <w:szCs w:val="24"/>
        </w:rPr>
        <w:t xml:space="preserve"> the Homosocial to the Homoerotic in the Ancient World, </w:t>
      </w:r>
      <w:r w:rsidRPr="00A43012">
        <w:rPr>
          <w:rFonts w:ascii="Times New Roman" w:hAnsi="Times New Roman" w:cs="Times New Roman"/>
          <w:sz w:val="24"/>
          <w:szCs w:val="24"/>
        </w:rPr>
        <w:t>p106-166. Austin, University</w:t>
      </w:r>
      <w:r w:rsidR="00D07355" w:rsidRPr="00A43012">
        <w:rPr>
          <w:rFonts w:ascii="Times New Roman" w:hAnsi="Times New Roman" w:cs="Times New Roman"/>
          <w:sz w:val="24"/>
          <w:szCs w:val="24"/>
        </w:rPr>
        <w:t xml:space="preserve"> of Texas Press</w:t>
      </w:r>
      <w:r w:rsidRPr="00A43012">
        <w:rPr>
          <w:rFonts w:ascii="Times New Roman" w:hAnsi="Times New Roman" w:cs="Times New Roman"/>
          <w:i/>
          <w:sz w:val="24"/>
          <w:szCs w:val="24"/>
        </w:rPr>
        <w:t xml:space="preserve"> </w:t>
      </w:r>
    </w:p>
    <w:p w:rsidR="00F72AA0" w:rsidRPr="00BD66F4" w:rsidRDefault="00F72AA0" w:rsidP="00F15364">
      <w:pPr>
        <w:spacing w:line="240" w:lineRule="auto"/>
        <w:rPr>
          <w:rFonts w:ascii="Times New Roman" w:hAnsi="Times New Roman" w:cs="Times New Roman"/>
          <w:sz w:val="24"/>
          <w:szCs w:val="24"/>
        </w:rPr>
      </w:pPr>
      <w:r w:rsidRPr="00A43012">
        <w:rPr>
          <w:rFonts w:ascii="Times New Roman" w:hAnsi="Times New Roman" w:cs="Times New Roman"/>
          <w:sz w:val="24"/>
          <w:szCs w:val="24"/>
        </w:rPr>
        <w:lastRenderedPageBreak/>
        <w:t xml:space="preserve">Weeks, J., (1991) </w:t>
      </w:r>
      <w:r w:rsidRPr="00A43012">
        <w:rPr>
          <w:rFonts w:ascii="Times New Roman" w:hAnsi="Times New Roman" w:cs="Times New Roman"/>
          <w:i/>
          <w:sz w:val="24"/>
          <w:szCs w:val="24"/>
        </w:rPr>
        <w:t>Against Nature: Essays in History, Sexuality, and Identity</w:t>
      </w:r>
      <w:r w:rsidRPr="00A43012">
        <w:rPr>
          <w:rFonts w:ascii="Times New Roman" w:hAnsi="Times New Roman" w:cs="Times New Roman"/>
          <w:sz w:val="24"/>
          <w:szCs w:val="24"/>
        </w:rPr>
        <w:t xml:space="preserve">, London, </w:t>
      </w:r>
      <w:r w:rsidR="00BD66F4">
        <w:rPr>
          <w:rFonts w:ascii="Times New Roman" w:hAnsi="Times New Roman" w:cs="Times New Roman"/>
          <w:sz w:val="24"/>
          <w:szCs w:val="24"/>
        </w:rPr>
        <w:t xml:space="preserve">Rivers </w:t>
      </w:r>
      <w:proofErr w:type="spellStart"/>
      <w:r w:rsidR="00BD66F4">
        <w:rPr>
          <w:rFonts w:ascii="Times New Roman" w:hAnsi="Times New Roman" w:cs="Times New Roman"/>
          <w:sz w:val="24"/>
          <w:szCs w:val="24"/>
        </w:rPr>
        <w:t>Oram</w:t>
      </w:r>
      <w:proofErr w:type="spellEnd"/>
      <w:r w:rsidR="00BD66F4">
        <w:rPr>
          <w:rFonts w:ascii="Times New Roman" w:hAnsi="Times New Roman" w:cs="Times New Roman"/>
          <w:sz w:val="24"/>
          <w:szCs w:val="24"/>
        </w:rPr>
        <w:t xml:space="preserve"> Press</w:t>
      </w:r>
    </w:p>
    <w:sectPr w:rsidR="00F72AA0" w:rsidRPr="00BD66F4" w:rsidSect="00052EE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D30AB" w:rsidRDefault="008D30AB" w:rsidP="00BE7787">
      <w:pPr>
        <w:spacing w:after="0" w:line="240" w:lineRule="auto"/>
      </w:pPr>
      <w:r>
        <w:separator/>
      </w:r>
    </w:p>
  </w:endnote>
  <w:endnote w:type="continuationSeparator" w:id="0">
    <w:p w:rsidR="008D30AB" w:rsidRDefault="008D30AB" w:rsidP="00BE77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0F55" w:rsidRDefault="00AB0F5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5577969"/>
      <w:docPartObj>
        <w:docPartGallery w:val="Page Numbers (Bottom of Page)"/>
        <w:docPartUnique/>
      </w:docPartObj>
    </w:sdtPr>
    <w:sdtContent>
      <w:p w:rsidR="00AB0F55" w:rsidRDefault="00F34EE2">
        <w:pPr>
          <w:pStyle w:val="Footer"/>
          <w:jc w:val="center"/>
        </w:pPr>
        <w:fldSimple w:instr=" PAGE   \* MERGEFORMAT ">
          <w:r w:rsidR="00F02FD3">
            <w:rPr>
              <w:noProof/>
            </w:rPr>
            <w:t>12</w:t>
          </w:r>
        </w:fldSimple>
      </w:p>
    </w:sdtContent>
  </w:sdt>
  <w:p w:rsidR="00AB0F55" w:rsidRDefault="00AB0F55">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0F55" w:rsidRDefault="00AB0F5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D30AB" w:rsidRDefault="008D30AB" w:rsidP="00BE7787">
      <w:pPr>
        <w:spacing w:after="0" w:line="240" w:lineRule="auto"/>
      </w:pPr>
      <w:r>
        <w:separator/>
      </w:r>
    </w:p>
  </w:footnote>
  <w:footnote w:type="continuationSeparator" w:id="0">
    <w:p w:rsidR="008D30AB" w:rsidRDefault="008D30AB" w:rsidP="00BE7787">
      <w:pPr>
        <w:spacing w:after="0" w:line="240" w:lineRule="auto"/>
      </w:pPr>
      <w:r>
        <w:continuationSeparator/>
      </w:r>
    </w:p>
  </w:footnote>
  <w:footnote w:id="1">
    <w:p w:rsidR="00AB0F55" w:rsidRDefault="00AB0F55">
      <w:pPr>
        <w:pStyle w:val="FootnoteText"/>
      </w:pPr>
      <w:r>
        <w:rPr>
          <w:rStyle w:val="FootnoteReference"/>
        </w:rPr>
        <w:footnoteRef/>
      </w:r>
      <w:r>
        <w:t xml:space="preserve"> James and Dillon 2012 p1</w:t>
      </w:r>
    </w:p>
  </w:footnote>
  <w:footnote w:id="2">
    <w:p w:rsidR="00AB0F55" w:rsidRDefault="00AB0F55">
      <w:pPr>
        <w:pStyle w:val="FootnoteText"/>
      </w:pPr>
      <w:r>
        <w:rPr>
          <w:rStyle w:val="FootnoteReference"/>
        </w:rPr>
        <w:footnoteRef/>
      </w:r>
      <w:r>
        <w:t xml:space="preserve"> </w:t>
      </w:r>
      <w:proofErr w:type="spellStart"/>
      <w:r>
        <w:t>Bonfante</w:t>
      </w:r>
      <w:proofErr w:type="spellEnd"/>
      <w:r>
        <w:t xml:space="preserve"> 1989 p558</w:t>
      </w:r>
    </w:p>
  </w:footnote>
  <w:footnote w:id="3">
    <w:p w:rsidR="00AB0F55" w:rsidRDefault="00AB0F55">
      <w:pPr>
        <w:pStyle w:val="FootnoteText"/>
      </w:pPr>
      <w:r>
        <w:rPr>
          <w:rStyle w:val="FootnoteReference"/>
        </w:rPr>
        <w:footnoteRef/>
      </w:r>
      <w:r>
        <w:t xml:space="preserve"> </w:t>
      </w:r>
      <w:proofErr w:type="spellStart"/>
      <w:r>
        <w:t>Bonfante</w:t>
      </w:r>
      <w:proofErr w:type="spellEnd"/>
      <w:r>
        <w:t xml:space="preserve"> 1989 p559</w:t>
      </w:r>
    </w:p>
  </w:footnote>
  <w:footnote w:id="4">
    <w:p w:rsidR="00AB0F55" w:rsidRDefault="00AB0F55">
      <w:pPr>
        <w:pStyle w:val="FootnoteText"/>
      </w:pPr>
      <w:r>
        <w:rPr>
          <w:rStyle w:val="FootnoteReference"/>
        </w:rPr>
        <w:footnoteRef/>
      </w:r>
      <w:r>
        <w:t xml:space="preserve"> Jenkins 2003 p152</w:t>
      </w:r>
    </w:p>
  </w:footnote>
  <w:footnote w:id="5">
    <w:p w:rsidR="00AB0F55" w:rsidRDefault="00AB0F55">
      <w:pPr>
        <w:pStyle w:val="FootnoteText"/>
      </w:pPr>
      <w:r>
        <w:rPr>
          <w:rStyle w:val="FootnoteReference"/>
        </w:rPr>
        <w:footnoteRef/>
      </w:r>
      <w:r>
        <w:t xml:space="preserve"> </w:t>
      </w:r>
      <w:proofErr w:type="spellStart"/>
      <w:r>
        <w:t>Llewllyn</w:t>
      </w:r>
      <w:proofErr w:type="spellEnd"/>
      <w:r>
        <w:t>-Jones 2002</w:t>
      </w:r>
    </w:p>
  </w:footnote>
  <w:footnote w:id="6">
    <w:p w:rsidR="00AB0F55" w:rsidRDefault="00AB0F55">
      <w:pPr>
        <w:pStyle w:val="FootnoteText"/>
      </w:pPr>
      <w:r>
        <w:rPr>
          <w:rStyle w:val="FootnoteReference"/>
        </w:rPr>
        <w:footnoteRef/>
      </w:r>
      <w:r>
        <w:t xml:space="preserve"> </w:t>
      </w:r>
      <w:proofErr w:type="spellStart"/>
      <w:r>
        <w:t>Llewllyn</w:t>
      </w:r>
      <w:proofErr w:type="spellEnd"/>
      <w:r>
        <w:t>-Jones 2002 p172</w:t>
      </w:r>
    </w:p>
  </w:footnote>
  <w:footnote w:id="7">
    <w:p w:rsidR="00AB0F55" w:rsidRDefault="00AB0F55">
      <w:pPr>
        <w:pStyle w:val="FootnoteText"/>
      </w:pPr>
      <w:r>
        <w:rPr>
          <w:rStyle w:val="FootnoteReference"/>
        </w:rPr>
        <w:footnoteRef/>
      </w:r>
      <w:r>
        <w:t xml:space="preserve"> Llewellyn-Jones 2002 p172</w:t>
      </w:r>
    </w:p>
  </w:footnote>
  <w:footnote w:id="8">
    <w:p w:rsidR="00AB0F55" w:rsidRDefault="00AB0F55">
      <w:pPr>
        <w:pStyle w:val="FootnoteText"/>
      </w:pPr>
      <w:r>
        <w:rPr>
          <w:rStyle w:val="FootnoteReference"/>
        </w:rPr>
        <w:footnoteRef/>
      </w:r>
      <w:r>
        <w:t xml:space="preserve"> Llewellyn-Jones 2002 p173</w:t>
      </w:r>
    </w:p>
  </w:footnote>
  <w:footnote w:id="9">
    <w:p w:rsidR="00AB0F55" w:rsidRDefault="00AB0F55">
      <w:pPr>
        <w:pStyle w:val="FootnoteText"/>
      </w:pPr>
      <w:r>
        <w:rPr>
          <w:rStyle w:val="FootnoteReference"/>
        </w:rPr>
        <w:footnoteRef/>
      </w:r>
      <w:r>
        <w:t xml:space="preserve"> Llewellyn-Jones 2002 p174</w:t>
      </w:r>
    </w:p>
  </w:footnote>
  <w:footnote w:id="10">
    <w:p w:rsidR="00AB0F55" w:rsidRDefault="00AB0F55">
      <w:pPr>
        <w:pStyle w:val="FootnoteText"/>
      </w:pPr>
      <w:r>
        <w:rPr>
          <w:rStyle w:val="FootnoteReference"/>
        </w:rPr>
        <w:footnoteRef/>
      </w:r>
      <w:r>
        <w:t xml:space="preserve"> Llewellyn-Jones 2007 p252</w:t>
      </w:r>
    </w:p>
  </w:footnote>
  <w:footnote w:id="11">
    <w:p w:rsidR="00AB0F55" w:rsidRDefault="00AB0F55">
      <w:pPr>
        <w:pStyle w:val="FootnoteText"/>
      </w:pPr>
      <w:r>
        <w:rPr>
          <w:rStyle w:val="FootnoteReference"/>
        </w:rPr>
        <w:footnoteRef/>
      </w:r>
      <w:r>
        <w:t xml:space="preserve">  Parker  2001  p314</w:t>
      </w:r>
    </w:p>
  </w:footnote>
  <w:footnote w:id="12">
    <w:p w:rsidR="00AB0F55" w:rsidRDefault="00AB0F55">
      <w:pPr>
        <w:pStyle w:val="FootnoteText"/>
      </w:pPr>
      <w:r>
        <w:rPr>
          <w:rStyle w:val="FootnoteReference"/>
        </w:rPr>
        <w:footnoteRef/>
      </w:r>
      <w:r>
        <w:t xml:space="preserve"> Parker 2001 p315</w:t>
      </w:r>
    </w:p>
  </w:footnote>
  <w:footnote w:id="13">
    <w:p w:rsidR="00AB0F55" w:rsidRDefault="00AB0F55">
      <w:pPr>
        <w:pStyle w:val="FootnoteText"/>
      </w:pPr>
      <w:r>
        <w:rPr>
          <w:rStyle w:val="FootnoteReference"/>
        </w:rPr>
        <w:footnoteRef/>
      </w:r>
      <w:r>
        <w:t xml:space="preserve"> Weeks 1991 p92</w:t>
      </w:r>
    </w:p>
  </w:footnote>
  <w:footnote w:id="14">
    <w:p w:rsidR="00AB0F55" w:rsidRDefault="00AB0F55">
      <w:pPr>
        <w:pStyle w:val="FootnoteText"/>
      </w:pPr>
      <w:r>
        <w:rPr>
          <w:rStyle w:val="FootnoteReference"/>
        </w:rPr>
        <w:footnoteRef/>
      </w:r>
      <w:r>
        <w:t xml:space="preserve"> </w:t>
      </w:r>
      <w:proofErr w:type="spellStart"/>
      <w:r>
        <w:t>Halperin</w:t>
      </w:r>
      <w:proofErr w:type="spellEnd"/>
      <w:r>
        <w:t xml:space="preserve"> 1990 p27</w:t>
      </w:r>
    </w:p>
  </w:footnote>
  <w:footnote w:id="15">
    <w:p w:rsidR="00AB0F55" w:rsidRDefault="00AB0F55">
      <w:pPr>
        <w:pStyle w:val="FootnoteText"/>
      </w:pPr>
      <w:r>
        <w:rPr>
          <w:rStyle w:val="FootnoteReference"/>
        </w:rPr>
        <w:footnoteRef/>
      </w:r>
      <w:r>
        <w:t xml:space="preserve"> </w:t>
      </w:r>
      <w:proofErr w:type="spellStart"/>
      <w:r>
        <w:t>Licht</w:t>
      </w:r>
      <w:proofErr w:type="spellEnd"/>
      <w:r>
        <w:t xml:space="preserve"> 1931 p316</w:t>
      </w:r>
    </w:p>
  </w:footnote>
  <w:footnote w:id="16">
    <w:p w:rsidR="00AB0F55" w:rsidRDefault="00AB0F55">
      <w:pPr>
        <w:pStyle w:val="FootnoteText"/>
      </w:pPr>
      <w:r>
        <w:rPr>
          <w:rStyle w:val="FootnoteReference"/>
        </w:rPr>
        <w:footnoteRef/>
      </w:r>
      <w:r>
        <w:t xml:space="preserve"> Rabinowitz 2002  p106</w:t>
      </w:r>
    </w:p>
  </w:footnote>
  <w:footnote w:id="17">
    <w:p w:rsidR="00AB0F55" w:rsidRDefault="00AB0F55">
      <w:pPr>
        <w:pStyle w:val="FootnoteText"/>
      </w:pPr>
      <w:r>
        <w:rPr>
          <w:rStyle w:val="FootnoteReference"/>
        </w:rPr>
        <w:footnoteRef/>
      </w:r>
      <w:r>
        <w:t xml:space="preserve"> Rabinowitz 2002  p106</w:t>
      </w:r>
    </w:p>
  </w:footnote>
  <w:footnote w:id="18">
    <w:p w:rsidR="00AB0F55" w:rsidRDefault="00AB0F55">
      <w:pPr>
        <w:pStyle w:val="FootnoteText"/>
      </w:pPr>
      <w:r>
        <w:rPr>
          <w:rStyle w:val="FootnoteReference"/>
        </w:rPr>
        <w:footnoteRef/>
      </w:r>
      <w:r>
        <w:t xml:space="preserve"> Rabinowitz 2002 p108</w:t>
      </w:r>
    </w:p>
  </w:footnote>
  <w:footnote w:id="19">
    <w:p w:rsidR="00AB0F55" w:rsidRDefault="00AB0F55">
      <w:pPr>
        <w:pStyle w:val="FootnoteText"/>
      </w:pPr>
      <w:r>
        <w:rPr>
          <w:rStyle w:val="FootnoteReference"/>
        </w:rPr>
        <w:footnoteRef/>
      </w:r>
      <w:r>
        <w:t xml:space="preserve"> Rabinowitz 2002 p108</w:t>
      </w:r>
    </w:p>
  </w:footnote>
  <w:footnote w:id="20">
    <w:p w:rsidR="00AB0F55" w:rsidRDefault="00AB0F55">
      <w:pPr>
        <w:pStyle w:val="FootnoteText"/>
      </w:pPr>
      <w:r>
        <w:rPr>
          <w:rStyle w:val="FootnoteReference"/>
        </w:rPr>
        <w:footnoteRef/>
      </w:r>
      <w:r>
        <w:t xml:space="preserve"> Rabinowitz 2002 p108</w:t>
      </w:r>
    </w:p>
  </w:footnote>
  <w:footnote w:id="21">
    <w:p w:rsidR="00AB0F55" w:rsidRDefault="00AB0F55">
      <w:pPr>
        <w:pStyle w:val="FootnoteText"/>
      </w:pPr>
      <w:r>
        <w:rPr>
          <w:rStyle w:val="FootnoteReference"/>
        </w:rPr>
        <w:footnoteRef/>
      </w:r>
      <w:r>
        <w:t xml:space="preserve"> Rabinowitz 2002 p150</w:t>
      </w:r>
    </w:p>
  </w:footnote>
  <w:footnote w:id="22">
    <w:p w:rsidR="00A43012" w:rsidRDefault="00A43012">
      <w:pPr>
        <w:pStyle w:val="FootnoteText"/>
      </w:pPr>
      <w:r>
        <w:rPr>
          <w:rStyle w:val="FootnoteReference"/>
        </w:rPr>
        <w:footnoteRef/>
      </w:r>
      <w:r>
        <w:t xml:space="preserve"> Pomeroy  1975 p79</w:t>
      </w:r>
    </w:p>
  </w:footnote>
  <w:footnote w:id="23">
    <w:p w:rsidR="00AB0F55" w:rsidRDefault="00AB0F55">
      <w:pPr>
        <w:pStyle w:val="FootnoteText"/>
      </w:pPr>
      <w:r>
        <w:rPr>
          <w:rStyle w:val="FootnoteReference"/>
        </w:rPr>
        <w:footnoteRef/>
      </w:r>
      <w:r>
        <w:t xml:space="preserve"> Rabinowitz 2002 p109</w:t>
      </w:r>
    </w:p>
  </w:footnote>
  <w:footnote w:id="24">
    <w:p w:rsidR="00AB0F55" w:rsidRDefault="00AB0F55">
      <w:pPr>
        <w:pStyle w:val="FootnoteText"/>
      </w:pPr>
      <w:r>
        <w:rPr>
          <w:rStyle w:val="FootnoteReference"/>
        </w:rPr>
        <w:footnoteRef/>
      </w:r>
      <w:r>
        <w:t xml:space="preserve"> Rabinowitz 2002 p110</w:t>
      </w:r>
    </w:p>
  </w:footnote>
  <w:footnote w:id="25">
    <w:p w:rsidR="00AB0F55" w:rsidRDefault="00AB0F55">
      <w:pPr>
        <w:pStyle w:val="FootnoteText"/>
      </w:pPr>
      <w:r>
        <w:rPr>
          <w:rStyle w:val="FootnoteReference"/>
        </w:rPr>
        <w:footnoteRef/>
      </w:r>
      <w:r>
        <w:t xml:space="preserve"> Dover 1989 p92</w:t>
      </w:r>
    </w:p>
  </w:footnote>
  <w:footnote w:id="26">
    <w:p w:rsidR="00AB0F55" w:rsidRDefault="00AB0F55">
      <w:pPr>
        <w:pStyle w:val="FootnoteText"/>
      </w:pPr>
      <w:r>
        <w:rPr>
          <w:rStyle w:val="FootnoteReference"/>
        </w:rPr>
        <w:footnoteRef/>
      </w:r>
      <w:r>
        <w:t xml:space="preserve"> Rabinowitz 2002 p112</w:t>
      </w:r>
    </w:p>
  </w:footnote>
  <w:footnote w:id="27">
    <w:p w:rsidR="00AB0F55" w:rsidRDefault="00AB0F55">
      <w:pPr>
        <w:pStyle w:val="FootnoteText"/>
      </w:pPr>
      <w:r>
        <w:rPr>
          <w:rStyle w:val="FootnoteReference"/>
        </w:rPr>
        <w:footnoteRef/>
      </w:r>
      <w:r>
        <w:t xml:space="preserve"> Rabinowitz 2002 p112</w:t>
      </w:r>
    </w:p>
  </w:footnote>
  <w:footnote w:id="28">
    <w:p w:rsidR="00AB0F55" w:rsidRDefault="00AB0F55">
      <w:pPr>
        <w:pStyle w:val="FootnoteText"/>
      </w:pPr>
      <w:r>
        <w:rPr>
          <w:rStyle w:val="FootnoteReference"/>
        </w:rPr>
        <w:footnoteRef/>
      </w:r>
      <w:r>
        <w:t xml:space="preserve"> Rabinowitz 2002 p113</w:t>
      </w:r>
    </w:p>
  </w:footnote>
  <w:footnote w:id="29">
    <w:p w:rsidR="00AB0F55" w:rsidRDefault="00AB0F55">
      <w:pPr>
        <w:pStyle w:val="FootnoteText"/>
      </w:pPr>
      <w:r>
        <w:rPr>
          <w:rStyle w:val="FootnoteReference"/>
        </w:rPr>
        <w:footnoteRef/>
      </w:r>
      <w:r>
        <w:t xml:space="preserve"> Rabinowitz 2002 p114</w:t>
      </w:r>
    </w:p>
  </w:footnote>
  <w:footnote w:id="30">
    <w:p w:rsidR="00AB0F55" w:rsidRDefault="00AB0F55">
      <w:pPr>
        <w:pStyle w:val="FootnoteText"/>
      </w:pPr>
      <w:r>
        <w:rPr>
          <w:rStyle w:val="FootnoteReference"/>
        </w:rPr>
        <w:footnoteRef/>
      </w:r>
      <w:r>
        <w:t xml:space="preserve"> Rabinowitz 2002 p115</w:t>
      </w:r>
    </w:p>
  </w:footnote>
  <w:footnote w:id="31">
    <w:p w:rsidR="00AB0F55" w:rsidRDefault="00AB0F55">
      <w:pPr>
        <w:pStyle w:val="FootnoteText"/>
      </w:pPr>
      <w:r>
        <w:rPr>
          <w:rStyle w:val="FootnoteReference"/>
        </w:rPr>
        <w:footnoteRef/>
      </w:r>
      <w:r>
        <w:t xml:space="preserve">  Pomeroy 1975 p79</w:t>
      </w:r>
    </w:p>
  </w:footnote>
  <w:footnote w:id="32">
    <w:p w:rsidR="00AB0F55" w:rsidRDefault="00AB0F55">
      <w:pPr>
        <w:pStyle w:val="FootnoteText"/>
      </w:pPr>
      <w:r>
        <w:rPr>
          <w:rStyle w:val="FootnoteReference"/>
        </w:rPr>
        <w:footnoteRef/>
      </w:r>
      <w:r>
        <w:t xml:space="preserve"> Rabinowitz 2002 p124</w:t>
      </w:r>
    </w:p>
  </w:footnote>
  <w:footnote w:id="33">
    <w:p w:rsidR="00AB0F55" w:rsidRDefault="00AB0F55">
      <w:pPr>
        <w:pStyle w:val="FootnoteText"/>
      </w:pPr>
      <w:r>
        <w:rPr>
          <w:rStyle w:val="FootnoteReference"/>
        </w:rPr>
        <w:footnoteRef/>
      </w:r>
      <w:r>
        <w:t xml:space="preserve">  Rabinowitz 2002 p124</w:t>
      </w:r>
    </w:p>
  </w:footnote>
  <w:footnote w:id="34">
    <w:p w:rsidR="00AB0F55" w:rsidRDefault="00AB0F55">
      <w:pPr>
        <w:pStyle w:val="FootnoteText"/>
      </w:pPr>
      <w:r>
        <w:rPr>
          <w:rStyle w:val="FootnoteReference"/>
        </w:rPr>
        <w:footnoteRef/>
      </w:r>
      <w:r>
        <w:t xml:space="preserve"> Rabinowitz 2002 p125</w:t>
      </w:r>
    </w:p>
  </w:footnote>
  <w:footnote w:id="35">
    <w:p w:rsidR="00AB0F55" w:rsidRDefault="00AB0F55">
      <w:pPr>
        <w:pStyle w:val="FootnoteText"/>
      </w:pPr>
      <w:r>
        <w:rPr>
          <w:rStyle w:val="FootnoteReference"/>
        </w:rPr>
        <w:footnoteRef/>
      </w:r>
      <w:r>
        <w:t xml:space="preserve"> Rabinowitz 2002 p125</w:t>
      </w:r>
    </w:p>
  </w:footnote>
  <w:footnote w:id="36">
    <w:p w:rsidR="00AB0F55" w:rsidRDefault="00AB0F55">
      <w:pPr>
        <w:pStyle w:val="FootnoteText"/>
      </w:pPr>
      <w:r>
        <w:rPr>
          <w:rStyle w:val="FootnoteReference"/>
        </w:rPr>
        <w:footnoteRef/>
      </w:r>
      <w:r>
        <w:t xml:space="preserve"> Rabinowitz 2002 p126</w:t>
      </w:r>
    </w:p>
  </w:footnote>
  <w:footnote w:id="37">
    <w:p w:rsidR="00AB0F55" w:rsidRDefault="00AB0F55">
      <w:pPr>
        <w:pStyle w:val="FootnoteText"/>
      </w:pPr>
      <w:r>
        <w:rPr>
          <w:rStyle w:val="FootnoteReference"/>
        </w:rPr>
        <w:footnoteRef/>
      </w:r>
      <w:r>
        <w:t xml:space="preserve"> Rabinowitz 2002 p</w:t>
      </w:r>
    </w:p>
  </w:footnote>
  <w:footnote w:id="38">
    <w:p w:rsidR="00667966" w:rsidRDefault="00667966">
      <w:pPr>
        <w:pStyle w:val="FootnoteText"/>
      </w:pPr>
      <w:r>
        <w:rPr>
          <w:rStyle w:val="FootnoteReference"/>
        </w:rPr>
        <w:footnoteRef/>
      </w:r>
      <w:r>
        <w:t xml:space="preserve"> Rabinowitz 2002 p147</w:t>
      </w:r>
    </w:p>
  </w:footnote>
  <w:footnote w:id="39">
    <w:p w:rsidR="00AB0F55" w:rsidRDefault="00AB0F55">
      <w:pPr>
        <w:pStyle w:val="FootnoteText"/>
      </w:pPr>
      <w:r>
        <w:rPr>
          <w:rStyle w:val="FootnoteReference"/>
        </w:rPr>
        <w:footnoteRef/>
      </w:r>
      <w:r>
        <w:t xml:space="preserve"> Jenkins 2003 p150</w:t>
      </w:r>
    </w:p>
  </w:footnote>
  <w:footnote w:id="40">
    <w:p w:rsidR="00AB0F55" w:rsidRDefault="00AB0F55">
      <w:pPr>
        <w:pStyle w:val="FootnoteText"/>
      </w:pPr>
      <w:r>
        <w:rPr>
          <w:rStyle w:val="FootnoteReference"/>
        </w:rPr>
        <w:footnoteRef/>
      </w:r>
      <w:r>
        <w:t xml:space="preserve"> Jenkins 203 p150</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0F55" w:rsidRDefault="00AB0F55">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26B0" w:rsidRDefault="00C226B0">
    <w:pPr>
      <w:pStyle w:val="Header"/>
    </w:pPr>
    <w:r>
      <w:t xml:space="preserve">Stuart </w:t>
    </w:r>
    <w:proofErr w:type="gramStart"/>
    <w:r>
      <w:t>Kitchen  1704152</w:t>
    </w:r>
    <w:proofErr w:type="gramEnd"/>
    <w:r>
      <w:t xml:space="preserve">  MA Ancient History </w:t>
    </w:r>
    <w:r w:rsidR="00427636">
      <w:t xml:space="preserve"> CLCL7005</w:t>
    </w:r>
  </w:p>
  <w:p w:rsidR="00AB0F55" w:rsidRDefault="00AB0F55">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0F55" w:rsidRDefault="00AB0F55">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35E2A"/>
    <w:rsid w:val="0000116C"/>
    <w:rsid w:val="00002057"/>
    <w:rsid w:val="00044B9E"/>
    <w:rsid w:val="00052EE6"/>
    <w:rsid w:val="00084B69"/>
    <w:rsid w:val="000C4F91"/>
    <w:rsid w:val="000D12F5"/>
    <w:rsid w:val="00135E2A"/>
    <w:rsid w:val="00177F24"/>
    <w:rsid w:val="001B4058"/>
    <w:rsid w:val="001B65B1"/>
    <w:rsid w:val="001C4153"/>
    <w:rsid w:val="001D1BEE"/>
    <w:rsid w:val="001E0537"/>
    <w:rsid w:val="001F5368"/>
    <w:rsid w:val="00220897"/>
    <w:rsid w:val="002408AE"/>
    <w:rsid w:val="00250A2A"/>
    <w:rsid w:val="00257CA9"/>
    <w:rsid w:val="00265A6B"/>
    <w:rsid w:val="00267798"/>
    <w:rsid w:val="00292F12"/>
    <w:rsid w:val="002A506E"/>
    <w:rsid w:val="002B3530"/>
    <w:rsid w:val="002B5891"/>
    <w:rsid w:val="003045CB"/>
    <w:rsid w:val="003202EB"/>
    <w:rsid w:val="00362C8F"/>
    <w:rsid w:val="003749D6"/>
    <w:rsid w:val="00387ED8"/>
    <w:rsid w:val="003B0B5D"/>
    <w:rsid w:val="003B2072"/>
    <w:rsid w:val="003D0090"/>
    <w:rsid w:val="003D11AE"/>
    <w:rsid w:val="003E7AC8"/>
    <w:rsid w:val="00415B1B"/>
    <w:rsid w:val="00427636"/>
    <w:rsid w:val="00432727"/>
    <w:rsid w:val="004834D9"/>
    <w:rsid w:val="00484060"/>
    <w:rsid w:val="0049658C"/>
    <w:rsid w:val="004D3DDA"/>
    <w:rsid w:val="004F7308"/>
    <w:rsid w:val="005345D6"/>
    <w:rsid w:val="00554B1C"/>
    <w:rsid w:val="0056281B"/>
    <w:rsid w:val="005650BD"/>
    <w:rsid w:val="00591B59"/>
    <w:rsid w:val="005D3586"/>
    <w:rsid w:val="005E757B"/>
    <w:rsid w:val="005F5B8F"/>
    <w:rsid w:val="005F64C8"/>
    <w:rsid w:val="00624B78"/>
    <w:rsid w:val="00667966"/>
    <w:rsid w:val="00684A97"/>
    <w:rsid w:val="006850EE"/>
    <w:rsid w:val="00693D85"/>
    <w:rsid w:val="006A55B1"/>
    <w:rsid w:val="006D0DC8"/>
    <w:rsid w:val="006F5A2E"/>
    <w:rsid w:val="007141E0"/>
    <w:rsid w:val="007161D9"/>
    <w:rsid w:val="00783D7A"/>
    <w:rsid w:val="007D5692"/>
    <w:rsid w:val="0081029C"/>
    <w:rsid w:val="0085392A"/>
    <w:rsid w:val="00856D4F"/>
    <w:rsid w:val="008C48CE"/>
    <w:rsid w:val="008D30AB"/>
    <w:rsid w:val="00932C04"/>
    <w:rsid w:val="00943D3C"/>
    <w:rsid w:val="009A5B7F"/>
    <w:rsid w:val="009C39BF"/>
    <w:rsid w:val="009D7116"/>
    <w:rsid w:val="00A02147"/>
    <w:rsid w:val="00A20138"/>
    <w:rsid w:val="00A43012"/>
    <w:rsid w:val="00A97ABA"/>
    <w:rsid w:val="00AB0F55"/>
    <w:rsid w:val="00AF1612"/>
    <w:rsid w:val="00B04B96"/>
    <w:rsid w:val="00B31915"/>
    <w:rsid w:val="00B42204"/>
    <w:rsid w:val="00B7229F"/>
    <w:rsid w:val="00B734B4"/>
    <w:rsid w:val="00B77B95"/>
    <w:rsid w:val="00BC3259"/>
    <w:rsid w:val="00BD66F4"/>
    <w:rsid w:val="00BE7787"/>
    <w:rsid w:val="00C07D0F"/>
    <w:rsid w:val="00C149A8"/>
    <w:rsid w:val="00C226B0"/>
    <w:rsid w:val="00CA71D4"/>
    <w:rsid w:val="00CC4C16"/>
    <w:rsid w:val="00CC61EA"/>
    <w:rsid w:val="00D0182A"/>
    <w:rsid w:val="00D04D67"/>
    <w:rsid w:val="00D07355"/>
    <w:rsid w:val="00D33913"/>
    <w:rsid w:val="00D8295C"/>
    <w:rsid w:val="00D9753B"/>
    <w:rsid w:val="00DB15B0"/>
    <w:rsid w:val="00DD0D3F"/>
    <w:rsid w:val="00E036C3"/>
    <w:rsid w:val="00E20699"/>
    <w:rsid w:val="00E53561"/>
    <w:rsid w:val="00E5755D"/>
    <w:rsid w:val="00EA683F"/>
    <w:rsid w:val="00F02FD3"/>
    <w:rsid w:val="00F15364"/>
    <w:rsid w:val="00F34EE2"/>
    <w:rsid w:val="00F40239"/>
    <w:rsid w:val="00F431A9"/>
    <w:rsid w:val="00F72AA0"/>
    <w:rsid w:val="00FA3CD0"/>
    <w:rsid w:val="00FF199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2EE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E77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7787"/>
    <w:rPr>
      <w:sz w:val="20"/>
      <w:szCs w:val="20"/>
    </w:rPr>
  </w:style>
  <w:style w:type="character" w:styleId="FootnoteReference">
    <w:name w:val="footnote reference"/>
    <w:basedOn w:val="DefaultParagraphFont"/>
    <w:uiPriority w:val="99"/>
    <w:semiHidden/>
    <w:unhideWhenUsed/>
    <w:rsid w:val="00BE7787"/>
    <w:rPr>
      <w:vertAlign w:val="superscript"/>
    </w:rPr>
  </w:style>
  <w:style w:type="paragraph" w:styleId="Header">
    <w:name w:val="header"/>
    <w:basedOn w:val="Normal"/>
    <w:link w:val="HeaderChar"/>
    <w:uiPriority w:val="99"/>
    <w:unhideWhenUsed/>
    <w:rsid w:val="003D1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1AE"/>
  </w:style>
  <w:style w:type="paragraph" w:styleId="Footer">
    <w:name w:val="footer"/>
    <w:basedOn w:val="Normal"/>
    <w:link w:val="FooterChar"/>
    <w:uiPriority w:val="99"/>
    <w:unhideWhenUsed/>
    <w:rsid w:val="003D1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1AE"/>
  </w:style>
  <w:style w:type="character" w:styleId="Hyperlink">
    <w:name w:val="Hyperlink"/>
    <w:basedOn w:val="DefaultParagraphFont"/>
    <w:uiPriority w:val="99"/>
    <w:unhideWhenUsed/>
    <w:rsid w:val="00415B1B"/>
    <w:rPr>
      <w:color w:val="0000FF" w:themeColor="hyperlink"/>
      <w:u w:val="single"/>
    </w:rPr>
  </w:style>
  <w:style w:type="paragraph" w:styleId="EndnoteText">
    <w:name w:val="endnote text"/>
    <w:basedOn w:val="Normal"/>
    <w:link w:val="EndnoteTextChar"/>
    <w:uiPriority w:val="99"/>
    <w:semiHidden/>
    <w:unhideWhenUsed/>
    <w:rsid w:val="001C41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C4153"/>
    <w:rPr>
      <w:sz w:val="20"/>
      <w:szCs w:val="20"/>
    </w:rPr>
  </w:style>
  <w:style w:type="character" w:styleId="EndnoteReference">
    <w:name w:val="endnote reference"/>
    <w:basedOn w:val="DefaultParagraphFont"/>
    <w:uiPriority w:val="99"/>
    <w:semiHidden/>
    <w:unhideWhenUsed/>
    <w:rsid w:val="001C4153"/>
    <w:rPr>
      <w:vertAlign w:val="superscript"/>
    </w:rPr>
  </w:style>
  <w:style w:type="paragraph" w:styleId="BalloonText">
    <w:name w:val="Balloon Text"/>
    <w:basedOn w:val="Normal"/>
    <w:link w:val="BalloonTextChar"/>
    <w:uiPriority w:val="99"/>
    <w:semiHidden/>
    <w:unhideWhenUsed/>
    <w:rsid w:val="00C226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6B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ww.blackwellreference.com/suscriber/tocnode.html?id=g9781405192842_chunk_g97814051928425"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C617090-AE08-4A61-A49D-15DB40C15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3164</Words>
  <Characters>18038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cp:lastPrinted>2018-04-19T08:31:00Z</cp:lastPrinted>
  <dcterms:created xsi:type="dcterms:W3CDTF">2018-05-24T14:21:00Z</dcterms:created>
  <dcterms:modified xsi:type="dcterms:W3CDTF">2018-05-24T14:21:00Z</dcterms:modified>
</cp:coreProperties>
</file>