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A99F98" w14:textId="77777777" w:rsidR="00C362C1" w:rsidRDefault="00C362C1" w:rsidP="00C362C1">
      <w:pPr>
        <w:pStyle w:val="Heading1"/>
      </w:pPr>
      <w:bookmarkStart w:id="0" w:name="_Toc222350074"/>
      <w:r>
        <w:t>CHAPTER 3: METHODS AND SEARCH STRATEGY</w:t>
      </w:r>
      <w:bookmarkEnd w:id="0"/>
      <w:r>
        <w:t xml:space="preserve"> </w:t>
      </w:r>
    </w:p>
    <w:p w14:paraId="745C63C1" w14:textId="77777777" w:rsidR="00C362C1" w:rsidRDefault="00C362C1" w:rsidP="00C362C1">
      <w:pPr>
        <w:pStyle w:val="Heading2"/>
      </w:pPr>
      <w:bookmarkStart w:id="1" w:name="_Toc222350075"/>
      <w:r>
        <w:t>3.1 Introduction</w:t>
      </w:r>
      <w:bookmarkEnd w:id="1"/>
    </w:p>
    <w:p w14:paraId="176BE5A4" w14:textId="77777777" w:rsidR="00C362C1" w:rsidRDefault="00C362C1" w:rsidP="00C362C1">
      <w:pPr>
        <w:spacing w:line="360" w:lineRule="auto"/>
        <w:rPr>
          <w:rFonts w:ascii="Arial" w:hAnsi="Arial" w:cs="Arial"/>
          <w:sz w:val="22"/>
          <w:szCs w:val="22"/>
        </w:rPr>
      </w:pPr>
      <w:r>
        <w:rPr>
          <w:rFonts w:ascii="Arial" w:hAnsi="Arial" w:cs="Arial"/>
          <w:sz w:val="22"/>
          <w:szCs w:val="22"/>
        </w:rPr>
        <w:t>This chapter outlines the methodological approach adopted for this dissertation. Given the sensitivity of cultural beliefs, chronic illness, and socioeconomic disadvantage, a qualitative secondary research design was selected. This approach enables the systematic collection, synthesis, and critical evaluation of existing literature, including peer</w:t>
      </w:r>
      <w:r>
        <w:rPr>
          <w:rFonts w:ascii="Cambria Math" w:hAnsi="Cambria Math" w:cs="Cambria Math"/>
          <w:sz w:val="22"/>
          <w:szCs w:val="22"/>
        </w:rPr>
        <w:noBreakHyphen/>
      </w:r>
      <w:r>
        <w:rPr>
          <w:rFonts w:ascii="Arial" w:hAnsi="Arial" w:cs="Arial"/>
          <w:sz w:val="22"/>
          <w:szCs w:val="22"/>
        </w:rPr>
        <w:t>reviewed studies, government reports, policy documents, and national datasets. The chapter details the research approach, search strategy, inclusion and exclusion criteria, thematic coding process, quality appraisal, ethical considerations, and limitations. The methodology mirrors the structured, academically rigorous approaches used in previous high</w:t>
      </w:r>
      <w:r>
        <w:rPr>
          <w:rFonts w:ascii="Cambria Math" w:hAnsi="Cambria Math" w:cs="Cambria Math"/>
          <w:sz w:val="22"/>
          <w:szCs w:val="22"/>
        </w:rPr>
        <w:noBreakHyphen/>
      </w:r>
      <w:r>
        <w:rPr>
          <w:rFonts w:ascii="Arial" w:hAnsi="Arial" w:cs="Arial"/>
          <w:sz w:val="22"/>
          <w:szCs w:val="22"/>
        </w:rPr>
        <w:t>quality undergraduate dissertations, ensuring transparency, replicability, and academic integrity.</w:t>
      </w:r>
    </w:p>
    <w:p w14:paraId="2155883E" w14:textId="77777777" w:rsidR="00C362C1" w:rsidRDefault="00C362C1" w:rsidP="00C362C1">
      <w:pPr>
        <w:pStyle w:val="Heading2"/>
      </w:pPr>
      <w:bookmarkStart w:id="2" w:name="_Toc222350076"/>
      <w:r>
        <w:t>3.2 Research Approach</w:t>
      </w:r>
      <w:bookmarkEnd w:id="2"/>
    </w:p>
    <w:p w14:paraId="695866D2" w14:textId="77777777" w:rsidR="00C362C1" w:rsidRDefault="00C362C1" w:rsidP="00C362C1">
      <w:pPr>
        <w:spacing w:line="360" w:lineRule="auto"/>
        <w:rPr>
          <w:rFonts w:ascii="Arial" w:hAnsi="Arial" w:cs="Arial"/>
          <w:sz w:val="22"/>
          <w:szCs w:val="22"/>
        </w:rPr>
      </w:pPr>
      <w:r>
        <w:rPr>
          <w:rFonts w:ascii="Arial" w:hAnsi="Arial" w:cs="Arial"/>
          <w:sz w:val="22"/>
          <w:szCs w:val="22"/>
        </w:rPr>
        <w:t>A qualitative secondary research design was chosen as the most appropriate methodology for exploring the socioeconomic and cultural factors influencing diabetes management among South Asian communities in the UK. Secondary research involves analysing existing data rather than collecting new primary data (Cohen, Manion &amp; Morrison, 2018). This approach is particularly suitable for topics involving sensitive cultural issues, chronic illness, and health inequalities, where direct engagement may pose ethical challenges or require specialist clinical support.</w:t>
      </w:r>
    </w:p>
    <w:p w14:paraId="7F6D7E3F" w14:textId="77777777" w:rsidR="00C362C1" w:rsidRDefault="00C362C1" w:rsidP="00C362C1">
      <w:pPr>
        <w:pStyle w:val="Heading3"/>
      </w:pPr>
      <w:bookmarkStart w:id="3" w:name="_Toc222350077"/>
      <w:r>
        <w:t>3.2.1 Epistemological Positioning: Interpretivism</w:t>
      </w:r>
      <w:bookmarkEnd w:id="3"/>
    </w:p>
    <w:p w14:paraId="26912FAC" w14:textId="77777777" w:rsidR="00C362C1" w:rsidRDefault="00C362C1" w:rsidP="00C362C1">
      <w:pPr>
        <w:spacing w:line="360" w:lineRule="auto"/>
        <w:rPr>
          <w:rFonts w:ascii="Arial" w:hAnsi="Arial" w:cs="Arial"/>
          <w:sz w:val="22"/>
          <w:szCs w:val="22"/>
        </w:rPr>
      </w:pPr>
      <w:r>
        <w:rPr>
          <w:rFonts w:ascii="Arial" w:hAnsi="Arial" w:cs="Arial"/>
          <w:sz w:val="22"/>
          <w:szCs w:val="22"/>
        </w:rPr>
        <w:t>This study adopts an interpretivist epistemology, which assumes that reality is socially constructed and best understood through the meanings individuals attach to their experiences. Diabetes management is shaped by cultural beliefs, family dynamics, socioeconomic pressures, and personal interpretations of illness. Interpretivism therefore provides an appropriate lens for understanding the subjective experiences reflected in the literature.</w:t>
      </w:r>
    </w:p>
    <w:p w14:paraId="2ADEABD5" w14:textId="77777777" w:rsidR="00C362C1" w:rsidRDefault="00C362C1" w:rsidP="00C362C1">
      <w:pPr>
        <w:pStyle w:val="Heading3"/>
      </w:pPr>
      <w:bookmarkStart w:id="4" w:name="_Toc222350078"/>
      <w:r>
        <w:t>3.2.2 Ontological Positioning: Constructivism</w:t>
      </w:r>
      <w:bookmarkEnd w:id="4"/>
    </w:p>
    <w:p w14:paraId="3B72D5C2" w14:textId="77777777" w:rsidR="00C362C1" w:rsidRDefault="00C362C1" w:rsidP="00C362C1">
      <w:pPr>
        <w:spacing w:line="360" w:lineRule="auto"/>
        <w:rPr>
          <w:rFonts w:ascii="Arial" w:hAnsi="Arial" w:cs="Arial"/>
          <w:sz w:val="22"/>
          <w:szCs w:val="22"/>
        </w:rPr>
      </w:pPr>
      <w:r>
        <w:rPr>
          <w:rFonts w:ascii="Arial" w:hAnsi="Arial" w:cs="Arial"/>
          <w:sz w:val="22"/>
          <w:szCs w:val="22"/>
        </w:rPr>
        <w:t>A constructivist ontology underpins this research, recognising that knowledge about health behaviours is constructed through social interactions, cultural norms, and lived experiences. This aligns with the study’s focus on how South Asian communities interpret and respond to diabetes within their cultural and socioeconomic contexts.</w:t>
      </w:r>
    </w:p>
    <w:p w14:paraId="3F7F42FA" w14:textId="77777777" w:rsidR="00C362C1" w:rsidRDefault="00C362C1" w:rsidP="00C362C1">
      <w:pPr>
        <w:pStyle w:val="Heading3"/>
      </w:pPr>
      <w:bookmarkStart w:id="5" w:name="_Toc222350079"/>
      <w:r>
        <w:lastRenderedPageBreak/>
        <w:t>3.2.3 Justification for Secondary Qualitative Research</w:t>
      </w:r>
      <w:bookmarkEnd w:id="5"/>
    </w:p>
    <w:p w14:paraId="10393FF3" w14:textId="77777777" w:rsidR="00C362C1" w:rsidRDefault="00C362C1" w:rsidP="00C362C1">
      <w:pPr>
        <w:spacing w:line="360" w:lineRule="auto"/>
        <w:rPr>
          <w:rFonts w:ascii="Arial" w:hAnsi="Arial" w:cs="Arial"/>
          <w:b/>
          <w:bCs/>
          <w:sz w:val="22"/>
          <w:szCs w:val="22"/>
        </w:rPr>
      </w:pPr>
      <w:r>
        <w:rPr>
          <w:rFonts w:ascii="Arial" w:hAnsi="Arial" w:cs="Arial"/>
          <w:b/>
          <w:bCs/>
          <w:sz w:val="22"/>
          <w:szCs w:val="22"/>
        </w:rPr>
        <w:t>Secondary qualitative research offers several advantages:</w:t>
      </w:r>
    </w:p>
    <w:p w14:paraId="7F56F98E" w14:textId="77777777" w:rsidR="00C362C1" w:rsidRDefault="00C362C1" w:rsidP="00C362C1">
      <w:pPr>
        <w:pStyle w:val="ListParagraph"/>
        <w:numPr>
          <w:ilvl w:val="0"/>
          <w:numId w:val="1"/>
        </w:numPr>
        <w:spacing w:line="360" w:lineRule="auto"/>
        <w:rPr>
          <w:rFonts w:ascii="Arial" w:hAnsi="Arial" w:cs="Arial"/>
          <w:sz w:val="22"/>
          <w:szCs w:val="22"/>
        </w:rPr>
      </w:pPr>
      <w:r>
        <w:rPr>
          <w:rFonts w:ascii="Arial" w:hAnsi="Arial" w:cs="Arial"/>
          <w:sz w:val="22"/>
          <w:szCs w:val="22"/>
        </w:rPr>
        <w:t>Ethical safety: avoids direct contact with potentially vulnerable individuals living with chronic illness (HRA, 2023).</w:t>
      </w:r>
    </w:p>
    <w:p w14:paraId="46B0CA33" w14:textId="77777777" w:rsidR="00C362C1" w:rsidRDefault="00C362C1" w:rsidP="00C362C1">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Breadth of </w:t>
      </w:r>
      <w:proofErr w:type="gramStart"/>
      <w:r>
        <w:rPr>
          <w:rFonts w:ascii="Arial" w:hAnsi="Arial" w:cs="Arial"/>
          <w:sz w:val="22"/>
          <w:szCs w:val="22"/>
        </w:rPr>
        <w:t>evidence:</w:t>
      </w:r>
      <w:proofErr w:type="gramEnd"/>
      <w:r>
        <w:rPr>
          <w:rFonts w:ascii="Arial" w:hAnsi="Arial" w:cs="Arial"/>
          <w:sz w:val="22"/>
          <w:szCs w:val="22"/>
        </w:rPr>
        <w:t xml:space="preserve"> allows synthesis of diverse sources, including longitudinal studies, national datasets, and culturally specific research (ONS, 2023; NHS Digital, 2024).</w:t>
      </w:r>
    </w:p>
    <w:p w14:paraId="0749EC0F" w14:textId="77777777" w:rsidR="00C362C1" w:rsidRDefault="00C362C1" w:rsidP="00C362C1">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Depth of </w:t>
      </w:r>
      <w:proofErr w:type="gramStart"/>
      <w:r>
        <w:rPr>
          <w:rFonts w:ascii="Arial" w:hAnsi="Arial" w:cs="Arial"/>
          <w:sz w:val="22"/>
          <w:szCs w:val="22"/>
        </w:rPr>
        <w:t>analysis:</w:t>
      </w:r>
      <w:proofErr w:type="gramEnd"/>
      <w:r>
        <w:rPr>
          <w:rFonts w:ascii="Arial" w:hAnsi="Arial" w:cs="Arial"/>
          <w:sz w:val="22"/>
          <w:szCs w:val="22"/>
        </w:rPr>
        <w:t xml:space="preserve"> supports thematic interpretation across multiple contexts, enabling identification of recurring patterns such as cultural beliefs, socioeconomic barriers, and healthcare inequalities (Braun &amp; Clarke, 2006).</w:t>
      </w:r>
    </w:p>
    <w:p w14:paraId="39F1B3A5" w14:textId="77777777" w:rsidR="00C362C1" w:rsidRDefault="00C362C1" w:rsidP="00C362C1">
      <w:pPr>
        <w:pStyle w:val="ListParagraph"/>
        <w:numPr>
          <w:ilvl w:val="0"/>
          <w:numId w:val="1"/>
        </w:numPr>
        <w:spacing w:line="360" w:lineRule="auto"/>
        <w:rPr>
          <w:rFonts w:ascii="Arial" w:hAnsi="Arial" w:cs="Arial"/>
          <w:sz w:val="22"/>
          <w:szCs w:val="22"/>
        </w:rPr>
      </w:pPr>
      <w:r>
        <w:rPr>
          <w:rFonts w:ascii="Arial" w:hAnsi="Arial" w:cs="Arial"/>
          <w:sz w:val="22"/>
          <w:szCs w:val="22"/>
        </w:rPr>
        <w:t>Feasibility: aligns with undergraduate research constraints while maintaining academic rigour.</w:t>
      </w:r>
    </w:p>
    <w:p w14:paraId="0885A3A0" w14:textId="77777777" w:rsidR="00C362C1" w:rsidRDefault="00C362C1" w:rsidP="00C362C1">
      <w:pPr>
        <w:pStyle w:val="ListParagraph"/>
        <w:numPr>
          <w:ilvl w:val="0"/>
          <w:numId w:val="1"/>
        </w:numPr>
        <w:spacing w:line="360" w:lineRule="auto"/>
        <w:rPr>
          <w:rFonts w:ascii="Arial" w:hAnsi="Arial" w:cs="Arial"/>
          <w:sz w:val="22"/>
          <w:szCs w:val="22"/>
        </w:rPr>
      </w:pPr>
      <w:r>
        <w:rPr>
          <w:rFonts w:ascii="Arial" w:hAnsi="Arial" w:cs="Arial"/>
          <w:sz w:val="22"/>
          <w:szCs w:val="22"/>
        </w:rPr>
        <w:t>Relevance: enables exploration of a wide range of perspectives without the logistical challenges of primary data collection.</w:t>
      </w:r>
    </w:p>
    <w:p w14:paraId="09E2ED12" w14:textId="77777777" w:rsidR="00C362C1" w:rsidRDefault="00C362C1" w:rsidP="00C362C1">
      <w:pPr>
        <w:spacing w:line="360" w:lineRule="auto"/>
        <w:rPr>
          <w:rFonts w:ascii="Arial" w:hAnsi="Arial" w:cs="Arial"/>
          <w:sz w:val="22"/>
          <w:szCs w:val="22"/>
        </w:rPr>
      </w:pPr>
      <w:r>
        <w:rPr>
          <w:rFonts w:ascii="Arial" w:hAnsi="Arial" w:cs="Arial"/>
          <w:sz w:val="22"/>
          <w:szCs w:val="22"/>
        </w:rPr>
        <w:t>This approach is consistent with contemporary health and social care research, where secondary analysis is increasingly used to explore complex social determinants of health (Greenwood, 2024).</w:t>
      </w:r>
    </w:p>
    <w:p w14:paraId="61AD8B00" w14:textId="77777777" w:rsidR="00C362C1" w:rsidRDefault="00C362C1" w:rsidP="00C362C1">
      <w:pPr>
        <w:pStyle w:val="Heading2"/>
      </w:pPr>
      <w:bookmarkStart w:id="6" w:name="_Toc222350080"/>
      <w:r>
        <w:t>3.3 Search Strategy</w:t>
      </w:r>
      <w:bookmarkEnd w:id="6"/>
    </w:p>
    <w:p w14:paraId="59BA796E" w14:textId="77777777" w:rsidR="00C362C1" w:rsidRDefault="00C362C1" w:rsidP="00C362C1">
      <w:pPr>
        <w:spacing w:line="360" w:lineRule="auto"/>
        <w:rPr>
          <w:rFonts w:ascii="Arial" w:hAnsi="Arial" w:cs="Arial"/>
          <w:sz w:val="22"/>
          <w:szCs w:val="22"/>
        </w:rPr>
      </w:pPr>
      <w:r>
        <w:rPr>
          <w:rFonts w:ascii="Arial" w:hAnsi="Arial" w:cs="Arial"/>
          <w:sz w:val="22"/>
          <w:szCs w:val="22"/>
        </w:rPr>
        <w:t>A systematic search strategy was employed to ensure transparency and replicability. Searches were conducted across multiple academic and governmental databases:</w:t>
      </w:r>
    </w:p>
    <w:p w14:paraId="61D16985" w14:textId="77777777" w:rsidR="00C362C1" w:rsidRDefault="00C362C1" w:rsidP="00C362C1">
      <w:pPr>
        <w:pStyle w:val="ListParagraph"/>
        <w:numPr>
          <w:ilvl w:val="0"/>
          <w:numId w:val="2"/>
        </w:numPr>
        <w:spacing w:line="360" w:lineRule="auto"/>
        <w:rPr>
          <w:rFonts w:ascii="Arial" w:hAnsi="Arial" w:cs="Arial"/>
          <w:sz w:val="22"/>
          <w:szCs w:val="22"/>
        </w:rPr>
      </w:pPr>
      <w:r>
        <w:rPr>
          <w:rFonts w:ascii="Arial" w:hAnsi="Arial" w:cs="Arial"/>
          <w:sz w:val="22"/>
          <w:szCs w:val="22"/>
        </w:rPr>
        <w:t>Google Scholar</w:t>
      </w:r>
    </w:p>
    <w:p w14:paraId="39C9F71F" w14:textId="77777777" w:rsidR="00C362C1" w:rsidRDefault="00C362C1" w:rsidP="00C362C1">
      <w:pPr>
        <w:pStyle w:val="ListParagraph"/>
        <w:numPr>
          <w:ilvl w:val="0"/>
          <w:numId w:val="2"/>
        </w:numPr>
        <w:spacing w:line="360" w:lineRule="auto"/>
        <w:rPr>
          <w:rFonts w:ascii="Arial" w:hAnsi="Arial" w:cs="Arial"/>
          <w:sz w:val="22"/>
          <w:szCs w:val="22"/>
        </w:rPr>
      </w:pPr>
      <w:r>
        <w:rPr>
          <w:rFonts w:ascii="Arial" w:hAnsi="Arial" w:cs="Arial"/>
          <w:sz w:val="22"/>
          <w:szCs w:val="22"/>
        </w:rPr>
        <w:t>PubMed</w:t>
      </w:r>
    </w:p>
    <w:p w14:paraId="141A3801" w14:textId="77777777" w:rsidR="00C362C1" w:rsidRDefault="00C362C1" w:rsidP="00C362C1">
      <w:pPr>
        <w:pStyle w:val="ListParagraph"/>
        <w:numPr>
          <w:ilvl w:val="0"/>
          <w:numId w:val="2"/>
        </w:numPr>
        <w:spacing w:line="360" w:lineRule="auto"/>
        <w:rPr>
          <w:rFonts w:ascii="Arial" w:hAnsi="Arial" w:cs="Arial"/>
          <w:sz w:val="22"/>
          <w:szCs w:val="22"/>
        </w:rPr>
      </w:pPr>
      <w:r>
        <w:rPr>
          <w:rFonts w:ascii="Arial" w:hAnsi="Arial" w:cs="Arial"/>
          <w:sz w:val="22"/>
          <w:szCs w:val="22"/>
        </w:rPr>
        <w:t>Scopus</w:t>
      </w:r>
    </w:p>
    <w:p w14:paraId="4CE34CBD" w14:textId="77777777" w:rsidR="00C362C1" w:rsidRDefault="00C362C1" w:rsidP="00C362C1">
      <w:pPr>
        <w:pStyle w:val="ListParagraph"/>
        <w:numPr>
          <w:ilvl w:val="0"/>
          <w:numId w:val="2"/>
        </w:numPr>
        <w:spacing w:line="360" w:lineRule="auto"/>
        <w:rPr>
          <w:rFonts w:ascii="Arial" w:hAnsi="Arial" w:cs="Arial"/>
          <w:sz w:val="22"/>
          <w:szCs w:val="22"/>
        </w:rPr>
      </w:pPr>
      <w:r>
        <w:rPr>
          <w:rFonts w:ascii="Arial" w:hAnsi="Arial" w:cs="Arial"/>
          <w:sz w:val="22"/>
          <w:szCs w:val="22"/>
        </w:rPr>
        <w:t>PsycINFO</w:t>
      </w:r>
    </w:p>
    <w:p w14:paraId="4703C859" w14:textId="77777777" w:rsidR="00C362C1" w:rsidRDefault="00C362C1" w:rsidP="00C362C1">
      <w:pPr>
        <w:pStyle w:val="ListParagraph"/>
        <w:numPr>
          <w:ilvl w:val="0"/>
          <w:numId w:val="2"/>
        </w:numPr>
        <w:spacing w:line="360" w:lineRule="auto"/>
        <w:rPr>
          <w:rFonts w:ascii="Arial" w:hAnsi="Arial" w:cs="Arial"/>
          <w:sz w:val="22"/>
          <w:szCs w:val="22"/>
        </w:rPr>
      </w:pPr>
      <w:r>
        <w:rPr>
          <w:rFonts w:ascii="Arial" w:hAnsi="Arial" w:cs="Arial"/>
          <w:sz w:val="22"/>
          <w:szCs w:val="22"/>
        </w:rPr>
        <w:t>NHS Digital</w:t>
      </w:r>
    </w:p>
    <w:p w14:paraId="7729E86D" w14:textId="77777777" w:rsidR="00C362C1" w:rsidRDefault="00C362C1" w:rsidP="00C362C1">
      <w:pPr>
        <w:pStyle w:val="ListParagraph"/>
        <w:numPr>
          <w:ilvl w:val="0"/>
          <w:numId w:val="2"/>
        </w:numPr>
        <w:spacing w:line="360" w:lineRule="auto"/>
        <w:rPr>
          <w:rFonts w:ascii="Arial" w:hAnsi="Arial" w:cs="Arial"/>
          <w:sz w:val="22"/>
          <w:szCs w:val="22"/>
        </w:rPr>
      </w:pPr>
      <w:r>
        <w:rPr>
          <w:rFonts w:ascii="Arial" w:hAnsi="Arial" w:cs="Arial"/>
          <w:sz w:val="22"/>
          <w:szCs w:val="22"/>
        </w:rPr>
        <w:t>Office for National Statistics (ONS)</w:t>
      </w:r>
    </w:p>
    <w:p w14:paraId="1DC6A598" w14:textId="77777777" w:rsidR="00C362C1" w:rsidRDefault="00C362C1" w:rsidP="00C362C1">
      <w:pPr>
        <w:pStyle w:val="ListParagraph"/>
        <w:numPr>
          <w:ilvl w:val="0"/>
          <w:numId w:val="2"/>
        </w:numPr>
        <w:spacing w:line="360" w:lineRule="auto"/>
        <w:rPr>
          <w:rFonts w:ascii="Arial" w:hAnsi="Arial" w:cs="Arial"/>
          <w:sz w:val="22"/>
          <w:szCs w:val="22"/>
        </w:rPr>
      </w:pPr>
      <w:r>
        <w:rPr>
          <w:rFonts w:ascii="Arial" w:hAnsi="Arial" w:cs="Arial"/>
          <w:sz w:val="22"/>
          <w:szCs w:val="22"/>
        </w:rPr>
        <w:t>Public Health England (PHE)</w:t>
      </w:r>
    </w:p>
    <w:p w14:paraId="68CB85C4" w14:textId="77777777" w:rsidR="00C362C1" w:rsidRDefault="00C362C1" w:rsidP="00C362C1">
      <w:pPr>
        <w:pStyle w:val="ListParagraph"/>
        <w:numPr>
          <w:ilvl w:val="0"/>
          <w:numId w:val="2"/>
        </w:numPr>
        <w:spacing w:line="360" w:lineRule="auto"/>
        <w:rPr>
          <w:rFonts w:ascii="Arial" w:hAnsi="Arial" w:cs="Arial"/>
          <w:sz w:val="22"/>
          <w:szCs w:val="22"/>
        </w:rPr>
      </w:pPr>
      <w:proofErr w:type="gramStart"/>
      <w:r>
        <w:rPr>
          <w:rFonts w:ascii="Arial" w:hAnsi="Arial" w:cs="Arial"/>
          <w:sz w:val="22"/>
          <w:szCs w:val="22"/>
        </w:rPr>
        <w:t>Gov.uk  policy</w:t>
      </w:r>
      <w:proofErr w:type="gramEnd"/>
      <w:r>
        <w:rPr>
          <w:rFonts w:ascii="Arial" w:hAnsi="Arial" w:cs="Arial"/>
          <w:sz w:val="22"/>
          <w:szCs w:val="22"/>
        </w:rPr>
        <w:t xml:space="preserve"> archives</w:t>
      </w:r>
    </w:p>
    <w:p w14:paraId="62D7B054" w14:textId="77777777" w:rsidR="00C362C1" w:rsidRDefault="00C362C1" w:rsidP="00C362C1">
      <w:pPr>
        <w:spacing w:line="360" w:lineRule="auto"/>
        <w:rPr>
          <w:rFonts w:ascii="Arial" w:hAnsi="Arial" w:cs="Arial"/>
          <w:b/>
          <w:bCs/>
          <w:sz w:val="22"/>
          <w:szCs w:val="22"/>
        </w:rPr>
      </w:pPr>
      <w:r>
        <w:rPr>
          <w:rFonts w:ascii="Arial" w:hAnsi="Arial" w:cs="Arial"/>
          <w:b/>
          <w:bCs/>
          <w:sz w:val="22"/>
          <w:szCs w:val="22"/>
        </w:rPr>
        <w:t>Keywords and Boolean Operators</w:t>
      </w:r>
    </w:p>
    <w:p w14:paraId="07947796" w14:textId="77777777" w:rsidR="00C362C1" w:rsidRDefault="00C362C1" w:rsidP="00C362C1">
      <w:pPr>
        <w:spacing w:line="360" w:lineRule="auto"/>
        <w:rPr>
          <w:rFonts w:ascii="Arial" w:hAnsi="Arial" w:cs="Arial"/>
          <w:b/>
          <w:bCs/>
          <w:sz w:val="22"/>
          <w:szCs w:val="22"/>
        </w:rPr>
      </w:pPr>
      <w:r>
        <w:rPr>
          <w:rFonts w:ascii="Arial" w:hAnsi="Arial" w:cs="Arial"/>
          <w:b/>
          <w:bCs/>
          <w:sz w:val="22"/>
          <w:szCs w:val="22"/>
        </w:rPr>
        <w:t>Search terms were developed using Boolean operators to refine results:</w:t>
      </w:r>
    </w:p>
    <w:p w14:paraId="65BC6CA3" w14:textId="77777777" w:rsidR="00C362C1" w:rsidRDefault="00C362C1" w:rsidP="00C362C1">
      <w:pPr>
        <w:pStyle w:val="ListParagraph"/>
        <w:numPr>
          <w:ilvl w:val="0"/>
          <w:numId w:val="3"/>
        </w:numPr>
        <w:spacing w:line="360" w:lineRule="auto"/>
        <w:rPr>
          <w:rFonts w:ascii="Arial" w:hAnsi="Arial" w:cs="Arial"/>
          <w:sz w:val="22"/>
          <w:szCs w:val="22"/>
        </w:rPr>
      </w:pPr>
      <w:r>
        <w:rPr>
          <w:rFonts w:ascii="Arial" w:hAnsi="Arial" w:cs="Arial"/>
          <w:sz w:val="22"/>
          <w:szCs w:val="22"/>
        </w:rPr>
        <w:t>“Type 2 diabetes” AND “South Asian communities”</w:t>
      </w:r>
    </w:p>
    <w:p w14:paraId="08A09D6F" w14:textId="77777777" w:rsidR="00C362C1" w:rsidRDefault="00C362C1" w:rsidP="00C362C1">
      <w:pPr>
        <w:pStyle w:val="ListParagraph"/>
        <w:numPr>
          <w:ilvl w:val="0"/>
          <w:numId w:val="3"/>
        </w:numPr>
        <w:spacing w:line="360" w:lineRule="auto"/>
        <w:rPr>
          <w:rFonts w:ascii="Arial" w:hAnsi="Arial" w:cs="Arial"/>
          <w:sz w:val="22"/>
          <w:szCs w:val="22"/>
        </w:rPr>
      </w:pPr>
      <w:r>
        <w:rPr>
          <w:rFonts w:ascii="Arial" w:hAnsi="Arial" w:cs="Arial"/>
          <w:sz w:val="22"/>
          <w:szCs w:val="22"/>
        </w:rPr>
        <w:t>“Cultural beliefs” OR “dietary practices”</w:t>
      </w:r>
    </w:p>
    <w:p w14:paraId="14C4543D" w14:textId="77777777" w:rsidR="00C362C1" w:rsidRDefault="00C362C1" w:rsidP="00C362C1">
      <w:pPr>
        <w:pStyle w:val="ListParagraph"/>
        <w:numPr>
          <w:ilvl w:val="0"/>
          <w:numId w:val="3"/>
        </w:numPr>
        <w:spacing w:line="360" w:lineRule="auto"/>
        <w:rPr>
          <w:rFonts w:ascii="Arial" w:hAnsi="Arial" w:cs="Arial"/>
          <w:sz w:val="22"/>
          <w:szCs w:val="22"/>
        </w:rPr>
      </w:pPr>
      <w:r>
        <w:rPr>
          <w:rFonts w:ascii="Arial" w:hAnsi="Arial" w:cs="Arial"/>
          <w:sz w:val="22"/>
          <w:szCs w:val="22"/>
        </w:rPr>
        <w:lastRenderedPageBreak/>
        <w:t>“Socioeconomic status” AND “health inequalities”</w:t>
      </w:r>
    </w:p>
    <w:p w14:paraId="4AE06261" w14:textId="77777777" w:rsidR="00C362C1" w:rsidRDefault="00C362C1" w:rsidP="00C362C1">
      <w:pPr>
        <w:pStyle w:val="ListParagraph"/>
        <w:numPr>
          <w:ilvl w:val="0"/>
          <w:numId w:val="3"/>
        </w:numPr>
        <w:spacing w:line="360" w:lineRule="auto"/>
        <w:rPr>
          <w:rFonts w:ascii="Arial" w:hAnsi="Arial" w:cs="Arial"/>
          <w:sz w:val="22"/>
          <w:szCs w:val="22"/>
        </w:rPr>
      </w:pPr>
      <w:r>
        <w:rPr>
          <w:rFonts w:ascii="Arial" w:hAnsi="Arial" w:cs="Arial"/>
          <w:sz w:val="22"/>
          <w:szCs w:val="22"/>
        </w:rPr>
        <w:t>“UK” AND “diabetes management”</w:t>
      </w:r>
    </w:p>
    <w:p w14:paraId="1D2B0240" w14:textId="77777777" w:rsidR="00C362C1" w:rsidRDefault="00C362C1" w:rsidP="00C362C1">
      <w:pPr>
        <w:pStyle w:val="ListParagraph"/>
        <w:numPr>
          <w:ilvl w:val="0"/>
          <w:numId w:val="3"/>
        </w:numPr>
        <w:spacing w:line="360" w:lineRule="auto"/>
        <w:rPr>
          <w:rFonts w:ascii="Arial" w:hAnsi="Arial" w:cs="Arial"/>
          <w:sz w:val="22"/>
          <w:szCs w:val="22"/>
        </w:rPr>
      </w:pPr>
      <w:r>
        <w:rPr>
          <w:rFonts w:ascii="Arial" w:hAnsi="Arial" w:cs="Arial"/>
          <w:sz w:val="22"/>
          <w:szCs w:val="22"/>
        </w:rPr>
        <w:t>“Access to healthcare” AND “ethnic minorities”</w:t>
      </w:r>
    </w:p>
    <w:p w14:paraId="16021104" w14:textId="77777777" w:rsidR="00C362C1" w:rsidRDefault="00C362C1" w:rsidP="00C362C1">
      <w:pPr>
        <w:pStyle w:val="ListParagraph"/>
        <w:numPr>
          <w:ilvl w:val="0"/>
          <w:numId w:val="3"/>
        </w:numPr>
        <w:spacing w:line="360" w:lineRule="auto"/>
        <w:rPr>
          <w:rFonts w:ascii="Arial" w:hAnsi="Arial" w:cs="Arial"/>
          <w:sz w:val="22"/>
          <w:szCs w:val="22"/>
        </w:rPr>
      </w:pPr>
      <w:r>
        <w:rPr>
          <w:rFonts w:ascii="Arial" w:hAnsi="Arial" w:cs="Arial"/>
          <w:sz w:val="22"/>
          <w:szCs w:val="22"/>
        </w:rPr>
        <w:t>“Religion” AND “chronic illness”</w:t>
      </w:r>
    </w:p>
    <w:p w14:paraId="68539008" w14:textId="77777777" w:rsidR="00C362C1" w:rsidRDefault="00C362C1" w:rsidP="00C362C1">
      <w:pPr>
        <w:pStyle w:val="ListParagraph"/>
        <w:numPr>
          <w:ilvl w:val="0"/>
          <w:numId w:val="3"/>
        </w:numPr>
        <w:spacing w:line="360" w:lineRule="auto"/>
        <w:rPr>
          <w:rFonts w:ascii="Arial" w:hAnsi="Arial" w:cs="Arial"/>
          <w:sz w:val="22"/>
          <w:szCs w:val="22"/>
        </w:rPr>
      </w:pPr>
      <w:r>
        <w:rPr>
          <w:rFonts w:ascii="Arial" w:hAnsi="Arial" w:cs="Arial"/>
          <w:sz w:val="22"/>
          <w:szCs w:val="22"/>
        </w:rPr>
        <w:t>“Language barriers” AND “health literacy”</w:t>
      </w:r>
    </w:p>
    <w:p w14:paraId="68C96AFB" w14:textId="77777777" w:rsidR="00C362C1" w:rsidRDefault="00C362C1" w:rsidP="00C362C1">
      <w:pPr>
        <w:spacing w:line="360" w:lineRule="auto"/>
        <w:rPr>
          <w:rFonts w:ascii="Arial" w:hAnsi="Arial" w:cs="Arial"/>
          <w:b/>
          <w:bCs/>
          <w:sz w:val="22"/>
          <w:szCs w:val="22"/>
        </w:rPr>
      </w:pPr>
      <w:r>
        <w:rPr>
          <w:rFonts w:ascii="Arial" w:hAnsi="Arial" w:cs="Arial"/>
          <w:b/>
          <w:bCs/>
          <w:sz w:val="22"/>
          <w:szCs w:val="22"/>
        </w:rPr>
        <w:t>Search Filters</w:t>
      </w:r>
    </w:p>
    <w:p w14:paraId="121A047D" w14:textId="77777777" w:rsidR="00C362C1" w:rsidRDefault="00C362C1" w:rsidP="00C362C1">
      <w:pPr>
        <w:pStyle w:val="ListParagraph"/>
        <w:numPr>
          <w:ilvl w:val="0"/>
          <w:numId w:val="4"/>
        </w:numPr>
        <w:spacing w:line="360" w:lineRule="auto"/>
        <w:rPr>
          <w:rFonts w:ascii="Arial" w:hAnsi="Arial" w:cs="Arial"/>
          <w:sz w:val="22"/>
          <w:szCs w:val="22"/>
        </w:rPr>
      </w:pPr>
      <w:r>
        <w:rPr>
          <w:rFonts w:ascii="Arial" w:hAnsi="Arial" w:cs="Arial"/>
          <w:sz w:val="22"/>
          <w:szCs w:val="22"/>
        </w:rPr>
        <w:t>English language</w:t>
      </w:r>
    </w:p>
    <w:p w14:paraId="0B2AF911" w14:textId="77777777" w:rsidR="00C362C1" w:rsidRDefault="00C362C1" w:rsidP="00C362C1">
      <w:pPr>
        <w:pStyle w:val="ListParagraph"/>
        <w:numPr>
          <w:ilvl w:val="0"/>
          <w:numId w:val="4"/>
        </w:numPr>
        <w:spacing w:line="360" w:lineRule="auto"/>
        <w:rPr>
          <w:rFonts w:ascii="Arial" w:hAnsi="Arial" w:cs="Arial"/>
          <w:sz w:val="22"/>
          <w:szCs w:val="22"/>
        </w:rPr>
      </w:pPr>
      <w:r>
        <w:rPr>
          <w:rFonts w:ascii="Arial" w:hAnsi="Arial" w:cs="Arial"/>
          <w:sz w:val="22"/>
          <w:szCs w:val="22"/>
        </w:rPr>
        <w:t>2014–2025</w:t>
      </w:r>
    </w:p>
    <w:p w14:paraId="0AA1C9DC" w14:textId="77777777" w:rsidR="00C362C1" w:rsidRDefault="00C362C1" w:rsidP="00C362C1">
      <w:pPr>
        <w:pStyle w:val="ListParagraph"/>
        <w:numPr>
          <w:ilvl w:val="0"/>
          <w:numId w:val="4"/>
        </w:numPr>
        <w:spacing w:line="360" w:lineRule="auto"/>
        <w:rPr>
          <w:rFonts w:ascii="Arial" w:hAnsi="Arial" w:cs="Arial"/>
          <w:sz w:val="22"/>
          <w:szCs w:val="22"/>
        </w:rPr>
      </w:pPr>
      <w:r>
        <w:rPr>
          <w:rFonts w:ascii="Arial" w:hAnsi="Arial" w:cs="Arial"/>
          <w:sz w:val="22"/>
          <w:szCs w:val="22"/>
        </w:rPr>
        <w:t>UK</w:t>
      </w:r>
      <w:r>
        <w:rPr>
          <w:rFonts w:ascii="Cambria Math" w:hAnsi="Cambria Math" w:cs="Cambria Math"/>
          <w:sz w:val="22"/>
          <w:szCs w:val="22"/>
        </w:rPr>
        <w:noBreakHyphen/>
      </w:r>
      <w:r>
        <w:rPr>
          <w:rFonts w:ascii="Arial" w:hAnsi="Arial" w:cs="Arial"/>
          <w:sz w:val="22"/>
          <w:szCs w:val="22"/>
        </w:rPr>
        <w:t>based or UK</w:t>
      </w:r>
      <w:r>
        <w:rPr>
          <w:rFonts w:ascii="Cambria Math" w:hAnsi="Cambria Math" w:cs="Cambria Math"/>
          <w:sz w:val="22"/>
          <w:szCs w:val="22"/>
        </w:rPr>
        <w:noBreakHyphen/>
      </w:r>
      <w:r>
        <w:rPr>
          <w:rFonts w:ascii="Arial" w:hAnsi="Arial" w:cs="Arial"/>
          <w:sz w:val="22"/>
          <w:szCs w:val="22"/>
        </w:rPr>
        <w:t>relevant</w:t>
      </w:r>
    </w:p>
    <w:p w14:paraId="7BC9B7BD" w14:textId="77777777" w:rsidR="00C362C1" w:rsidRDefault="00C362C1" w:rsidP="00C362C1">
      <w:pPr>
        <w:pStyle w:val="ListParagraph"/>
        <w:numPr>
          <w:ilvl w:val="0"/>
          <w:numId w:val="4"/>
        </w:numPr>
        <w:spacing w:line="360" w:lineRule="auto"/>
        <w:rPr>
          <w:rFonts w:ascii="Arial" w:hAnsi="Arial" w:cs="Arial"/>
          <w:sz w:val="22"/>
          <w:szCs w:val="22"/>
        </w:rPr>
      </w:pPr>
      <w:r>
        <w:rPr>
          <w:rFonts w:ascii="Arial" w:hAnsi="Arial" w:cs="Arial"/>
          <w:sz w:val="22"/>
          <w:szCs w:val="22"/>
        </w:rPr>
        <w:t>Peer</w:t>
      </w:r>
      <w:r>
        <w:rPr>
          <w:rFonts w:ascii="Cambria Math" w:hAnsi="Cambria Math" w:cs="Cambria Math"/>
          <w:sz w:val="22"/>
          <w:szCs w:val="22"/>
        </w:rPr>
        <w:noBreakHyphen/>
      </w:r>
      <w:r>
        <w:rPr>
          <w:rFonts w:ascii="Arial" w:hAnsi="Arial" w:cs="Arial"/>
          <w:sz w:val="22"/>
          <w:szCs w:val="22"/>
        </w:rPr>
        <w:t>reviewed or official reports</w:t>
      </w:r>
    </w:p>
    <w:p w14:paraId="049ABE0E" w14:textId="77777777" w:rsidR="00C362C1" w:rsidRDefault="00C362C1" w:rsidP="00C362C1">
      <w:pPr>
        <w:pStyle w:val="ListParagraph"/>
        <w:numPr>
          <w:ilvl w:val="0"/>
          <w:numId w:val="4"/>
        </w:numPr>
        <w:spacing w:line="360" w:lineRule="auto"/>
        <w:rPr>
          <w:rFonts w:ascii="Arial" w:hAnsi="Arial" w:cs="Arial"/>
          <w:sz w:val="22"/>
          <w:szCs w:val="22"/>
        </w:rPr>
      </w:pPr>
      <w:r>
        <w:rPr>
          <w:rFonts w:ascii="Arial" w:hAnsi="Arial" w:cs="Arial"/>
          <w:sz w:val="22"/>
          <w:szCs w:val="22"/>
        </w:rPr>
        <w:t>Human subjects</w:t>
      </w:r>
    </w:p>
    <w:p w14:paraId="3F79E43F" w14:textId="77777777" w:rsidR="00C362C1" w:rsidRDefault="00C362C1" w:rsidP="00C362C1">
      <w:pPr>
        <w:spacing w:line="360" w:lineRule="auto"/>
        <w:rPr>
          <w:rFonts w:ascii="Arial" w:hAnsi="Arial" w:cs="Arial"/>
          <w:b/>
          <w:bCs/>
          <w:sz w:val="22"/>
          <w:szCs w:val="22"/>
        </w:rPr>
      </w:pPr>
      <w:r>
        <w:rPr>
          <w:rFonts w:ascii="Arial" w:hAnsi="Arial" w:cs="Arial"/>
          <w:b/>
          <w:bCs/>
          <w:sz w:val="22"/>
          <w:szCs w:val="22"/>
        </w:rPr>
        <w:t>Search Outcomes</w:t>
      </w:r>
    </w:p>
    <w:p w14:paraId="42361177" w14:textId="77777777" w:rsidR="00C362C1" w:rsidRDefault="00C362C1" w:rsidP="00C362C1">
      <w:pPr>
        <w:spacing w:line="360" w:lineRule="auto"/>
        <w:rPr>
          <w:rFonts w:ascii="Arial" w:hAnsi="Arial" w:cs="Arial"/>
          <w:sz w:val="22"/>
          <w:szCs w:val="22"/>
        </w:rPr>
      </w:pPr>
      <w:r>
        <w:rPr>
          <w:rFonts w:ascii="Arial" w:hAnsi="Arial" w:cs="Arial"/>
          <w:sz w:val="22"/>
          <w:szCs w:val="22"/>
        </w:rPr>
        <w:t>Initial results: 280 sources</w:t>
      </w:r>
    </w:p>
    <w:p w14:paraId="2F48CE22" w14:textId="77777777" w:rsidR="00C362C1" w:rsidRDefault="00C362C1" w:rsidP="00C362C1">
      <w:pPr>
        <w:spacing w:line="360" w:lineRule="auto"/>
        <w:rPr>
          <w:rFonts w:ascii="Arial" w:hAnsi="Arial" w:cs="Arial"/>
          <w:sz w:val="22"/>
          <w:szCs w:val="22"/>
        </w:rPr>
      </w:pPr>
      <w:r>
        <w:rPr>
          <w:rFonts w:ascii="Arial" w:hAnsi="Arial" w:cs="Arial"/>
          <w:sz w:val="22"/>
          <w:szCs w:val="22"/>
        </w:rPr>
        <w:t>After title/abstract screening: 64 sources</w:t>
      </w:r>
    </w:p>
    <w:p w14:paraId="1718C845" w14:textId="77777777" w:rsidR="00C362C1" w:rsidRDefault="00C362C1" w:rsidP="00C362C1">
      <w:pPr>
        <w:spacing w:line="360" w:lineRule="auto"/>
        <w:rPr>
          <w:rFonts w:ascii="Arial" w:hAnsi="Arial" w:cs="Arial"/>
          <w:sz w:val="22"/>
          <w:szCs w:val="22"/>
        </w:rPr>
      </w:pPr>
      <w:r>
        <w:rPr>
          <w:rFonts w:ascii="Arial" w:hAnsi="Arial" w:cs="Arial"/>
          <w:sz w:val="22"/>
          <w:szCs w:val="22"/>
        </w:rPr>
        <w:t>Final included sources: 32 high</w:t>
      </w:r>
      <w:r>
        <w:rPr>
          <w:rFonts w:ascii="Cambria Math" w:hAnsi="Cambria Math" w:cs="Cambria Math"/>
          <w:sz w:val="22"/>
          <w:szCs w:val="22"/>
        </w:rPr>
        <w:noBreakHyphen/>
      </w:r>
      <w:r>
        <w:rPr>
          <w:rFonts w:ascii="Arial" w:hAnsi="Arial" w:cs="Arial"/>
          <w:sz w:val="22"/>
          <w:szCs w:val="22"/>
        </w:rPr>
        <w:t>quality sources</w:t>
      </w:r>
    </w:p>
    <w:p w14:paraId="2CC7B158" w14:textId="77777777" w:rsidR="00C362C1" w:rsidRDefault="00C362C1" w:rsidP="00C362C1">
      <w:pPr>
        <w:spacing w:line="360" w:lineRule="auto"/>
        <w:rPr>
          <w:rFonts w:ascii="Arial" w:hAnsi="Arial" w:cs="Arial"/>
          <w:sz w:val="22"/>
          <w:szCs w:val="22"/>
        </w:rPr>
      </w:pPr>
      <w:r>
        <w:rPr>
          <w:rFonts w:ascii="Arial" w:hAnsi="Arial" w:cs="Arial"/>
          <w:sz w:val="22"/>
          <w:szCs w:val="22"/>
        </w:rPr>
        <w:t>This process ensured that only relevant, credible, and contemporary literature was included.</w:t>
      </w:r>
    </w:p>
    <w:p w14:paraId="03EB523E" w14:textId="77777777" w:rsidR="00C362C1" w:rsidRDefault="00C362C1" w:rsidP="00C362C1">
      <w:pPr>
        <w:pStyle w:val="Heading2"/>
      </w:pPr>
      <w:bookmarkStart w:id="7" w:name="_Toc222350081"/>
      <w:r>
        <w:t>3.4 Inclusion and Exclusion Criteria</w:t>
      </w:r>
      <w:bookmarkEnd w:id="7"/>
    </w:p>
    <w:p w14:paraId="75BEBCC2" w14:textId="77777777" w:rsidR="00C362C1" w:rsidRDefault="00C362C1" w:rsidP="00C362C1">
      <w:pPr>
        <w:spacing w:line="360" w:lineRule="auto"/>
        <w:rPr>
          <w:rFonts w:ascii="Arial" w:hAnsi="Arial" w:cs="Arial"/>
          <w:b/>
          <w:bCs/>
          <w:sz w:val="22"/>
          <w:szCs w:val="22"/>
        </w:rPr>
      </w:pPr>
      <w:r>
        <w:rPr>
          <w:rFonts w:ascii="Arial" w:hAnsi="Arial" w:cs="Arial"/>
          <w:b/>
          <w:bCs/>
          <w:sz w:val="22"/>
          <w:szCs w:val="22"/>
        </w:rPr>
        <w:t>Inclusion Criteria</w:t>
      </w:r>
    </w:p>
    <w:p w14:paraId="315C4D12" w14:textId="77777777" w:rsidR="00C362C1" w:rsidRDefault="00C362C1" w:rsidP="00C362C1">
      <w:pPr>
        <w:spacing w:line="360" w:lineRule="auto"/>
        <w:rPr>
          <w:rFonts w:ascii="Arial" w:hAnsi="Arial" w:cs="Arial"/>
          <w:b/>
          <w:bCs/>
          <w:sz w:val="22"/>
          <w:szCs w:val="22"/>
        </w:rPr>
      </w:pPr>
      <w:r>
        <w:rPr>
          <w:rFonts w:ascii="Arial" w:hAnsi="Arial" w:cs="Arial"/>
          <w:b/>
          <w:bCs/>
          <w:sz w:val="22"/>
          <w:szCs w:val="22"/>
        </w:rPr>
        <w:t>Sources were included if they:</w:t>
      </w:r>
    </w:p>
    <w:p w14:paraId="3D058946" w14:textId="77777777" w:rsidR="00C362C1" w:rsidRDefault="00C362C1" w:rsidP="00C362C1">
      <w:pPr>
        <w:pStyle w:val="ListParagraph"/>
        <w:numPr>
          <w:ilvl w:val="0"/>
          <w:numId w:val="5"/>
        </w:numPr>
        <w:spacing w:line="360" w:lineRule="auto"/>
        <w:rPr>
          <w:rFonts w:ascii="Arial" w:hAnsi="Arial" w:cs="Arial"/>
          <w:sz w:val="22"/>
          <w:szCs w:val="22"/>
        </w:rPr>
      </w:pPr>
      <w:r>
        <w:rPr>
          <w:rFonts w:ascii="Arial" w:hAnsi="Arial" w:cs="Arial"/>
          <w:sz w:val="22"/>
          <w:szCs w:val="22"/>
        </w:rPr>
        <w:t>Were published within the last 10 years (2014–2025)</w:t>
      </w:r>
    </w:p>
    <w:p w14:paraId="18702530" w14:textId="77777777" w:rsidR="00C362C1" w:rsidRDefault="00C362C1" w:rsidP="00C362C1">
      <w:pPr>
        <w:pStyle w:val="ListParagraph"/>
        <w:numPr>
          <w:ilvl w:val="0"/>
          <w:numId w:val="5"/>
        </w:numPr>
        <w:spacing w:line="360" w:lineRule="auto"/>
        <w:rPr>
          <w:rFonts w:ascii="Arial" w:hAnsi="Arial" w:cs="Arial"/>
          <w:sz w:val="22"/>
          <w:szCs w:val="22"/>
        </w:rPr>
      </w:pPr>
      <w:r>
        <w:rPr>
          <w:rFonts w:ascii="Arial" w:hAnsi="Arial" w:cs="Arial"/>
          <w:sz w:val="22"/>
          <w:szCs w:val="22"/>
        </w:rPr>
        <w:t>Focused on Type 2 diabetes within UK South Asian populations</w:t>
      </w:r>
    </w:p>
    <w:p w14:paraId="214F655A" w14:textId="77777777" w:rsidR="00C362C1" w:rsidRDefault="00C362C1" w:rsidP="00C362C1">
      <w:pPr>
        <w:pStyle w:val="ListParagraph"/>
        <w:numPr>
          <w:ilvl w:val="0"/>
          <w:numId w:val="5"/>
        </w:numPr>
        <w:spacing w:line="360" w:lineRule="auto"/>
        <w:rPr>
          <w:rFonts w:ascii="Arial" w:hAnsi="Arial" w:cs="Arial"/>
          <w:sz w:val="22"/>
          <w:szCs w:val="22"/>
        </w:rPr>
      </w:pPr>
      <w:r>
        <w:rPr>
          <w:rFonts w:ascii="Arial" w:hAnsi="Arial" w:cs="Arial"/>
          <w:sz w:val="22"/>
          <w:szCs w:val="22"/>
        </w:rPr>
        <w:t>Examined cultural, socioeconomic, or healthcare</w:t>
      </w:r>
      <w:r>
        <w:rPr>
          <w:rFonts w:ascii="Cambria Math" w:hAnsi="Cambria Math" w:cs="Cambria Math"/>
          <w:sz w:val="22"/>
          <w:szCs w:val="22"/>
        </w:rPr>
        <w:noBreakHyphen/>
      </w:r>
      <w:r>
        <w:rPr>
          <w:rFonts w:ascii="Arial" w:hAnsi="Arial" w:cs="Arial"/>
          <w:sz w:val="22"/>
          <w:szCs w:val="22"/>
        </w:rPr>
        <w:t>related determinants</w:t>
      </w:r>
    </w:p>
    <w:p w14:paraId="7DEFE909" w14:textId="77777777" w:rsidR="00C362C1" w:rsidRDefault="00C362C1" w:rsidP="00C362C1">
      <w:pPr>
        <w:pStyle w:val="ListParagraph"/>
        <w:numPr>
          <w:ilvl w:val="0"/>
          <w:numId w:val="5"/>
        </w:numPr>
        <w:spacing w:line="360" w:lineRule="auto"/>
        <w:rPr>
          <w:rFonts w:ascii="Arial" w:hAnsi="Arial" w:cs="Arial"/>
          <w:sz w:val="22"/>
          <w:szCs w:val="22"/>
        </w:rPr>
      </w:pPr>
      <w:r>
        <w:rPr>
          <w:rFonts w:ascii="Arial" w:hAnsi="Arial" w:cs="Arial"/>
          <w:sz w:val="22"/>
          <w:szCs w:val="22"/>
        </w:rPr>
        <w:t>Were peer</w:t>
      </w:r>
      <w:r>
        <w:rPr>
          <w:rFonts w:ascii="Cambria Math" w:hAnsi="Cambria Math" w:cs="Cambria Math"/>
          <w:sz w:val="22"/>
          <w:szCs w:val="22"/>
        </w:rPr>
        <w:noBreakHyphen/>
      </w:r>
      <w:r>
        <w:rPr>
          <w:rFonts w:ascii="Arial" w:hAnsi="Arial" w:cs="Arial"/>
          <w:sz w:val="22"/>
          <w:szCs w:val="22"/>
        </w:rPr>
        <w:t>reviewed or produced by reputable organisations (e.g., NHS Digital, ONS, WHO)</w:t>
      </w:r>
    </w:p>
    <w:p w14:paraId="77CBF913" w14:textId="77777777" w:rsidR="00C362C1" w:rsidRDefault="00C362C1" w:rsidP="00C362C1">
      <w:pPr>
        <w:pStyle w:val="ListParagraph"/>
        <w:numPr>
          <w:ilvl w:val="0"/>
          <w:numId w:val="5"/>
        </w:numPr>
        <w:spacing w:line="360" w:lineRule="auto"/>
        <w:rPr>
          <w:rFonts w:ascii="Arial" w:hAnsi="Arial" w:cs="Arial"/>
          <w:sz w:val="22"/>
          <w:szCs w:val="22"/>
        </w:rPr>
      </w:pPr>
      <w:r>
        <w:rPr>
          <w:rFonts w:ascii="Arial" w:hAnsi="Arial" w:cs="Arial"/>
          <w:sz w:val="22"/>
          <w:szCs w:val="22"/>
        </w:rPr>
        <w:t>Provided insight into barriers, beliefs, or management practices</w:t>
      </w:r>
    </w:p>
    <w:p w14:paraId="671F4303" w14:textId="77777777" w:rsidR="00C362C1" w:rsidRDefault="00C362C1" w:rsidP="00C362C1">
      <w:pPr>
        <w:spacing w:line="360" w:lineRule="auto"/>
        <w:rPr>
          <w:rFonts w:ascii="Arial" w:hAnsi="Arial" w:cs="Arial"/>
          <w:b/>
          <w:bCs/>
          <w:sz w:val="22"/>
          <w:szCs w:val="22"/>
        </w:rPr>
      </w:pPr>
      <w:r>
        <w:rPr>
          <w:rFonts w:ascii="Arial" w:hAnsi="Arial" w:cs="Arial"/>
          <w:b/>
          <w:bCs/>
          <w:sz w:val="22"/>
          <w:szCs w:val="22"/>
        </w:rPr>
        <w:t>Exclusion Criteria</w:t>
      </w:r>
    </w:p>
    <w:p w14:paraId="355AC6B2" w14:textId="77777777" w:rsidR="00C362C1" w:rsidRDefault="00C362C1" w:rsidP="00C362C1">
      <w:pPr>
        <w:spacing w:line="360" w:lineRule="auto"/>
        <w:rPr>
          <w:rFonts w:ascii="Arial" w:hAnsi="Arial" w:cs="Arial"/>
          <w:b/>
          <w:bCs/>
          <w:sz w:val="22"/>
          <w:szCs w:val="22"/>
        </w:rPr>
      </w:pPr>
      <w:r>
        <w:rPr>
          <w:rFonts w:ascii="Arial" w:hAnsi="Arial" w:cs="Arial"/>
          <w:b/>
          <w:bCs/>
          <w:sz w:val="22"/>
          <w:szCs w:val="22"/>
        </w:rPr>
        <w:t>Sources were excluded if they:</w:t>
      </w:r>
    </w:p>
    <w:p w14:paraId="7685771F" w14:textId="77777777" w:rsidR="00C362C1" w:rsidRDefault="00C362C1" w:rsidP="00C362C1">
      <w:pPr>
        <w:pStyle w:val="ListParagraph"/>
        <w:numPr>
          <w:ilvl w:val="0"/>
          <w:numId w:val="6"/>
        </w:numPr>
        <w:spacing w:line="360" w:lineRule="auto"/>
        <w:rPr>
          <w:rFonts w:ascii="Arial" w:hAnsi="Arial" w:cs="Arial"/>
          <w:sz w:val="22"/>
          <w:szCs w:val="22"/>
        </w:rPr>
      </w:pPr>
      <w:r>
        <w:rPr>
          <w:rFonts w:ascii="Arial" w:hAnsi="Arial" w:cs="Arial"/>
          <w:sz w:val="22"/>
          <w:szCs w:val="22"/>
        </w:rPr>
        <w:t>Focused solely on biomedical or genetic aspects</w:t>
      </w:r>
    </w:p>
    <w:p w14:paraId="7937E601" w14:textId="77777777" w:rsidR="00C362C1" w:rsidRDefault="00C362C1" w:rsidP="00C362C1">
      <w:pPr>
        <w:pStyle w:val="ListParagraph"/>
        <w:numPr>
          <w:ilvl w:val="0"/>
          <w:numId w:val="6"/>
        </w:numPr>
        <w:spacing w:line="360" w:lineRule="auto"/>
        <w:rPr>
          <w:rFonts w:ascii="Arial" w:hAnsi="Arial" w:cs="Arial"/>
          <w:sz w:val="22"/>
          <w:szCs w:val="22"/>
        </w:rPr>
      </w:pPr>
      <w:r>
        <w:rPr>
          <w:rFonts w:ascii="Arial" w:hAnsi="Arial" w:cs="Arial"/>
          <w:sz w:val="22"/>
          <w:szCs w:val="22"/>
        </w:rPr>
        <w:t>Were non</w:t>
      </w:r>
      <w:r>
        <w:rPr>
          <w:rFonts w:ascii="Cambria Math" w:hAnsi="Cambria Math" w:cs="Cambria Math"/>
          <w:sz w:val="22"/>
          <w:szCs w:val="22"/>
        </w:rPr>
        <w:noBreakHyphen/>
      </w:r>
      <w:r>
        <w:rPr>
          <w:rFonts w:ascii="Arial" w:hAnsi="Arial" w:cs="Arial"/>
          <w:sz w:val="22"/>
          <w:szCs w:val="22"/>
        </w:rPr>
        <w:t>UK based unless offering transferable theoretical insight</w:t>
      </w:r>
    </w:p>
    <w:p w14:paraId="707FBD68" w14:textId="77777777" w:rsidR="00C362C1" w:rsidRDefault="00C362C1" w:rsidP="00C362C1">
      <w:pPr>
        <w:pStyle w:val="ListParagraph"/>
        <w:numPr>
          <w:ilvl w:val="0"/>
          <w:numId w:val="6"/>
        </w:numPr>
        <w:spacing w:line="360" w:lineRule="auto"/>
        <w:rPr>
          <w:rFonts w:ascii="Arial" w:hAnsi="Arial" w:cs="Arial"/>
          <w:sz w:val="22"/>
          <w:szCs w:val="22"/>
        </w:rPr>
      </w:pPr>
      <w:r>
        <w:rPr>
          <w:rFonts w:ascii="Arial" w:hAnsi="Arial" w:cs="Arial"/>
          <w:sz w:val="22"/>
          <w:szCs w:val="22"/>
        </w:rPr>
        <w:t>Were opinion pieces, blogs, or non</w:t>
      </w:r>
      <w:r>
        <w:rPr>
          <w:rFonts w:ascii="Cambria Math" w:hAnsi="Cambria Math" w:cs="Cambria Math"/>
          <w:sz w:val="22"/>
          <w:szCs w:val="22"/>
        </w:rPr>
        <w:noBreakHyphen/>
      </w:r>
      <w:r>
        <w:rPr>
          <w:rFonts w:ascii="Arial" w:hAnsi="Arial" w:cs="Arial"/>
          <w:sz w:val="22"/>
          <w:szCs w:val="22"/>
        </w:rPr>
        <w:t>academic sources</w:t>
      </w:r>
    </w:p>
    <w:p w14:paraId="6F922129" w14:textId="77777777" w:rsidR="00C362C1" w:rsidRDefault="00C362C1" w:rsidP="00C362C1">
      <w:pPr>
        <w:pStyle w:val="ListParagraph"/>
        <w:numPr>
          <w:ilvl w:val="0"/>
          <w:numId w:val="6"/>
        </w:numPr>
        <w:spacing w:line="360" w:lineRule="auto"/>
        <w:rPr>
          <w:rFonts w:ascii="Arial" w:hAnsi="Arial" w:cs="Arial"/>
          <w:sz w:val="22"/>
          <w:szCs w:val="22"/>
        </w:rPr>
      </w:pPr>
      <w:r>
        <w:rPr>
          <w:rFonts w:ascii="Arial" w:hAnsi="Arial" w:cs="Arial"/>
          <w:sz w:val="22"/>
          <w:szCs w:val="22"/>
        </w:rPr>
        <w:lastRenderedPageBreak/>
        <w:t>Were published before 2014 unless historically essential</w:t>
      </w:r>
    </w:p>
    <w:p w14:paraId="540F0EC4" w14:textId="77777777" w:rsidR="00C362C1" w:rsidRDefault="00C362C1" w:rsidP="00C362C1">
      <w:pPr>
        <w:pStyle w:val="ListParagraph"/>
        <w:numPr>
          <w:ilvl w:val="0"/>
          <w:numId w:val="6"/>
        </w:numPr>
        <w:spacing w:line="360" w:lineRule="auto"/>
        <w:rPr>
          <w:rFonts w:ascii="Arial" w:hAnsi="Arial" w:cs="Arial"/>
          <w:sz w:val="22"/>
          <w:szCs w:val="22"/>
        </w:rPr>
      </w:pPr>
      <w:r>
        <w:rPr>
          <w:rFonts w:ascii="Arial" w:hAnsi="Arial" w:cs="Arial"/>
          <w:sz w:val="22"/>
          <w:szCs w:val="22"/>
        </w:rPr>
        <w:t>Lacked methodological transparency or credibility (CRAAP score &lt;70%)</w:t>
      </w:r>
    </w:p>
    <w:p w14:paraId="60B64C31" w14:textId="77777777" w:rsidR="00C362C1" w:rsidRDefault="00C362C1" w:rsidP="00C362C1">
      <w:pPr>
        <w:spacing w:line="360" w:lineRule="auto"/>
        <w:rPr>
          <w:rFonts w:ascii="Arial" w:hAnsi="Arial" w:cs="Arial"/>
          <w:sz w:val="22"/>
          <w:szCs w:val="22"/>
        </w:rPr>
      </w:pPr>
      <w:r>
        <w:rPr>
          <w:rFonts w:ascii="Arial" w:hAnsi="Arial" w:cs="Arial"/>
          <w:sz w:val="22"/>
          <w:szCs w:val="22"/>
        </w:rPr>
        <w:t>This ensured methodological rigour and relevance to the research aims.</w:t>
      </w:r>
    </w:p>
    <w:p w14:paraId="4C95EF95" w14:textId="77777777" w:rsidR="00C362C1" w:rsidRDefault="00C362C1" w:rsidP="00C362C1">
      <w:pPr>
        <w:pStyle w:val="Heading2"/>
      </w:pPr>
      <w:bookmarkStart w:id="8" w:name="_Toc222350082"/>
      <w:r>
        <w:t>3.5 Source Tracking and Coding</w:t>
      </w:r>
      <w:bookmarkEnd w:id="8"/>
    </w:p>
    <w:p w14:paraId="2F1503AB" w14:textId="77777777" w:rsidR="00C362C1" w:rsidRDefault="00C362C1" w:rsidP="00C362C1">
      <w:pPr>
        <w:spacing w:line="360" w:lineRule="auto"/>
        <w:rPr>
          <w:rFonts w:ascii="Arial" w:hAnsi="Arial" w:cs="Arial"/>
          <w:sz w:val="22"/>
          <w:szCs w:val="22"/>
        </w:rPr>
      </w:pPr>
      <w:r>
        <w:rPr>
          <w:rFonts w:ascii="Arial" w:hAnsi="Arial" w:cs="Arial"/>
          <w:sz w:val="22"/>
          <w:szCs w:val="22"/>
        </w:rPr>
        <w:t>A structured source</w:t>
      </w:r>
      <w:r>
        <w:rPr>
          <w:rFonts w:ascii="Cambria Math" w:hAnsi="Cambria Math" w:cs="Cambria Math"/>
          <w:sz w:val="22"/>
          <w:szCs w:val="22"/>
        </w:rPr>
        <w:noBreakHyphen/>
      </w:r>
      <w:r>
        <w:rPr>
          <w:rFonts w:ascii="Arial" w:hAnsi="Arial" w:cs="Arial"/>
          <w:sz w:val="22"/>
          <w:szCs w:val="22"/>
        </w:rPr>
        <w:t>tracking table was used to record:</w:t>
      </w:r>
    </w:p>
    <w:p w14:paraId="543A771C" w14:textId="77777777" w:rsidR="00C362C1" w:rsidRDefault="00C362C1" w:rsidP="00C362C1">
      <w:pPr>
        <w:pStyle w:val="ListParagraph"/>
        <w:numPr>
          <w:ilvl w:val="0"/>
          <w:numId w:val="7"/>
        </w:numPr>
        <w:spacing w:line="360" w:lineRule="auto"/>
        <w:rPr>
          <w:rFonts w:ascii="Arial" w:hAnsi="Arial" w:cs="Arial"/>
          <w:sz w:val="22"/>
          <w:szCs w:val="22"/>
        </w:rPr>
      </w:pPr>
      <w:r>
        <w:rPr>
          <w:rFonts w:ascii="Arial" w:hAnsi="Arial" w:cs="Arial"/>
          <w:sz w:val="22"/>
          <w:szCs w:val="22"/>
        </w:rPr>
        <w:t>Author(s)</w:t>
      </w:r>
    </w:p>
    <w:p w14:paraId="61F84BA8" w14:textId="77777777" w:rsidR="00C362C1" w:rsidRDefault="00C362C1" w:rsidP="00C362C1">
      <w:pPr>
        <w:pStyle w:val="ListParagraph"/>
        <w:numPr>
          <w:ilvl w:val="0"/>
          <w:numId w:val="7"/>
        </w:numPr>
        <w:spacing w:line="360" w:lineRule="auto"/>
        <w:rPr>
          <w:rFonts w:ascii="Arial" w:hAnsi="Arial" w:cs="Arial"/>
          <w:sz w:val="22"/>
          <w:szCs w:val="22"/>
        </w:rPr>
      </w:pPr>
      <w:r>
        <w:rPr>
          <w:rFonts w:ascii="Arial" w:hAnsi="Arial" w:cs="Arial"/>
          <w:sz w:val="22"/>
          <w:szCs w:val="22"/>
        </w:rPr>
        <w:t>Year</w:t>
      </w:r>
    </w:p>
    <w:p w14:paraId="0D7B47BF" w14:textId="77777777" w:rsidR="00C362C1" w:rsidRDefault="00C362C1" w:rsidP="00C362C1">
      <w:pPr>
        <w:pStyle w:val="ListParagraph"/>
        <w:numPr>
          <w:ilvl w:val="0"/>
          <w:numId w:val="7"/>
        </w:numPr>
        <w:spacing w:line="360" w:lineRule="auto"/>
        <w:rPr>
          <w:rFonts w:ascii="Arial" w:hAnsi="Arial" w:cs="Arial"/>
          <w:sz w:val="22"/>
          <w:szCs w:val="22"/>
        </w:rPr>
      </w:pPr>
      <w:r>
        <w:rPr>
          <w:rFonts w:ascii="Arial" w:hAnsi="Arial" w:cs="Arial"/>
          <w:sz w:val="22"/>
          <w:szCs w:val="22"/>
        </w:rPr>
        <w:t>Title</w:t>
      </w:r>
    </w:p>
    <w:p w14:paraId="4D7C2A73" w14:textId="77777777" w:rsidR="00C362C1" w:rsidRDefault="00C362C1" w:rsidP="00C362C1">
      <w:pPr>
        <w:pStyle w:val="ListParagraph"/>
        <w:numPr>
          <w:ilvl w:val="0"/>
          <w:numId w:val="7"/>
        </w:numPr>
        <w:spacing w:line="360" w:lineRule="auto"/>
        <w:rPr>
          <w:rFonts w:ascii="Arial" w:hAnsi="Arial" w:cs="Arial"/>
          <w:sz w:val="22"/>
          <w:szCs w:val="22"/>
        </w:rPr>
      </w:pPr>
      <w:r>
        <w:rPr>
          <w:rFonts w:ascii="Arial" w:hAnsi="Arial" w:cs="Arial"/>
          <w:sz w:val="22"/>
          <w:szCs w:val="22"/>
        </w:rPr>
        <w:t>Methodology</w:t>
      </w:r>
    </w:p>
    <w:p w14:paraId="2F75633B" w14:textId="77777777" w:rsidR="00C362C1" w:rsidRDefault="00C362C1" w:rsidP="00C362C1">
      <w:pPr>
        <w:pStyle w:val="ListParagraph"/>
        <w:numPr>
          <w:ilvl w:val="0"/>
          <w:numId w:val="7"/>
        </w:numPr>
        <w:spacing w:line="360" w:lineRule="auto"/>
        <w:rPr>
          <w:rFonts w:ascii="Arial" w:hAnsi="Arial" w:cs="Arial"/>
          <w:sz w:val="22"/>
          <w:szCs w:val="22"/>
        </w:rPr>
      </w:pPr>
      <w:r>
        <w:rPr>
          <w:rFonts w:ascii="Arial" w:hAnsi="Arial" w:cs="Arial"/>
          <w:sz w:val="22"/>
          <w:szCs w:val="22"/>
        </w:rPr>
        <w:t>Key findings</w:t>
      </w:r>
    </w:p>
    <w:p w14:paraId="456CA606" w14:textId="77777777" w:rsidR="00C362C1" w:rsidRDefault="00C362C1" w:rsidP="00C362C1">
      <w:pPr>
        <w:pStyle w:val="ListParagraph"/>
        <w:numPr>
          <w:ilvl w:val="0"/>
          <w:numId w:val="7"/>
        </w:numPr>
        <w:spacing w:line="360" w:lineRule="auto"/>
        <w:rPr>
          <w:rFonts w:ascii="Arial" w:hAnsi="Arial" w:cs="Arial"/>
          <w:sz w:val="22"/>
          <w:szCs w:val="22"/>
        </w:rPr>
      </w:pPr>
      <w:r>
        <w:rPr>
          <w:rFonts w:ascii="Arial" w:hAnsi="Arial" w:cs="Arial"/>
          <w:sz w:val="22"/>
          <w:szCs w:val="22"/>
        </w:rPr>
        <w:t>Relevance to research objectives</w:t>
      </w:r>
    </w:p>
    <w:p w14:paraId="742A1AFA" w14:textId="77777777" w:rsidR="00C362C1" w:rsidRDefault="00C362C1" w:rsidP="00C362C1">
      <w:pPr>
        <w:spacing w:line="360" w:lineRule="auto"/>
        <w:rPr>
          <w:rFonts w:ascii="Arial" w:hAnsi="Arial" w:cs="Arial"/>
          <w:sz w:val="22"/>
          <w:szCs w:val="22"/>
        </w:rPr>
      </w:pPr>
      <w:r>
        <w:rPr>
          <w:rFonts w:ascii="Arial" w:hAnsi="Arial" w:cs="Arial"/>
          <w:sz w:val="22"/>
          <w:szCs w:val="22"/>
        </w:rPr>
        <w:t>This process mirrors the approach used in high</w:t>
      </w:r>
      <w:r>
        <w:rPr>
          <w:rFonts w:ascii="Cambria Math" w:hAnsi="Cambria Math" w:cs="Cambria Math"/>
          <w:sz w:val="22"/>
          <w:szCs w:val="22"/>
        </w:rPr>
        <w:noBreakHyphen/>
      </w:r>
      <w:r>
        <w:rPr>
          <w:rFonts w:ascii="Arial" w:hAnsi="Arial" w:cs="Arial"/>
          <w:sz w:val="22"/>
          <w:szCs w:val="22"/>
        </w:rPr>
        <w:t>quality undergraduate dissertations, ensuring systematic organisation of evidence.</w:t>
      </w:r>
    </w:p>
    <w:p w14:paraId="0E59F11E" w14:textId="77777777" w:rsidR="00C362C1" w:rsidRDefault="00C362C1" w:rsidP="00C362C1">
      <w:pPr>
        <w:pStyle w:val="Heading3"/>
      </w:pPr>
      <w:bookmarkStart w:id="9" w:name="_Toc222350083"/>
      <w:r>
        <w:t>Source Tracking Table</w:t>
      </w:r>
      <w:bookmarkEnd w:id="9"/>
    </w:p>
    <w:tbl>
      <w:tblPr>
        <w:tblStyle w:val="TableGrid"/>
        <w:tblW w:w="0" w:type="auto"/>
        <w:tblInd w:w="0" w:type="dxa"/>
        <w:tblLook w:val="04A0" w:firstRow="1" w:lastRow="0" w:firstColumn="1" w:lastColumn="0" w:noHBand="0" w:noVBand="1"/>
      </w:tblPr>
      <w:tblGrid>
        <w:gridCol w:w="1803"/>
        <w:gridCol w:w="1803"/>
        <w:gridCol w:w="1803"/>
        <w:gridCol w:w="1803"/>
        <w:gridCol w:w="1804"/>
      </w:tblGrid>
      <w:tr w:rsidR="00C362C1" w14:paraId="1B7B6750" w14:textId="77777777">
        <w:tc>
          <w:tcPr>
            <w:tcW w:w="1803" w:type="dxa"/>
            <w:tcBorders>
              <w:top w:val="single" w:sz="4" w:space="0" w:color="auto"/>
              <w:left w:val="single" w:sz="4" w:space="0" w:color="auto"/>
              <w:bottom w:val="single" w:sz="4" w:space="0" w:color="auto"/>
              <w:right w:val="single" w:sz="4" w:space="0" w:color="auto"/>
            </w:tcBorders>
            <w:hideMark/>
          </w:tcPr>
          <w:p w14:paraId="2B83CEF6" w14:textId="77777777" w:rsidR="00C362C1" w:rsidRDefault="00C362C1">
            <w:pPr>
              <w:spacing w:line="360" w:lineRule="auto"/>
              <w:rPr>
                <w:rFonts w:ascii="Arial" w:hAnsi="Arial" w:cs="Arial"/>
                <w:sz w:val="22"/>
                <w:szCs w:val="22"/>
              </w:rPr>
            </w:pPr>
            <w:r>
              <w:rPr>
                <w:rFonts w:ascii="Arial" w:hAnsi="Arial" w:cs="Arial"/>
                <w:sz w:val="22"/>
                <w:szCs w:val="22"/>
              </w:rPr>
              <w:t>Author(s)</w:t>
            </w:r>
          </w:p>
        </w:tc>
        <w:tc>
          <w:tcPr>
            <w:tcW w:w="1803" w:type="dxa"/>
            <w:tcBorders>
              <w:top w:val="single" w:sz="4" w:space="0" w:color="auto"/>
              <w:left w:val="single" w:sz="4" w:space="0" w:color="auto"/>
              <w:bottom w:val="single" w:sz="4" w:space="0" w:color="auto"/>
              <w:right w:val="single" w:sz="4" w:space="0" w:color="auto"/>
            </w:tcBorders>
            <w:hideMark/>
          </w:tcPr>
          <w:p w14:paraId="7AA77CA5" w14:textId="77777777" w:rsidR="00C362C1" w:rsidRDefault="00C362C1">
            <w:pPr>
              <w:spacing w:line="360" w:lineRule="auto"/>
              <w:rPr>
                <w:rFonts w:ascii="Arial" w:hAnsi="Arial" w:cs="Arial"/>
                <w:sz w:val="22"/>
                <w:szCs w:val="22"/>
              </w:rPr>
            </w:pPr>
            <w:r>
              <w:rPr>
                <w:rFonts w:ascii="Arial" w:hAnsi="Arial" w:cs="Arial"/>
                <w:sz w:val="22"/>
                <w:szCs w:val="22"/>
              </w:rPr>
              <w:t>Year</w:t>
            </w:r>
          </w:p>
        </w:tc>
        <w:tc>
          <w:tcPr>
            <w:tcW w:w="1803" w:type="dxa"/>
            <w:tcBorders>
              <w:top w:val="single" w:sz="4" w:space="0" w:color="auto"/>
              <w:left w:val="single" w:sz="4" w:space="0" w:color="auto"/>
              <w:bottom w:val="single" w:sz="4" w:space="0" w:color="auto"/>
              <w:right w:val="single" w:sz="4" w:space="0" w:color="auto"/>
            </w:tcBorders>
            <w:hideMark/>
          </w:tcPr>
          <w:p w14:paraId="0665B883" w14:textId="77777777" w:rsidR="00C362C1" w:rsidRDefault="00C362C1">
            <w:pPr>
              <w:spacing w:line="360" w:lineRule="auto"/>
              <w:rPr>
                <w:rFonts w:ascii="Arial" w:hAnsi="Arial" w:cs="Arial"/>
                <w:sz w:val="22"/>
                <w:szCs w:val="22"/>
              </w:rPr>
            </w:pPr>
            <w:r>
              <w:rPr>
                <w:rFonts w:ascii="Arial" w:hAnsi="Arial" w:cs="Arial"/>
                <w:sz w:val="22"/>
                <w:szCs w:val="22"/>
              </w:rPr>
              <w:t>Title</w:t>
            </w:r>
          </w:p>
        </w:tc>
        <w:tc>
          <w:tcPr>
            <w:tcW w:w="1803" w:type="dxa"/>
            <w:tcBorders>
              <w:top w:val="single" w:sz="4" w:space="0" w:color="auto"/>
              <w:left w:val="single" w:sz="4" w:space="0" w:color="auto"/>
              <w:bottom w:val="single" w:sz="4" w:space="0" w:color="auto"/>
              <w:right w:val="single" w:sz="4" w:space="0" w:color="auto"/>
            </w:tcBorders>
            <w:hideMark/>
          </w:tcPr>
          <w:p w14:paraId="076422BB" w14:textId="77777777" w:rsidR="00C362C1" w:rsidRDefault="00C362C1">
            <w:pPr>
              <w:spacing w:line="360" w:lineRule="auto"/>
              <w:rPr>
                <w:rFonts w:ascii="Arial" w:hAnsi="Arial" w:cs="Arial"/>
                <w:sz w:val="22"/>
                <w:szCs w:val="22"/>
              </w:rPr>
            </w:pPr>
            <w:r>
              <w:rPr>
                <w:rFonts w:ascii="Arial" w:hAnsi="Arial" w:cs="Arial"/>
                <w:sz w:val="22"/>
                <w:szCs w:val="22"/>
              </w:rPr>
              <w:t>Key Findings</w:t>
            </w:r>
          </w:p>
        </w:tc>
        <w:tc>
          <w:tcPr>
            <w:tcW w:w="1804" w:type="dxa"/>
            <w:tcBorders>
              <w:top w:val="single" w:sz="4" w:space="0" w:color="auto"/>
              <w:left w:val="single" w:sz="4" w:space="0" w:color="auto"/>
              <w:bottom w:val="single" w:sz="4" w:space="0" w:color="auto"/>
              <w:right w:val="single" w:sz="4" w:space="0" w:color="auto"/>
            </w:tcBorders>
            <w:hideMark/>
          </w:tcPr>
          <w:p w14:paraId="279508B2" w14:textId="77777777" w:rsidR="00C362C1" w:rsidRDefault="00C362C1">
            <w:pPr>
              <w:spacing w:line="360" w:lineRule="auto"/>
              <w:rPr>
                <w:rFonts w:ascii="Arial" w:hAnsi="Arial" w:cs="Arial"/>
                <w:sz w:val="22"/>
                <w:szCs w:val="22"/>
              </w:rPr>
            </w:pPr>
            <w:r>
              <w:rPr>
                <w:rFonts w:ascii="Arial" w:hAnsi="Arial" w:cs="Arial"/>
                <w:sz w:val="22"/>
                <w:szCs w:val="22"/>
              </w:rPr>
              <w:t>Relevance</w:t>
            </w:r>
          </w:p>
        </w:tc>
      </w:tr>
      <w:tr w:rsidR="00C362C1" w14:paraId="31E69404" w14:textId="77777777">
        <w:tc>
          <w:tcPr>
            <w:tcW w:w="1803" w:type="dxa"/>
            <w:tcBorders>
              <w:top w:val="single" w:sz="4" w:space="0" w:color="auto"/>
              <w:left w:val="single" w:sz="4" w:space="0" w:color="auto"/>
              <w:bottom w:val="single" w:sz="4" w:space="0" w:color="auto"/>
              <w:right w:val="single" w:sz="4" w:space="0" w:color="auto"/>
            </w:tcBorders>
            <w:hideMark/>
          </w:tcPr>
          <w:p w14:paraId="683728F3" w14:textId="77777777" w:rsidR="00C362C1" w:rsidRDefault="00C362C1">
            <w:pPr>
              <w:spacing w:line="360" w:lineRule="auto"/>
              <w:rPr>
                <w:rFonts w:ascii="Arial" w:hAnsi="Arial" w:cs="Arial"/>
                <w:sz w:val="22"/>
                <w:szCs w:val="22"/>
              </w:rPr>
            </w:pPr>
            <w:r>
              <w:rPr>
                <w:rFonts w:ascii="Arial" w:hAnsi="Arial" w:cs="Arial"/>
                <w:sz w:val="22"/>
                <w:szCs w:val="22"/>
              </w:rPr>
              <w:t>Patel et al.</w:t>
            </w:r>
          </w:p>
        </w:tc>
        <w:tc>
          <w:tcPr>
            <w:tcW w:w="1803" w:type="dxa"/>
            <w:tcBorders>
              <w:top w:val="single" w:sz="4" w:space="0" w:color="auto"/>
              <w:left w:val="single" w:sz="4" w:space="0" w:color="auto"/>
              <w:bottom w:val="single" w:sz="4" w:space="0" w:color="auto"/>
              <w:right w:val="single" w:sz="4" w:space="0" w:color="auto"/>
            </w:tcBorders>
            <w:hideMark/>
          </w:tcPr>
          <w:p w14:paraId="272AD7A8" w14:textId="77777777" w:rsidR="00C362C1" w:rsidRDefault="00C362C1">
            <w:pPr>
              <w:spacing w:line="360" w:lineRule="auto"/>
              <w:rPr>
                <w:rFonts w:ascii="Arial" w:hAnsi="Arial" w:cs="Arial"/>
                <w:sz w:val="22"/>
                <w:szCs w:val="22"/>
              </w:rPr>
            </w:pPr>
            <w:r>
              <w:rPr>
                <w:rFonts w:ascii="Arial" w:hAnsi="Arial" w:cs="Arial"/>
                <w:sz w:val="22"/>
                <w:szCs w:val="22"/>
              </w:rPr>
              <w:t>2019</w:t>
            </w:r>
          </w:p>
        </w:tc>
        <w:tc>
          <w:tcPr>
            <w:tcW w:w="1803" w:type="dxa"/>
            <w:tcBorders>
              <w:top w:val="single" w:sz="4" w:space="0" w:color="auto"/>
              <w:left w:val="single" w:sz="4" w:space="0" w:color="auto"/>
              <w:bottom w:val="single" w:sz="4" w:space="0" w:color="auto"/>
              <w:right w:val="single" w:sz="4" w:space="0" w:color="auto"/>
            </w:tcBorders>
            <w:hideMark/>
          </w:tcPr>
          <w:p w14:paraId="31A018A8" w14:textId="77777777" w:rsidR="00C362C1" w:rsidRDefault="00C362C1">
            <w:pPr>
              <w:spacing w:line="360" w:lineRule="auto"/>
              <w:rPr>
                <w:rFonts w:ascii="Arial" w:hAnsi="Arial" w:cs="Arial"/>
                <w:sz w:val="22"/>
                <w:szCs w:val="22"/>
              </w:rPr>
            </w:pPr>
            <w:r>
              <w:rPr>
                <w:rFonts w:ascii="Arial" w:hAnsi="Arial" w:cs="Arial"/>
                <w:sz w:val="22"/>
                <w:szCs w:val="22"/>
              </w:rPr>
              <w:t>Dietary practices among South Asians</w:t>
            </w:r>
          </w:p>
        </w:tc>
        <w:tc>
          <w:tcPr>
            <w:tcW w:w="1803" w:type="dxa"/>
            <w:tcBorders>
              <w:top w:val="single" w:sz="4" w:space="0" w:color="auto"/>
              <w:left w:val="single" w:sz="4" w:space="0" w:color="auto"/>
              <w:bottom w:val="single" w:sz="4" w:space="0" w:color="auto"/>
              <w:right w:val="single" w:sz="4" w:space="0" w:color="auto"/>
            </w:tcBorders>
            <w:hideMark/>
          </w:tcPr>
          <w:p w14:paraId="65DEA997" w14:textId="77777777" w:rsidR="00C362C1" w:rsidRDefault="00C362C1">
            <w:pPr>
              <w:spacing w:line="360" w:lineRule="auto"/>
              <w:rPr>
                <w:rFonts w:ascii="Arial" w:hAnsi="Arial" w:cs="Arial"/>
                <w:sz w:val="22"/>
                <w:szCs w:val="22"/>
              </w:rPr>
            </w:pPr>
            <w:r>
              <w:rPr>
                <w:rFonts w:ascii="Arial" w:hAnsi="Arial" w:cs="Arial"/>
                <w:sz w:val="22"/>
                <w:szCs w:val="22"/>
              </w:rPr>
              <w:t>High</w:t>
            </w:r>
            <w:r>
              <w:rPr>
                <w:rFonts w:ascii="Cambria Math" w:hAnsi="Cambria Math" w:cs="Cambria Math"/>
                <w:sz w:val="22"/>
                <w:szCs w:val="22"/>
              </w:rPr>
              <w:noBreakHyphen/>
            </w:r>
            <w:r>
              <w:rPr>
                <w:rFonts w:ascii="Arial" w:hAnsi="Arial" w:cs="Arial"/>
                <w:sz w:val="22"/>
                <w:szCs w:val="22"/>
              </w:rPr>
              <w:t>carb diets hinder glycaemic control</w:t>
            </w:r>
          </w:p>
        </w:tc>
        <w:tc>
          <w:tcPr>
            <w:tcW w:w="1804" w:type="dxa"/>
            <w:tcBorders>
              <w:top w:val="single" w:sz="4" w:space="0" w:color="auto"/>
              <w:left w:val="single" w:sz="4" w:space="0" w:color="auto"/>
              <w:bottom w:val="single" w:sz="4" w:space="0" w:color="auto"/>
              <w:right w:val="single" w:sz="4" w:space="0" w:color="auto"/>
            </w:tcBorders>
            <w:hideMark/>
          </w:tcPr>
          <w:p w14:paraId="2A1CE76A" w14:textId="77777777" w:rsidR="00C362C1" w:rsidRDefault="00C362C1">
            <w:pPr>
              <w:spacing w:line="360" w:lineRule="auto"/>
              <w:rPr>
                <w:rFonts w:ascii="Arial" w:hAnsi="Arial" w:cs="Arial"/>
                <w:sz w:val="22"/>
                <w:szCs w:val="22"/>
              </w:rPr>
            </w:pPr>
            <w:r>
              <w:rPr>
                <w:rFonts w:ascii="Arial" w:hAnsi="Arial" w:cs="Arial"/>
                <w:sz w:val="22"/>
                <w:szCs w:val="22"/>
              </w:rPr>
              <w:t>Cultural influences</w:t>
            </w:r>
          </w:p>
        </w:tc>
      </w:tr>
      <w:tr w:rsidR="00C362C1" w14:paraId="48F1585D" w14:textId="77777777">
        <w:tc>
          <w:tcPr>
            <w:tcW w:w="1803" w:type="dxa"/>
            <w:tcBorders>
              <w:top w:val="single" w:sz="4" w:space="0" w:color="auto"/>
              <w:left w:val="single" w:sz="4" w:space="0" w:color="auto"/>
              <w:bottom w:val="single" w:sz="4" w:space="0" w:color="auto"/>
              <w:right w:val="single" w:sz="4" w:space="0" w:color="auto"/>
            </w:tcBorders>
            <w:hideMark/>
          </w:tcPr>
          <w:p w14:paraId="75C9345E" w14:textId="77777777" w:rsidR="00C362C1" w:rsidRDefault="00C362C1">
            <w:pPr>
              <w:spacing w:line="360" w:lineRule="auto"/>
              <w:rPr>
                <w:rFonts w:ascii="Arial" w:hAnsi="Arial" w:cs="Arial"/>
                <w:sz w:val="22"/>
                <w:szCs w:val="22"/>
              </w:rPr>
            </w:pPr>
            <w:r>
              <w:rPr>
                <w:rFonts w:ascii="Arial" w:hAnsi="Arial" w:cs="Arial"/>
                <w:sz w:val="22"/>
                <w:szCs w:val="22"/>
              </w:rPr>
              <w:t>Memon et al.</w:t>
            </w:r>
          </w:p>
        </w:tc>
        <w:tc>
          <w:tcPr>
            <w:tcW w:w="1803" w:type="dxa"/>
            <w:tcBorders>
              <w:top w:val="single" w:sz="4" w:space="0" w:color="auto"/>
              <w:left w:val="single" w:sz="4" w:space="0" w:color="auto"/>
              <w:bottom w:val="single" w:sz="4" w:space="0" w:color="auto"/>
              <w:right w:val="single" w:sz="4" w:space="0" w:color="auto"/>
            </w:tcBorders>
            <w:hideMark/>
          </w:tcPr>
          <w:p w14:paraId="42EAEEF6" w14:textId="77777777" w:rsidR="00C362C1" w:rsidRDefault="00C362C1">
            <w:pPr>
              <w:spacing w:line="360" w:lineRule="auto"/>
              <w:rPr>
                <w:rFonts w:ascii="Arial" w:hAnsi="Arial" w:cs="Arial"/>
                <w:sz w:val="22"/>
                <w:szCs w:val="22"/>
              </w:rPr>
            </w:pPr>
            <w:r>
              <w:rPr>
                <w:rFonts w:ascii="Arial" w:hAnsi="Arial" w:cs="Arial"/>
                <w:sz w:val="22"/>
                <w:szCs w:val="22"/>
              </w:rPr>
              <w:t>2016</w:t>
            </w:r>
          </w:p>
        </w:tc>
        <w:tc>
          <w:tcPr>
            <w:tcW w:w="1803" w:type="dxa"/>
            <w:tcBorders>
              <w:top w:val="single" w:sz="4" w:space="0" w:color="auto"/>
              <w:left w:val="single" w:sz="4" w:space="0" w:color="auto"/>
              <w:bottom w:val="single" w:sz="4" w:space="0" w:color="auto"/>
              <w:right w:val="single" w:sz="4" w:space="0" w:color="auto"/>
            </w:tcBorders>
            <w:hideMark/>
          </w:tcPr>
          <w:p w14:paraId="49DE3419" w14:textId="77777777" w:rsidR="00C362C1" w:rsidRDefault="00C362C1">
            <w:pPr>
              <w:spacing w:line="360" w:lineRule="auto"/>
              <w:rPr>
                <w:rFonts w:ascii="Arial" w:hAnsi="Arial" w:cs="Arial"/>
                <w:sz w:val="22"/>
                <w:szCs w:val="22"/>
              </w:rPr>
            </w:pPr>
            <w:r>
              <w:rPr>
                <w:rFonts w:ascii="Arial" w:hAnsi="Arial" w:cs="Arial"/>
                <w:sz w:val="22"/>
                <w:szCs w:val="22"/>
              </w:rPr>
              <w:t>Language barriers in healthcare</w:t>
            </w:r>
          </w:p>
        </w:tc>
        <w:tc>
          <w:tcPr>
            <w:tcW w:w="1803" w:type="dxa"/>
            <w:tcBorders>
              <w:top w:val="single" w:sz="4" w:space="0" w:color="auto"/>
              <w:left w:val="single" w:sz="4" w:space="0" w:color="auto"/>
              <w:bottom w:val="single" w:sz="4" w:space="0" w:color="auto"/>
              <w:right w:val="single" w:sz="4" w:space="0" w:color="auto"/>
            </w:tcBorders>
            <w:hideMark/>
          </w:tcPr>
          <w:p w14:paraId="6C819006" w14:textId="77777777" w:rsidR="00C362C1" w:rsidRDefault="00C362C1">
            <w:pPr>
              <w:spacing w:line="360" w:lineRule="auto"/>
              <w:rPr>
                <w:rFonts w:ascii="Arial" w:hAnsi="Arial" w:cs="Arial"/>
                <w:sz w:val="22"/>
                <w:szCs w:val="22"/>
              </w:rPr>
            </w:pPr>
            <w:r>
              <w:rPr>
                <w:rFonts w:ascii="Arial" w:hAnsi="Arial" w:cs="Arial"/>
                <w:sz w:val="22"/>
                <w:szCs w:val="22"/>
              </w:rPr>
              <w:t>Limited English reduces engagement</w:t>
            </w:r>
          </w:p>
        </w:tc>
        <w:tc>
          <w:tcPr>
            <w:tcW w:w="1804" w:type="dxa"/>
            <w:tcBorders>
              <w:top w:val="single" w:sz="4" w:space="0" w:color="auto"/>
              <w:left w:val="single" w:sz="4" w:space="0" w:color="auto"/>
              <w:bottom w:val="single" w:sz="4" w:space="0" w:color="auto"/>
              <w:right w:val="single" w:sz="4" w:space="0" w:color="auto"/>
            </w:tcBorders>
            <w:hideMark/>
          </w:tcPr>
          <w:p w14:paraId="417F3A6E" w14:textId="77777777" w:rsidR="00C362C1" w:rsidRDefault="00C362C1">
            <w:pPr>
              <w:spacing w:line="360" w:lineRule="auto"/>
              <w:rPr>
                <w:rFonts w:ascii="Arial" w:hAnsi="Arial" w:cs="Arial"/>
                <w:sz w:val="22"/>
                <w:szCs w:val="22"/>
              </w:rPr>
            </w:pPr>
            <w:r>
              <w:rPr>
                <w:rFonts w:ascii="Arial" w:hAnsi="Arial" w:cs="Arial"/>
                <w:sz w:val="22"/>
                <w:szCs w:val="22"/>
              </w:rPr>
              <w:t>Healthcare access</w:t>
            </w:r>
          </w:p>
        </w:tc>
      </w:tr>
      <w:tr w:rsidR="00C362C1" w14:paraId="31D76BA7" w14:textId="77777777">
        <w:tc>
          <w:tcPr>
            <w:tcW w:w="1803" w:type="dxa"/>
            <w:tcBorders>
              <w:top w:val="single" w:sz="4" w:space="0" w:color="auto"/>
              <w:left w:val="single" w:sz="4" w:space="0" w:color="auto"/>
              <w:bottom w:val="single" w:sz="4" w:space="0" w:color="auto"/>
              <w:right w:val="single" w:sz="4" w:space="0" w:color="auto"/>
            </w:tcBorders>
            <w:hideMark/>
          </w:tcPr>
          <w:p w14:paraId="6DD7CFC8" w14:textId="77777777" w:rsidR="00C362C1" w:rsidRDefault="00C362C1">
            <w:pPr>
              <w:spacing w:line="360" w:lineRule="auto"/>
              <w:rPr>
                <w:rFonts w:ascii="Arial" w:hAnsi="Arial" w:cs="Arial"/>
                <w:sz w:val="22"/>
                <w:szCs w:val="22"/>
              </w:rPr>
            </w:pPr>
            <w:r>
              <w:rPr>
                <w:rFonts w:ascii="Arial" w:hAnsi="Arial" w:cs="Arial"/>
                <w:sz w:val="22"/>
                <w:szCs w:val="22"/>
              </w:rPr>
              <w:t>ONS</w:t>
            </w:r>
          </w:p>
        </w:tc>
        <w:tc>
          <w:tcPr>
            <w:tcW w:w="1803" w:type="dxa"/>
            <w:tcBorders>
              <w:top w:val="single" w:sz="4" w:space="0" w:color="auto"/>
              <w:left w:val="single" w:sz="4" w:space="0" w:color="auto"/>
              <w:bottom w:val="single" w:sz="4" w:space="0" w:color="auto"/>
              <w:right w:val="single" w:sz="4" w:space="0" w:color="auto"/>
            </w:tcBorders>
            <w:hideMark/>
          </w:tcPr>
          <w:p w14:paraId="0B4B305C" w14:textId="77777777" w:rsidR="00C362C1" w:rsidRDefault="00C362C1">
            <w:pPr>
              <w:spacing w:line="360" w:lineRule="auto"/>
              <w:rPr>
                <w:rFonts w:ascii="Arial" w:hAnsi="Arial" w:cs="Arial"/>
                <w:sz w:val="22"/>
                <w:szCs w:val="22"/>
              </w:rPr>
            </w:pPr>
            <w:r>
              <w:rPr>
                <w:rFonts w:ascii="Arial" w:hAnsi="Arial" w:cs="Arial"/>
                <w:sz w:val="22"/>
                <w:szCs w:val="22"/>
              </w:rPr>
              <w:t>2023</w:t>
            </w:r>
          </w:p>
        </w:tc>
        <w:tc>
          <w:tcPr>
            <w:tcW w:w="1803" w:type="dxa"/>
            <w:tcBorders>
              <w:top w:val="single" w:sz="4" w:space="0" w:color="auto"/>
              <w:left w:val="single" w:sz="4" w:space="0" w:color="auto"/>
              <w:bottom w:val="single" w:sz="4" w:space="0" w:color="auto"/>
              <w:right w:val="single" w:sz="4" w:space="0" w:color="auto"/>
            </w:tcBorders>
            <w:hideMark/>
          </w:tcPr>
          <w:p w14:paraId="5E8AE0E8" w14:textId="77777777" w:rsidR="00C362C1" w:rsidRDefault="00C362C1">
            <w:pPr>
              <w:spacing w:line="360" w:lineRule="auto"/>
              <w:rPr>
                <w:rFonts w:ascii="Arial" w:hAnsi="Arial" w:cs="Arial"/>
                <w:sz w:val="22"/>
                <w:szCs w:val="22"/>
              </w:rPr>
            </w:pPr>
            <w:r>
              <w:rPr>
                <w:rFonts w:ascii="Arial" w:hAnsi="Arial" w:cs="Arial"/>
                <w:sz w:val="22"/>
                <w:szCs w:val="22"/>
              </w:rPr>
              <w:t>Health inequalities</w:t>
            </w:r>
          </w:p>
        </w:tc>
        <w:tc>
          <w:tcPr>
            <w:tcW w:w="1803" w:type="dxa"/>
            <w:tcBorders>
              <w:top w:val="single" w:sz="4" w:space="0" w:color="auto"/>
              <w:left w:val="single" w:sz="4" w:space="0" w:color="auto"/>
              <w:bottom w:val="single" w:sz="4" w:space="0" w:color="auto"/>
              <w:right w:val="single" w:sz="4" w:space="0" w:color="auto"/>
            </w:tcBorders>
            <w:hideMark/>
          </w:tcPr>
          <w:p w14:paraId="10E319EC" w14:textId="77777777" w:rsidR="00C362C1" w:rsidRDefault="00C362C1">
            <w:pPr>
              <w:spacing w:line="360" w:lineRule="auto"/>
              <w:rPr>
                <w:rFonts w:ascii="Arial" w:hAnsi="Arial" w:cs="Arial"/>
                <w:sz w:val="22"/>
                <w:szCs w:val="22"/>
              </w:rPr>
            </w:pPr>
            <w:r>
              <w:rPr>
                <w:rFonts w:ascii="Arial" w:hAnsi="Arial" w:cs="Arial"/>
                <w:sz w:val="22"/>
                <w:szCs w:val="22"/>
              </w:rPr>
              <w:t>South Asians have higher diabetes prevalence</w:t>
            </w:r>
          </w:p>
        </w:tc>
        <w:tc>
          <w:tcPr>
            <w:tcW w:w="1804" w:type="dxa"/>
            <w:tcBorders>
              <w:top w:val="single" w:sz="4" w:space="0" w:color="auto"/>
              <w:left w:val="single" w:sz="4" w:space="0" w:color="auto"/>
              <w:bottom w:val="single" w:sz="4" w:space="0" w:color="auto"/>
              <w:right w:val="single" w:sz="4" w:space="0" w:color="auto"/>
            </w:tcBorders>
            <w:hideMark/>
          </w:tcPr>
          <w:p w14:paraId="73662CF3" w14:textId="77777777" w:rsidR="00C362C1" w:rsidRDefault="00C362C1">
            <w:pPr>
              <w:spacing w:line="360" w:lineRule="auto"/>
              <w:rPr>
                <w:rFonts w:ascii="Arial" w:hAnsi="Arial" w:cs="Arial"/>
                <w:sz w:val="22"/>
                <w:szCs w:val="22"/>
              </w:rPr>
            </w:pPr>
            <w:r>
              <w:rPr>
                <w:rFonts w:ascii="Arial" w:hAnsi="Arial" w:cs="Arial"/>
                <w:sz w:val="22"/>
                <w:szCs w:val="22"/>
              </w:rPr>
              <w:t>Background</w:t>
            </w:r>
          </w:p>
        </w:tc>
      </w:tr>
    </w:tbl>
    <w:p w14:paraId="3049A56F" w14:textId="77777777" w:rsidR="00C362C1" w:rsidRDefault="00C362C1" w:rsidP="00C362C1"/>
    <w:p w14:paraId="145C5CE8" w14:textId="77777777" w:rsidR="00C362C1" w:rsidRDefault="00C362C1" w:rsidP="00C362C1">
      <w:pPr>
        <w:spacing w:line="360" w:lineRule="auto"/>
        <w:rPr>
          <w:rFonts w:ascii="Arial" w:hAnsi="Arial" w:cs="Arial"/>
          <w:b/>
          <w:bCs/>
          <w:sz w:val="22"/>
          <w:szCs w:val="22"/>
        </w:rPr>
      </w:pPr>
      <w:r>
        <w:rPr>
          <w:rFonts w:ascii="Arial" w:hAnsi="Arial" w:cs="Arial"/>
          <w:b/>
          <w:bCs/>
          <w:sz w:val="22"/>
          <w:szCs w:val="22"/>
        </w:rPr>
        <w:t>Thematic Coding</w:t>
      </w:r>
    </w:p>
    <w:p w14:paraId="3664F1FF" w14:textId="77777777" w:rsidR="00C362C1" w:rsidRDefault="00C362C1" w:rsidP="00C362C1">
      <w:pPr>
        <w:spacing w:line="360" w:lineRule="auto"/>
        <w:rPr>
          <w:rFonts w:ascii="Arial" w:hAnsi="Arial" w:cs="Arial"/>
          <w:b/>
          <w:bCs/>
          <w:sz w:val="22"/>
          <w:szCs w:val="22"/>
        </w:rPr>
      </w:pPr>
      <w:r>
        <w:rPr>
          <w:rFonts w:ascii="Arial" w:hAnsi="Arial" w:cs="Arial"/>
          <w:b/>
          <w:bCs/>
          <w:sz w:val="22"/>
          <w:szCs w:val="22"/>
        </w:rPr>
        <w:t>Thematic analysis followed Braun and Clarke’s (2006) six</w:t>
      </w:r>
      <w:r>
        <w:rPr>
          <w:rFonts w:ascii="Cambria Math" w:hAnsi="Cambria Math" w:cs="Cambria Math"/>
          <w:b/>
          <w:bCs/>
          <w:sz w:val="22"/>
          <w:szCs w:val="22"/>
        </w:rPr>
        <w:noBreakHyphen/>
      </w:r>
      <w:r>
        <w:rPr>
          <w:rFonts w:ascii="Arial" w:hAnsi="Arial" w:cs="Arial"/>
          <w:b/>
          <w:bCs/>
          <w:sz w:val="22"/>
          <w:szCs w:val="22"/>
        </w:rPr>
        <w:t>phase framework:</w:t>
      </w:r>
    </w:p>
    <w:p w14:paraId="59A48293" w14:textId="77777777" w:rsidR="00C362C1" w:rsidRDefault="00C362C1" w:rsidP="00C362C1">
      <w:pPr>
        <w:pStyle w:val="ListParagraph"/>
        <w:numPr>
          <w:ilvl w:val="0"/>
          <w:numId w:val="8"/>
        </w:numPr>
        <w:spacing w:line="360" w:lineRule="auto"/>
        <w:rPr>
          <w:rFonts w:ascii="Arial" w:hAnsi="Arial" w:cs="Arial"/>
          <w:sz w:val="22"/>
          <w:szCs w:val="22"/>
        </w:rPr>
      </w:pPr>
      <w:r>
        <w:rPr>
          <w:rFonts w:ascii="Arial" w:hAnsi="Arial" w:cs="Arial"/>
          <w:sz w:val="22"/>
          <w:szCs w:val="22"/>
        </w:rPr>
        <w:t>Familiarisation: reading and re</w:t>
      </w:r>
      <w:r>
        <w:rPr>
          <w:rFonts w:ascii="Cambria Math" w:hAnsi="Cambria Math" w:cs="Cambria Math"/>
          <w:sz w:val="22"/>
          <w:szCs w:val="22"/>
        </w:rPr>
        <w:noBreakHyphen/>
      </w:r>
      <w:r>
        <w:rPr>
          <w:rFonts w:ascii="Arial" w:hAnsi="Arial" w:cs="Arial"/>
          <w:sz w:val="22"/>
          <w:szCs w:val="22"/>
        </w:rPr>
        <w:t>reading sources</w:t>
      </w:r>
    </w:p>
    <w:p w14:paraId="1732316C" w14:textId="77777777" w:rsidR="00C362C1" w:rsidRDefault="00C362C1" w:rsidP="00C362C1">
      <w:pPr>
        <w:pStyle w:val="ListParagraph"/>
        <w:numPr>
          <w:ilvl w:val="0"/>
          <w:numId w:val="8"/>
        </w:numPr>
        <w:spacing w:line="360" w:lineRule="auto"/>
        <w:rPr>
          <w:rFonts w:ascii="Arial" w:hAnsi="Arial" w:cs="Arial"/>
          <w:sz w:val="22"/>
          <w:szCs w:val="22"/>
        </w:rPr>
      </w:pPr>
      <w:r>
        <w:rPr>
          <w:rFonts w:ascii="Arial" w:hAnsi="Arial" w:cs="Arial"/>
          <w:sz w:val="22"/>
          <w:szCs w:val="22"/>
        </w:rPr>
        <w:t>Initial coding: identifying meaningful units of data</w:t>
      </w:r>
    </w:p>
    <w:p w14:paraId="7B9EC4E9" w14:textId="77777777" w:rsidR="00C362C1" w:rsidRDefault="00C362C1" w:rsidP="00C362C1">
      <w:pPr>
        <w:pStyle w:val="ListParagraph"/>
        <w:numPr>
          <w:ilvl w:val="0"/>
          <w:numId w:val="8"/>
        </w:numPr>
        <w:spacing w:line="360" w:lineRule="auto"/>
        <w:rPr>
          <w:rFonts w:ascii="Arial" w:hAnsi="Arial" w:cs="Arial"/>
          <w:sz w:val="22"/>
          <w:szCs w:val="22"/>
        </w:rPr>
      </w:pPr>
      <w:r>
        <w:rPr>
          <w:rFonts w:ascii="Arial" w:hAnsi="Arial" w:cs="Arial"/>
          <w:sz w:val="22"/>
          <w:szCs w:val="22"/>
        </w:rPr>
        <w:t>Theme development: grouping codes into broader categories</w:t>
      </w:r>
    </w:p>
    <w:p w14:paraId="14F52631" w14:textId="77777777" w:rsidR="00C362C1" w:rsidRDefault="00C362C1" w:rsidP="00C362C1">
      <w:pPr>
        <w:pStyle w:val="ListParagraph"/>
        <w:numPr>
          <w:ilvl w:val="0"/>
          <w:numId w:val="8"/>
        </w:numPr>
        <w:spacing w:line="360" w:lineRule="auto"/>
        <w:rPr>
          <w:rFonts w:ascii="Arial" w:hAnsi="Arial" w:cs="Arial"/>
          <w:sz w:val="22"/>
          <w:szCs w:val="22"/>
        </w:rPr>
      </w:pPr>
      <w:r>
        <w:rPr>
          <w:rFonts w:ascii="Arial" w:hAnsi="Arial" w:cs="Arial"/>
          <w:sz w:val="22"/>
          <w:szCs w:val="22"/>
        </w:rPr>
        <w:lastRenderedPageBreak/>
        <w:t>Reviewing themes: refining and merging overlapping themes</w:t>
      </w:r>
    </w:p>
    <w:p w14:paraId="1BC6EFE8" w14:textId="77777777" w:rsidR="00C362C1" w:rsidRDefault="00C362C1" w:rsidP="00C362C1">
      <w:pPr>
        <w:pStyle w:val="ListParagraph"/>
        <w:numPr>
          <w:ilvl w:val="0"/>
          <w:numId w:val="8"/>
        </w:numPr>
        <w:spacing w:line="360" w:lineRule="auto"/>
        <w:rPr>
          <w:rFonts w:ascii="Arial" w:hAnsi="Arial" w:cs="Arial"/>
          <w:sz w:val="22"/>
          <w:szCs w:val="22"/>
        </w:rPr>
      </w:pPr>
      <w:r>
        <w:rPr>
          <w:rFonts w:ascii="Arial" w:hAnsi="Arial" w:cs="Arial"/>
          <w:sz w:val="22"/>
          <w:szCs w:val="22"/>
        </w:rPr>
        <w:t>Defining themes: ensuring clarity and coherence</w:t>
      </w:r>
    </w:p>
    <w:p w14:paraId="39EE6369" w14:textId="77777777" w:rsidR="00C362C1" w:rsidRDefault="00C362C1" w:rsidP="00C362C1">
      <w:pPr>
        <w:pStyle w:val="ListParagraph"/>
        <w:numPr>
          <w:ilvl w:val="0"/>
          <w:numId w:val="8"/>
        </w:numPr>
        <w:spacing w:line="360" w:lineRule="auto"/>
        <w:rPr>
          <w:rFonts w:ascii="Arial" w:hAnsi="Arial" w:cs="Arial"/>
          <w:sz w:val="22"/>
          <w:szCs w:val="22"/>
        </w:rPr>
      </w:pPr>
      <w:r>
        <w:rPr>
          <w:rFonts w:ascii="Arial" w:hAnsi="Arial" w:cs="Arial"/>
          <w:sz w:val="22"/>
          <w:szCs w:val="22"/>
        </w:rPr>
        <w:t>Producing the analysis: integrating themes into the findings chapter</w:t>
      </w:r>
    </w:p>
    <w:p w14:paraId="09687B9B" w14:textId="77777777" w:rsidR="00C362C1" w:rsidRDefault="00C362C1" w:rsidP="00C362C1">
      <w:pPr>
        <w:spacing w:line="360" w:lineRule="auto"/>
        <w:rPr>
          <w:rFonts w:ascii="Arial" w:hAnsi="Arial" w:cs="Arial"/>
          <w:b/>
          <w:bCs/>
          <w:sz w:val="22"/>
          <w:szCs w:val="22"/>
        </w:rPr>
      </w:pPr>
      <w:r>
        <w:rPr>
          <w:rFonts w:ascii="Arial" w:hAnsi="Arial" w:cs="Arial"/>
          <w:b/>
          <w:bCs/>
          <w:sz w:val="22"/>
          <w:szCs w:val="22"/>
        </w:rPr>
        <w:t>Key Coding Categories</w:t>
      </w:r>
    </w:p>
    <w:p w14:paraId="085A8F3A" w14:textId="77777777" w:rsidR="00C362C1" w:rsidRDefault="00C362C1" w:rsidP="00C362C1">
      <w:pPr>
        <w:pStyle w:val="ListParagraph"/>
        <w:numPr>
          <w:ilvl w:val="0"/>
          <w:numId w:val="9"/>
        </w:numPr>
        <w:spacing w:line="360" w:lineRule="auto"/>
        <w:rPr>
          <w:rFonts w:ascii="Arial" w:hAnsi="Arial" w:cs="Arial"/>
          <w:sz w:val="22"/>
          <w:szCs w:val="22"/>
        </w:rPr>
      </w:pPr>
      <w:r>
        <w:rPr>
          <w:rFonts w:ascii="Arial" w:hAnsi="Arial" w:cs="Arial"/>
          <w:sz w:val="22"/>
          <w:szCs w:val="22"/>
        </w:rPr>
        <w:t>Cultural dietary practices</w:t>
      </w:r>
    </w:p>
    <w:p w14:paraId="1535541A" w14:textId="77777777" w:rsidR="00C362C1" w:rsidRDefault="00C362C1" w:rsidP="00C362C1">
      <w:pPr>
        <w:pStyle w:val="ListParagraph"/>
        <w:numPr>
          <w:ilvl w:val="0"/>
          <w:numId w:val="9"/>
        </w:numPr>
        <w:spacing w:line="360" w:lineRule="auto"/>
        <w:rPr>
          <w:rFonts w:ascii="Arial" w:hAnsi="Arial" w:cs="Arial"/>
          <w:sz w:val="22"/>
          <w:szCs w:val="22"/>
        </w:rPr>
      </w:pPr>
      <w:r>
        <w:rPr>
          <w:rFonts w:ascii="Arial" w:hAnsi="Arial" w:cs="Arial"/>
          <w:sz w:val="22"/>
          <w:szCs w:val="22"/>
        </w:rPr>
        <w:t>Religious influences (e.g., fasting, herbal remedies)</w:t>
      </w:r>
    </w:p>
    <w:p w14:paraId="39E82D7B" w14:textId="77777777" w:rsidR="00C362C1" w:rsidRDefault="00C362C1" w:rsidP="00C362C1">
      <w:pPr>
        <w:pStyle w:val="ListParagraph"/>
        <w:numPr>
          <w:ilvl w:val="0"/>
          <w:numId w:val="9"/>
        </w:numPr>
        <w:spacing w:line="360" w:lineRule="auto"/>
        <w:rPr>
          <w:rFonts w:ascii="Arial" w:hAnsi="Arial" w:cs="Arial"/>
          <w:sz w:val="22"/>
          <w:szCs w:val="22"/>
        </w:rPr>
      </w:pPr>
      <w:r>
        <w:rPr>
          <w:rFonts w:ascii="Arial" w:hAnsi="Arial" w:cs="Arial"/>
          <w:sz w:val="22"/>
          <w:szCs w:val="22"/>
        </w:rPr>
        <w:t>Socioeconomic barriers (income, housing, employment)</w:t>
      </w:r>
    </w:p>
    <w:p w14:paraId="1B259ED4" w14:textId="77777777" w:rsidR="00C362C1" w:rsidRDefault="00C362C1" w:rsidP="00C362C1">
      <w:pPr>
        <w:pStyle w:val="ListParagraph"/>
        <w:numPr>
          <w:ilvl w:val="0"/>
          <w:numId w:val="9"/>
        </w:numPr>
        <w:spacing w:line="360" w:lineRule="auto"/>
        <w:rPr>
          <w:rFonts w:ascii="Arial" w:hAnsi="Arial" w:cs="Arial"/>
          <w:sz w:val="22"/>
          <w:szCs w:val="22"/>
        </w:rPr>
      </w:pPr>
      <w:r>
        <w:rPr>
          <w:rFonts w:ascii="Arial" w:hAnsi="Arial" w:cs="Arial"/>
          <w:sz w:val="22"/>
          <w:szCs w:val="22"/>
        </w:rPr>
        <w:t>Access to culturally sensitive healthcare</w:t>
      </w:r>
    </w:p>
    <w:p w14:paraId="0D4AE803" w14:textId="77777777" w:rsidR="00C362C1" w:rsidRDefault="00C362C1" w:rsidP="00C362C1">
      <w:pPr>
        <w:pStyle w:val="ListParagraph"/>
        <w:numPr>
          <w:ilvl w:val="0"/>
          <w:numId w:val="9"/>
        </w:numPr>
        <w:spacing w:line="360" w:lineRule="auto"/>
        <w:rPr>
          <w:rFonts w:ascii="Arial" w:hAnsi="Arial" w:cs="Arial"/>
          <w:sz w:val="22"/>
          <w:szCs w:val="22"/>
        </w:rPr>
      </w:pPr>
      <w:r>
        <w:rPr>
          <w:rFonts w:ascii="Arial" w:hAnsi="Arial" w:cs="Arial"/>
          <w:sz w:val="22"/>
          <w:szCs w:val="22"/>
        </w:rPr>
        <w:t>Health literacy and language barriers</w:t>
      </w:r>
    </w:p>
    <w:p w14:paraId="0DB36906" w14:textId="77777777" w:rsidR="00C362C1" w:rsidRDefault="00C362C1" w:rsidP="00C362C1">
      <w:pPr>
        <w:pStyle w:val="ListParagraph"/>
        <w:numPr>
          <w:ilvl w:val="0"/>
          <w:numId w:val="9"/>
        </w:numPr>
        <w:spacing w:line="360" w:lineRule="auto"/>
        <w:rPr>
          <w:rFonts w:ascii="Arial" w:hAnsi="Arial" w:cs="Arial"/>
          <w:sz w:val="22"/>
          <w:szCs w:val="22"/>
        </w:rPr>
      </w:pPr>
      <w:r>
        <w:rPr>
          <w:rFonts w:ascii="Arial" w:hAnsi="Arial" w:cs="Arial"/>
          <w:sz w:val="22"/>
          <w:szCs w:val="22"/>
        </w:rPr>
        <w:t>Trust and engagement with NHS services</w:t>
      </w:r>
    </w:p>
    <w:p w14:paraId="36D0CBEB" w14:textId="77777777" w:rsidR="00C362C1" w:rsidRDefault="00C362C1" w:rsidP="00C362C1">
      <w:pPr>
        <w:pStyle w:val="Heading3"/>
      </w:pPr>
      <w:bookmarkStart w:id="10" w:name="_Toc222350084"/>
      <w:r>
        <w:t>Thematic Coding Table</w:t>
      </w:r>
      <w:bookmarkEnd w:id="10"/>
      <w:r>
        <w:t xml:space="preserve"> </w:t>
      </w:r>
    </w:p>
    <w:tbl>
      <w:tblPr>
        <w:tblStyle w:val="TableGrid"/>
        <w:tblW w:w="0" w:type="auto"/>
        <w:tblInd w:w="0" w:type="dxa"/>
        <w:tblLook w:val="04A0" w:firstRow="1" w:lastRow="0" w:firstColumn="1" w:lastColumn="0" w:noHBand="0" w:noVBand="1"/>
      </w:tblPr>
      <w:tblGrid>
        <w:gridCol w:w="3005"/>
        <w:gridCol w:w="3005"/>
        <w:gridCol w:w="3006"/>
      </w:tblGrid>
      <w:tr w:rsidR="00C362C1" w14:paraId="5BAA8D2B" w14:textId="77777777">
        <w:tc>
          <w:tcPr>
            <w:tcW w:w="3005" w:type="dxa"/>
            <w:tcBorders>
              <w:top w:val="single" w:sz="4" w:space="0" w:color="auto"/>
              <w:left w:val="single" w:sz="4" w:space="0" w:color="auto"/>
              <w:bottom w:val="single" w:sz="4" w:space="0" w:color="auto"/>
              <w:right w:val="single" w:sz="4" w:space="0" w:color="auto"/>
            </w:tcBorders>
            <w:hideMark/>
          </w:tcPr>
          <w:p w14:paraId="032BCDD1" w14:textId="77777777" w:rsidR="00C362C1" w:rsidRDefault="00C362C1">
            <w:pPr>
              <w:spacing w:line="360" w:lineRule="auto"/>
              <w:rPr>
                <w:rFonts w:ascii="Arial" w:hAnsi="Arial" w:cs="Arial"/>
                <w:sz w:val="22"/>
                <w:szCs w:val="22"/>
              </w:rPr>
            </w:pPr>
            <w:r>
              <w:rPr>
                <w:rFonts w:ascii="Arial" w:hAnsi="Arial" w:cs="Arial"/>
                <w:sz w:val="22"/>
                <w:szCs w:val="22"/>
              </w:rPr>
              <w:t>Initial Codes</w:t>
            </w:r>
          </w:p>
        </w:tc>
        <w:tc>
          <w:tcPr>
            <w:tcW w:w="3005" w:type="dxa"/>
            <w:tcBorders>
              <w:top w:val="single" w:sz="4" w:space="0" w:color="auto"/>
              <w:left w:val="single" w:sz="4" w:space="0" w:color="auto"/>
              <w:bottom w:val="single" w:sz="4" w:space="0" w:color="auto"/>
              <w:right w:val="single" w:sz="4" w:space="0" w:color="auto"/>
            </w:tcBorders>
            <w:hideMark/>
          </w:tcPr>
          <w:p w14:paraId="42837D6D" w14:textId="77777777" w:rsidR="00C362C1" w:rsidRDefault="00C362C1">
            <w:pPr>
              <w:spacing w:line="360" w:lineRule="auto"/>
              <w:rPr>
                <w:rFonts w:ascii="Arial" w:hAnsi="Arial" w:cs="Arial"/>
                <w:sz w:val="22"/>
                <w:szCs w:val="22"/>
              </w:rPr>
            </w:pPr>
            <w:r>
              <w:rPr>
                <w:rFonts w:ascii="Arial" w:hAnsi="Arial" w:cs="Arial"/>
                <w:sz w:val="22"/>
                <w:szCs w:val="22"/>
              </w:rPr>
              <w:t>Sub</w:t>
            </w:r>
            <w:r>
              <w:rPr>
                <w:rFonts w:ascii="Cambria Math" w:hAnsi="Cambria Math" w:cs="Cambria Math"/>
                <w:sz w:val="22"/>
                <w:szCs w:val="22"/>
              </w:rPr>
              <w:noBreakHyphen/>
            </w:r>
            <w:r>
              <w:rPr>
                <w:rFonts w:ascii="Arial" w:hAnsi="Arial" w:cs="Arial"/>
                <w:sz w:val="22"/>
                <w:szCs w:val="22"/>
              </w:rPr>
              <w:t>Themes</w:t>
            </w:r>
          </w:p>
        </w:tc>
        <w:tc>
          <w:tcPr>
            <w:tcW w:w="3006" w:type="dxa"/>
            <w:tcBorders>
              <w:top w:val="single" w:sz="4" w:space="0" w:color="auto"/>
              <w:left w:val="single" w:sz="4" w:space="0" w:color="auto"/>
              <w:bottom w:val="single" w:sz="4" w:space="0" w:color="auto"/>
              <w:right w:val="single" w:sz="4" w:space="0" w:color="auto"/>
            </w:tcBorders>
            <w:hideMark/>
          </w:tcPr>
          <w:p w14:paraId="496FA8C6" w14:textId="77777777" w:rsidR="00C362C1" w:rsidRDefault="00C362C1">
            <w:pPr>
              <w:spacing w:line="360" w:lineRule="auto"/>
              <w:rPr>
                <w:rFonts w:ascii="Arial" w:hAnsi="Arial" w:cs="Arial"/>
                <w:sz w:val="22"/>
                <w:szCs w:val="22"/>
              </w:rPr>
            </w:pPr>
            <w:r>
              <w:rPr>
                <w:rFonts w:ascii="Arial" w:hAnsi="Arial" w:cs="Arial"/>
                <w:sz w:val="22"/>
                <w:szCs w:val="22"/>
              </w:rPr>
              <w:t>Final Themes</w:t>
            </w:r>
          </w:p>
        </w:tc>
      </w:tr>
      <w:tr w:rsidR="00C362C1" w14:paraId="73B59493" w14:textId="77777777">
        <w:tc>
          <w:tcPr>
            <w:tcW w:w="3005" w:type="dxa"/>
            <w:tcBorders>
              <w:top w:val="single" w:sz="4" w:space="0" w:color="auto"/>
              <w:left w:val="single" w:sz="4" w:space="0" w:color="auto"/>
              <w:bottom w:val="single" w:sz="4" w:space="0" w:color="auto"/>
              <w:right w:val="single" w:sz="4" w:space="0" w:color="auto"/>
            </w:tcBorders>
            <w:hideMark/>
          </w:tcPr>
          <w:p w14:paraId="38F69146" w14:textId="77777777" w:rsidR="00C362C1" w:rsidRDefault="00C362C1">
            <w:pPr>
              <w:spacing w:line="360" w:lineRule="auto"/>
              <w:rPr>
                <w:rFonts w:ascii="Arial" w:hAnsi="Arial" w:cs="Arial"/>
                <w:sz w:val="22"/>
                <w:szCs w:val="22"/>
              </w:rPr>
            </w:pPr>
            <w:r>
              <w:rPr>
                <w:rFonts w:ascii="Arial" w:hAnsi="Arial" w:cs="Arial"/>
                <w:sz w:val="22"/>
                <w:szCs w:val="22"/>
              </w:rPr>
              <w:t>Chapati, rice, fasting</w:t>
            </w:r>
          </w:p>
        </w:tc>
        <w:tc>
          <w:tcPr>
            <w:tcW w:w="3005" w:type="dxa"/>
            <w:tcBorders>
              <w:top w:val="single" w:sz="4" w:space="0" w:color="auto"/>
              <w:left w:val="single" w:sz="4" w:space="0" w:color="auto"/>
              <w:bottom w:val="single" w:sz="4" w:space="0" w:color="auto"/>
              <w:right w:val="single" w:sz="4" w:space="0" w:color="auto"/>
            </w:tcBorders>
            <w:hideMark/>
          </w:tcPr>
          <w:p w14:paraId="662FFE6C" w14:textId="77777777" w:rsidR="00C362C1" w:rsidRDefault="00C362C1">
            <w:pPr>
              <w:spacing w:line="360" w:lineRule="auto"/>
              <w:rPr>
                <w:rFonts w:ascii="Arial" w:hAnsi="Arial" w:cs="Arial"/>
                <w:sz w:val="22"/>
                <w:szCs w:val="22"/>
              </w:rPr>
            </w:pPr>
            <w:r>
              <w:rPr>
                <w:rFonts w:ascii="Arial" w:hAnsi="Arial" w:cs="Arial"/>
                <w:sz w:val="22"/>
                <w:szCs w:val="22"/>
              </w:rPr>
              <w:t>Cultural diet &amp; religion</w:t>
            </w:r>
          </w:p>
        </w:tc>
        <w:tc>
          <w:tcPr>
            <w:tcW w:w="3006" w:type="dxa"/>
            <w:tcBorders>
              <w:top w:val="single" w:sz="4" w:space="0" w:color="auto"/>
              <w:left w:val="single" w:sz="4" w:space="0" w:color="auto"/>
              <w:bottom w:val="single" w:sz="4" w:space="0" w:color="auto"/>
              <w:right w:val="single" w:sz="4" w:space="0" w:color="auto"/>
            </w:tcBorders>
            <w:hideMark/>
          </w:tcPr>
          <w:p w14:paraId="5A4066D3" w14:textId="77777777" w:rsidR="00C362C1" w:rsidRDefault="00C362C1">
            <w:pPr>
              <w:spacing w:line="360" w:lineRule="auto"/>
              <w:rPr>
                <w:rFonts w:ascii="Arial" w:hAnsi="Arial" w:cs="Arial"/>
                <w:sz w:val="22"/>
                <w:szCs w:val="22"/>
              </w:rPr>
            </w:pPr>
            <w:r>
              <w:rPr>
                <w:rFonts w:ascii="Arial" w:hAnsi="Arial" w:cs="Arial"/>
                <w:sz w:val="22"/>
                <w:szCs w:val="22"/>
              </w:rPr>
              <w:t>Cultural influences</w:t>
            </w:r>
          </w:p>
        </w:tc>
      </w:tr>
      <w:tr w:rsidR="00C362C1" w14:paraId="3A0ECADE" w14:textId="77777777">
        <w:tc>
          <w:tcPr>
            <w:tcW w:w="3005" w:type="dxa"/>
            <w:tcBorders>
              <w:top w:val="single" w:sz="4" w:space="0" w:color="auto"/>
              <w:left w:val="single" w:sz="4" w:space="0" w:color="auto"/>
              <w:bottom w:val="single" w:sz="4" w:space="0" w:color="auto"/>
              <w:right w:val="single" w:sz="4" w:space="0" w:color="auto"/>
            </w:tcBorders>
            <w:hideMark/>
          </w:tcPr>
          <w:p w14:paraId="1811C923" w14:textId="77777777" w:rsidR="00C362C1" w:rsidRDefault="00C362C1">
            <w:pPr>
              <w:spacing w:line="360" w:lineRule="auto"/>
              <w:rPr>
                <w:rFonts w:ascii="Arial" w:hAnsi="Arial" w:cs="Arial"/>
                <w:sz w:val="22"/>
                <w:szCs w:val="22"/>
              </w:rPr>
            </w:pPr>
            <w:r>
              <w:rPr>
                <w:rFonts w:ascii="Arial" w:hAnsi="Arial" w:cs="Arial"/>
                <w:sz w:val="22"/>
                <w:szCs w:val="22"/>
              </w:rPr>
              <w:t>Low income, shift work</w:t>
            </w:r>
          </w:p>
        </w:tc>
        <w:tc>
          <w:tcPr>
            <w:tcW w:w="3005" w:type="dxa"/>
            <w:tcBorders>
              <w:top w:val="single" w:sz="4" w:space="0" w:color="auto"/>
              <w:left w:val="single" w:sz="4" w:space="0" w:color="auto"/>
              <w:bottom w:val="single" w:sz="4" w:space="0" w:color="auto"/>
              <w:right w:val="single" w:sz="4" w:space="0" w:color="auto"/>
            </w:tcBorders>
            <w:hideMark/>
          </w:tcPr>
          <w:p w14:paraId="7D5DEF65" w14:textId="77777777" w:rsidR="00C362C1" w:rsidRDefault="00C362C1">
            <w:pPr>
              <w:spacing w:line="360" w:lineRule="auto"/>
              <w:rPr>
                <w:rFonts w:ascii="Arial" w:hAnsi="Arial" w:cs="Arial"/>
                <w:sz w:val="22"/>
                <w:szCs w:val="22"/>
              </w:rPr>
            </w:pPr>
            <w:r>
              <w:rPr>
                <w:rFonts w:ascii="Arial" w:hAnsi="Arial" w:cs="Arial"/>
                <w:sz w:val="22"/>
                <w:szCs w:val="22"/>
              </w:rPr>
              <w:t>SES barriers</w:t>
            </w:r>
          </w:p>
        </w:tc>
        <w:tc>
          <w:tcPr>
            <w:tcW w:w="3006" w:type="dxa"/>
            <w:tcBorders>
              <w:top w:val="single" w:sz="4" w:space="0" w:color="auto"/>
              <w:left w:val="single" w:sz="4" w:space="0" w:color="auto"/>
              <w:bottom w:val="single" w:sz="4" w:space="0" w:color="auto"/>
              <w:right w:val="single" w:sz="4" w:space="0" w:color="auto"/>
            </w:tcBorders>
            <w:hideMark/>
          </w:tcPr>
          <w:p w14:paraId="17B5F1ED" w14:textId="77777777" w:rsidR="00C362C1" w:rsidRDefault="00C362C1">
            <w:pPr>
              <w:spacing w:line="360" w:lineRule="auto"/>
              <w:rPr>
                <w:rFonts w:ascii="Arial" w:hAnsi="Arial" w:cs="Arial"/>
                <w:sz w:val="22"/>
                <w:szCs w:val="22"/>
              </w:rPr>
            </w:pPr>
            <w:r>
              <w:rPr>
                <w:rFonts w:ascii="Arial" w:hAnsi="Arial" w:cs="Arial"/>
                <w:sz w:val="22"/>
                <w:szCs w:val="22"/>
              </w:rPr>
              <w:t>Socioeconomic inequalities</w:t>
            </w:r>
          </w:p>
        </w:tc>
      </w:tr>
      <w:tr w:rsidR="00C362C1" w14:paraId="48209AB4" w14:textId="77777777">
        <w:tc>
          <w:tcPr>
            <w:tcW w:w="3005" w:type="dxa"/>
            <w:tcBorders>
              <w:top w:val="single" w:sz="4" w:space="0" w:color="auto"/>
              <w:left w:val="single" w:sz="4" w:space="0" w:color="auto"/>
              <w:bottom w:val="single" w:sz="4" w:space="0" w:color="auto"/>
              <w:right w:val="single" w:sz="4" w:space="0" w:color="auto"/>
            </w:tcBorders>
            <w:hideMark/>
          </w:tcPr>
          <w:p w14:paraId="64898235" w14:textId="77777777" w:rsidR="00C362C1" w:rsidRDefault="00C362C1">
            <w:pPr>
              <w:spacing w:line="360" w:lineRule="auto"/>
              <w:rPr>
                <w:rFonts w:ascii="Arial" w:hAnsi="Arial" w:cs="Arial"/>
                <w:sz w:val="22"/>
                <w:szCs w:val="22"/>
              </w:rPr>
            </w:pPr>
            <w:r>
              <w:rPr>
                <w:rFonts w:ascii="Arial" w:hAnsi="Arial" w:cs="Arial"/>
                <w:sz w:val="22"/>
                <w:szCs w:val="22"/>
              </w:rPr>
              <w:t>Interpreter issues</w:t>
            </w:r>
          </w:p>
        </w:tc>
        <w:tc>
          <w:tcPr>
            <w:tcW w:w="3005" w:type="dxa"/>
            <w:tcBorders>
              <w:top w:val="single" w:sz="4" w:space="0" w:color="auto"/>
              <w:left w:val="single" w:sz="4" w:space="0" w:color="auto"/>
              <w:bottom w:val="single" w:sz="4" w:space="0" w:color="auto"/>
              <w:right w:val="single" w:sz="4" w:space="0" w:color="auto"/>
            </w:tcBorders>
            <w:hideMark/>
          </w:tcPr>
          <w:p w14:paraId="0A552A1C" w14:textId="77777777" w:rsidR="00C362C1" w:rsidRDefault="00C362C1">
            <w:pPr>
              <w:spacing w:line="360" w:lineRule="auto"/>
              <w:rPr>
                <w:rFonts w:ascii="Arial" w:hAnsi="Arial" w:cs="Arial"/>
                <w:sz w:val="22"/>
                <w:szCs w:val="22"/>
              </w:rPr>
            </w:pPr>
            <w:r>
              <w:rPr>
                <w:rFonts w:ascii="Arial" w:hAnsi="Arial" w:cs="Arial"/>
                <w:sz w:val="22"/>
                <w:szCs w:val="22"/>
              </w:rPr>
              <w:t>Communication barriers</w:t>
            </w:r>
          </w:p>
        </w:tc>
        <w:tc>
          <w:tcPr>
            <w:tcW w:w="3006" w:type="dxa"/>
            <w:tcBorders>
              <w:top w:val="single" w:sz="4" w:space="0" w:color="auto"/>
              <w:left w:val="single" w:sz="4" w:space="0" w:color="auto"/>
              <w:bottom w:val="single" w:sz="4" w:space="0" w:color="auto"/>
              <w:right w:val="single" w:sz="4" w:space="0" w:color="auto"/>
            </w:tcBorders>
            <w:hideMark/>
          </w:tcPr>
          <w:p w14:paraId="003D3B82" w14:textId="77777777" w:rsidR="00C362C1" w:rsidRDefault="00C362C1">
            <w:pPr>
              <w:spacing w:line="360" w:lineRule="auto"/>
              <w:rPr>
                <w:rFonts w:ascii="Arial" w:hAnsi="Arial" w:cs="Arial"/>
                <w:sz w:val="22"/>
                <w:szCs w:val="22"/>
              </w:rPr>
            </w:pPr>
            <w:r>
              <w:rPr>
                <w:rFonts w:ascii="Arial" w:hAnsi="Arial" w:cs="Arial"/>
                <w:sz w:val="22"/>
                <w:szCs w:val="22"/>
              </w:rPr>
              <w:t>Healthcare access</w:t>
            </w:r>
          </w:p>
        </w:tc>
      </w:tr>
      <w:tr w:rsidR="00C362C1" w14:paraId="3E963EE6" w14:textId="77777777">
        <w:tc>
          <w:tcPr>
            <w:tcW w:w="3005" w:type="dxa"/>
            <w:tcBorders>
              <w:top w:val="single" w:sz="4" w:space="0" w:color="auto"/>
              <w:left w:val="single" w:sz="4" w:space="0" w:color="auto"/>
              <w:bottom w:val="single" w:sz="4" w:space="0" w:color="auto"/>
              <w:right w:val="single" w:sz="4" w:space="0" w:color="auto"/>
            </w:tcBorders>
            <w:hideMark/>
          </w:tcPr>
          <w:p w14:paraId="25DBD93D" w14:textId="77777777" w:rsidR="00C362C1" w:rsidRDefault="00C362C1">
            <w:pPr>
              <w:spacing w:line="360" w:lineRule="auto"/>
              <w:rPr>
                <w:rFonts w:ascii="Arial" w:hAnsi="Arial" w:cs="Arial"/>
                <w:sz w:val="22"/>
                <w:szCs w:val="22"/>
              </w:rPr>
            </w:pPr>
            <w:r>
              <w:rPr>
                <w:rFonts w:ascii="Arial" w:hAnsi="Arial" w:cs="Arial"/>
                <w:sz w:val="22"/>
                <w:szCs w:val="22"/>
              </w:rPr>
              <w:t>Gender roles, stigma</w:t>
            </w:r>
          </w:p>
        </w:tc>
        <w:tc>
          <w:tcPr>
            <w:tcW w:w="3005" w:type="dxa"/>
            <w:tcBorders>
              <w:top w:val="single" w:sz="4" w:space="0" w:color="auto"/>
              <w:left w:val="single" w:sz="4" w:space="0" w:color="auto"/>
              <w:bottom w:val="single" w:sz="4" w:space="0" w:color="auto"/>
              <w:right w:val="single" w:sz="4" w:space="0" w:color="auto"/>
            </w:tcBorders>
            <w:hideMark/>
          </w:tcPr>
          <w:p w14:paraId="7E29C5F5" w14:textId="77777777" w:rsidR="00C362C1" w:rsidRDefault="00C362C1">
            <w:pPr>
              <w:spacing w:line="360" w:lineRule="auto"/>
              <w:rPr>
                <w:rFonts w:ascii="Arial" w:hAnsi="Arial" w:cs="Arial"/>
                <w:sz w:val="22"/>
                <w:szCs w:val="22"/>
              </w:rPr>
            </w:pPr>
            <w:r>
              <w:rPr>
                <w:rFonts w:ascii="Arial" w:hAnsi="Arial" w:cs="Arial"/>
                <w:sz w:val="22"/>
                <w:szCs w:val="22"/>
              </w:rPr>
              <w:t>Identity conflict</w:t>
            </w:r>
          </w:p>
        </w:tc>
        <w:tc>
          <w:tcPr>
            <w:tcW w:w="3006" w:type="dxa"/>
            <w:tcBorders>
              <w:top w:val="single" w:sz="4" w:space="0" w:color="auto"/>
              <w:left w:val="single" w:sz="4" w:space="0" w:color="auto"/>
              <w:bottom w:val="single" w:sz="4" w:space="0" w:color="auto"/>
              <w:right w:val="single" w:sz="4" w:space="0" w:color="auto"/>
            </w:tcBorders>
            <w:hideMark/>
          </w:tcPr>
          <w:p w14:paraId="239C4F2D" w14:textId="77777777" w:rsidR="00C362C1" w:rsidRDefault="00C362C1">
            <w:pPr>
              <w:spacing w:line="360" w:lineRule="auto"/>
              <w:rPr>
                <w:rFonts w:ascii="Arial" w:hAnsi="Arial" w:cs="Arial"/>
                <w:sz w:val="22"/>
                <w:szCs w:val="22"/>
              </w:rPr>
            </w:pPr>
            <w:r>
              <w:rPr>
                <w:rFonts w:ascii="Arial" w:hAnsi="Arial" w:cs="Arial"/>
                <w:sz w:val="22"/>
                <w:szCs w:val="22"/>
              </w:rPr>
              <w:t>Intersectionality</w:t>
            </w:r>
          </w:p>
        </w:tc>
      </w:tr>
    </w:tbl>
    <w:p w14:paraId="24F7D752" w14:textId="77777777" w:rsidR="00C362C1" w:rsidRDefault="00C362C1" w:rsidP="00C362C1"/>
    <w:p w14:paraId="530C2F7E" w14:textId="77777777" w:rsidR="00C362C1" w:rsidRDefault="00C362C1" w:rsidP="00C362C1">
      <w:pPr>
        <w:pStyle w:val="Heading2"/>
      </w:pPr>
      <w:bookmarkStart w:id="11" w:name="_Toc222350085"/>
      <w:r>
        <w:t>3.6 Researcher Positionality</w:t>
      </w:r>
      <w:bookmarkEnd w:id="11"/>
    </w:p>
    <w:p w14:paraId="1586D249" w14:textId="77777777" w:rsidR="00C362C1" w:rsidRDefault="00C362C1" w:rsidP="00C362C1">
      <w:pPr>
        <w:spacing w:line="360" w:lineRule="auto"/>
        <w:rPr>
          <w:rFonts w:ascii="Arial" w:hAnsi="Arial" w:cs="Arial"/>
          <w:sz w:val="22"/>
          <w:szCs w:val="22"/>
        </w:rPr>
      </w:pPr>
      <w:r>
        <w:rPr>
          <w:rFonts w:ascii="Arial" w:hAnsi="Arial" w:cs="Arial"/>
          <w:sz w:val="22"/>
          <w:szCs w:val="22"/>
        </w:rPr>
        <w:t>Researcher positionality acknowledges that the researcher’s background, beliefs, and experiences influence the research process. As a secondary researcher, the role involves:</w:t>
      </w:r>
    </w:p>
    <w:p w14:paraId="703E085E" w14:textId="77777777" w:rsidR="00C362C1" w:rsidRDefault="00C362C1" w:rsidP="00C362C1">
      <w:pPr>
        <w:pStyle w:val="ListParagraph"/>
        <w:numPr>
          <w:ilvl w:val="0"/>
          <w:numId w:val="10"/>
        </w:numPr>
        <w:spacing w:line="360" w:lineRule="auto"/>
        <w:rPr>
          <w:rFonts w:ascii="Arial" w:hAnsi="Arial" w:cs="Arial"/>
          <w:sz w:val="22"/>
          <w:szCs w:val="22"/>
        </w:rPr>
      </w:pPr>
      <w:r>
        <w:rPr>
          <w:rFonts w:ascii="Arial" w:hAnsi="Arial" w:cs="Arial"/>
          <w:sz w:val="22"/>
          <w:szCs w:val="22"/>
        </w:rPr>
        <w:t>Recognising potential biases when interpreting culturally sensitive literature</w:t>
      </w:r>
    </w:p>
    <w:p w14:paraId="16D3F3CA" w14:textId="77777777" w:rsidR="00C362C1" w:rsidRDefault="00C362C1" w:rsidP="00C362C1">
      <w:pPr>
        <w:pStyle w:val="ListParagraph"/>
        <w:numPr>
          <w:ilvl w:val="0"/>
          <w:numId w:val="10"/>
        </w:numPr>
        <w:spacing w:line="360" w:lineRule="auto"/>
        <w:rPr>
          <w:rFonts w:ascii="Arial" w:hAnsi="Arial" w:cs="Arial"/>
          <w:sz w:val="22"/>
          <w:szCs w:val="22"/>
        </w:rPr>
      </w:pPr>
      <w:r>
        <w:rPr>
          <w:rFonts w:ascii="Arial" w:hAnsi="Arial" w:cs="Arial"/>
          <w:sz w:val="22"/>
          <w:szCs w:val="22"/>
        </w:rPr>
        <w:t>Ensuring respectful representation of South Asian communities</w:t>
      </w:r>
    </w:p>
    <w:p w14:paraId="5C3C46C0" w14:textId="77777777" w:rsidR="00C362C1" w:rsidRDefault="00C362C1" w:rsidP="00C362C1">
      <w:pPr>
        <w:pStyle w:val="ListParagraph"/>
        <w:numPr>
          <w:ilvl w:val="0"/>
          <w:numId w:val="10"/>
        </w:numPr>
        <w:spacing w:line="360" w:lineRule="auto"/>
        <w:rPr>
          <w:rFonts w:ascii="Arial" w:hAnsi="Arial" w:cs="Arial"/>
          <w:sz w:val="22"/>
          <w:szCs w:val="22"/>
        </w:rPr>
      </w:pPr>
      <w:r>
        <w:rPr>
          <w:rFonts w:ascii="Arial" w:hAnsi="Arial" w:cs="Arial"/>
          <w:sz w:val="22"/>
          <w:szCs w:val="22"/>
        </w:rPr>
        <w:t>Avoiding deficit</w:t>
      </w:r>
      <w:r>
        <w:rPr>
          <w:rFonts w:ascii="Cambria Math" w:hAnsi="Cambria Math" w:cs="Cambria Math"/>
          <w:sz w:val="22"/>
          <w:szCs w:val="22"/>
        </w:rPr>
        <w:noBreakHyphen/>
      </w:r>
      <w:r>
        <w:rPr>
          <w:rFonts w:ascii="Arial" w:hAnsi="Arial" w:cs="Arial"/>
          <w:sz w:val="22"/>
          <w:szCs w:val="22"/>
        </w:rPr>
        <w:t>based narratives</w:t>
      </w:r>
    </w:p>
    <w:p w14:paraId="0F7320B3" w14:textId="77777777" w:rsidR="00C362C1" w:rsidRDefault="00C362C1" w:rsidP="00C362C1">
      <w:pPr>
        <w:pStyle w:val="ListParagraph"/>
        <w:numPr>
          <w:ilvl w:val="0"/>
          <w:numId w:val="10"/>
        </w:numPr>
        <w:spacing w:line="360" w:lineRule="auto"/>
        <w:rPr>
          <w:rFonts w:ascii="Arial" w:hAnsi="Arial" w:cs="Arial"/>
          <w:sz w:val="22"/>
          <w:szCs w:val="22"/>
        </w:rPr>
      </w:pPr>
      <w:r>
        <w:rPr>
          <w:rFonts w:ascii="Arial" w:hAnsi="Arial" w:cs="Arial"/>
          <w:sz w:val="22"/>
          <w:szCs w:val="22"/>
        </w:rPr>
        <w:t>Maintaining cultural humility</w:t>
      </w:r>
    </w:p>
    <w:p w14:paraId="4EBA2A8C" w14:textId="77777777" w:rsidR="00C362C1" w:rsidRDefault="00C362C1" w:rsidP="00C362C1">
      <w:pPr>
        <w:pStyle w:val="ListParagraph"/>
        <w:numPr>
          <w:ilvl w:val="0"/>
          <w:numId w:val="10"/>
        </w:numPr>
        <w:spacing w:line="360" w:lineRule="auto"/>
        <w:rPr>
          <w:rFonts w:ascii="Arial" w:hAnsi="Arial" w:cs="Arial"/>
          <w:sz w:val="22"/>
          <w:szCs w:val="22"/>
        </w:rPr>
      </w:pPr>
      <w:r>
        <w:rPr>
          <w:rFonts w:ascii="Arial" w:hAnsi="Arial" w:cs="Arial"/>
          <w:sz w:val="22"/>
          <w:szCs w:val="22"/>
        </w:rPr>
        <w:t>Critically evaluating sources to avoid reinforcing stereotypes</w:t>
      </w:r>
    </w:p>
    <w:p w14:paraId="56FF2D8D" w14:textId="77777777" w:rsidR="00C362C1" w:rsidRDefault="00C362C1" w:rsidP="00C362C1">
      <w:pPr>
        <w:spacing w:line="360" w:lineRule="auto"/>
        <w:rPr>
          <w:rFonts w:ascii="Arial" w:hAnsi="Arial" w:cs="Arial"/>
          <w:sz w:val="22"/>
          <w:szCs w:val="22"/>
        </w:rPr>
      </w:pPr>
      <w:r>
        <w:rPr>
          <w:rFonts w:ascii="Arial" w:hAnsi="Arial" w:cs="Arial"/>
          <w:sz w:val="22"/>
          <w:szCs w:val="22"/>
        </w:rPr>
        <w:t>This reflexive approach strengthens the credibility and trustworthiness of the analysis.</w:t>
      </w:r>
    </w:p>
    <w:p w14:paraId="16835B42" w14:textId="77777777" w:rsidR="00C362C1" w:rsidRDefault="00C362C1" w:rsidP="00C362C1">
      <w:pPr>
        <w:pStyle w:val="Heading2"/>
      </w:pPr>
      <w:bookmarkStart w:id="12" w:name="_Toc222350086"/>
      <w:r>
        <w:t>3.7 Quality Appraisal: CRAAP Test</w:t>
      </w:r>
      <w:bookmarkEnd w:id="12"/>
    </w:p>
    <w:p w14:paraId="4850AF12" w14:textId="77777777" w:rsidR="00C362C1" w:rsidRDefault="00C362C1" w:rsidP="00C362C1">
      <w:pPr>
        <w:spacing w:line="360" w:lineRule="auto"/>
        <w:rPr>
          <w:rFonts w:ascii="Arial" w:hAnsi="Arial" w:cs="Arial"/>
          <w:sz w:val="22"/>
          <w:szCs w:val="22"/>
        </w:rPr>
      </w:pPr>
      <w:r>
        <w:rPr>
          <w:rFonts w:ascii="Arial" w:hAnsi="Arial" w:cs="Arial"/>
          <w:sz w:val="22"/>
          <w:szCs w:val="22"/>
        </w:rPr>
        <w:t>To ensure academic integrity, all sources were evaluated using the CRAAP test (Currency, Relevance, Authority, Accuracy, Purpose):</w:t>
      </w:r>
    </w:p>
    <w:p w14:paraId="5A5912F0" w14:textId="77777777" w:rsidR="00C362C1" w:rsidRDefault="00C362C1" w:rsidP="00C362C1">
      <w:pPr>
        <w:pStyle w:val="ListParagraph"/>
        <w:numPr>
          <w:ilvl w:val="0"/>
          <w:numId w:val="11"/>
        </w:numPr>
        <w:spacing w:line="360" w:lineRule="auto"/>
        <w:rPr>
          <w:rFonts w:ascii="Arial" w:hAnsi="Arial" w:cs="Arial"/>
          <w:sz w:val="22"/>
          <w:szCs w:val="22"/>
        </w:rPr>
      </w:pPr>
      <w:r>
        <w:rPr>
          <w:rFonts w:ascii="Arial" w:hAnsi="Arial" w:cs="Arial"/>
          <w:sz w:val="22"/>
          <w:szCs w:val="22"/>
        </w:rPr>
        <w:t>Currency: preference for sources published 2014–2025</w:t>
      </w:r>
    </w:p>
    <w:p w14:paraId="26387361" w14:textId="77777777" w:rsidR="00C362C1" w:rsidRDefault="00C362C1" w:rsidP="00C362C1">
      <w:pPr>
        <w:pStyle w:val="ListParagraph"/>
        <w:numPr>
          <w:ilvl w:val="0"/>
          <w:numId w:val="11"/>
        </w:numPr>
        <w:spacing w:line="360" w:lineRule="auto"/>
        <w:rPr>
          <w:rFonts w:ascii="Arial" w:hAnsi="Arial" w:cs="Arial"/>
          <w:sz w:val="22"/>
          <w:szCs w:val="22"/>
        </w:rPr>
      </w:pPr>
      <w:r>
        <w:rPr>
          <w:rFonts w:ascii="Arial" w:hAnsi="Arial" w:cs="Arial"/>
          <w:sz w:val="22"/>
          <w:szCs w:val="22"/>
        </w:rPr>
        <w:t>Relevance: direct connection to diabetes, ethnicity, culture, or socioeconomic determinants</w:t>
      </w:r>
    </w:p>
    <w:p w14:paraId="5EAF232F" w14:textId="77777777" w:rsidR="00C362C1" w:rsidRDefault="00C362C1" w:rsidP="00C362C1">
      <w:pPr>
        <w:pStyle w:val="ListParagraph"/>
        <w:numPr>
          <w:ilvl w:val="0"/>
          <w:numId w:val="11"/>
        </w:numPr>
        <w:spacing w:line="360" w:lineRule="auto"/>
        <w:rPr>
          <w:rFonts w:ascii="Arial" w:hAnsi="Arial" w:cs="Arial"/>
          <w:sz w:val="22"/>
          <w:szCs w:val="22"/>
        </w:rPr>
      </w:pPr>
      <w:r>
        <w:rPr>
          <w:rFonts w:ascii="Arial" w:hAnsi="Arial" w:cs="Arial"/>
          <w:sz w:val="22"/>
          <w:szCs w:val="22"/>
        </w:rPr>
        <w:lastRenderedPageBreak/>
        <w:t>Authority: peer</w:t>
      </w:r>
      <w:r>
        <w:rPr>
          <w:rFonts w:ascii="Cambria Math" w:hAnsi="Cambria Math" w:cs="Cambria Math"/>
          <w:sz w:val="22"/>
          <w:szCs w:val="22"/>
        </w:rPr>
        <w:noBreakHyphen/>
      </w:r>
      <w:r>
        <w:rPr>
          <w:rFonts w:ascii="Arial" w:hAnsi="Arial" w:cs="Arial"/>
          <w:sz w:val="22"/>
          <w:szCs w:val="22"/>
        </w:rPr>
        <w:t>reviewed journals, government bodies, WHO, NHS</w:t>
      </w:r>
    </w:p>
    <w:p w14:paraId="7FE59ED5" w14:textId="77777777" w:rsidR="00C362C1" w:rsidRDefault="00C362C1" w:rsidP="00C362C1">
      <w:pPr>
        <w:pStyle w:val="ListParagraph"/>
        <w:numPr>
          <w:ilvl w:val="0"/>
          <w:numId w:val="11"/>
        </w:numPr>
        <w:spacing w:line="360" w:lineRule="auto"/>
        <w:rPr>
          <w:rFonts w:ascii="Arial" w:hAnsi="Arial" w:cs="Arial"/>
          <w:sz w:val="22"/>
          <w:szCs w:val="22"/>
        </w:rPr>
      </w:pPr>
      <w:r>
        <w:rPr>
          <w:rFonts w:ascii="Arial" w:hAnsi="Arial" w:cs="Arial"/>
          <w:sz w:val="22"/>
          <w:szCs w:val="22"/>
        </w:rPr>
        <w:t>Accuracy: evidence</w:t>
      </w:r>
      <w:r>
        <w:rPr>
          <w:rFonts w:ascii="Cambria Math" w:hAnsi="Cambria Math" w:cs="Cambria Math"/>
          <w:sz w:val="22"/>
          <w:szCs w:val="22"/>
        </w:rPr>
        <w:noBreakHyphen/>
      </w:r>
      <w:r>
        <w:rPr>
          <w:rFonts w:ascii="Arial" w:hAnsi="Arial" w:cs="Arial"/>
          <w:sz w:val="22"/>
          <w:szCs w:val="22"/>
        </w:rPr>
        <w:t>based, methodologically transparent</w:t>
      </w:r>
    </w:p>
    <w:p w14:paraId="270B4CA3" w14:textId="77777777" w:rsidR="00C362C1" w:rsidRDefault="00C362C1" w:rsidP="00C362C1">
      <w:pPr>
        <w:pStyle w:val="ListParagraph"/>
        <w:numPr>
          <w:ilvl w:val="0"/>
          <w:numId w:val="11"/>
        </w:numPr>
        <w:spacing w:line="360" w:lineRule="auto"/>
        <w:rPr>
          <w:rFonts w:ascii="Arial" w:hAnsi="Arial" w:cs="Arial"/>
          <w:sz w:val="22"/>
          <w:szCs w:val="22"/>
        </w:rPr>
      </w:pPr>
      <w:r>
        <w:rPr>
          <w:rFonts w:ascii="Arial" w:hAnsi="Arial" w:cs="Arial"/>
          <w:sz w:val="22"/>
          <w:szCs w:val="22"/>
        </w:rPr>
        <w:t>Purpose: academic, policy, or research</w:t>
      </w:r>
      <w:r>
        <w:rPr>
          <w:rFonts w:ascii="Cambria Math" w:hAnsi="Cambria Math" w:cs="Cambria Math"/>
          <w:sz w:val="22"/>
          <w:szCs w:val="22"/>
        </w:rPr>
        <w:noBreakHyphen/>
      </w:r>
      <w:r>
        <w:rPr>
          <w:rFonts w:ascii="Arial" w:hAnsi="Arial" w:cs="Arial"/>
          <w:sz w:val="22"/>
          <w:szCs w:val="22"/>
        </w:rPr>
        <w:t>driven</w:t>
      </w:r>
    </w:p>
    <w:p w14:paraId="7787DB68" w14:textId="77777777" w:rsidR="00C362C1" w:rsidRDefault="00C362C1" w:rsidP="00C362C1">
      <w:pPr>
        <w:spacing w:line="360" w:lineRule="auto"/>
        <w:rPr>
          <w:rFonts w:ascii="Arial" w:hAnsi="Arial" w:cs="Arial"/>
          <w:sz w:val="22"/>
          <w:szCs w:val="22"/>
        </w:rPr>
      </w:pPr>
      <w:r>
        <w:rPr>
          <w:rFonts w:ascii="Arial" w:hAnsi="Arial" w:cs="Arial"/>
          <w:sz w:val="22"/>
          <w:szCs w:val="22"/>
        </w:rPr>
        <w:t>Sources scoring below 70% were excluded. This ensured that only high</w:t>
      </w:r>
      <w:r>
        <w:rPr>
          <w:rFonts w:ascii="Cambria Math" w:hAnsi="Cambria Math" w:cs="Cambria Math"/>
          <w:sz w:val="22"/>
          <w:szCs w:val="22"/>
        </w:rPr>
        <w:noBreakHyphen/>
      </w:r>
      <w:r>
        <w:rPr>
          <w:rFonts w:ascii="Arial" w:hAnsi="Arial" w:cs="Arial"/>
          <w:sz w:val="22"/>
          <w:szCs w:val="22"/>
        </w:rPr>
        <w:t>quality evidence informed the analysis.</w:t>
      </w:r>
    </w:p>
    <w:p w14:paraId="31F92EF3" w14:textId="77777777" w:rsidR="00C362C1" w:rsidRDefault="00C362C1" w:rsidP="00C362C1">
      <w:pPr>
        <w:pStyle w:val="Heading3"/>
      </w:pPr>
      <w:bookmarkStart w:id="13" w:name="_Toc222350087"/>
      <w:r>
        <w:t>CRAAP Test Table</w:t>
      </w:r>
      <w:bookmarkEnd w:id="13"/>
      <w:r>
        <w:t xml:space="preserve"> </w:t>
      </w:r>
    </w:p>
    <w:tbl>
      <w:tblPr>
        <w:tblStyle w:val="TableGrid"/>
        <w:tblW w:w="0" w:type="auto"/>
        <w:tblInd w:w="0" w:type="dxa"/>
        <w:tblLook w:val="04A0" w:firstRow="1" w:lastRow="0" w:firstColumn="1" w:lastColumn="0" w:noHBand="0" w:noVBand="1"/>
      </w:tblPr>
      <w:tblGrid>
        <w:gridCol w:w="1288"/>
        <w:gridCol w:w="1288"/>
        <w:gridCol w:w="1288"/>
        <w:gridCol w:w="1288"/>
        <w:gridCol w:w="1288"/>
        <w:gridCol w:w="1288"/>
        <w:gridCol w:w="1288"/>
      </w:tblGrid>
      <w:tr w:rsidR="00C362C1" w14:paraId="1ACF0A19" w14:textId="77777777">
        <w:tc>
          <w:tcPr>
            <w:tcW w:w="1288" w:type="dxa"/>
            <w:tcBorders>
              <w:top w:val="single" w:sz="4" w:space="0" w:color="auto"/>
              <w:left w:val="single" w:sz="4" w:space="0" w:color="auto"/>
              <w:bottom w:val="single" w:sz="4" w:space="0" w:color="auto"/>
              <w:right w:val="single" w:sz="4" w:space="0" w:color="auto"/>
            </w:tcBorders>
            <w:hideMark/>
          </w:tcPr>
          <w:p w14:paraId="3F8AF805" w14:textId="77777777" w:rsidR="00C362C1" w:rsidRDefault="00C362C1">
            <w:pPr>
              <w:spacing w:line="360" w:lineRule="auto"/>
              <w:rPr>
                <w:rFonts w:ascii="Arial" w:hAnsi="Arial" w:cs="Arial"/>
                <w:sz w:val="22"/>
                <w:szCs w:val="22"/>
              </w:rPr>
            </w:pPr>
            <w:r>
              <w:rPr>
                <w:rFonts w:ascii="Arial" w:hAnsi="Arial" w:cs="Arial"/>
                <w:sz w:val="22"/>
                <w:szCs w:val="22"/>
              </w:rPr>
              <w:t>Source</w:t>
            </w:r>
          </w:p>
        </w:tc>
        <w:tc>
          <w:tcPr>
            <w:tcW w:w="1288" w:type="dxa"/>
            <w:tcBorders>
              <w:top w:val="single" w:sz="4" w:space="0" w:color="auto"/>
              <w:left w:val="single" w:sz="4" w:space="0" w:color="auto"/>
              <w:bottom w:val="single" w:sz="4" w:space="0" w:color="auto"/>
              <w:right w:val="single" w:sz="4" w:space="0" w:color="auto"/>
            </w:tcBorders>
            <w:hideMark/>
          </w:tcPr>
          <w:p w14:paraId="5159A631" w14:textId="77777777" w:rsidR="00C362C1" w:rsidRDefault="00C362C1">
            <w:pPr>
              <w:spacing w:line="360" w:lineRule="auto"/>
              <w:rPr>
                <w:rFonts w:ascii="Arial" w:hAnsi="Arial" w:cs="Arial"/>
                <w:sz w:val="22"/>
                <w:szCs w:val="22"/>
              </w:rPr>
            </w:pPr>
            <w:r>
              <w:rPr>
                <w:rFonts w:ascii="Arial" w:hAnsi="Arial" w:cs="Arial"/>
                <w:sz w:val="22"/>
                <w:szCs w:val="22"/>
              </w:rPr>
              <w:t>Currency</w:t>
            </w:r>
          </w:p>
        </w:tc>
        <w:tc>
          <w:tcPr>
            <w:tcW w:w="1288" w:type="dxa"/>
            <w:tcBorders>
              <w:top w:val="single" w:sz="4" w:space="0" w:color="auto"/>
              <w:left w:val="single" w:sz="4" w:space="0" w:color="auto"/>
              <w:bottom w:val="single" w:sz="4" w:space="0" w:color="auto"/>
              <w:right w:val="single" w:sz="4" w:space="0" w:color="auto"/>
            </w:tcBorders>
            <w:hideMark/>
          </w:tcPr>
          <w:p w14:paraId="77497F7D" w14:textId="77777777" w:rsidR="00C362C1" w:rsidRDefault="00C362C1">
            <w:pPr>
              <w:spacing w:line="360" w:lineRule="auto"/>
              <w:rPr>
                <w:rFonts w:ascii="Arial" w:hAnsi="Arial" w:cs="Arial"/>
                <w:sz w:val="22"/>
                <w:szCs w:val="22"/>
              </w:rPr>
            </w:pPr>
            <w:r>
              <w:rPr>
                <w:rFonts w:ascii="Arial" w:hAnsi="Arial" w:cs="Arial"/>
                <w:sz w:val="22"/>
                <w:szCs w:val="22"/>
              </w:rPr>
              <w:t>Relevance</w:t>
            </w:r>
          </w:p>
        </w:tc>
        <w:tc>
          <w:tcPr>
            <w:tcW w:w="1288" w:type="dxa"/>
            <w:tcBorders>
              <w:top w:val="single" w:sz="4" w:space="0" w:color="auto"/>
              <w:left w:val="single" w:sz="4" w:space="0" w:color="auto"/>
              <w:bottom w:val="single" w:sz="4" w:space="0" w:color="auto"/>
              <w:right w:val="single" w:sz="4" w:space="0" w:color="auto"/>
            </w:tcBorders>
            <w:hideMark/>
          </w:tcPr>
          <w:p w14:paraId="59ACC882" w14:textId="77777777" w:rsidR="00C362C1" w:rsidRDefault="00C362C1">
            <w:pPr>
              <w:spacing w:line="360" w:lineRule="auto"/>
              <w:rPr>
                <w:rFonts w:ascii="Arial" w:hAnsi="Arial" w:cs="Arial"/>
                <w:sz w:val="22"/>
                <w:szCs w:val="22"/>
              </w:rPr>
            </w:pPr>
            <w:r>
              <w:rPr>
                <w:rFonts w:ascii="Arial" w:hAnsi="Arial" w:cs="Arial"/>
                <w:sz w:val="22"/>
                <w:szCs w:val="22"/>
              </w:rPr>
              <w:t>Authority</w:t>
            </w:r>
          </w:p>
        </w:tc>
        <w:tc>
          <w:tcPr>
            <w:tcW w:w="1288" w:type="dxa"/>
            <w:tcBorders>
              <w:top w:val="single" w:sz="4" w:space="0" w:color="auto"/>
              <w:left w:val="single" w:sz="4" w:space="0" w:color="auto"/>
              <w:bottom w:val="single" w:sz="4" w:space="0" w:color="auto"/>
              <w:right w:val="single" w:sz="4" w:space="0" w:color="auto"/>
            </w:tcBorders>
            <w:hideMark/>
          </w:tcPr>
          <w:p w14:paraId="549504DB" w14:textId="77777777" w:rsidR="00C362C1" w:rsidRDefault="00C362C1">
            <w:pPr>
              <w:spacing w:line="360" w:lineRule="auto"/>
              <w:rPr>
                <w:rFonts w:ascii="Arial" w:hAnsi="Arial" w:cs="Arial"/>
                <w:sz w:val="22"/>
                <w:szCs w:val="22"/>
              </w:rPr>
            </w:pPr>
            <w:r>
              <w:rPr>
                <w:rFonts w:ascii="Arial" w:hAnsi="Arial" w:cs="Arial"/>
                <w:sz w:val="22"/>
                <w:szCs w:val="22"/>
              </w:rPr>
              <w:t>Accuracy</w:t>
            </w:r>
          </w:p>
        </w:tc>
        <w:tc>
          <w:tcPr>
            <w:tcW w:w="1288" w:type="dxa"/>
            <w:tcBorders>
              <w:top w:val="single" w:sz="4" w:space="0" w:color="auto"/>
              <w:left w:val="single" w:sz="4" w:space="0" w:color="auto"/>
              <w:bottom w:val="single" w:sz="4" w:space="0" w:color="auto"/>
              <w:right w:val="single" w:sz="4" w:space="0" w:color="auto"/>
            </w:tcBorders>
            <w:hideMark/>
          </w:tcPr>
          <w:p w14:paraId="73E83965" w14:textId="77777777" w:rsidR="00C362C1" w:rsidRDefault="00C362C1">
            <w:pPr>
              <w:spacing w:line="360" w:lineRule="auto"/>
              <w:rPr>
                <w:rFonts w:ascii="Arial" w:hAnsi="Arial" w:cs="Arial"/>
                <w:sz w:val="22"/>
                <w:szCs w:val="22"/>
              </w:rPr>
            </w:pPr>
            <w:r>
              <w:rPr>
                <w:rFonts w:ascii="Arial" w:hAnsi="Arial" w:cs="Arial"/>
                <w:sz w:val="22"/>
                <w:szCs w:val="22"/>
              </w:rPr>
              <w:t>Purpose</w:t>
            </w:r>
          </w:p>
        </w:tc>
        <w:tc>
          <w:tcPr>
            <w:tcW w:w="1288" w:type="dxa"/>
            <w:tcBorders>
              <w:top w:val="single" w:sz="4" w:space="0" w:color="auto"/>
              <w:left w:val="single" w:sz="4" w:space="0" w:color="auto"/>
              <w:bottom w:val="single" w:sz="4" w:space="0" w:color="auto"/>
              <w:right w:val="single" w:sz="4" w:space="0" w:color="auto"/>
            </w:tcBorders>
            <w:hideMark/>
          </w:tcPr>
          <w:p w14:paraId="2EEED0DA" w14:textId="77777777" w:rsidR="00C362C1" w:rsidRDefault="00C362C1">
            <w:pPr>
              <w:spacing w:line="360" w:lineRule="auto"/>
              <w:rPr>
                <w:rFonts w:ascii="Arial" w:hAnsi="Arial" w:cs="Arial"/>
                <w:sz w:val="22"/>
                <w:szCs w:val="22"/>
              </w:rPr>
            </w:pPr>
            <w:r>
              <w:rPr>
                <w:rFonts w:ascii="Arial" w:hAnsi="Arial" w:cs="Arial"/>
                <w:sz w:val="22"/>
                <w:szCs w:val="22"/>
              </w:rPr>
              <w:t>Score</w:t>
            </w:r>
          </w:p>
        </w:tc>
      </w:tr>
      <w:tr w:rsidR="00C362C1" w14:paraId="062C88C1" w14:textId="77777777">
        <w:tc>
          <w:tcPr>
            <w:tcW w:w="1288" w:type="dxa"/>
            <w:tcBorders>
              <w:top w:val="single" w:sz="4" w:space="0" w:color="auto"/>
              <w:left w:val="single" w:sz="4" w:space="0" w:color="auto"/>
              <w:bottom w:val="single" w:sz="4" w:space="0" w:color="auto"/>
              <w:right w:val="single" w:sz="4" w:space="0" w:color="auto"/>
            </w:tcBorders>
            <w:hideMark/>
          </w:tcPr>
          <w:p w14:paraId="13C31ED3" w14:textId="77777777" w:rsidR="00C362C1" w:rsidRDefault="00C362C1">
            <w:pPr>
              <w:spacing w:line="360" w:lineRule="auto"/>
              <w:rPr>
                <w:rFonts w:ascii="Arial" w:hAnsi="Arial" w:cs="Arial"/>
                <w:sz w:val="22"/>
                <w:szCs w:val="22"/>
              </w:rPr>
            </w:pPr>
            <w:r>
              <w:rPr>
                <w:rFonts w:ascii="Arial" w:hAnsi="Arial" w:cs="Arial"/>
                <w:sz w:val="22"/>
                <w:szCs w:val="22"/>
              </w:rPr>
              <w:t>NHS Digital (2024)</w:t>
            </w:r>
          </w:p>
        </w:tc>
        <w:tc>
          <w:tcPr>
            <w:tcW w:w="1288" w:type="dxa"/>
            <w:tcBorders>
              <w:top w:val="single" w:sz="4" w:space="0" w:color="auto"/>
              <w:left w:val="single" w:sz="4" w:space="0" w:color="auto"/>
              <w:bottom w:val="single" w:sz="4" w:space="0" w:color="auto"/>
              <w:right w:val="single" w:sz="4" w:space="0" w:color="auto"/>
            </w:tcBorders>
            <w:hideMark/>
          </w:tcPr>
          <w:p w14:paraId="3F8251E7" w14:textId="77777777" w:rsidR="00C362C1" w:rsidRDefault="00C362C1">
            <w:pPr>
              <w:spacing w:line="360" w:lineRule="auto"/>
              <w:rPr>
                <w:rFonts w:ascii="Arial" w:hAnsi="Arial" w:cs="Arial"/>
                <w:sz w:val="22"/>
                <w:szCs w:val="22"/>
              </w:rPr>
            </w:pPr>
            <w:r>
              <w:rPr>
                <w:rFonts w:ascii="Arial" w:hAnsi="Arial" w:cs="Arial"/>
                <w:sz w:val="22"/>
                <w:szCs w:val="22"/>
              </w:rPr>
              <w:t>5</w:t>
            </w:r>
          </w:p>
        </w:tc>
        <w:tc>
          <w:tcPr>
            <w:tcW w:w="1288" w:type="dxa"/>
            <w:tcBorders>
              <w:top w:val="single" w:sz="4" w:space="0" w:color="auto"/>
              <w:left w:val="single" w:sz="4" w:space="0" w:color="auto"/>
              <w:bottom w:val="single" w:sz="4" w:space="0" w:color="auto"/>
              <w:right w:val="single" w:sz="4" w:space="0" w:color="auto"/>
            </w:tcBorders>
            <w:hideMark/>
          </w:tcPr>
          <w:p w14:paraId="058CEF2D" w14:textId="77777777" w:rsidR="00C362C1" w:rsidRDefault="00C362C1">
            <w:pPr>
              <w:spacing w:line="360" w:lineRule="auto"/>
              <w:rPr>
                <w:rFonts w:ascii="Arial" w:hAnsi="Arial" w:cs="Arial"/>
                <w:sz w:val="22"/>
                <w:szCs w:val="22"/>
              </w:rPr>
            </w:pPr>
            <w:r>
              <w:rPr>
                <w:rFonts w:ascii="Arial" w:hAnsi="Arial" w:cs="Arial"/>
                <w:sz w:val="22"/>
                <w:szCs w:val="22"/>
              </w:rPr>
              <w:t>5</w:t>
            </w:r>
          </w:p>
        </w:tc>
        <w:tc>
          <w:tcPr>
            <w:tcW w:w="1288" w:type="dxa"/>
            <w:tcBorders>
              <w:top w:val="single" w:sz="4" w:space="0" w:color="auto"/>
              <w:left w:val="single" w:sz="4" w:space="0" w:color="auto"/>
              <w:bottom w:val="single" w:sz="4" w:space="0" w:color="auto"/>
              <w:right w:val="single" w:sz="4" w:space="0" w:color="auto"/>
            </w:tcBorders>
            <w:hideMark/>
          </w:tcPr>
          <w:p w14:paraId="0AC0462D" w14:textId="77777777" w:rsidR="00C362C1" w:rsidRDefault="00C362C1">
            <w:pPr>
              <w:spacing w:line="360" w:lineRule="auto"/>
              <w:rPr>
                <w:rFonts w:ascii="Arial" w:hAnsi="Arial" w:cs="Arial"/>
                <w:sz w:val="22"/>
                <w:szCs w:val="22"/>
              </w:rPr>
            </w:pPr>
            <w:r>
              <w:rPr>
                <w:rFonts w:ascii="Arial" w:hAnsi="Arial" w:cs="Arial"/>
                <w:sz w:val="22"/>
                <w:szCs w:val="22"/>
              </w:rPr>
              <w:t>5</w:t>
            </w:r>
          </w:p>
        </w:tc>
        <w:tc>
          <w:tcPr>
            <w:tcW w:w="1288" w:type="dxa"/>
            <w:tcBorders>
              <w:top w:val="single" w:sz="4" w:space="0" w:color="auto"/>
              <w:left w:val="single" w:sz="4" w:space="0" w:color="auto"/>
              <w:bottom w:val="single" w:sz="4" w:space="0" w:color="auto"/>
              <w:right w:val="single" w:sz="4" w:space="0" w:color="auto"/>
            </w:tcBorders>
            <w:hideMark/>
          </w:tcPr>
          <w:p w14:paraId="0D50E200" w14:textId="77777777" w:rsidR="00C362C1" w:rsidRDefault="00C362C1">
            <w:pPr>
              <w:spacing w:line="360" w:lineRule="auto"/>
              <w:rPr>
                <w:rFonts w:ascii="Arial" w:hAnsi="Arial" w:cs="Arial"/>
                <w:sz w:val="22"/>
                <w:szCs w:val="22"/>
              </w:rPr>
            </w:pPr>
            <w:r>
              <w:rPr>
                <w:rFonts w:ascii="Arial" w:hAnsi="Arial" w:cs="Arial"/>
                <w:sz w:val="22"/>
                <w:szCs w:val="22"/>
              </w:rPr>
              <w:t>5</w:t>
            </w:r>
          </w:p>
        </w:tc>
        <w:tc>
          <w:tcPr>
            <w:tcW w:w="1288" w:type="dxa"/>
            <w:tcBorders>
              <w:top w:val="single" w:sz="4" w:space="0" w:color="auto"/>
              <w:left w:val="single" w:sz="4" w:space="0" w:color="auto"/>
              <w:bottom w:val="single" w:sz="4" w:space="0" w:color="auto"/>
              <w:right w:val="single" w:sz="4" w:space="0" w:color="auto"/>
            </w:tcBorders>
            <w:hideMark/>
          </w:tcPr>
          <w:p w14:paraId="72FACF92" w14:textId="77777777" w:rsidR="00C362C1" w:rsidRDefault="00C362C1">
            <w:pPr>
              <w:spacing w:line="360" w:lineRule="auto"/>
              <w:rPr>
                <w:rFonts w:ascii="Arial" w:hAnsi="Arial" w:cs="Arial"/>
                <w:sz w:val="22"/>
                <w:szCs w:val="22"/>
              </w:rPr>
            </w:pPr>
            <w:r>
              <w:rPr>
                <w:rFonts w:ascii="Arial" w:hAnsi="Arial" w:cs="Arial"/>
                <w:sz w:val="22"/>
                <w:szCs w:val="22"/>
              </w:rPr>
              <w:t>5</w:t>
            </w:r>
          </w:p>
        </w:tc>
        <w:tc>
          <w:tcPr>
            <w:tcW w:w="1288" w:type="dxa"/>
            <w:tcBorders>
              <w:top w:val="single" w:sz="4" w:space="0" w:color="auto"/>
              <w:left w:val="single" w:sz="4" w:space="0" w:color="auto"/>
              <w:bottom w:val="single" w:sz="4" w:space="0" w:color="auto"/>
              <w:right w:val="single" w:sz="4" w:space="0" w:color="auto"/>
            </w:tcBorders>
            <w:hideMark/>
          </w:tcPr>
          <w:p w14:paraId="1AFA0F60" w14:textId="77777777" w:rsidR="00C362C1" w:rsidRDefault="00C362C1">
            <w:pPr>
              <w:spacing w:line="360" w:lineRule="auto"/>
              <w:rPr>
                <w:rFonts w:ascii="Arial" w:hAnsi="Arial" w:cs="Arial"/>
                <w:sz w:val="22"/>
                <w:szCs w:val="22"/>
              </w:rPr>
            </w:pPr>
            <w:r>
              <w:rPr>
                <w:rFonts w:ascii="Arial" w:hAnsi="Arial" w:cs="Arial"/>
                <w:sz w:val="22"/>
                <w:szCs w:val="22"/>
              </w:rPr>
              <w:t>25/25</w:t>
            </w:r>
          </w:p>
        </w:tc>
      </w:tr>
      <w:tr w:rsidR="00C362C1" w14:paraId="0FBA2A8E" w14:textId="77777777">
        <w:tc>
          <w:tcPr>
            <w:tcW w:w="1288" w:type="dxa"/>
            <w:tcBorders>
              <w:top w:val="single" w:sz="4" w:space="0" w:color="auto"/>
              <w:left w:val="single" w:sz="4" w:space="0" w:color="auto"/>
              <w:bottom w:val="single" w:sz="4" w:space="0" w:color="auto"/>
              <w:right w:val="single" w:sz="4" w:space="0" w:color="auto"/>
            </w:tcBorders>
            <w:hideMark/>
          </w:tcPr>
          <w:p w14:paraId="75871466" w14:textId="77777777" w:rsidR="00C362C1" w:rsidRDefault="00C362C1">
            <w:pPr>
              <w:spacing w:line="360" w:lineRule="auto"/>
              <w:rPr>
                <w:rFonts w:ascii="Arial" w:hAnsi="Arial" w:cs="Arial"/>
                <w:sz w:val="22"/>
                <w:szCs w:val="22"/>
              </w:rPr>
            </w:pPr>
            <w:r>
              <w:rPr>
                <w:rFonts w:ascii="Arial" w:hAnsi="Arial" w:cs="Arial"/>
                <w:sz w:val="22"/>
                <w:szCs w:val="22"/>
              </w:rPr>
              <w:t>Patel et al. (2019)</w:t>
            </w:r>
          </w:p>
        </w:tc>
        <w:tc>
          <w:tcPr>
            <w:tcW w:w="1288" w:type="dxa"/>
            <w:tcBorders>
              <w:top w:val="single" w:sz="4" w:space="0" w:color="auto"/>
              <w:left w:val="single" w:sz="4" w:space="0" w:color="auto"/>
              <w:bottom w:val="single" w:sz="4" w:space="0" w:color="auto"/>
              <w:right w:val="single" w:sz="4" w:space="0" w:color="auto"/>
            </w:tcBorders>
            <w:hideMark/>
          </w:tcPr>
          <w:p w14:paraId="5A268769" w14:textId="77777777" w:rsidR="00C362C1" w:rsidRDefault="00C362C1">
            <w:pPr>
              <w:spacing w:line="360" w:lineRule="auto"/>
              <w:rPr>
                <w:rFonts w:ascii="Arial" w:hAnsi="Arial" w:cs="Arial"/>
                <w:sz w:val="22"/>
                <w:szCs w:val="22"/>
              </w:rPr>
            </w:pPr>
            <w:r>
              <w:rPr>
                <w:rFonts w:ascii="Arial" w:hAnsi="Arial" w:cs="Arial"/>
                <w:sz w:val="22"/>
                <w:szCs w:val="22"/>
              </w:rPr>
              <w:t>5</w:t>
            </w:r>
          </w:p>
        </w:tc>
        <w:tc>
          <w:tcPr>
            <w:tcW w:w="1288" w:type="dxa"/>
            <w:tcBorders>
              <w:top w:val="single" w:sz="4" w:space="0" w:color="auto"/>
              <w:left w:val="single" w:sz="4" w:space="0" w:color="auto"/>
              <w:bottom w:val="single" w:sz="4" w:space="0" w:color="auto"/>
              <w:right w:val="single" w:sz="4" w:space="0" w:color="auto"/>
            </w:tcBorders>
            <w:hideMark/>
          </w:tcPr>
          <w:p w14:paraId="1325B8D0" w14:textId="77777777" w:rsidR="00C362C1" w:rsidRDefault="00C362C1">
            <w:pPr>
              <w:spacing w:line="360" w:lineRule="auto"/>
              <w:rPr>
                <w:rFonts w:ascii="Arial" w:hAnsi="Arial" w:cs="Arial"/>
                <w:sz w:val="22"/>
                <w:szCs w:val="22"/>
              </w:rPr>
            </w:pPr>
            <w:r>
              <w:rPr>
                <w:rFonts w:ascii="Arial" w:hAnsi="Arial" w:cs="Arial"/>
                <w:sz w:val="22"/>
                <w:szCs w:val="22"/>
              </w:rPr>
              <w:t>5</w:t>
            </w:r>
          </w:p>
        </w:tc>
        <w:tc>
          <w:tcPr>
            <w:tcW w:w="1288" w:type="dxa"/>
            <w:tcBorders>
              <w:top w:val="single" w:sz="4" w:space="0" w:color="auto"/>
              <w:left w:val="single" w:sz="4" w:space="0" w:color="auto"/>
              <w:bottom w:val="single" w:sz="4" w:space="0" w:color="auto"/>
              <w:right w:val="single" w:sz="4" w:space="0" w:color="auto"/>
            </w:tcBorders>
            <w:hideMark/>
          </w:tcPr>
          <w:p w14:paraId="292FCC18" w14:textId="77777777" w:rsidR="00C362C1" w:rsidRDefault="00C362C1">
            <w:pPr>
              <w:spacing w:line="360" w:lineRule="auto"/>
              <w:rPr>
                <w:rFonts w:ascii="Arial" w:hAnsi="Arial" w:cs="Arial"/>
                <w:sz w:val="22"/>
                <w:szCs w:val="22"/>
              </w:rPr>
            </w:pPr>
            <w:r>
              <w:rPr>
                <w:rFonts w:ascii="Arial" w:hAnsi="Arial" w:cs="Arial"/>
                <w:sz w:val="22"/>
                <w:szCs w:val="22"/>
              </w:rPr>
              <w:t>5</w:t>
            </w:r>
          </w:p>
        </w:tc>
        <w:tc>
          <w:tcPr>
            <w:tcW w:w="1288" w:type="dxa"/>
            <w:tcBorders>
              <w:top w:val="single" w:sz="4" w:space="0" w:color="auto"/>
              <w:left w:val="single" w:sz="4" w:space="0" w:color="auto"/>
              <w:bottom w:val="single" w:sz="4" w:space="0" w:color="auto"/>
              <w:right w:val="single" w:sz="4" w:space="0" w:color="auto"/>
            </w:tcBorders>
            <w:hideMark/>
          </w:tcPr>
          <w:p w14:paraId="29B587F7" w14:textId="77777777" w:rsidR="00C362C1" w:rsidRDefault="00C362C1">
            <w:pPr>
              <w:spacing w:line="360" w:lineRule="auto"/>
              <w:rPr>
                <w:rFonts w:ascii="Arial" w:hAnsi="Arial" w:cs="Arial"/>
                <w:sz w:val="22"/>
                <w:szCs w:val="22"/>
              </w:rPr>
            </w:pPr>
            <w:r>
              <w:rPr>
                <w:rFonts w:ascii="Arial" w:hAnsi="Arial" w:cs="Arial"/>
                <w:sz w:val="22"/>
                <w:szCs w:val="22"/>
              </w:rPr>
              <w:t>4</w:t>
            </w:r>
          </w:p>
        </w:tc>
        <w:tc>
          <w:tcPr>
            <w:tcW w:w="1288" w:type="dxa"/>
            <w:tcBorders>
              <w:top w:val="single" w:sz="4" w:space="0" w:color="auto"/>
              <w:left w:val="single" w:sz="4" w:space="0" w:color="auto"/>
              <w:bottom w:val="single" w:sz="4" w:space="0" w:color="auto"/>
              <w:right w:val="single" w:sz="4" w:space="0" w:color="auto"/>
            </w:tcBorders>
            <w:hideMark/>
          </w:tcPr>
          <w:p w14:paraId="342DE101" w14:textId="77777777" w:rsidR="00C362C1" w:rsidRDefault="00C362C1">
            <w:pPr>
              <w:spacing w:line="360" w:lineRule="auto"/>
              <w:rPr>
                <w:rFonts w:ascii="Arial" w:hAnsi="Arial" w:cs="Arial"/>
                <w:sz w:val="22"/>
                <w:szCs w:val="22"/>
              </w:rPr>
            </w:pPr>
            <w:r>
              <w:rPr>
                <w:rFonts w:ascii="Arial" w:hAnsi="Arial" w:cs="Arial"/>
                <w:sz w:val="22"/>
                <w:szCs w:val="22"/>
              </w:rPr>
              <w:t>5</w:t>
            </w:r>
          </w:p>
        </w:tc>
        <w:tc>
          <w:tcPr>
            <w:tcW w:w="1288" w:type="dxa"/>
            <w:tcBorders>
              <w:top w:val="single" w:sz="4" w:space="0" w:color="auto"/>
              <w:left w:val="single" w:sz="4" w:space="0" w:color="auto"/>
              <w:bottom w:val="single" w:sz="4" w:space="0" w:color="auto"/>
              <w:right w:val="single" w:sz="4" w:space="0" w:color="auto"/>
            </w:tcBorders>
            <w:hideMark/>
          </w:tcPr>
          <w:p w14:paraId="5F1DA7C5" w14:textId="77777777" w:rsidR="00C362C1" w:rsidRDefault="00C362C1">
            <w:pPr>
              <w:spacing w:line="360" w:lineRule="auto"/>
              <w:rPr>
                <w:rFonts w:ascii="Arial" w:hAnsi="Arial" w:cs="Arial"/>
                <w:sz w:val="22"/>
                <w:szCs w:val="22"/>
              </w:rPr>
            </w:pPr>
            <w:r>
              <w:rPr>
                <w:rFonts w:ascii="Arial" w:hAnsi="Arial" w:cs="Arial"/>
                <w:sz w:val="22"/>
                <w:szCs w:val="22"/>
              </w:rPr>
              <w:t>24/25</w:t>
            </w:r>
          </w:p>
        </w:tc>
      </w:tr>
      <w:tr w:rsidR="00C362C1" w14:paraId="6C0D4D64" w14:textId="77777777">
        <w:tc>
          <w:tcPr>
            <w:tcW w:w="1288" w:type="dxa"/>
            <w:tcBorders>
              <w:top w:val="single" w:sz="4" w:space="0" w:color="auto"/>
              <w:left w:val="single" w:sz="4" w:space="0" w:color="auto"/>
              <w:bottom w:val="single" w:sz="4" w:space="0" w:color="auto"/>
              <w:right w:val="single" w:sz="4" w:space="0" w:color="auto"/>
            </w:tcBorders>
            <w:hideMark/>
          </w:tcPr>
          <w:p w14:paraId="73FF31F8" w14:textId="77777777" w:rsidR="00C362C1" w:rsidRDefault="00C362C1">
            <w:pPr>
              <w:spacing w:line="360" w:lineRule="auto"/>
              <w:rPr>
                <w:rFonts w:ascii="Arial" w:hAnsi="Arial" w:cs="Arial"/>
                <w:sz w:val="22"/>
                <w:szCs w:val="22"/>
              </w:rPr>
            </w:pPr>
            <w:r>
              <w:rPr>
                <w:rFonts w:ascii="Arial" w:hAnsi="Arial" w:cs="Arial"/>
                <w:sz w:val="22"/>
                <w:szCs w:val="22"/>
              </w:rPr>
              <w:t>PHE (2022)</w:t>
            </w:r>
          </w:p>
        </w:tc>
        <w:tc>
          <w:tcPr>
            <w:tcW w:w="1288" w:type="dxa"/>
            <w:tcBorders>
              <w:top w:val="single" w:sz="4" w:space="0" w:color="auto"/>
              <w:left w:val="single" w:sz="4" w:space="0" w:color="auto"/>
              <w:bottom w:val="single" w:sz="4" w:space="0" w:color="auto"/>
              <w:right w:val="single" w:sz="4" w:space="0" w:color="auto"/>
            </w:tcBorders>
            <w:hideMark/>
          </w:tcPr>
          <w:p w14:paraId="202CF3A0" w14:textId="77777777" w:rsidR="00C362C1" w:rsidRDefault="00C362C1">
            <w:pPr>
              <w:spacing w:line="360" w:lineRule="auto"/>
              <w:rPr>
                <w:rFonts w:ascii="Arial" w:hAnsi="Arial" w:cs="Arial"/>
                <w:sz w:val="22"/>
                <w:szCs w:val="22"/>
              </w:rPr>
            </w:pPr>
            <w:r>
              <w:rPr>
                <w:rFonts w:ascii="Arial" w:hAnsi="Arial" w:cs="Arial"/>
                <w:sz w:val="22"/>
                <w:szCs w:val="22"/>
              </w:rPr>
              <w:t>5</w:t>
            </w:r>
          </w:p>
        </w:tc>
        <w:tc>
          <w:tcPr>
            <w:tcW w:w="1288" w:type="dxa"/>
            <w:tcBorders>
              <w:top w:val="single" w:sz="4" w:space="0" w:color="auto"/>
              <w:left w:val="single" w:sz="4" w:space="0" w:color="auto"/>
              <w:bottom w:val="single" w:sz="4" w:space="0" w:color="auto"/>
              <w:right w:val="single" w:sz="4" w:space="0" w:color="auto"/>
            </w:tcBorders>
            <w:hideMark/>
          </w:tcPr>
          <w:p w14:paraId="778B16C4" w14:textId="77777777" w:rsidR="00C362C1" w:rsidRDefault="00C362C1">
            <w:pPr>
              <w:spacing w:line="360" w:lineRule="auto"/>
              <w:rPr>
                <w:rFonts w:ascii="Arial" w:hAnsi="Arial" w:cs="Arial"/>
                <w:sz w:val="22"/>
                <w:szCs w:val="22"/>
              </w:rPr>
            </w:pPr>
            <w:r>
              <w:rPr>
                <w:rFonts w:ascii="Arial" w:hAnsi="Arial" w:cs="Arial"/>
                <w:sz w:val="22"/>
                <w:szCs w:val="22"/>
              </w:rPr>
              <w:t>5</w:t>
            </w:r>
          </w:p>
        </w:tc>
        <w:tc>
          <w:tcPr>
            <w:tcW w:w="1288" w:type="dxa"/>
            <w:tcBorders>
              <w:top w:val="single" w:sz="4" w:space="0" w:color="auto"/>
              <w:left w:val="single" w:sz="4" w:space="0" w:color="auto"/>
              <w:bottom w:val="single" w:sz="4" w:space="0" w:color="auto"/>
              <w:right w:val="single" w:sz="4" w:space="0" w:color="auto"/>
            </w:tcBorders>
            <w:hideMark/>
          </w:tcPr>
          <w:p w14:paraId="2DF54EA5" w14:textId="77777777" w:rsidR="00C362C1" w:rsidRDefault="00C362C1">
            <w:pPr>
              <w:spacing w:line="360" w:lineRule="auto"/>
              <w:rPr>
                <w:rFonts w:ascii="Arial" w:hAnsi="Arial" w:cs="Arial"/>
                <w:sz w:val="22"/>
                <w:szCs w:val="22"/>
              </w:rPr>
            </w:pPr>
            <w:r>
              <w:rPr>
                <w:rFonts w:ascii="Arial" w:hAnsi="Arial" w:cs="Arial"/>
                <w:sz w:val="22"/>
                <w:szCs w:val="22"/>
              </w:rPr>
              <w:t>5</w:t>
            </w:r>
          </w:p>
        </w:tc>
        <w:tc>
          <w:tcPr>
            <w:tcW w:w="1288" w:type="dxa"/>
            <w:tcBorders>
              <w:top w:val="single" w:sz="4" w:space="0" w:color="auto"/>
              <w:left w:val="single" w:sz="4" w:space="0" w:color="auto"/>
              <w:bottom w:val="single" w:sz="4" w:space="0" w:color="auto"/>
              <w:right w:val="single" w:sz="4" w:space="0" w:color="auto"/>
            </w:tcBorders>
            <w:hideMark/>
          </w:tcPr>
          <w:p w14:paraId="36D6EA15" w14:textId="77777777" w:rsidR="00C362C1" w:rsidRDefault="00C362C1">
            <w:pPr>
              <w:spacing w:line="360" w:lineRule="auto"/>
              <w:rPr>
                <w:rFonts w:ascii="Arial" w:hAnsi="Arial" w:cs="Arial"/>
                <w:sz w:val="22"/>
                <w:szCs w:val="22"/>
              </w:rPr>
            </w:pPr>
            <w:r>
              <w:rPr>
                <w:rFonts w:ascii="Arial" w:hAnsi="Arial" w:cs="Arial"/>
                <w:sz w:val="22"/>
                <w:szCs w:val="22"/>
              </w:rPr>
              <w:t>5</w:t>
            </w:r>
          </w:p>
        </w:tc>
        <w:tc>
          <w:tcPr>
            <w:tcW w:w="1288" w:type="dxa"/>
            <w:tcBorders>
              <w:top w:val="single" w:sz="4" w:space="0" w:color="auto"/>
              <w:left w:val="single" w:sz="4" w:space="0" w:color="auto"/>
              <w:bottom w:val="single" w:sz="4" w:space="0" w:color="auto"/>
              <w:right w:val="single" w:sz="4" w:space="0" w:color="auto"/>
            </w:tcBorders>
            <w:hideMark/>
          </w:tcPr>
          <w:p w14:paraId="6DDEEECF" w14:textId="77777777" w:rsidR="00C362C1" w:rsidRDefault="00C362C1">
            <w:pPr>
              <w:spacing w:line="360" w:lineRule="auto"/>
              <w:rPr>
                <w:rFonts w:ascii="Arial" w:hAnsi="Arial" w:cs="Arial"/>
                <w:sz w:val="22"/>
                <w:szCs w:val="22"/>
              </w:rPr>
            </w:pPr>
            <w:r>
              <w:rPr>
                <w:rFonts w:ascii="Arial" w:hAnsi="Arial" w:cs="Arial"/>
                <w:sz w:val="22"/>
                <w:szCs w:val="22"/>
              </w:rPr>
              <w:t>5</w:t>
            </w:r>
          </w:p>
        </w:tc>
        <w:tc>
          <w:tcPr>
            <w:tcW w:w="1288" w:type="dxa"/>
            <w:tcBorders>
              <w:top w:val="single" w:sz="4" w:space="0" w:color="auto"/>
              <w:left w:val="single" w:sz="4" w:space="0" w:color="auto"/>
              <w:bottom w:val="single" w:sz="4" w:space="0" w:color="auto"/>
              <w:right w:val="single" w:sz="4" w:space="0" w:color="auto"/>
            </w:tcBorders>
            <w:hideMark/>
          </w:tcPr>
          <w:p w14:paraId="1C7C6A78" w14:textId="77777777" w:rsidR="00C362C1" w:rsidRDefault="00C362C1">
            <w:pPr>
              <w:spacing w:line="360" w:lineRule="auto"/>
              <w:rPr>
                <w:rFonts w:ascii="Arial" w:hAnsi="Arial" w:cs="Arial"/>
                <w:sz w:val="22"/>
                <w:szCs w:val="22"/>
              </w:rPr>
            </w:pPr>
            <w:r>
              <w:rPr>
                <w:rFonts w:ascii="Arial" w:hAnsi="Arial" w:cs="Arial"/>
                <w:sz w:val="22"/>
                <w:szCs w:val="22"/>
              </w:rPr>
              <w:t>25/25</w:t>
            </w:r>
          </w:p>
        </w:tc>
      </w:tr>
    </w:tbl>
    <w:p w14:paraId="555EE053" w14:textId="77777777" w:rsidR="00C362C1" w:rsidRDefault="00C362C1" w:rsidP="00C362C1">
      <w:pPr>
        <w:spacing w:line="360" w:lineRule="auto"/>
        <w:rPr>
          <w:rFonts w:ascii="Arial" w:hAnsi="Arial" w:cs="Arial"/>
          <w:sz w:val="22"/>
          <w:szCs w:val="22"/>
        </w:rPr>
      </w:pPr>
    </w:p>
    <w:p w14:paraId="33D0B8AE" w14:textId="77777777" w:rsidR="00C362C1" w:rsidRDefault="00C362C1" w:rsidP="00C362C1">
      <w:pPr>
        <w:pStyle w:val="Heading2"/>
      </w:pPr>
      <w:bookmarkStart w:id="14" w:name="_Toc222350088"/>
      <w:r>
        <w:t>3.8 Ethical Considerations</w:t>
      </w:r>
      <w:bookmarkEnd w:id="14"/>
    </w:p>
    <w:p w14:paraId="6949AD98" w14:textId="77777777" w:rsidR="00C362C1" w:rsidRDefault="00C362C1" w:rsidP="00C362C1">
      <w:pPr>
        <w:spacing w:line="360" w:lineRule="auto"/>
        <w:rPr>
          <w:rFonts w:ascii="Arial" w:hAnsi="Arial" w:cs="Arial"/>
          <w:sz w:val="22"/>
          <w:szCs w:val="22"/>
        </w:rPr>
      </w:pPr>
      <w:r>
        <w:rPr>
          <w:rFonts w:ascii="Arial" w:hAnsi="Arial" w:cs="Arial"/>
          <w:sz w:val="22"/>
          <w:szCs w:val="22"/>
        </w:rPr>
        <w:t>Although secondary research does not involve direct human participation, ethical considerations remain essential.</w:t>
      </w:r>
    </w:p>
    <w:p w14:paraId="4A959DE0" w14:textId="77777777" w:rsidR="00C362C1" w:rsidRDefault="00C362C1" w:rsidP="00C362C1">
      <w:pPr>
        <w:spacing w:line="360" w:lineRule="auto"/>
        <w:rPr>
          <w:rFonts w:ascii="Arial" w:hAnsi="Arial" w:cs="Arial"/>
          <w:b/>
          <w:bCs/>
          <w:sz w:val="22"/>
          <w:szCs w:val="22"/>
        </w:rPr>
      </w:pPr>
      <w:r>
        <w:rPr>
          <w:rFonts w:ascii="Arial" w:hAnsi="Arial" w:cs="Arial"/>
          <w:b/>
          <w:bCs/>
          <w:sz w:val="22"/>
          <w:szCs w:val="22"/>
        </w:rPr>
        <w:t>Key Ethical Principles</w:t>
      </w:r>
    </w:p>
    <w:p w14:paraId="68D6654D" w14:textId="77777777" w:rsidR="00C362C1" w:rsidRDefault="00C362C1" w:rsidP="00C362C1">
      <w:pPr>
        <w:pStyle w:val="ListParagraph"/>
        <w:numPr>
          <w:ilvl w:val="0"/>
          <w:numId w:val="12"/>
        </w:numPr>
        <w:spacing w:line="360" w:lineRule="auto"/>
        <w:rPr>
          <w:rFonts w:ascii="Arial" w:hAnsi="Arial" w:cs="Arial"/>
          <w:sz w:val="22"/>
          <w:szCs w:val="22"/>
        </w:rPr>
      </w:pPr>
      <w:r>
        <w:rPr>
          <w:rFonts w:ascii="Arial" w:hAnsi="Arial" w:cs="Arial"/>
          <w:sz w:val="22"/>
          <w:szCs w:val="22"/>
        </w:rPr>
        <w:t>Respect for cultural sensitivity: diabetes, ethnicity, and religion require careful, non</w:t>
      </w:r>
      <w:r>
        <w:rPr>
          <w:rFonts w:ascii="Cambria Math" w:hAnsi="Cambria Math" w:cs="Cambria Math"/>
          <w:sz w:val="22"/>
          <w:szCs w:val="22"/>
        </w:rPr>
        <w:noBreakHyphen/>
      </w:r>
      <w:r>
        <w:rPr>
          <w:rFonts w:ascii="Arial" w:hAnsi="Arial" w:cs="Arial"/>
          <w:sz w:val="22"/>
          <w:szCs w:val="22"/>
        </w:rPr>
        <w:t>stigmatising language (Bhattacharya, 2018).</w:t>
      </w:r>
    </w:p>
    <w:p w14:paraId="03F92D64" w14:textId="77777777" w:rsidR="00C362C1" w:rsidRDefault="00C362C1" w:rsidP="00C362C1">
      <w:pPr>
        <w:pStyle w:val="ListParagraph"/>
        <w:numPr>
          <w:ilvl w:val="0"/>
          <w:numId w:val="12"/>
        </w:numPr>
        <w:spacing w:line="360" w:lineRule="auto"/>
        <w:rPr>
          <w:rFonts w:ascii="Arial" w:hAnsi="Arial" w:cs="Arial"/>
          <w:sz w:val="22"/>
          <w:szCs w:val="22"/>
        </w:rPr>
      </w:pPr>
      <w:r>
        <w:rPr>
          <w:rFonts w:ascii="Arial" w:hAnsi="Arial" w:cs="Arial"/>
          <w:sz w:val="22"/>
          <w:szCs w:val="22"/>
        </w:rPr>
        <w:t>Avoidance of harm: no primary data collection avoids risk to vulnerable individuals (HRA, 2023).</w:t>
      </w:r>
    </w:p>
    <w:p w14:paraId="094F16D2" w14:textId="77777777" w:rsidR="00C362C1" w:rsidRDefault="00C362C1" w:rsidP="00C362C1">
      <w:pPr>
        <w:pStyle w:val="ListParagraph"/>
        <w:numPr>
          <w:ilvl w:val="0"/>
          <w:numId w:val="12"/>
        </w:numPr>
        <w:spacing w:line="360" w:lineRule="auto"/>
        <w:rPr>
          <w:rFonts w:ascii="Arial" w:hAnsi="Arial" w:cs="Arial"/>
          <w:sz w:val="22"/>
          <w:szCs w:val="22"/>
        </w:rPr>
      </w:pPr>
      <w:r>
        <w:rPr>
          <w:rFonts w:ascii="Arial" w:hAnsi="Arial" w:cs="Arial"/>
          <w:sz w:val="22"/>
          <w:szCs w:val="22"/>
        </w:rPr>
        <w:t>Academic integrity: all sources are cited using Harvard referencing.</w:t>
      </w:r>
    </w:p>
    <w:p w14:paraId="3A2B2053" w14:textId="77777777" w:rsidR="00C362C1" w:rsidRDefault="00C362C1" w:rsidP="00C362C1">
      <w:pPr>
        <w:pStyle w:val="ListParagraph"/>
        <w:numPr>
          <w:ilvl w:val="0"/>
          <w:numId w:val="12"/>
        </w:numPr>
        <w:spacing w:line="360" w:lineRule="auto"/>
        <w:rPr>
          <w:rFonts w:ascii="Arial" w:hAnsi="Arial" w:cs="Arial"/>
          <w:sz w:val="22"/>
          <w:szCs w:val="22"/>
        </w:rPr>
      </w:pPr>
      <w:r>
        <w:rPr>
          <w:rFonts w:ascii="Arial" w:hAnsi="Arial" w:cs="Arial"/>
          <w:sz w:val="22"/>
          <w:szCs w:val="22"/>
        </w:rPr>
        <w:t>Cultural awareness: recognition of diverse beliefs about food, illness, and healthcare.</w:t>
      </w:r>
    </w:p>
    <w:p w14:paraId="2383E62C" w14:textId="77777777" w:rsidR="00C362C1" w:rsidRDefault="00C362C1" w:rsidP="00C362C1">
      <w:pPr>
        <w:pStyle w:val="ListParagraph"/>
        <w:numPr>
          <w:ilvl w:val="0"/>
          <w:numId w:val="12"/>
        </w:numPr>
        <w:spacing w:line="360" w:lineRule="auto"/>
        <w:rPr>
          <w:rFonts w:ascii="Arial" w:hAnsi="Arial" w:cs="Arial"/>
          <w:sz w:val="22"/>
          <w:szCs w:val="22"/>
        </w:rPr>
      </w:pPr>
      <w:r>
        <w:rPr>
          <w:rFonts w:ascii="Arial" w:hAnsi="Arial" w:cs="Arial"/>
          <w:sz w:val="22"/>
          <w:szCs w:val="22"/>
        </w:rPr>
        <w:t>Avoiding bias: critical evaluation of sources to prevent reinforcing stereotypes or deficit narratives.</w:t>
      </w:r>
    </w:p>
    <w:p w14:paraId="1621ED8B" w14:textId="77777777" w:rsidR="00C362C1" w:rsidRDefault="00C362C1" w:rsidP="00C362C1">
      <w:pPr>
        <w:spacing w:line="360" w:lineRule="auto"/>
        <w:rPr>
          <w:rFonts w:ascii="Arial" w:hAnsi="Arial" w:cs="Arial"/>
          <w:sz w:val="22"/>
          <w:szCs w:val="22"/>
        </w:rPr>
      </w:pPr>
      <w:r>
        <w:rPr>
          <w:rFonts w:ascii="Arial" w:hAnsi="Arial" w:cs="Arial"/>
          <w:sz w:val="22"/>
          <w:szCs w:val="22"/>
        </w:rPr>
        <w:t>No ethical approval was required as no primary data was collected.</w:t>
      </w:r>
    </w:p>
    <w:p w14:paraId="2EA2B2E2" w14:textId="77777777" w:rsidR="00C362C1" w:rsidRDefault="00C362C1" w:rsidP="00C362C1">
      <w:pPr>
        <w:pStyle w:val="Heading3"/>
      </w:pPr>
      <w:bookmarkStart w:id="15" w:name="_Toc222350089"/>
      <w:r>
        <w:t>Ethics Table</w:t>
      </w:r>
      <w:bookmarkEnd w:id="15"/>
    </w:p>
    <w:tbl>
      <w:tblPr>
        <w:tblStyle w:val="TableGrid"/>
        <w:tblW w:w="0" w:type="auto"/>
        <w:tblInd w:w="0" w:type="dxa"/>
        <w:tblLook w:val="04A0" w:firstRow="1" w:lastRow="0" w:firstColumn="1" w:lastColumn="0" w:noHBand="0" w:noVBand="1"/>
      </w:tblPr>
      <w:tblGrid>
        <w:gridCol w:w="9016"/>
      </w:tblGrid>
      <w:tr w:rsidR="00C362C1" w14:paraId="6EE0A13E" w14:textId="77777777">
        <w:tc>
          <w:tcPr>
            <w:tcW w:w="9016" w:type="dxa"/>
            <w:tcBorders>
              <w:top w:val="single" w:sz="4" w:space="0" w:color="auto"/>
              <w:left w:val="single" w:sz="4" w:space="0" w:color="auto"/>
              <w:bottom w:val="single" w:sz="4" w:space="0" w:color="auto"/>
              <w:right w:val="single" w:sz="4" w:space="0" w:color="auto"/>
            </w:tcBorders>
            <w:hideMark/>
          </w:tcPr>
          <w:p w14:paraId="32B54339" w14:textId="77777777" w:rsidR="00C362C1" w:rsidRDefault="00C362C1">
            <w:pPr>
              <w:spacing w:line="360" w:lineRule="auto"/>
              <w:rPr>
                <w:rFonts w:ascii="Arial" w:hAnsi="Arial" w:cs="Arial"/>
                <w:sz w:val="22"/>
                <w:szCs w:val="22"/>
              </w:rPr>
            </w:pPr>
            <w:r>
              <w:rPr>
                <w:rFonts w:ascii="Arial" w:hAnsi="Arial" w:cs="Arial"/>
                <w:sz w:val="22"/>
                <w:szCs w:val="22"/>
              </w:rPr>
              <w:t>Avoiding cultural stereotyping</w:t>
            </w:r>
          </w:p>
        </w:tc>
      </w:tr>
      <w:tr w:rsidR="00C362C1" w14:paraId="45A6FA3F" w14:textId="77777777">
        <w:tc>
          <w:tcPr>
            <w:tcW w:w="9016" w:type="dxa"/>
            <w:tcBorders>
              <w:top w:val="single" w:sz="4" w:space="0" w:color="auto"/>
              <w:left w:val="single" w:sz="4" w:space="0" w:color="auto"/>
              <w:bottom w:val="single" w:sz="4" w:space="0" w:color="auto"/>
              <w:right w:val="single" w:sz="4" w:space="0" w:color="auto"/>
            </w:tcBorders>
            <w:hideMark/>
          </w:tcPr>
          <w:p w14:paraId="3A96C8ED" w14:textId="77777777" w:rsidR="00C362C1" w:rsidRDefault="00C362C1">
            <w:pPr>
              <w:spacing w:line="360" w:lineRule="auto"/>
              <w:rPr>
                <w:rFonts w:ascii="Arial" w:hAnsi="Arial" w:cs="Arial"/>
                <w:sz w:val="22"/>
                <w:szCs w:val="22"/>
              </w:rPr>
            </w:pPr>
            <w:r>
              <w:rPr>
                <w:rFonts w:ascii="Arial" w:hAnsi="Arial" w:cs="Arial"/>
                <w:sz w:val="22"/>
                <w:szCs w:val="22"/>
              </w:rPr>
              <w:t>Using sensitive, non</w:t>
            </w:r>
            <w:r>
              <w:rPr>
                <w:rFonts w:ascii="Cambria Math" w:hAnsi="Cambria Math" w:cs="Cambria Math"/>
                <w:sz w:val="22"/>
                <w:szCs w:val="22"/>
              </w:rPr>
              <w:noBreakHyphen/>
            </w:r>
            <w:r>
              <w:rPr>
                <w:rFonts w:ascii="Arial" w:hAnsi="Arial" w:cs="Arial"/>
                <w:sz w:val="22"/>
                <w:szCs w:val="22"/>
              </w:rPr>
              <w:t>judgemental language</w:t>
            </w:r>
          </w:p>
        </w:tc>
      </w:tr>
      <w:tr w:rsidR="00C362C1" w14:paraId="4081DF5E" w14:textId="77777777">
        <w:tc>
          <w:tcPr>
            <w:tcW w:w="9016" w:type="dxa"/>
            <w:tcBorders>
              <w:top w:val="single" w:sz="4" w:space="0" w:color="auto"/>
              <w:left w:val="single" w:sz="4" w:space="0" w:color="auto"/>
              <w:bottom w:val="single" w:sz="4" w:space="0" w:color="auto"/>
              <w:right w:val="single" w:sz="4" w:space="0" w:color="auto"/>
            </w:tcBorders>
            <w:hideMark/>
          </w:tcPr>
          <w:p w14:paraId="31DB2E09" w14:textId="77777777" w:rsidR="00C362C1" w:rsidRDefault="00C362C1">
            <w:pPr>
              <w:spacing w:line="360" w:lineRule="auto"/>
              <w:rPr>
                <w:rFonts w:ascii="Arial" w:hAnsi="Arial" w:cs="Arial"/>
                <w:sz w:val="22"/>
                <w:szCs w:val="22"/>
              </w:rPr>
            </w:pPr>
            <w:r>
              <w:rPr>
                <w:rFonts w:ascii="Arial" w:hAnsi="Arial" w:cs="Arial"/>
                <w:sz w:val="22"/>
                <w:szCs w:val="22"/>
              </w:rPr>
              <w:t>Ensuring accurate representation of minority communities</w:t>
            </w:r>
          </w:p>
        </w:tc>
      </w:tr>
      <w:tr w:rsidR="00C362C1" w14:paraId="5D107A12" w14:textId="77777777">
        <w:tc>
          <w:tcPr>
            <w:tcW w:w="9016" w:type="dxa"/>
            <w:tcBorders>
              <w:top w:val="single" w:sz="4" w:space="0" w:color="auto"/>
              <w:left w:val="single" w:sz="4" w:space="0" w:color="auto"/>
              <w:bottom w:val="single" w:sz="4" w:space="0" w:color="auto"/>
              <w:right w:val="single" w:sz="4" w:space="0" w:color="auto"/>
            </w:tcBorders>
            <w:hideMark/>
          </w:tcPr>
          <w:p w14:paraId="5162F9A8" w14:textId="77777777" w:rsidR="00C362C1" w:rsidRDefault="00C362C1">
            <w:pPr>
              <w:spacing w:line="360" w:lineRule="auto"/>
              <w:rPr>
                <w:rFonts w:ascii="Arial" w:hAnsi="Arial" w:cs="Arial"/>
                <w:sz w:val="22"/>
                <w:szCs w:val="22"/>
              </w:rPr>
            </w:pPr>
            <w:r>
              <w:rPr>
                <w:rFonts w:ascii="Arial" w:hAnsi="Arial" w:cs="Arial"/>
                <w:sz w:val="22"/>
                <w:szCs w:val="22"/>
              </w:rPr>
              <w:lastRenderedPageBreak/>
              <w:t>Maintaining academic integrity through Harvard referencing</w:t>
            </w:r>
          </w:p>
        </w:tc>
      </w:tr>
      <w:tr w:rsidR="00C362C1" w14:paraId="03008498" w14:textId="77777777">
        <w:tc>
          <w:tcPr>
            <w:tcW w:w="9016" w:type="dxa"/>
            <w:tcBorders>
              <w:top w:val="single" w:sz="4" w:space="0" w:color="auto"/>
              <w:left w:val="single" w:sz="4" w:space="0" w:color="auto"/>
              <w:bottom w:val="single" w:sz="4" w:space="0" w:color="auto"/>
              <w:right w:val="single" w:sz="4" w:space="0" w:color="auto"/>
            </w:tcBorders>
            <w:hideMark/>
          </w:tcPr>
          <w:p w14:paraId="5C27EEC9" w14:textId="77777777" w:rsidR="00C362C1" w:rsidRDefault="00C362C1">
            <w:pPr>
              <w:spacing w:line="360" w:lineRule="auto"/>
              <w:rPr>
                <w:rFonts w:ascii="Arial" w:hAnsi="Arial" w:cs="Arial"/>
                <w:sz w:val="22"/>
                <w:szCs w:val="22"/>
              </w:rPr>
            </w:pPr>
            <w:r>
              <w:rPr>
                <w:rFonts w:ascii="Arial" w:hAnsi="Arial" w:cs="Arial"/>
                <w:sz w:val="22"/>
                <w:szCs w:val="22"/>
              </w:rPr>
              <w:t>Respecting cultural and religious diversity</w:t>
            </w:r>
          </w:p>
        </w:tc>
      </w:tr>
      <w:tr w:rsidR="00C362C1" w14:paraId="70EBF7E6" w14:textId="77777777">
        <w:tc>
          <w:tcPr>
            <w:tcW w:w="9016" w:type="dxa"/>
            <w:tcBorders>
              <w:top w:val="single" w:sz="4" w:space="0" w:color="auto"/>
              <w:left w:val="single" w:sz="4" w:space="0" w:color="auto"/>
              <w:bottom w:val="single" w:sz="4" w:space="0" w:color="auto"/>
              <w:right w:val="single" w:sz="4" w:space="0" w:color="auto"/>
            </w:tcBorders>
            <w:hideMark/>
          </w:tcPr>
          <w:p w14:paraId="45EB5A17" w14:textId="77777777" w:rsidR="00C362C1" w:rsidRDefault="00C362C1">
            <w:pPr>
              <w:spacing w:line="360" w:lineRule="auto"/>
              <w:rPr>
                <w:rFonts w:ascii="Arial" w:hAnsi="Arial" w:cs="Arial"/>
                <w:sz w:val="22"/>
                <w:szCs w:val="22"/>
              </w:rPr>
            </w:pPr>
            <w:r>
              <w:rPr>
                <w:rFonts w:ascii="Arial" w:hAnsi="Arial" w:cs="Arial"/>
                <w:sz w:val="22"/>
                <w:szCs w:val="22"/>
              </w:rPr>
              <w:t>No ethical approval was required.</w:t>
            </w:r>
          </w:p>
        </w:tc>
      </w:tr>
    </w:tbl>
    <w:p w14:paraId="279237B4" w14:textId="77777777" w:rsidR="00C362C1" w:rsidRDefault="00C362C1" w:rsidP="00C362C1">
      <w:pPr>
        <w:pStyle w:val="Heading2"/>
      </w:pPr>
      <w:bookmarkStart w:id="16" w:name="_Toc222350090"/>
      <w:r>
        <w:t>3.9 Alternative Methods Considered</w:t>
      </w:r>
      <w:bookmarkEnd w:id="16"/>
    </w:p>
    <w:p w14:paraId="2F6FC5B0" w14:textId="77777777" w:rsidR="00C362C1" w:rsidRDefault="00C362C1" w:rsidP="00C362C1">
      <w:pPr>
        <w:pStyle w:val="Heading3"/>
      </w:pPr>
      <w:bookmarkStart w:id="17" w:name="_Toc222350091"/>
      <w:r>
        <w:t>3.9.1 Primary Qualitative Interviews</w:t>
      </w:r>
      <w:bookmarkEnd w:id="17"/>
    </w:p>
    <w:p w14:paraId="6DFFCDD9" w14:textId="77777777" w:rsidR="00C362C1" w:rsidRDefault="00C362C1" w:rsidP="00C362C1">
      <w:pPr>
        <w:spacing w:line="360" w:lineRule="auto"/>
        <w:rPr>
          <w:rFonts w:ascii="Arial" w:hAnsi="Arial" w:cs="Arial"/>
          <w:sz w:val="22"/>
          <w:szCs w:val="22"/>
        </w:rPr>
      </w:pPr>
      <w:r>
        <w:rPr>
          <w:rFonts w:ascii="Arial" w:hAnsi="Arial" w:cs="Arial"/>
          <w:sz w:val="22"/>
          <w:szCs w:val="22"/>
        </w:rPr>
        <w:t>Interviews could have provided rich, first</w:t>
      </w:r>
      <w:r>
        <w:rPr>
          <w:rFonts w:ascii="Cambria Math" w:hAnsi="Cambria Math" w:cs="Cambria Math"/>
          <w:sz w:val="22"/>
          <w:szCs w:val="22"/>
        </w:rPr>
        <w:noBreakHyphen/>
      </w:r>
      <w:r>
        <w:rPr>
          <w:rFonts w:ascii="Arial" w:hAnsi="Arial" w:cs="Arial"/>
          <w:sz w:val="22"/>
          <w:szCs w:val="22"/>
        </w:rPr>
        <w:t>hand insights into lived experiences. However:</w:t>
      </w:r>
    </w:p>
    <w:p w14:paraId="0988E0AB" w14:textId="77777777" w:rsidR="00C362C1" w:rsidRDefault="00C362C1" w:rsidP="00C362C1">
      <w:pPr>
        <w:pStyle w:val="ListParagraph"/>
        <w:numPr>
          <w:ilvl w:val="0"/>
          <w:numId w:val="13"/>
        </w:numPr>
        <w:spacing w:line="360" w:lineRule="auto"/>
        <w:rPr>
          <w:rFonts w:ascii="Arial" w:hAnsi="Arial" w:cs="Arial"/>
          <w:sz w:val="22"/>
          <w:szCs w:val="22"/>
        </w:rPr>
      </w:pPr>
      <w:r>
        <w:rPr>
          <w:rFonts w:ascii="Arial" w:hAnsi="Arial" w:cs="Arial"/>
          <w:sz w:val="22"/>
          <w:szCs w:val="22"/>
        </w:rPr>
        <w:t>Ethical approval would be required</w:t>
      </w:r>
    </w:p>
    <w:p w14:paraId="631FA3B6" w14:textId="77777777" w:rsidR="00C362C1" w:rsidRDefault="00C362C1" w:rsidP="00C362C1">
      <w:pPr>
        <w:pStyle w:val="ListParagraph"/>
        <w:numPr>
          <w:ilvl w:val="0"/>
          <w:numId w:val="13"/>
        </w:numPr>
        <w:spacing w:line="360" w:lineRule="auto"/>
        <w:rPr>
          <w:rFonts w:ascii="Arial" w:hAnsi="Arial" w:cs="Arial"/>
          <w:sz w:val="22"/>
          <w:szCs w:val="22"/>
        </w:rPr>
      </w:pPr>
      <w:r>
        <w:rPr>
          <w:rFonts w:ascii="Arial" w:hAnsi="Arial" w:cs="Arial"/>
          <w:sz w:val="22"/>
          <w:szCs w:val="22"/>
        </w:rPr>
        <w:t>Participants may be vulnerable</w:t>
      </w:r>
    </w:p>
    <w:p w14:paraId="4FD861AC" w14:textId="77777777" w:rsidR="00C362C1" w:rsidRDefault="00C362C1" w:rsidP="00C362C1">
      <w:pPr>
        <w:pStyle w:val="ListParagraph"/>
        <w:numPr>
          <w:ilvl w:val="0"/>
          <w:numId w:val="13"/>
        </w:numPr>
        <w:spacing w:line="360" w:lineRule="auto"/>
        <w:rPr>
          <w:rFonts w:ascii="Arial" w:hAnsi="Arial" w:cs="Arial"/>
          <w:sz w:val="22"/>
          <w:szCs w:val="22"/>
        </w:rPr>
      </w:pPr>
      <w:r>
        <w:rPr>
          <w:rFonts w:ascii="Arial" w:hAnsi="Arial" w:cs="Arial"/>
          <w:sz w:val="22"/>
          <w:szCs w:val="22"/>
        </w:rPr>
        <w:t>Cultural sensitivity issues may arise</w:t>
      </w:r>
    </w:p>
    <w:p w14:paraId="3B27D42F" w14:textId="77777777" w:rsidR="00C362C1" w:rsidRDefault="00C362C1" w:rsidP="00C362C1">
      <w:pPr>
        <w:pStyle w:val="ListParagraph"/>
        <w:numPr>
          <w:ilvl w:val="0"/>
          <w:numId w:val="13"/>
        </w:numPr>
        <w:spacing w:line="360" w:lineRule="auto"/>
        <w:rPr>
          <w:rFonts w:ascii="Arial" w:hAnsi="Arial" w:cs="Arial"/>
          <w:sz w:val="22"/>
          <w:szCs w:val="22"/>
        </w:rPr>
      </w:pPr>
      <w:r>
        <w:rPr>
          <w:rFonts w:ascii="Arial" w:hAnsi="Arial" w:cs="Arial"/>
          <w:sz w:val="22"/>
          <w:szCs w:val="22"/>
        </w:rPr>
        <w:t>Time constraints limit feasibility</w:t>
      </w:r>
    </w:p>
    <w:p w14:paraId="0203DA9B" w14:textId="77777777" w:rsidR="00C362C1" w:rsidRDefault="00C362C1" w:rsidP="00C362C1">
      <w:pPr>
        <w:pStyle w:val="Heading3"/>
      </w:pPr>
      <w:bookmarkStart w:id="18" w:name="_Toc222350092"/>
      <w:r>
        <w:t>3.9.2 Focus Groups</w:t>
      </w:r>
      <w:bookmarkEnd w:id="18"/>
    </w:p>
    <w:p w14:paraId="68E62361" w14:textId="77777777" w:rsidR="00C362C1" w:rsidRDefault="00C362C1" w:rsidP="00C362C1">
      <w:pPr>
        <w:spacing w:line="360" w:lineRule="auto"/>
        <w:rPr>
          <w:rFonts w:ascii="Arial" w:hAnsi="Arial" w:cs="Arial"/>
          <w:sz w:val="22"/>
          <w:szCs w:val="22"/>
        </w:rPr>
      </w:pPr>
      <w:r>
        <w:rPr>
          <w:rFonts w:ascii="Arial" w:hAnsi="Arial" w:cs="Arial"/>
          <w:sz w:val="22"/>
          <w:szCs w:val="22"/>
        </w:rPr>
        <w:t>Focus groups could explore shared cultural beliefs, but:</w:t>
      </w:r>
    </w:p>
    <w:p w14:paraId="5FE82D7C" w14:textId="77777777" w:rsidR="00C362C1" w:rsidRDefault="00C362C1" w:rsidP="00C362C1">
      <w:pPr>
        <w:pStyle w:val="ListParagraph"/>
        <w:numPr>
          <w:ilvl w:val="0"/>
          <w:numId w:val="14"/>
        </w:numPr>
        <w:spacing w:line="360" w:lineRule="auto"/>
        <w:rPr>
          <w:rFonts w:ascii="Arial" w:hAnsi="Arial" w:cs="Arial"/>
          <w:sz w:val="22"/>
          <w:szCs w:val="22"/>
        </w:rPr>
      </w:pPr>
      <w:r>
        <w:rPr>
          <w:rFonts w:ascii="Arial" w:hAnsi="Arial" w:cs="Arial"/>
          <w:sz w:val="22"/>
          <w:szCs w:val="22"/>
        </w:rPr>
        <w:t>Group dynamics may silence some voices</w:t>
      </w:r>
    </w:p>
    <w:p w14:paraId="6925D871" w14:textId="77777777" w:rsidR="00C362C1" w:rsidRDefault="00C362C1" w:rsidP="00C362C1">
      <w:pPr>
        <w:pStyle w:val="ListParagraph"/>
        <w:numPr>
          <w:ilvl w:val="0"/>
          <w:numId w:val="14"/>
        </w:numPr>
        <w:spacing w:line="360" w:lineRule="auto"/>
        <w:rPr>
          <w:rFonts w:ascii="Arial" w:hAnsi="Arial" w:cs="Arial"/>
          <w:sz w:val="22"/>
          <w:szCs w:val="22"/>
        </w:rPr>
      </w:pPr>
      <w:r>
        <w:rPr>
          <w:rFonts w:ascii="Arial" w:hAnsi="Arial" w:cs="Arial"/>
          <w:sz w:val="22"/>
          <w:szCs w:val="22"/>
        </w:rPr>
        <w:t>Sensitive topics may be difficult to discuss publicly</w:t>
      </w:r>
    </w:p>
    <w:p w14:paraId="6BED648E" w14:textId="77777777" w:rsidR="00C362C1" w:rsidRDefault="00C362C1" w:rsidP="00C362C1">
      <w:pPr>
        <w:pStyle w:val="ListParagraph"/>
        <w:numPr>
          <w:ilvl w:val="0"/>
          <w:numId w:val="14"/>
        </w:numPr>
        <w:spacing w:line="360" w:lineRule="auto"/>
        <w:rPr>
          <w:rFonts w:ascii="Arial" w:hAnsi="Arial" w:cs="Arial"/>
          <w:sz w:val="22"/>
          <w:szCs w:val="22"/>
        </w:rPr>
      </w:pPr>
      <w:r>
        <w:rPr>
          <w:rFonts w:ascii="Arial" w:hAnsi="Arial" w:cs="Arial"/>
          <w:sz w:val="22"/>
          <w:szCs w:val="22"/>
        </w:rPr>
        <w:t>Recruitment challenges exist within minority communities</w:t>
      </w:r>
    </w:p>
    <w:p w14:paraId="0D377EF2" w14:textId="77777777" w:rsidR="00C362C1" w:rsidRDefault="00C362C1" w:rsidP="00C362C1">
      <w:pPr>
        <w:pStyle w:val="Heading3"/>
      </w:pPr>
      <w:bookmarkStart w:id="19" w:name="_Toc222350093"/>
      <w:r>
        <w:t>3.9.3 Quantitative Surveys</w:t>
      </w:r>
      <w:bookmarkEnd w:id="19"/>
    </w:p>
    <w:p w14:paraId="250DB7FF" w14:textId="77777777" w:rsidR="00C362C1" w:rsidRDefault="00C362C1" w:rsidP="00C362C1">
      <w:pPr>
        <w:spacing w:line="360" w:lineRule="auto"/>
        <w:rPr>
          <w:rFonts w:ascii="Arial" w:hAnsi="Arial" w:cs="Arial"/>
          <w:sz w:val="22"/>
          <w:szCs w:val="22"/>
        </w:rPr>
      </w:pPr>
      <w:r>
        <w:rPr>
          <w:rFonts w:ascii="Arial" w:hAnsi="Arial" w:cs="Arial"/>
          <w:sz w:val="22"/>
          <w:szCs w:val="22"/>
        </w:rPr>
        <w:t>Surveys could provide statistical insights, but:</w:t>
      </w:r>
    </w:p>
    <w:p w14:paraId="1A588050" w14:textId="77777777" w:rsidR="00C362C1" w:rsidRDefault="00C362C1" w:rsidP="00C362C1">
      <w:pPr>
        <w:pStyle w:val="ListParagraph"/>
        <w:numPr>
          <w:ilvl w:val="0"/>
          <w:numId w:val="15"/>
        </w:numPr>
        <w:spacing w:line="360" w:lineRule="auto"/>
        <w:rPr>
          <w:rFonts w:ascii="Arial" w:hAnsi="Arial" w:cs="Arial"/>
          <w:sz w:val="22"/>
          <w:szCs w:val="22"/>
        </w:rPr>
      </w:pPr>
      <w:r>
        <w:rPr>
          <w:rFonts w:ascii="Arial" w:hAnsi="Arial" w:cs="Arial"/>
          <w:sz w:val="22"/>
          <w:szCs w:val="22"/>
        </w:rPr>
        <w:t>They lack depth</w:t>
      </w:r>
    </w:p>
    <w:p w14:paraId="503F4C43" w14:textId="77777777" w:rsidR="00C362C1" w:rsidRDefault="00C362C1" w:rsidP="00C362C1">
      <w:pPr>
        <w:pStyle w:val="ListParagraph"/>
        <w:numPr>
          <w:ilvl w:val="0"/>
          <w:numId w:val="15"/>
        </w:numPr>
        <w:spacing w:line="360" w:lineRule="auto"/>
        <w:rPr>
          <w:rFonts w:ascii="Arial" w:hAnsi="Arial" w:cs="Arial"/>
          <w:sz w:val="22"/>
          <w:szCs w:val="22"/>
        </w:rPr>
      </w:pPr>
      <w:r>
        <w:rPr>
          <w:rFonts w:ascii="Arial" w:hAnsi="Arial" w:cs="Arial"/>
          <w:sz w:val="22"/>
          <w:szCs w:val="22"/>
        </w:rPr>
        <w:t>They cannot capture cultural nuance</w:t>
      </w:r>
    </w:p>
    <w:p w14:paraId="275D7FF5" w14:textId="77777777" w:rsidR="00C362C1" w:rsidRDefault="00C362C1" w:rsidP="00C362C1">
      <w:pPr>
        <w:pStyle w:val="ListParagraph"/>
        <w:numPr>
          <w:ilvl w:val="0"/>
          <w:numId w:val="15"/>
        </w:numPr>
        <w:spacing w:line="360" w:lineRule="auto"/>
        <w:rPr>
          <w:rFonts w:ascii="Arial" w:hAnsi="Arial" w:cs="Arial"/>
          <w:sz w:val="22"/>
          <w:szCs w:val="22"/>
        </w:rPr>
      </w:pPr>
      <w:r>
        <w:rPr>
          <w:rFonts w:ascii="Arial" w:hAnsi="Arial" w:cs="Arial"/>
          <w:sz w:val="22"/>
          <w:szCs w:val="22"/>
        </w:rPr>
        <w:t>They risk oversimplifying complex experiences</w:t>
      </w:r>
    </w:p>
    <w:p w14:paraId="490296C5" w14:textId="77777777" w:rsidR="00C362C1" w:rsidRDefault="00C362C1" w:rsidP="00C362C1">
      <w:pPr>
        <w:pStyle w:val="ListParagraph"/>
        <w:numPr>
          <w:ilvl w:val="0"/>
          <w:numId w:val="15"/>
        </w:numPr>
        <w:spacing w:line="360" w:lineRule="auto"/>
        <w:rPr>
          <w:rFonts w:ascii="Arial" w:hAnsi="Arial" w:cs="Arial"/>
          <w:sz w:val="22"/>
          <w:szCs w:val="22"/>
        </w:rPr>
      </w:pPr>
      <w:r>
        <w:rPr>
          <w:rFonts w:ascii="Arial" w:hAnsi="Arial" w:cs="Arial"/>
          <w:sz w:val="22"/>
          <w:szCs w:val="22"/>
        </w:rPr>
        <w:t>Given these limitations, secondary qualitative research was the most appropriate choice.</w:t>
      </w:r>
    </w:p>
    <w:p w14:paraId="035EE953" w14:textId="77777777" w:rsidR="00C362C1" w:rsidRDefault="00C362C1" w:rsidP="00C362C1">
      <w:pPr>
        <w:pStyle w:val="Heading2"/>
      </w:pPr>
      <w:bookmarkStart w:id="20" w:name="_Toc222350094"/>
      <w:r>
        <w:t>3.10 Limitations</w:t>
      </w:r>
      <w:bookmarkEnd w:id="20"/>
    </w:p>
    <w:p w14:paraId="6B29BBE3" w14:textId="77777777" w:rsidR="00C362C1" w:rsidRDefault="00C362C1" w:rsidP="00C362C1">
      <w:pPr>
        <w:spacing w:line="360" w:lineRule="auto"/>
        <w:rPr>
          <w:rFonts w:ascii="Arial" w:hAnsi="Arial" w:cs="Arial"/>
          <w:b/>
          <w:bCs/>
          <w:sz w:val="22"/>
          <w:szCs w:val="22"/>
        </w:rPr>
      </w:pPr>
      <w:r>
        <w:rPr>
          <w:rFonts w:ascii="Arial" w:hAnsi="Arial" w:cs="Arial"/>
          <w:b/>
          <w:bCs/>
          <w:sz w:val="22"/>
          <w:szCs w:val="22"/>
        </w:rPr>
        <w:t>Secondary research has inherent limitations:</w:t>
      </w:r>
    </w:p>
    <w:p w14:paraId="3B19F025" w14:textId="77777777" w:rsidR="00C362C1" w:rsidRDefault="00C362C1" w:rsidP="00C362C1">
      <w:pPr>
        <w:pStyle w:val="ListParagraph"/>
        <w:numPr>
          <w:ilvl w:val="0"/>
          <w:numId w:val="16"/>
        </w:numPr>
        <w:spacing w:line="360" w:lineRule="auto"/>
        <w:rPr>
          <w:rFonts w:ascii="Arial" w:hAnsi="Arial" w:cs="Arial"/>
          <w:sz w:val="22"/>
          <w:szCs w:val="22"/>
        </w:rPr>
      </w:pPr>
      <w:r>
        <w:rPr>
          <w:rFonts w:ascii="Arial" w:hAnsi="Arial" w:cs="Arial"/>
          <w:sz w:val="22"/>
          <w:szCs w:val="22"/>
        </w:rPr>
        <w:t>Lack of lived experience: cannot capture personal narratives directly.</w:t>
      </w:r>
    </w:p>
    <w:p w14:paraId="6D1E9EDE" w14:textId="77777777" w:rsidR="00C362C1" w:rsidRDefault="00C362C1" w:rsidP="00C362C1">
      <w:pPr>
        <w:pStyle w:val="ListParagraph"/>
        <w:numPr>
          <w:ilvl w:val="0"/>
          <w:numId w:val="16"/>
        </w:numPr>
        <w:spacing w:line="360" w:lineRule="auto"/>
        <w:rPr>
          <w:rFonts w:ascii="Arial" w:hAnsi="Arial" w:cs="Arial"/>
          <w:sz w:val="22"/>
          <w:szCs w:val="22"/>
        </w:rPr>
      </w:pPr>
      <w:r>
        <w:rPr>
          <w:rFonts w:ascii="Arial" w:hAnsi="Arial" w:cs="Arial"/>
          <w:sz w:val="22"/>
          <w:szCs w:val="22"/>
        </w:rPr>
        <w:t>Data gaps: limited UK</w:t>
      </w:r>
      <w:r>
        <w:rPr>
          <w:rFonts w:ascii="Cambria Math" w:hAnsi="Cambria Math" w:cs="Cambria Math"/>
          <w:sz w:val="22"/>
          <w:szCs w:val="22"/>
        </w:rPr>
        <w:noBreakHyphen/>
      </w:r>
      <w:r>
        <w:rPr>
          <w:rFonts w:ascii="Arial" w:hAnsi="Arial" w:cs="Arial"/>
          <w:sz w:val="22"/>
          <w:szCs w:val="22"/>
        </w:rPr>
        <w:t>specific research on cultural determinants of diabetes management.</w:t>
      </w:r>
    </w:p>
    <w:p w14:paraId="4AC1AC46" w14:textId="77777777" w:rsidR="00C362C1" w:rsidRDefault="00C362C1" w:rsidP="00C362C1">
      <w:pPr>
        <w:pStyle w:val="ListParagraph"/>
        <w:numPr>
          <w:ilvl w:val="0"/>
          <w:numId w:val="16"/>
        </w:numPr>
        <w:spacing w:line="360" w:lineRule="auto"/>
        <w:rPr>
          <w:rFonts w:ascii="Arial" w:hAnsi="Arial" w:cs="Arial"/>
          <w:sz w:val="22"/>
          <w:szCs w:val="22"/>
        </w:rPr>
      </w:pPr>
      <w:r>
        <w:rPr>
          <w:rFonts w:ascii="Arial" w:hAnsi="Arial" w:cs="Arial"/>
          <w:sz w:val="22"/>
          <w:szCs w:val="22"/>
        </w:rPr>
        <w:t>Publication bias: studies with positive findings may be over</w:t>
      </w:r>
      <w:r>
        <w:rPr>
          <w:rFonts w:ascii="Cambria Math" w:hAnsi="Cambria Math" w:cs="Cambria Math"/>
          <w:sz w:val="22"/>
          <w:szCs w:val="22"/>
        </w:rPr>
        <w:noBreakHyphen/>
      </w:r>
      <w:r>
        <w:rPr>
          <w:rFonts w:ascii="Arial" w:hAnsi="Arial" w:cs="Arial"/>
          <w:sz w:val="22"/>
          <w:szCs w:val="22"/>
        </w:rPr>
        <w:t>represented.</w:t>
      </w:r>
    </w:p>
    <w:p w14:paraId="02FADC90" w14:textId="77777777" w:rsidR="00C362C1" w:rsidRDefault="00C362C1" w:rsidP="00C362C1">
      <w:pPr>
        <w:pStyle w:val="ListParagraph"/>
        <w:numPr>
          <w:ilvl w:val="0"/>
          <w:numId w:val="16"/>
        </w:numPr>
        <w:spacing w:line="360" w:lineRule="auto"/>
        <w:rPr>
          <w:rFonts w:ascii="Arial" w:hAnsi="Arial" w:cs="Arial"/>
          <w:sz w:val="22"/>
          <w:szCs w:val="22"/>
        </w:rPr>
      </w:pPr>
      <w:r>
        <w:rPr>
          <w:rFonts w:ascii="Arial" w:hAnsi="Arial" w:cs="Arial"/>
          <w:sz w:val="22"/>
          <w:szCs w:val="22"/>
        </w:rPr>
        <w:t>Variability in definitions: “South Asian” is a broad category with internal diversity.</w:t>
      </w:r>
    </w:p>
    <w:p w14:paraId="6CEC3FB3" w14:textId="77777777" w:rsidR="00C362C1" w:rsidRDefault="00C362C1" w:rsidP="00C362C1">
      <w:pPr>
        <w:pStyle w:val="ListParagraph"/>
        <w:numPr>
          <w:ilvl w:val="0"/>
          <w:numId w:val="16"/>
        </w:numPr>
        <w:spacing w:line="360" w:lineRule="auto"/>
        <w:rPr>
          <w:rFonts w:ascii="Arial" w:hAnsi="Arial" w:cs="Arial"/>
          <w:sz w:val="22"/>
          <w:szCs w:val="22"/>
        </w:rPr>
      </w:pPr>
      <w:r>
        <w:rPr>
          <w:rFonts w:ascii="Arial" w:hAnsi="Arial" w:cs="Arial"/>
          <w:sz w:val="22"/>
          <w:szCs w:val="22"/>
        </w:rPr>
        <w:t>Limited intersectional analysis: many studies fail to consider gender, class, or migration status.</w:t>
      </w:r>
    </w:p>
    <w:p w14:paraId="3E54A97F" w14:textId="77777777" w:rsidR="00C362C1" w:rsidRDefault="00C362C1" w:rsidP="00C362C1">
      <w:pPr>
        <w:spacing w:line="360" w:lineRule="auto"/>
        <w:rPr>
          <w:rFonts w:ascii="Arial" w:hAnsi="Arial" w:cs="Arial"/>
          <w:sz w:val="22"/>
          <w:szCs w:val="22"/>
        </w:rPr>
      </w:pPr>
      <w:r>
        <w:rPr>
          <w:rFonts w:ascii="Arial" w:hAnsi="Arial" w:cs="Arial"/>
          <w:sz w:val="22"/>
          <w:szCs w:val="22"/>
        </w:rPr>
        <w:lastRenderedPageBreak/>
        <w:t>These limitations are acknowledged and addressed through critical analysis in Chapter 4.</w:t>
      </w:r>
    </w:p>
    <w:p w14:paraId="50F73418" w14:textId="77777777" w:rsidR="00C362C1" w:rsidRDefault="00C362C1" w:rsidP="00C362C1">
      <w:pPr>
        <w:pStyle w:val="Heading2"/>
      </w:pPr>
      <w:bookmarkStart w:id="21" w:name="_Toc222350095"/>
      <w:r>
        <w:t>3.11 Conclusion</w:t>
      </w:r>
      <w:bookmarkEnd w:id="21"/>
    </w:p>
    <w:p w14:paraId="36965715" w14:textId="77777777" w:rsidR="00C362C1" w:rsidRDefault="00C362C1" w:rsidP="00C362C1">
      <w:pPr>
        <w:spacing w:line="360" w:lineRule="auto"/>
        <w:rPr>
          <w:rFonts w:ascii="Arial" w:hAnsi="Arial" w:cs="Arial"/>
          <w:sz w:val="22"/>
          <w:szCs w:val="22"/>
        </w:rPr>
      </w:pPr>
      <w:r>
        <w:rPr>
          <w:rFonts w:ascii="Arial" w:hAnsi="Arial" w:cs="Arial"/>
          <w:sz w:val="22"/>
          <w:szCs w:val="22"/>
        </w:rPr>
        <w:t>This chapter has outlined the methodological approach used to explore the socioeconomic and cultural factors influencing Type 2 diabetes management among South Asian communities in the UK. A qualitative secondary research design, supported by systematic searching, rigorous inclusion criteria, thematic analysis, and ethical consideration, provides a robust foundation for the findings and discussion presented in the next chapter. Chapter 4 synthesises the themes identified through this methodology, offering a detailed analysis of the cultural, socioeconomic, and structural determinants shaping diabetes management.</w:t>
      </w:r>
    </w:p>
    <w:p w14:paraId="05D3DE09" w14:textId="77777777" w:rsidR="00675AC4" w:rsidRDefault="00675AC4"/>
    <w:sectPr w:rsidR="00675A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1422B"/>
    <w:multiLevelType w:val="hybridMultilevel"/>
    <w:tmpl w:val="480A10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C412CE2"/>
    <w:multiLevelType w:val="hybridMultilevel"/>
    <w:tmpl w:val="0E2851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BC67E37"/>
    <w:multiLevelType w:val="hybridMultilevel"/>
    <w:tmpl w:val="A68CE3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E7910B1"/>
    <w:multiLevelType w:val="hybridMultilevel"/>
    <w:tmpl w:val="1890C0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C6E13B5"/>
    <w:multiLevelType w:val="hybridMultilevel"/>
    <w:tmpl w:val="82E278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1F16A4B"/>
    <w:multiLevelType w:val="hybridMultilevel"/>
    <w:tmpl w:val="338E1A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9FB5E63"/>
    <w:multiLevelType w:val="hybridMultilevel"/>
    <w:tmpl w:val="7E0C2B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C175E9F"/>
    <w:multiLevelType w:val="hybridMultilevel"/>
    <w:tmpl w:val="9BD00B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D6B377C"/>
    <w:multiLevelType w:val="hybridMultilevel"/>
    <w:tmpl w:val="AC909E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2D73E7D"/>
    <w:multiLevelType w:val="hybridMultilevel"/>
    <w:tmpl w:val="E5381D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6237264E"/>
    <w:multiLevelType w:val="hybridMultilevel"/>
    <w:tmpl w:val="616601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54B2C42"/>
    <w:multiLevelType w:val="hybridMultilevel"/>
    <w:tmpl w:val="126288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5E231D0"/>
    <w:multiLevelType w:val="hybridMultilevel"/>
    <w:tmpl w:val="876263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75F34870"/>
    <w:multiLevelType w:val="hybridMultilevel"/>
    <w:tmpl w:val="595EE5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761B4308"/>
    <w:multiLevelType w:val="hybridMultilevel"/>
    <w:tmpl w:val="B7A4AA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C2C0A07"/>
    <w:multiLevelType w:val="hybridMultilevel"/>
    <w:tmpl w:val="D23847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20849268">
    <w:abstractNumId w:val="15"/>
    <w:lvlOverride w:ilvl="0"/>
    <w:lvlOverride w:ilvl="1"/>
    <w:lvlOverride w:ilvl="2"/>
    <w:lvlOverride w:ilvl="3"/>
    <w:lvlOverride w:ilvl="4"/>
    <w:lvlOverride w:ilvl="5"/>
    <w:lvlOverride w:ilvl="6"/>
    <w:lvlOverride w:ilvl="7"/>
    <w:lvlOverride w:ilvl="8"/>
  </w:num>
  <w:num w:numId="2" w16cid:durableId="15935040">
    <w:abstractNumId w:val="6"/>
    <w:lvlOverride w:ilvl="0"/>
    <w:lvlOverride w:ilvl="1"/>
    <w:lvlOverride w:ilvl="2"/>
    <w:lvlOverride w:ilvl="3"/>
    <w:lvlOverride w:ilvl="4"/>
    <w:lvlOverride w:ilvl="5"/>
    <w:lvlOverride w:ilvl="6"/>
    <w:lvlOverride w:ilvl="7"/>
    <w:lvlOverride w:ilvl="8"/>
  </w:num>
  <w:num w:numId="3" w16cid:durableId="1205023872">
    <w:abstractNumId w:val="9"/>
    <w:lvlOverride w:ilvl="0"/>
    <w:lvlOverride w:ilvl="1"/>
    <w:lvlOverride w:ilvl="2"/>
    <w:lvlOverride w:ilvl="3"/>
    <w:lvlOverride w:ilvl="4"/>
    <w:lvlOverride w:ilvl="5"/>
    <w:lvlOverride w:ilvl="6"/>
    <w:lvlOverride w:ilvl="7"/>
    <w:lvlOverride w:ilvl="8"/>
  </w:num>
  <w:num w:numId="4" w16cid:durableId="676928421">
    <w:abstractNumId w:val="7"/>
    <w:lvlOverride w:ilvl="0"/>
    <w:lvlOverride w:ilvl="1"/>
    <w:lvlOverride w:ilvl="2"/>
    <w:lvlOverride w:ilvl="3"/>
    <w:lvlOverride w:ilvl="4"/>
    <w:lvlOverride w:ilvl="5"/>
    <w:lvlOverride w:ilvl="6"/>
    <w:lvlOverride w:ilvl="7"/>
    <w:lvlOverride w:ilvl="8"/>
  </w:num>
  <w:num w:numId="5" w16cid:durableId="2119907638">
    <w:abstractNumId w:val="3"/>
    <w:lvlOverride w:ilvl="0"/>
    <w:lvlOverride w:ilvl="1"/>
    <w:lvlOverride w:ilvl="2"/>
    <w:lvlOverride w:ilvl="3"/>
    <w:lvlOverride w:ilvl="4"/>
    <w:lvlOverride w:ilvl="5"/>
    <w:lvlOverride w:ilvl="6"/>
    <w:lvlOverride w:ilvl="7"/>
    <w:lvlOverride w:ilvl="8"/>
  </w:num>
  <w:num w:numId="6" w16cid:durableId="764155721">
    <w:abstractNumId w:val="12"/>
    <w:lvlOverride w:ilvl="0"/>
    <w:lvlOverride w:ilvl="1"/>
    <w:lvlOverride w:ilvl="2"/>
    <w:lvlOverride w:ilvl="3"/>
    <w:lvlOverride w:ilvl="4"/>
    <w:lvlOverride w:ilvl="5"/>
    <w:lvlOverride w:ilvl="6"/>
    <w:lvlOverride w:ilvl="7"/>
    <w:lvlOverride w:ilvl="8"/>
  </w:num>
  <w:num w:numId="7" w16cid:durableId="1304385471">
    <w:abstractNumId w:val="1"/>
    <w:lvlOverride w:ilvl="0"/>
    <w:lvlOverride w:ilvl="1"/>
    <w:lvlOverride w:ilvl="2"/>
    <w:lvlOverride w:ilvl="3"/>
    <w:lvlOverride w:ilvl="4"/>
    <w:lvlOverride w:ilvl="5"/>
    <w:lvlOverride w:ilvl="6"/>
    <w:lvlOverride w:ilvl="7"/>
    <w:lvlOverride w:ilvl="8"/>
  </w:num>
  <w:num w:numId="8" w16cid:durableId="705563340">
    <w:abstractNumId w:val="2"/>
    <w:lvlOverride w:ilvl="0"/>
    <w:lvlOverride w:ilvl="1"/>
    <w:lvlOverride w:ilvl="2"/>
    <w:lvlOverride w:ilvl="3"/>
    <w:lvlOverride w:ilvl="4"/>
    <w:lvlOverride w:ilvl="5"/>
    <w:lvlOverride w:ilvl="6"/>
    <w:lvlOverride w:ilvl="7"/>
    <w:lvlOverride w:ilvl="8"/>
  </w:num>
  <w:num w:numId="9" w16cid:durableId="618994120">
    <w:abstractNumId w:val="8"/>
    <w:lvlOverride w:ilvl="0"/>
    <w:lvlOverride w:ilvl="1"/>
    <w:lvlOverride w:ilvl="2"/>
    <w:lvlOverride w:ilvl="3"/>
    <w:lvlOverride w:ilvl="4"/>
    <w:lvlOverride w:ilvl="5"/>
    <w:lvlOverride w:ilvl="6"/>
    <w:lvlOverride w:ilvl="7"/>
    <w:lvlOverride w:ilvl="8"/>
  </w:num>
  <w:num w:numId="10" w16cid:durableId="1700934463">
    <w:abstractNumId w:val="4"/>
    <w:lvlOverride w:ilvl="0"/>
    <w:lvlOverride w:ilvl="1"/>
    <w:lvlOverride w:ilvl="2"/>
    <w:lvlOverride w:ilvl="3"/>
    <w:lvlOverride w:ilvl="4"/>
    <w:lvlOverride w:ilvl="5"/>
    <w:lvlOverride w:ilvl="6"/>
    <w:lvlOverride w:ilvl="7"/>
    <w:lvlOverride w:ilvl="8"/>
  </w:num>
  <w:num w:numId="11" w16cid:durableId="47806651">
    <w:abstractNumId w:val="10"/>
    <w:lvlOverride w:ilvl="0"/>
    <w:lvlOverride w:ilvl="1"/>
    <w:lvlOverride w:ilvl="2"/>
    <w:lvlOverride w:ilvl="3"/>
    <w:lvlOverride w:ilvl="4"/>
    <w:lvlOverride w:ilvl="5"/>
    <w:lvlOverride w:ilvl="6"/>
    <w:lvlOverride w:ilvl="7"/>
    <w:lvlOverride w:ilvl="8"/>
  </w:num>
  <w:num w:numId="12" w16cid:durableId="1594585385">
    <w:abstractNumId w:val="0"/>
    <w:lvlOverride w:ilvl="0"/>
    <w:lvlOverride w:ilvl="1"/>
    <w:lvlOverride w:ilvl="2"/>
    <w:lvlOverride w:ilvl="3"/>
    <w:lvlOverride w:ilvl="4"/>
    <w:lvlOverride w:ilvl="5"/>
    <w:lvlOverride w:ilvl="6"/>
    <w:lvlOverride w:ilvl="7"/>
    <w:lvlOverride w:ilvl="8"/>
  </w:num>
  <w:num w:numId="13" w16cid:durableId="1825967224">
    <w:abstractNumId w:val="13"/>
    <w:lvlOverride w:ilvl="0"/>
    <w:lvlOverride w:ilvl="1"/>
    <w:lvlOverride w:ilvl="2"/>
    <w:lvlOverride w:ilvl="3"/>
    <w:lvlOverride w:ilvl="4"/>
    <w:lvlOverride w:ilvl="5"/>
    <w:lvlOverride w:ilvl="6"/>
    <w:lvlOverride w:ilvl="7"/>
    <w:lvlOverride w:ilvl="8"/>
  </w:num>
  <w:num w:numId="14" w16cid:durableId="614681356">
    <w:abstractNumId w:val="5"/>
    <w:lvlOverride w:ilvl="0"/>
    <w:lvlOverride w:ilvl="1"/>
    <w:lvlOverride w:ilvl="2"/>
    <w:lvlOverride w:ilvl="3"/>
    <w:lvlOverride w:ilvl="4"/>
    <w:lvlOverride w:ilvl="5"/>
    <w:lvlOverride w:ilvl="6"/>
    <w:lvlOverride w:ilvl="7"/>
    <w:lvlOverride w:ilvl="8"/>
  </w:num>
  <w:num w:numId="15" w16cid:durableId="460736031">
    <w:abstractNumId w:val="11"/>
    <w:lvlOverride w:ilvl="0"/>
    <w:lvlOverride w:ilvl="1"/>
    <w:lvlOverride w:ilvl="2"/>
    <w:lvlOverride w:ilvl="3"/>
    <w:lvlOverride w:ilvl="4"/>
    <w:lvlOverride w:ilvl="5"/>
    <w:lvlOverride w:ilvl="6"/>
    <w:lvlOverride w:ilvl="7"/>
    <w:lvlOverride w:ilvl="8"/>
  </w:num>
  <w:num w:numId="16" w16cid:durableId="1464422518">
    <w:abstractNumId w:val="1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2C1"/>
    <w:rsid w:val="00505B9D"/>
    <w:rsid w:val="00675AC4"/>
    <w:rsid w:val="00C362C1"/>
    <w:rsid w:val="00D33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2F567"/>
  <w15:chartTrackingRefBased/>
  <w15:docId w15:val="{57F179A4-BF7E-42F2-B679-D86283A09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2C1"/>
    <w:pPr>
      <w:spacing w:line="276" w:lineRule="auto"/>
    </w:pPr>
  </w:style>
  <w:style w:type="paragraph" w:styleId="Heading1">
    <w:name w:val="heading 1"/>
    <w:basedOn w:val="Normal"/>
    <w:next w:val="Normal"/>
    <w:link w:val="Heading1Char"/>
    <w:uiPriority w:val="9"/>
    <w:qFormat/>
    <w:rsid w:val="00C362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62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62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62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62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62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62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62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62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2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62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62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62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62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62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62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62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62C1"/>
    <w:rPr>
      <w:rFonts w:eastAsiaTheme="majorEastAsia" w:cstheme="majorBidi"/>
      <w:color w:val="272727" w:themeColor="text1" w:themeTint="D8"/>
    </w:rPr>
  </w:style>
  <w:style w:type="paragraph" w:styleId="Title">
    <w:name w:val="Title"/>
    <w:basedOn w:val="Normal"/>
    <w:next w:val="Normal"/>
    <w:link w:val="TitleChar"/>
    <w:uiPriority w:val="10"/>
    <w:qFormat/>
    <w:rsid w:val="00C362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62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62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62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62C1"/>
    <w:pPr>
      <w:spacing w:before="160"/>
      <w:jc w:val="center"/>
    </w:pPr>
    <w:rPr>
      <w:i/>
      <w:iCs/>
      <w:color w:val="404040" w:themeColor="text1" w:themeTint="BF"/>
    </w:rPr>
  </w:style>
  <w:style w:type="character" w:customStyle="1" w:styleId="QuoteChar">
    <w:name w:val="Quote Char"/>
    <w:basedOn w:val="DefaultParagraphFont"/>
    <w:link w:val="Quote"/>
    <w:uiPriority w:val="29"/>
    <w:rsid w:val="00C362C1"/>
    <w:rPr>
      <w:i/>
      <w:iCs/>
      <w:color w:val="404040" w:themeColor="text1" w:themeTint="BF"/>
    </w:rPr>
  </w:style>
  <w:style w:type="paragraph" w:styleId="ListParagraph">
    <w:name w:val="List Paragraph"/>
    <w:basedOn w:val="Normal"/>
    <w:uiPriority w:val="34"/>
    <w:qFormat/>
    <w:rsid w:val="00C362C1"/>
    <w:pPr>
      <w:ind w:left="720"/>
      <w:contextualSpacing/>
    </w:pPr>
  </w:style>
  <w:style w:type="character" w:styleId="IntenseEmphasis">
    <w:name w:val="Intense Emphasis"/>
    <w:basedOn w:val="DefaultParagraphFont"/>
    <w:uiPriority w:val="21"/>
    <w:qFormat/>
    <w:rsid w:val="00C362C1"/>
    <w:rPr>
      <w:i/>
      <w:iCs/>
      <w:color w:val="0F4761" w:themeColor="accent1" w:themeShade="BF"/>
    </w:rPr>
  </w:style>
  <w:style w:type="paragraph" w:styleId="IntenseQuote">
    <w:name w:val="Intense Quote"/>
    <w:basedOn w:val="Normal"/>
    <w:next w:val="Normal"/>
    <w:link w:val="IntenseQuoteChar"/>
    <w:uiPriority w:val="30"/>
    <w:qFormat/>
    <w:rsid w:val="00C362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62C1"/>
    <w:rPr>
      <w:i/>
      <w:iCs/>
      <w:color w:val="0F4761" w:themeColor="accent1" w:themeShade="BF"/>
    </w:rPr>
  </w:style>
  <w:style w:type="character" w:styleId="IntenseReference">
    <w:name w:val="Intense Reference"/>
    <w:basedOn w:val="DefaultParagraphFont"/>
    <w:uiPriority w:val="32"/>
    <w:qFormat/>
    <w:rsid w:val="00C362C1"/>
    <w:rPr>
      <w:b/>
      <w:bCs/>
      <w:smallCaps/>
      <w:color w:val="0F4761" w:themeColor="accent1" w:themeShade="BF"/>
      <w:spacing w:val="5"/>
    </w:rPr>
  </w:style>
  <w:style w:type="table" w:styleId="TableGrid">
    <w:name w:val="Table Grid"/>
    <w:basedOn w:val="TableNormal"/>
    <w:uiPriority w:val="39"/>
    <w:rsid w:val="00C362C1"/>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1682</Words>
  <Characters>9588</Characters>
  <Application>Microsoft Office Word</Application>
  <DocSecurity>0</DocSecurity>
  <Lines>79</Lines>
  <Paragraphs>22</Paragraphs>
  <ScaleCrop>false</ScaleCrop>
  <Company/>
  <LinksUpToDate>false</LinksUpToDate>
  <CharactersWithSpaces>11248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Khan</dc:creator>
  <cp:keywords/>
  <dc:description/>
  <cp:lastModifiedBy>Misbah Khan</cp:lastModifiedBy>
  <cp:revision>1</cp:revision>
  <dcterms:created xsi:type="dcterms:W3CDTF">2026-02-20T20:12:00Z</dcterms:created>
  <dcterms:modified xsi:type="dcterms:W3CDTF">2026-02-20T20:12:00Z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332ed769-d89f-4e5c-b36a-38be9ad04a7a</vt:lpwstr>
  </property>
</Properties>
</file>