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323D62F">
      <w:pPr>
        <w:jc w:val="center"/>
        <w:rPr>
          <w:rFonts w:ascii="Times New Roman" w:hAnsi="Times New Roman" w:cs="Times New Roman"/>
          <w:b/>
          <w:bCs/>
          <w:sz w:val="28"/>
          <w:szCs w:val="32"/>
        </w:rPr>
      </w:pPr>
    </w:p>
    <w:p w14:paraId="396033D4">
      <w:pPr>
        <w:jc w:val="center"/>
        <w:rPr>
          <w:rFonts w:ascii="Times New Roman" w:hAnsi="Times New Roman" w:cs="Times New Roman"/>
          <w:b/>
          <w:bCs/>
          <w:sz w:val="28"/>
          <w:szCs w:val="32"/>
        </w:rPr>
      </w:pPr>
    </w:p>
    <w:p w14:paraId="3A4525E0">
      <w:pPr>
        <w:jc w:val="center"/>
        <w:rPr>
          <w:rFonts w:ascii="Times New Roman" w:hAnsi="Times New Roman" w:cs="Times New Roman"/>
          <w:b/>
          <w:bCs/>
          <w:sz w:val="28"/>
          <w:szCs w:val="32"/>
        </w:rPr>
      </w:pPr>
    </w:p>
    <w:p w14:paraId="46CDD762">
      <w:pPr>
        <w:jc w:val="center"/>
        <w:rPr>
          <w:rFonts w:ascii="Times New Roman" w:hAnsi="Times New Roman" w:cs="Times New Roman"/>
          <w:b/>
          <w:bCs/>
          <w:sz w:val="28"/>
          <w:szCs w:val="32"/>
        </w:rPr>
      </w:pPr>
    </w:p>
    <w:p w14:paraId="0559D75F">
      <w:pPr>
        <w:jc w:val="center"/>
        <w:rPr>
          <w:rFonts w:hint="default" w:ascii="Times New Roman" w:hAnsi="Times New Roman" w:cs="Times New Roman" w:eastAsiaTheme="minorEastAsia"/>
          <w:b/>
          <w:bCs/>
          <w:sz w:val="28"/>
          <w:szCs w:val="32"/>
          <w:lang w:val="en-US" w:eastAsia="zh-CN"/>
        </w:rPr>
      </w:pPr>
      <w:r>
        <w:rPr>
          <w:rFonts w:hint="eastAsia" w:ascii="Times New Roman" w:hAnsi="Times New Roman" w:cs="Times New Roman"/>
          <w:b/>
          <w:bCs/>
          <w:sz w:val="28"/>
          <w:szCs w:val="32"/>
          <w:lang w:val="en-US" w:eastAsia="zh-CN"/>
        </w:rPr>
        <w:t>Global ethic</w:t>
      </w:r>
    </w:p>
    <w:p w14:paraId="3332F4E1">
      <w:pPr>
        <w:spacing w:before="100" w:beforeAutospacing="1" w:after="100" w:afterAutospacing="1" w:line="360" w:lineRule="auto"/>
        <w:jc w:val="center"/>
        <w:rPr>
          <w:rFonts w:hint="default" w:ascii="Arial Regular" w:hAnsi="Arial Regular" w:cs="Arial Regular"/>
          <w:b/>
          <w:bCs/>
          <w:sz w:val="24"/>
          <w:szCs w:val="24"/>
        </w:rPr>
      </w:pPr>
      <w:r>
        <w:rPr>
          <w:rFonts w:hint="default" w:ascii="Arial Regular" w:hAnsi="Arial Regular" w:cs="Arial Regular"/>
          <w:b/>
          <w:bCs/>
          <w:sz w:val="24"/>
          <w:szCs w:val="24"/>
        </w:rPr>
        <w:t>Lecturer：ARPU KUMAR</w:t>
      </w:r>
    </w:p>
    <w:p w14:paraId="3AEA45B1">
      <w:pPr>
        <w:spacing w:before="100" w:beforeAutospacing="1" w:after="100" w:afterAutospacing="1" w:line="360" w:lineRule="auto"/>
        <w:jc w:val="center"/>
        <w:rPr>
          <w:rFonts w:hint="default" w:ascii="Arial Regular" w:hAnsi="Arial Regular" w:cs="Arial Regular" w:eastAsiaTheme="minorEastAsia"/>
          <w:b/>
          <w:bCs/>
          <w:sz w:val="24"/>
          <w:szCs w:val="24"/>
          <w:lang w:val="en-US" w:eastAsia="zh-CN"/>
        </w:rPr>
      </w:pPr>
      <w:r>
        <w:rPr>
          <w:rFonts w:hint="default" w:ascii="Arial Regular" w:hAnsi="Arial Regular" w:cs="Arial Regular"/>
          <w:b/>
          <w:bCs/>
          <w:sz w:val="24"/>
          <w:szCs w:val="24"/>
        </w:rPr>
        <w:t xml:space="preserve">Written by: </w:t>
      </w:r>
      <w:r>
        <w:rPr>
          <w:rFonts w:hint="default" w:ascii="Arial Regular" w:hAnsi="Arial Regular" w:cs="Arial Regular"/>
          <w:b/>
          <w:bCs/>
          <w:sz w:val="24"/>
          <w:szCs w:val="24"/>
          <w:lang w:val="en-US"/>
        </w:rPr>
        <w:t>S</w:t>
      </w:r>
      <w:r>
        <w:rPr>
          <w:rFonts w:hint="default" w:ascii="Arial Regular" w:hAnsi="Arial Regular" w:cs="Arial Regular"/>
          <w:b/>
          <w:bCs/>
          <w:sz w:val="24"/>
          <w:szCs w:val="24"/>
          <w:lang w:val="en-US" w:eastAsia="zh-CN"/>
        </w:rPr>
        <w:t>hangyu Wang</w:t>
      </w:r>
    </w:p>
    <w:p w14:paraId="488070EA">
      <w:pPr>
        <w:spacing w:before="100" w:beforeAutospacing="1" w:after="100" w:afterAutospacing="1" w:line="360" w:lineRule="auto"/>
        <w:jc w:val="center"/>
        <w:rPr>
          <w:rFonts w:hint="default" w:ascii="Arial Regular" w:hAnsi="Arial Regular" w:cs="Arial Regular" w:eastAsiaTheme="minorEastAsia"/>
          <w:b/>
          <w:bCs/>
          <w:sz w:val="24"/>
          <w:szCs w:val="24"/>
          <w:lang w:val="en-US" w:eastAsia="zh-CN"/>
        </w:rPr>
      </w:pPr>
      <w:r>
        <w:rPr>
          <w:rFonts w:hint="default" w:ascii="Arial Regular" w:hAnsi="Arial Regular" w:cs="Arial Regular"/>
          <w:b/>
          <w:bCs/>
          <w:sz w:val="24"/>
          <w:szCs w:val="24"/>
        </w:rPr>
        <w:t xml:space="preserve">Student ID: </w:t>
      </w:r>
      <w:r>
        <w:rPr>
          <w:rFonts w:hint="default" w:ascii="Arial Regular" w:hAnsi="Arial Regular" w:cs="Arial Regular"/>
          <w:b/>
          <w:bCs/>
          <w:sz w:val="24"/>
          <w:szCs w:val="24"/>
          <w:lang w:val="en-US" w:eastAsia="zh-CN"/>
        </w:rPr>
        <w:t>2406059</w:t>
      </w:r>
    </w:p>
    <w:p w14:paraId="2699AF2D">
      <w:pPr>
        <w:jc w:val="center"/>
        <w:rPr>
          <w:rFonts w:ascii="Times New Roman" w:hAnsi="Times New Roman" w:cs="Times New Roman"/>
          <w:b/>
          <w:bCs/>
          <w:sz w:val="28"/>
          <w:szCs w:val="32"/>
        </w:rPr>
      </w:pPr>
    </w:p>
    <w:p w14:paraId="590E8161">
      <w:pPr>
        <w:jc w:val="center"/>
        <w:rPr>
          <w:rFonts w:ascii="Times New Roman" w:hAnsi="Times New Roman" w:cs="Times New Roman"/>
          <w:b/>
          <w:bCs/>
          <w:sz w:val="28"/>
          <w:szCs w:val="32"/>
        </w:rPr>
      </w:pPr>
    </w:p>
    <w:p w14:paraId="1F9B14E7">
      <w:pPr>
        <w:jc w:val="both"/>
        <w:rPr>
          <w:rFonts w:hint="default" w:ascii="Arial Regular" w:hAnsi="Arial Regular" w:cs="Arial Regular"/>
          <w:b/>
          <w:bCs/>
          <w:sz w:val="24"/>
          <w:szCs w:val="24"/>
        </w:rPr>
      </w:pPr>
    </w:p>
    <w:p w14:paraId="3B941878">
      <w:pPr>
        <w:jc w:val="center"/>
        <w:rPr>
          <w:rFonts w:hint="default" w:ascii="Arial Regular" w:hAnsi="Arial Regular" w:cs="Arial Regular"/>
          <w:b/>
          <w:bCs/>
          <w:sz w:val="24"/>
          <w:szCs w:val="24"/>
        </w:rPr>
      </w:pPr>
    </w:p>
    <w:p w14:paraId="09E868C3">
      <w:pPr>
        <w:jc w:val="center"/>
        <w:rPr>
          <w:rFonts w:hint="default" w:ascii="Arial Regular" w:hAnsi="Arial Regular" w:cs="Arial Regular"/>
          <w:b/>
          <w:bCs/>
          <w:sz w:val="24"/>
          <w:szCs w:val="24"/>
        </w:rPr>
        <w:sectPr>
          <w:pgSz w:w="11906" w:h="16838"/>
          <w:pgMar w:top="1440" w:right="1800" w:bottom="1440" w:left="1800" w:header="851" w:footer="992" w:gutter="0"/>
          <w:cols w:space="425" w:num="1"/>
          <w:docGrid w:type="lines" w:linePitch="312" w:charSpace="0"/>
        </w:sectPr>
      </w:pPr>
    </w:p>
    <w:p w14:paraId="1627E171">
      <w:pPr>
        <w:jc w:val="center"/>
        <w:rPr>
          <w:rFonts w:hint="default" w:ascii="Arial Regular" w:hAnsi="Arial Regular" w:cs="Arial Regular"/>
          <w:b/>
          <w:bCs/>
          <w:sz w:val="24"/>
          <w:szCs w:val="24"/>
        </w:rPr>
      </w:pPr>
      <w:r>
        <w:rPr>
          <w:rFonts w:hint="default" w:ascii="Arial Regular" w:hAnsi="Arial Regular" w:cs="Arial Regular"/>
          <w:b/>
          <w:bCs/>
          <w:sz w:val="24"/>
          <w:szCs w:val="24"/>
        </w:rPr>
        <w:t>Executive summary</w:t>
      </w:r>
    </w:p>
    <w:p w14:paraId="47F38518">
      <w:pPr>
        <w:ind w:firstLine="480" w:firstLineChars="200"/>
        <w:rPr>
          <w:rFonts w:hint="default" w:ascii="Arial Regular" w:hAnsi="Arial Regular" w:cs="Arial Regular"/>
          <w:sz w:val="24"/>
          <w:szCs w:val="24"/>
        </w:rPr>
      </w:pPr>
      <w:r>
        <w:rPr>
          <w:rFonts w:hint="default" w:ascii="Arial Regular" w:hAnsi="Arial Regular" w:cs="Arial Regular"/>
          <w:sz w:val="24"/>
          <w:szCs w:val="24"/>
        </w:rPr>
        <w:t>Aiming at the phenomenon that brand identity is affected by cultural differences under the background of globalization, this study deeply discusses the influence mechanism of different cultural consumer groups on brand identity. Through the combination of theoretical analysis and case studies, this paper reveals how cultural differences shape consumers' cognition, emotion and behavioral intention towards brands, and then influence the formation of brand identity. The results show that brands must fully consider cultural differences in global marketing and formulate localization strategies to establish deep connections with different cultural consumer groups. This study aims to provide targeted marketing strategy guidance for global brands, help brands better understand and adapt to the multicultural market, and thus enhance brand competitiveness and market influence.</w:t>
      </w:r>
    </w:p>
    <w:p w14:paraId="73FFAB66">
      <w:pPr>
        <w:ind w:firstLine="480" w:firstLineChars="200"/>
        <w:rPr>
          <w:rFonts w:hint="default" w:ascii="Arial Regular" w:hAnsi="Arial Regular" w:cs="Arial Regular"/>
          <w:sz w:val="24"/>
          <w:szCs w:val="24"/>
        </w:rPr>
      </w:pPr>
    </w:p>
    <w:p w14:paraId="523D14F8">
      <w:pPr>
        <w:ind w:firstLine="480" w:firstLineChars="200"/>
        <w:rPr>
          <w:rFonts w:hint="default" w:ascii="Arial Regular" w:hAnsi="Arial Regular" w:cs="Arial Regular"/>
          <w:sz w:val="24"/>
          <w:szCs w:val="24"/>
        </w:rPr>
        <w:sectPr>
          <w:pgSz w:w="11906" w:h="16838"/>
          <w:pgMar w:top="1440" w:right="1800" w:bottom="1440" w:left="1800" w:header="851" w:footer="992" w:gutter="0"/>
          <w:cols w:space="425" w:num="1"/>
          <w:docGrid w:type="lines" w:linePitch="312" w:charSpace="0"/>
        </w:sectPr>
      </w:pPr>
    </w:p>
    <w:p w14:paraId="53DE4640">
      <w:pPr>
        <w:rPr>
          <w:rFonts w:hint="default" w:ascii="Arial Regular" w:hAnsi="Arial Regular" w:cs="Arial Regular"/>
          <w:b/>
          <w:bCs/>
          <w:sz w:val="24"/>
          <w:szCs w:val="24"/>
        </w:rPr>
      </w:pPr>
    </w:p>
    <w:p w14:paraId="7F252F48">
      <w:pPr>
        <w:rPr>
          <w:rFonts w:hint="default" w:ascii="Arial Regular" w:hAnsi="Arial Regular" w:cs="Arial Regular"/>
          <w:b/>
          <w:bCs/>
          <w:sz w:val="24"/>
          <w:szCs w:val="24"/>
        </w:rPr>
      </w:pPr>
    </w:p>
    <w:p w14:paraId="7F10F566">
      <w:pPr>
        <w:rPr>
          <w:rFonts w:hint="default" w:ascii="Arial Regular" w:hAnsi="Arial Regular" w:cs="Arial Regular"/>
          <w:b/>
          <w:bCs/>
          <w:sz w:val="24"/>
          <w:szCs w:val="24"/>
        </w:rPr>
      </w:pPr>
    </w:p>
    <w:sdt>
      <w:sdtPr>
        <w:rPr>
          <w:lang w:val="zh-CN"/>
        </w:rPr>
        <w:id w:val="782741229"/>
        <w:docPartObj>
          <w:docPartGallery w:val="Table of Contents"/>
          <w:docPartUnique/>
        </w:docPartObj>
      </w:sdtPr>
      <w:sdtEndPr>
        <w:rPr>
          <w:rFonts w:asciiTheme="minorHAnsi" w:hAnsiTheme="minorHAnsi" w:eastAsiaTheme="minorEastAsia" w:cstheme="minorBidi"/>
          <w:b/>
          <w:bCs/>
          <w:color w:val="auto"/>
          <w:kern w:val="2"/>
          <w:sz w:val="21"/>
          <w:szCs w:val="22"/>
          <w:lang w:val="zh-CN"/>
        </w:rPr>
      </w:sdtEndPr>
      <w:sdtContent>
        <w:p w14:paraId="083B1228">
          <w:pPr>
            <w:pStyle w:val="10"/>
            <w:jc w:val="center"/>
            <w:rPr>
              <w:rFonts w:ascii="Times New Roman" w:hAnsi="Times New Roman" w:cs="Times New Roman"/>
              <w:color w:val="auto"/>
            </w:rPr>
          </w:pPr>
          <w:r>
            <w:rPr>
              <w:rFonts w:ascii="Times New Roman" w:hAnsi="Times New Roman" w:cs="Times New Roman"/>
              <w:color w:val="auto"/>
              <w:lang w:val="zh-CN"/>
            </w:rPr>
            <w:t>Table of Content</w:t>
          </w:r>
        </w:p>
        <w:p w14:paraId="778EFD16">
          <w:pPr>
            <w:pStyle w:val="3"/>
            <w:rPr>
              <w:rFonts w:hint="eastAsia"/>
            </w:rPr>
          </w:pPr>
          <w:r>
            <w:fldChar w:fldCharType="begin"/>
          </w:r>
          <w:r>
            <w:instrText xml:space="preserve"> TOC \o "1-3" \h \z \u </w:instrText>
          </w:r>
          <w:r>
            <w:rPr>
              <w:rFonts w:hint="eastAsia"/>
            </w:rPr>
            <w:fldChar w:fldCharType="separate"/>
          </w:r>
          <w:r>
            <w:fldChar w:fldCharType="begin"/>
          </w:r>
          <w:r>
            <w:instrText xml:space="preserve"> HYPERLINK \l "_Toc187438958" </w:instrText>
          </w:r>
          <w:r>
            <w:fldChar w:fldCharType="separate"/>
          </w:r>
          <w:r>
            <w:rPr>
              <w:rStyle w:val="8"/>
              <w:rFonts w:hint="eastAsia"/>
            </w:rPr>
            <w:t>1. Introduction</w:t>
          </w:r>
          <w:r>
            <w:rPr>
              <w:rFonts w:hint="eastAsia"/>
            </w:rPr>
            <w:tab/>
          </w:r>
          <w:r>
            <w:rPr>
              <w:rFonts w:hint="eastAsia"/>
            </w:rPr>
            <w:fldChar w:fldCharType="begin"/>
          </w:r>
          <w:r>
            <w:rPr>
              <w:rFonts w:hint="eastAsia"/>
            </w:rPr>
            <w:instrText xml:space="preserve"> </w:instrText>
          </w:r>
          <w:r>
            <w:instrText xml:space="preserve">PAGEREF _Toc187438958 \h</w:instrText>
          </w:r>
          <w:r>
            <w:rPr>
              <w:rFonts w:hint="eastAsia"/>
            </w:rPr>
            <w:instrText xml:space="preserve"> </w:instrText>
          </w:r>
          <w:r>
            <w:rPr>
              <w:rFonts w:hint="eastAsia"/>
            </w:rPr>
            <w:fldChar w:fldCharType="separate"/>
          </w:r>
          <w:r>
            <w:rPr>
              <w:rFonts w:hint="eastAsia"/>
            </w:rPr>
            <w:t>4</w:t>
          </w:r>
          <w:r>
            <w:rPr>
              <w:rFonts w:hint="eastAsia"/>
            </w:rPr>
            <w:fldChar w:fldCharType="end"/>
          </w:r>
          <w:r>
            <w:rPr>
              <w:rFonts w:hint="eastAsia"/>
            </w:rPr>
            <w:fldChar w:fldCharType="end"/>
          </w:r>
        </w:p>
        <w:p w14:paraId="439026CF">
          <w:pPr>
            <w:pStyle w:val="3"/>
            <w:rPr>
              <w:rFonts w:hint="eastAsia"/>
            </w:rPr>
          </w:pPr>
          <w:r>
            <w:fldChar w:fldCharType="begin"/>
          </w:r>
          <w:r>
            <w:instrText xml:space="preserve"> HYPERLINK \l "_Toc187438959" </w:instrText>
          </w:r>
          <w:r>
            <w:fldChar w:fldCharType="separate"/>
          </w:r>
          <w:r>
            <w:rPr>
              <w:rStyle w:val="8"/>
              <w:rFonts w:hint="eastAsia"/>
              <w:szCs w:val="24"/>
            </w:rPr>
            <w:t>2. Case study</w:t>
          </w:r>
          <w:r>
            <w:rPr>
              <w:rFonts w:hint="eastAsia"/>
            </w:rPr>
            <w:tab/>
          </w:r>
          <w:r>
            <w:rPr>
              <w:rFonts w:hint="eastAsia"/>
            </w:rPr>
            <w:fldChar w:fldCharType="begin"/>
          </w:r>
          <w:r>
            <w:rPr>
              <w:rFonts w:hint="eastAsia"/>
            </w:rPr>
            <w:instrText xml:space="preserve"> </w:instrText>
          </w:r>
          <w:r>
            <w:instrText xml:space="preserve">PAGEREF _Toc187438959 \h</w:instrText>
          </w:r>
          <w:r>
            <w:rPr>
              <w:rFonts w:hint="eastAsia"/>
            </w:rPr>
            <w:instrText xml:space="preserve"> </w:instrText>
          </w:r>
          <w:r>
            <w:rPr>
              <w:rFonts w:hint="eastAsia"/>
            </w:rPr>
            <w:fldChar w:fldCharType="separate"/>
          </w:r>
          <w:r>
            <w:rPr>
              <w:rFonts w:hint="eastAsia"/>
            </w:rPr>
            <w:t>5</w:t>
          </w:r>
          <w:r>
            <w:rPr>
              <w:rFonts w:hint="eastAsia"/>
            </w:rPr>
            <w:fldChar w:fldCharType="end"/>
          </w:r>
          <w:r>
            <w:rPr>
              <w:rFonts w:hint="eastAsia"/>
            </w:rPr>
            <w:fldChar w:fldCharType="end"/>
          </w:r>
        </w:p>
        <w:p w14:paraId="0C2DA9BF">
          <w:pPr>
            <w:pStyle w:val="4"/>
            <w:tabs>
              <w:tab w:val="right" w:leader="dot" w:pos="8296"/>
            </w:tabs>
            <w:rPr>
              <w:rFonts w:hint="eastAsia"/>
              <w:sz w:val="24"/>
              <w:szCs w:val="24"/>
            </w:rPr>
          </w:pPr>
          <w:r>
            <w:fldChar w:fldCharType="begin"/>
          </w:r>
          <w:r>
            <w:instrText xml:space="preserve"> HYPERLINK \l "_Toc187438960" </w:instrText>
          </w:r>
          <w:r>
            <w:fldChar w:fldCharType="separate"/>
          </w:r>
          <w:r>
            <w:rPr>
              <w:rStyle w:val="8"/>
              <w:rFonts w:hint="eastAsia" w:ascii="Times New Roman" w:hAnsi="Times New Roman" w:cs="Times New Roman"/>
              <w:sz w:val="24"/>
              <w:szCs w:val="24"/>
            </w:rPr>
            <w:t>2.1 The globalization background of Coca-Cola</w:t>
          </w:r>
          <w:r>
            <w:rPr>
              <w:rFonts w:hint="eastAsia"/>
              <w:sz w:val="24"/>
              <w:szCs w:val="24"/>
            </w:rPr>
            <w:tab/>
          </w:r>
          <w:r>
            <w:rPr>
              <w:rFonts w:hint="eastAsia"/>
              <w:sz w:val="24"/>
              <w:szCs w:val="24"/>
            </w:rPr>
            <w:fldChar w:fldCharType="begin"/>
          </w:r>
          <w:r>
            <w:rPr>
              <w:rFonts w:hint="eastAsia"/>
              <w:sz w:val="24"/>
              <w:szCs w:val="24"/>
            </w:rPr>
            <w:instrText xml:space="preserve"> </w:instrText>
          </w:r>
          <w:r>
            <w:rPr>
              <w:sz w:val="24"/>
              <w:szCs w:val="24"/>
            </w:rPr>
            <w:instrText xml:space="preserve">PAGEREF _Toc187438960 \h</w:instrText>
          </w:r>
          <w:r>
            <w:rPr>
              <w:rFonts w:hint="eastAsia"/>
              <w:sz w:val="24"/>
              <w:szCs w:val="24"/>
            </w:rPr>
            <w:instrText xml:space="preserve"> </w:instrText>
          </w:r>
          <w:r>
            <w:rPr>
              <w:rFonts w:hint="eastAsia"/>
              <w:sz w:val="24"/>
              <w:szCs w:val="24"/>
            </w:rPr>
            <w:fldChar w:fldCharType="separate"/>
          </w:r>
          <w:r>
            <w:rPr>
              <w:rFonts w:hint="eastAsia"/>
              <w:sz w:val="24"/>
              <w:szCs w:val="24"/>
            </w:rPr>
            <w:t>5</w:t>
          </w:r>
          <w:r>
            <w:rPr>
              <w:rFonts w:hint="eastAsia"/>
              <w:sz w:val="24"/>
              <w:szCs w:val="24"/>
            </w:rPr>
            <w:fldChar w:fldCharType="end"/>
          </w:r>
          <w:r>
            <w:rPr>
              <w:rFonts w:hint="eastAsia"/>
              <w:sz w:val="24"/>
              <w:szCs w:val="24"/>
            </w:rPr>
            <w:fldChar w:fldCharType="end"/>
          </w:r>
        </w:p>
        <w:p w14:paraId="4ED5AFFF">
          <w:pPr>
            <w:pStyle w:val="4"/>
            <w:tabs>
              <w:tab w:val="right" w:leader="dot" w:pos="8296"/>
            </w:tabs>
            <w:rPr>
              <w:rFonts w:hint="eastAsia"/>
              <w:sz w:val="24"/>
              <w:szCs w:val="24"/>
            </w:rPr>
          </w:pPr>
          <w:r>
            <w:fldChar w:fldCharType="begin"/>
          </w:r>
          <w:r>
            <w:instrText xml:space="preserve"> HYPERLINK \l "_Toc187438961" </w:instrText>
          </w:r>
          <w:r>
            <w:fldChar w:fldCharType="separate"/>
          </w:r>
          <w:r>
            <w:rPr>
              <w:rStyle w:val="8"/>
              <w:rFonts w:hint="eastAsia" w:ascii="Times New Roman" w:hAnsi="Times New Roman" w:cs="Times New Roman"/>
              <w:sz w:val="24"/>
              <w:szCs w:val="24"/>
            </w:rPr>
            <w:t>2.2 How does Coca-Cola deal with cultural differences?</w:t>
          </w:r>
          <w:r>
            <w:rPr>
              <w:rFonts w:hint="eastAsia"/>
              <w:sz w:val="24"/>
              <w:szCs w:val="24"/>
            </w:rPr>
            <w:tab/>
          </w:r>
          <w:r>
            <w:rPr>
              <w:rFonts w:hint="eastAsia"/>
              <w:sz w:val="24"/>
              <w:szCs w:val="24"/>
            </w:rPr>
            <w:fldChar w:fldCharType="begin"/>
          </w:r>
          <w:r>
            <w:rPr>
              <w:rFonts w:hint="eastAsia"/>
              <w:sz w:val="24"/>
              <w:szCs w:val="24"/>
            </w:rPr>
            <w:instrText xml:space="preserve"> </w:instrText>
          </w:r>
          <w:r>
            <w:rPr>
              <w:sz w:val="24"/>
              <w:szCs w:val="24"/>
            </w:rPr>
            <w:instrText xml:space="preserve">PAGEREF _Toc187438961 \h</w:instrText>
          </w:r>
          <w:r>
            <w:rPr>
              <w:rFonts w:hint="eastAsia"/>
              <w:sz w:val="24"/>
              <w:szCs w:val="24"/>
            </w:rPr>
            <w:instrText xml:space="preserve"> </w:instrText>
          </w:r>
          <w:r>
            <w:rPr>
              <w:rFonts w:hint="eastAsia"/>
              <w:sz w:val="24"/>
              <w:szCs w:val="24"/>
            </w:rPr>
            <w:fldChar w:fldCharType="separate"/>
          </w:r>
          <w:r>
            <w:rPr>
              <w:rFonts w:hint="eastAsia"/>
              <w:sz w:val="24"/>
              <w:szCs w:val="24"/>
            </w:rPr>
            <w:t>5</w:t>
          </w:r>
          <w:r>
            <w:rPr>
              <w:rFonts w:hint="eastAsia"/>
              <w:sz w:val="24"/>
              <w:szCs w:val="24"/>
            </w:rPr>
            <w:fldChar w:fldCharType="end"/>
          </w:r>
          <w:r>
            <w:rPr>
              <w:rFonts w:hint="eastAsia"/>
              <w:sz w:val="24"/>
              <w:szCs w:val="24"/>
            </w:rPr>
            <w:fldChar w:fldCharType="end"/>
          </w:r>
        </w:p>
        <w:p w14:paraId="76CD9888">
          <w:pPr>
            <w:pStyle w:val="3"/>
            <w:rPr>
              <w:rFonts w:hint="eastAsia"/>
            </w:rPr>
          </w:pPr>
          <w:r>
            <w:fldChar w:fldCharType="begin"/>
          </w:r>
          <w:r>
            <w:instrText xml:space="preserve"> HYPERLINK \l "_Toc187438962" </w:instrText>
          </w:r>
          <w:r>
            <w:fldChar w:fldCharType="separate"/>
          </w:r>
          <w:r>
            <w:rPr>
              <w:rStyle w:val="8"/>
              <w:rFonts w:hint="eastAsia"/>
              <w:szCs w:val="24"/>
            </w:rPr>
            <w:t>3. Theoretical analysis</w:t>
          </w:r>
          <w:r>
            <w:rPr>
              <w:rFonts w:hint="eastAsia"/>
            </w:rPr>
            <w:tab/>
          </w:r>
          <w:r>
            <w:rPr>
              <w:rFonts w:hint="eastAsia"/>
            </w:rPr>
            <w:fldChar w:fldCharType="begin"/>
          </w:r>
          <w:r>
            <w:rPr>
              <w:rFonts w:hint="eastAsia"/>
            </w:rPr>
            <w:instrText xml:space="preserve"> </w:instrText>
          </w:r>
          <w:r>
            <w:instrText xml:space="preserve">PAGEREF _Toc187438962 \h</w:instrText>
          </w:r>
          <w:r>
            <w:rPr>
              <w:rFonts w:hint="eastAsia"/>
            </w:rPr>
            <w:instrText xml:space="preserve"> </w:instrText>
          </w:r>
          <w:r>
            <w:rPr>
              <w:rFonts w:hint="eastAsia"/>
            </w:rPr>
            <w:fldChar w:fldCharType="separate"/>
          </w:r>
          <w:r>
            <w:rPr>
              <w:rFonts w:hint="eastAsia"/>
            </w:rPr>
            <w:t>7</w:t>
          </w:r>
          <w:r>
            <w:rPr>
              <w:rFonts w:hint="eastAsia"/>
            </w:rPr>
            <w:fldChar w:fldCharType="end"/>
          </w:r>
          <w:r>
            <w:rPr>
              <w:rFonts w:hint="eastAsia"/>
            </w:rPr>
            <w:fldChar w:fldCharType="end"/>
          </w:r>
        </w:p>
        <w:p w14:paraId="4861A3E0">
          <w:pPr>
            <w:pStyle w:val="4"/>
            <w:tabs>
              <w:tab w:val="right" w:leader="dot" w:pos="8296"/>
            </w:tabs>
            <w:rPr>
              <w:rFonts w:hint="eastAsia"/>
              <w:sz w:val="24"/>
              <w:szCs w:val="24"/>
            </w:rPr>
          </w:pPr>
          <w:r>
            <w:fldChar w:fldCharType="begin"/>
          </w:r>
          <w:r>
            <w:instrText xml:space="preserve"> HYPERLINK \l "_Toc187438963" </w:instrText>
          </w:r>
          <w:r>
            <w:fldChar w:fldCharType="separate"/>
          </w:r>
          <w:r>
            <w:rPr>
              <w:rStyle w:val="8"/>
              <w:rFonts w:hint="eastAsia" w:ascii="Times New Roman" w:hAnsi="Times New Roman" w:cs="Times New Roman"/>
              <w:sz w:val="24"/>
              <w:szCs w:val="24"/>
            </w:rPr>
            <w:t>3.1 Cultural difference theory</w:t>
          </w:r>
          <w:r>
            <w:rPr>
              <w:rFonts w:hint="eastAsia"/>
              <w:sz w:val="24"/>
              <w:szCs w:val="24"/>
            </w:rPr>
            <w:tab/>
          </w:r>
          <w:r>
            <w:rPr>
              <w:rFonts w:hint="eastAsia"/>
              <w:sz w:val="24"/>
              <w:szCs w:val="24"/>
            </w:rPr>
            <w:fldChar w:fldCharType="begin"/>
          </w:r>
          <w:r>
            <w:rPr>
              <w:rFonts w:hint="eastAsia"/>
              <w:sz w:val="24"/>
              <w:szCs w:val="24"/>
            </w:rPr>
            <w:instrText xml:space="preserve"> </w:instrText>
          </w:r>
          <w:r>
            <w:rPr>
              <w:sz w:val="24"/>
              <w:szCs w:val="24"/>
            </w:rPr>
            <w:instrText xml:space="preserve">PAGEREF _Toc187438963 \h</w:instrText>
          </w:r>
          <w:r>
            <w:rPr>
              <w:rFonts w:hint="eastAsia"/>
              <w:sz w:val="24"/>
              <w:szCs w:val="24"/>
            </w:rPr>
            <w:instrText xml:space="preserve"> </w:instrText>
          </w:r>
          <w:r>
            <w:rPr>
              <w:rFonts w:hint="eastAsia"/>
              <w:sz w:val="24"/>
              <w:szCs w:val="24"/>
            </w:rPr>
            <w:fldChar w:fldCharType="separate"/>
          </w:r>
          <w:r>
            <w:rPr>
              <w:rFonts w:hint="eastAsia"/>
              <w:sz w:val="24"/>
              <w:szCs w:val="24"/>
            </w:rPr>
            <w:t>7</w:t>
          </w:r>
          <w:r>
            <w:rPr>
              <w:rFonts w:hint="eastAsia"/>
              <w:sz w:val="24"/>
              <w:szCs w:val="24"/>
            </w:rPr>
            <w:fldChar w:fldCharType="end"/>
          </w:r>
          <w:r>
            <w:rPr>
              <w:rFonts w:hint="eastAsia"/>
              <w:sz w:val="24"/>
              <w:szCs w:val="24"/>
            </w:rPr>
            <w:fldChar w:fldCharType="end"/>
          </w:r>
        </w:p>
        <w:p w14:paraId="64D895A0">
          <w:pPr>
            <w:pStyle w:val="4"/>
            <w:tabs>
              <w:tab w:val="right" w:leader="dot" w:pos="8296"/>
            </w:tabs>
            <w:rPr>
              <w:rFonts w:hint="eastAsia"/>
              <w:sz w:val="24"/>
              <w:szCs w:val="24"/>
            </w:rPr>
          </w:pPr>
          <w:r>
            <w:fldChar w:fldCharType="begin"/>
          </w:r>
          <w:r>
            <w:instrText xml:space="preserve"> HYPERLINK \l "_Toc187438964" </w:instrText>
          </w:r>
          <w:r>
            <w:fldChar w:fldCharType="separate"/>
          </w:r>
          <w:r>
            <w:rPr>
              <w:rStyle w:val="8"/>
              <w:rFonts w:hint="eastAsia" w:ascii="Times New Roman" w:hAnsi="Times New Roman" w:cs="Times New Roman"/>
              <w:sz w:val="24"/>
              <w:szCs w:val="24"/>
            </w:rPr>
            <w:t>3.2 Influence of cultural differences</w:t>
          </w:r>
          <w:r>
            <w:rPr>
              <w:rFonts w:hint="eastAsia"/>
              <w:sz w:val="24"/>
              <w:szCs w:val="24"/>
            </w:rPr>
            <w:tab/>
          </w:r>
          <w:r>
            <w:rPr>
              <w:rFonts w:hint="eastAsia"/>
              <w:sz w:val="24"/>
              <w:szCs w:val="24"/>
            </w:rPr>
            <w:fldChar w:fldCharType="begin"/>
          </w:r>
          <w:r>
            <w:rPr>
              <w:rFonts w:hint="eastAsia"/>
              <w:sz w:val="24"/>
              <w:szCs w:val="24"/>
            </w:rPr>
            <w:instrText xml:space="preserve"> </w:instrText>
          </w:r>
          <w:r>
            <w:rPr>
              <w:sz w:val="24"/>
              <w:szCs w:val="24"/>
            </w:rPr>
            <w:instrText xml:space="preserve">PAGEREF _Toc187438964 \h</w:instrText>
          </w:r>
          <w:r>
            <w:rPr>
              <w:rFonts w:hint="eastAsia"/>
              <w:sz w:val="24"/>
              <w:szCs w:val="24"/>
            </w:rPr>
            <w:instrText xml:space="preserve"> </w:instrText>
          </w:r>
          <w:r>
            <w:rPr>
              <w:rFonts w:hint="eastAsia"/>
              <w:sz w:val="24"/>
              <w:szCs w:val="24"/>
            </w:rPr>
            <w:fldChar w:fldCharType="separate"/>
          </w:r>
          <w:r>
            <w:rPr>
              <w:rFonts w:hint="eastAsia"/>
              <w:sz w:val="24"/>
              <w:szCs w:val="24"/>
            </w:rPr>
            <w:t>9</w:t>
          </w:r>
          <w:r>
            <w:rPr>
              <w:rFonts w:hint="eastAsia"/>
              <w:sz w:val="24"/>
              <w:szCs w:val="24"/>
            </w:rPr>
            <w:fldChar w:fldCharType="end"/>
          </w:r>
          <w:r>
            <w:rPr>
              <w:rFonts w:hint="eastAsia"/>
              <w:sz w:val="24"/>
              <w:szCs w:val="24"/>
            </w:rPr>
            <w:fldChar w:fldCharType="end"/>
          </w:r>
        </w:p>
        <w:p w14:paraId="63F0FF61">
          <w:pPr>
            <w:pStyle w:val="4"/>
            <w:tabs>
              <w:tab w:val="right" w:leader="dot" w:pos="8296"/>
            </w:tabs>
            <w:rPr>
              <w:rFonts w:hint="eastAsia"/>
              <w:sz w:val="24"/>
              <w:szCs w:val="24"/>
            </w:rPr>
          </w:pPr>
          <w:r>
            <w:fldChar w:fldCharType="begin"/>
          </w:r>
          <w:r>
            <w:instrText xml:space="preserve"> HYPERLINK \l "_Toc187438965" </w:instrText>
          </w:r>
          <w:r>
            <w:fldChar w:fldCharType="separate"/>
          </w:r>
          <w:r>
            <w:rPr>
              <w:rStyle w:val="8"/>
              <w:rFonts w:hint="eastAsia" w:ascii="Times New Roman" w:hAnsi="Times New Roman" w:cs="Times New Roman"/>
              <w:sz w:val="24"/>
              <w:szCs w:val="24"/>
            </w:rPr>
            <w:t>3.3 Consumption differences in different cultures</w:t>
          </w:r>
          <w:r>
            <w:rPr>
              <w:rFonts w:hint="eastAsia"/>
              <w:sz w:val="24"/>
              <w:szCs w:val="24"/>
            </w:rPr>
            <w:tab/>
          </w:r>
          <w:r>
            <w:rPr>
              <w:rFonts w:hint="eastAsia"/>
              <w:sz w:val="24"/>
              <w:szCs w:val="24"/>
            </w:rPr>
            <w:fldChar w:fldCharType="begin"/>
          </w:r>
          <w:r>
            <w:rPr>
              <w:rFonts w:hint="eastAsia"/>
              <w:sz w:val="24"/>
              <w:szCs w:val="24"/>
            </w:rPr>
            <w:instrText xml:space="preserve"> </w:instrText>
          </w:r>
          <w:r>
            <w:rPr>
              <w:sz w:val="24"/>
              <w:szCs w:val="24"/>
            </w:rPr>
            <w:instrText xml:space="preserve">PAGEREF _Toc187438965 \h</w:instrText>
          </w:r>
          <w:r>
            <w:rPr>
              <w:rFonts w:hint="eastAsia"/>
              <w:sz w:val="24"/>
              <w:szCs w:val="24"/>
            </w:rPr>
            <w:instrText xml:space="preserve"> </w:instrText>
          </w:r>
          <w:r>
            <w:rPr>
              <w:rFonts w:hint="eastAsia"/>
              <w:sz w:val="24"/>
              <w:szCs w:val="24"/>
            </w:rPr>
            <w:fldChar w:fldCharType="separate"/>
          </w:r>
          <w:r>
            <w:rPr>
              <w:rFonts w:hint="eastAsia"/>
              <w:sz w:val="24"/>
              <w:szCs w:val="24"/>
            </w:rPr>
            <w:t>11</w:t>
          </w:r>
          <w:r>
            <w:rPr>
              <w:rFonts w:hint="eastAsia"/>
              <w:sz w:val="24"/>
              <w:szCs w:val="24"/>
            </w:rPr>
            <w:fldChar w:fldCharType="end"/>
          </w:r>
          <w:r>
            <w:rPr>
              <w:rFonts w:hint="eastAsia"/>
              <w:sz w:val="24"/>
              <w:szCs w:val="24"/>
            </w:rPr>
            <w:fldChar w:fldCharType="end"/>
          </w:r>
        </w:p>
        <w:p w14:paraId="2F82076D">
          <w:pPr>
            <w:pStyle w:val="3"/>
            <w:rPr>
              <w:rFonts w:hint="eastAsia"/>
            </w:rPr>
          </w:pPr>
          <w:r>
            <w:fldChar w:fldCharType="begin"/>
          </w:r>
          <w:r>
            <w:instrText xml:space="preserve"> HYPERLINK \l "_Toc187438966" </w:instrText>
          </w:r>
          <w:r>
            <w:fldChar w:fldCharType="separate"/>
          </w:r>
          <w:r>
            <w:rPr>
              <w:rStyle w:val="8"/>
              <w:rFonts w:hint="eastAsia"/>
              <w:szCs w:val="24"/>
            </w:rPr>
            <w:t>4.</w:t>
          </w:r>
          <w:r>
            <w:rPr>
              <w:rStyle w:val="8"/>
              <w:rFonts w:hint="eastAsia" w:ascii="微软雅黑" w:hAnsi="微软雅黑" w:eastAsia="微软雅黑"/>
              <w:szCs w:val="24"/>
              <w:shd w:val="clear" w:color="auto" w:fill="FFFFFF"/>
            </w:rPr>
            <w:t xml:space="preserve"> </w:t>
          </w:r>
          <w:r>
            <w:rPr>
              <w:rStyle w:val="8"/>
              <w:rFonts w:hint="eastAsia"/>
              <w:szCs w:val="24"/>
            </w:rPr>
            <w:t>Recommendations</w:t>
          </w:r>
          <w:r>
            <w:rPr>
              <w:rFonts w:hint="eastAsia"/>
            </w:rPr>
            <w:tab/>
          </w:r>
          <w:r>
            <w:rPr>
              <w:rFonts w:hint="eastAsia"/>
            </w:rPr>
            <w:fldChar w:fldCharType="begin"/>
          </w:r>
          <w:r>
            <w:rPr>
              <w:rFonts w:hint="eastAsia"/>
            </w:rPr>
            <w:instrText xml:space="preserve"> </w:instrText>
          </w:r>
          <w:r>
            <w:instrText xml:space="preserve">PAGEREF _Toc187438966 \h</w:instrText>
          </w:r>
          <w:r>
            <w:rPr>
              <w:rFonts w:hint="eastAsia"/>
            </w:rPr>
            <w:instrText xml:space="preserve"> </w:instrText>
          </w:r>
          <w:r>
            <w:rPr>
              <w:rFonts w:hint="eastAsia"/>
            </w:rPr>
            <w:fldChar w:fldCharType="separate"/>
          </w:r>
          <w:r>
            <w:rPr>
              <w:rFonts w:hint="eastAsia"/>
            </w:rPr>
            <w:t>13</w:t>
          </w:r>
          <w:r>
            <w:rPr>
              <w:rFonts w:hint="eastAsia"/>
            </w:rPr>
            <w:fldChar w:fldCharType="end"/>
          </w:r>
          <w:r>
            <w:rPr>
              <w:rFonts w:hint="eastAsia"/>
            </w:rPr>
            <w:fldChar w:fldCharType="end"/>
          </w:r>
        </w:p>
        <w:p w14:paraId="2A63BC9C">
          <w:pPr>
            <w:pStyle w:val="3"/>
            <w:rPr>
              <w:rFonts w:hint="eastAsia"/>
            </w:rPr>
          </w:pPr>
          <w:r>
            <w:fldChar w:fldCharType="begin"/>
          </w:r>
          <w:r>
            <w:instrText xml:space="preserve"> HYPERLINK \l "_Toc187438967" </w:instrText>
          </w:r>
          <w:r>
            <w:fldChar w:fldCharType="separate"/>
          </w:r>
          <w:r>
            <w:rPr>
              <w:rStyle w:val="8"/>
              <w:rFonts w:hint="eastAsia"/>
              <w:szCs w:val="24"/>
            </w:rPr>
            <w:t>5. Conclusions</w:t>
          </w:r>
          <w:r>
            <w:rPr>
              <w:rFonts w:hint="eastAsia"/>
            </w:rPr>
            <w:tab/>
          </w:r>
          <w:r>
            <w:rPr>
              <w:rFonts w:hint="eastAsia"/>
            </w:rPr>
            <w:fldChar w:fldCharType="begin"/>
          </w:r>
          <w:r>
            <w:rPr>
              <w:rFonts w:hint="eastAsia"/>
            </w:rPr>
            <w:instrText xml:space="preserve"> </w:instrText>
          </w:r>
          <w:r>
            <w:instrText xml:space="preserve">PAGEREF _Toc187438967 \h</w:instrText>
          </w:r>
          <w:r>
            <w:rPr>
              <w:rFonts w:hint="eastAsia"/>
            </w:rPr>
            <w:instrText xml:space="preserve"> </w:instrText>
          </w:r>
          <w:r>
            <w:rPr>
              <w:rFonts w:hint="eastAsia"/>
            </w:rPr>
            <w:fldChar w:fldCharType="separate"/>
          </w:r>
          <w:r>
            <w:rPr>
              <w:rFonts w:hint="eastAsia"/>
            </w:rPr>
            <w:t>14</w:t>
          </w:r>
          <w:r>
            <w:rPr>
              <w:rFonts w:hint="eastAsia"/>
            </w:rPr>
            <w:fldChar w:fldCharType="end"/>
          </w:r>
          <w:r>
            <w:rPr>
              <w:rFonts w:hint="eastAsia"/>
            </w:rPr>
            <w:fldChar w:fldCharType="end"/>
          </w:r>
        </w:p>
        <w:p w14:paraId="600C5784">
          <w:pPr>
            <w:rPr>
              <w:rFonts w:asciiTheme="minorHAnsi" w:hAnsiTheme="minorHAnsi" w:eastAsiaTheme="minorEastAsia" w:cstheme="minorBidi"/>
              <w:b/>
              <w:bCs/>
              <w:color w:val="auto"/>
              <w:kern w:val="2"/>
              <w:sz w:val="21"/>
              <w:szCs w:val="22"/>
              <w:lang w:val="zh-CN"/>
            </w:rPr>
          </w:pPr>
          <w:r>
            <w:rPr>
              <w:b/>
              <w:bCs/>
              <w:lang w:val="zh-CN"/>
            </w:rPr>
            <w:fldChar w:fldCharType="end"/>
          </w:r>
        </w:p>
      </w:sdtContent>
    </w:sdt>
    <w:p w14:paraId="72F995CC">
      <w:pPr>
        <w:rPr>
          <w:rFonts w:hint="default" w:asciiTheme="minorHAnsi" w:hAnsiTheme="minorHAnsi" w:eastAsiaTheme="minorEastAsia" w:cstheme="minorBidi"/>
          <w:b/>
          <w:bCs/>
          <w:color w:val="auto"/>
          <w:kern w:val="2"/>
          <w:sz w:val="21"/>
          <w:szCs w:val="22"/>
          <w:lang w:val="zh-CN"/>
        </w:rPr>
      </w:pPr>
    </w:p>
    <w:p w14:paraId="11AFE5BC">
      <w:pPr>
        <w:rPr>
          <w:rFonts w:hint="default" w:ascii="Arial Regular" w:hAnsi="Arial Regular" w:cs="Arial Regular"/>
          <w:b/>
          <w:bCs/>
          <w:sz w:val="24"/>
          <w:szCs w:val="24"/>
        </w:rPr>
      </w:pPr>
    </w:p>
    <w:p w14:paraId="02ED92D9">
      <w:pPr>
        <w:rPr>
          <w:rFonts w:hint="default" w:ascii="Arial Regular" w:hAnsi="Arial Regular" w:cs="Arial Regular"/>
          <w:b/>
          <w:bCs/>
          <w:sz w:val="24"/>
          <w:szCs w:val="24"/>
        </w:rPr>
      </w:pPr>
    </w:p>
    <w:p w14:paraId="16E631FD">
      <w:pPr>
        <w:rPr>
          <w:rFonts w:hint="default" w:ascii="Arial Regular" w:hAnsi="Arial Regular" w:cs="Arial Regular"/>
          <w:b/>
          <w:bCs/>
          <w:sz w:val="24"/>
          <w:szCs w:val="24"/>
        </w:rPr>
      </w:pPr>
    </w:p>
    <w:p w14:paraId="200253B9">
      <w:pPr>
        <w:rPr>
          <w:rFonts w:hint="default" w:ascii="Arial Regular" w:hAnsi="Arial Regular" w:cs="Arial Regular"/>
          <w:b/>
          <w:bCs/>
          <w:sz w:val="24"/>
          <w:szCs w:val="24"/>
        </w:rPr>
      </w:pPr>
    </w:p>
    <w:p w14:paraId="320593AA">
      <w:pPr>
        <w:rPr>
          <w:rFonts w:hint="default" w:ascii="Arial Regular" w:hAnsi="Arial Regular" w:cs="Arial Regular"/>
          <w:b/>
          <w:bCs/>
          <w:sz w:val="24"/>
          <w:szCs w:val="24"/>
        </w:rPr>
      </w:pPr>
    </w:p>
    <w:p w14:paraId="6F91A131">
      <w:pPr>
        <w:rPr>
          <w:rFonts w:hint="default" w:ascii="Arial Regular" w:hAnsi="Arial Regular" w:cs="Arial Regular"/>
          <w:b/>
          <w:bCs/>
          <w:sz w:val="24"/>
          <w:szCs w:val="24"/>
        </w:rPr>
      </w:pPr>
    </w:p>
    <w:p w14:paraId="7FA6802A">
      <w:pPr>
        <w:rPr>
          <w:rFonts w:hint="default" w:ascii="Arial Regular" w:hAnsi="Arial Regular" w:cs="Arial Regular"/>
          <w:b/>
          <w:bCs/>
          <w:sz w:val="24"/>
          <w:szCs w:val="24"/>
        </w:rPr>
      </w:pPr>
    </w:p>
    <w:p w14:paraId="2BCCBABF">
      <w:pPr>
        <w:rPr>
          <w:rFonts w:hint="default" w:ascii="Arial Regular" w:hAnsi="Arial Regular" w:cs="Arial Regular"/>
          <w:b/>
          <w:bCs/>
          <w:sz w:val="24"/>
          <w:szCs w:val="24"/>
        </w:rPr>
      </w:pPr>
      <w:bookmarkStart w:id="0" w:name="_GoBack"/>
      <w:bookmarkEnd w:id="0"/>
      <w:r>
        <w:rPr>
          <w:rFonts w:hint="default" w:ascii="Arial Regular" w:hAnsi="Arial Regular" w:cs="Arial Regular"/>
          <w:b/>
          <w:bCs/>
          <w:sz w:val="24"/>
          <w:szCs w:val="24"/>
        </w:rPr>
        <w:t>1. Introduction</w:t>
      </w:r>
    </w:p>
    <w:p w14:paraId="682505C2">
      <w:pPr>
        <w:ind w:firstLine="480" w:firstLineChars="200"/>
        <w:rPr>
          <w:rFonts w:hint="default" w:ascii="Arial Regular" w:hAnsi="Arial Regular" w:cs="Arial Regular"/>
          <w:sz w:val="24"/>
          <w:szCs w:val="24"/>
        </w:rPr>
      </w:pPr>
      <w:r>
        <w:rPr>
          <w:rFonts w:hint="default" w:ascii="Arial Regular" w:hAnsi="Arial Regular" w:cs="Arial Regular"/>
          <w:sz w:val="24"/>
          <w:szCs w:val="24"/>
        </w:rPr>
        <w:t>With the continuous expansion of the international market, enterprises are faced with consumer groups from different cultural backgrounds, and these groups have significant differences in brand identity. Therefore, an in-depth study of the influence mechanism of different cultural consumer groups on brand identity under the background of globalization has important theoretical and practical significance for enterprises to formulate effective brand strategies and enhance market competitiveness. Through theoretical analysis and case studies, this study aims to reveal how different cultural consumer groups affect brand identity in the context of globalization, and explore the influence mechanism. Through the research, it is expected to help enterprises better understand the target market and grasp the characteristics of brand identity of consumers in different cultural backgrounds, so as to enhance brand influence and market competitiveness.</w:t>
      </w:r>
    </w:p>
    <w:p w14:paraId="593C1F10">
      <w:pPr>
        <w:ind w:firstLine="480" w:firstLineChars="200"/>
        <w:rPr>
          <w:rFonts w:hint="default" w:ascii="Arial Regular" w:hAnsi="Arial Regular" w:cs="Arial Regular"/>
          <w:sz w:val="24"/>
          <w:szCs w:val="24"/>
        </w:rPr>
      </w:pPr>
      <w:r>
        <w:rPr>
          <w:rFonts w:hint="default" w:ascii="Arial Regular" w:hAnsi="Arial Regular" w:cs="Arial Regular"/>
          <w:sz w:val="24"/>
          <w:szCs w:val="24"/>
        </w:rPr>
        <w:t>Based on the above, this paper chooses Coca-Cola as the research object and studies the impact of cultural differences on beverage manufacturers' cross-border sales by focusing on its British market and Chinese market.</w:t>
      </w:r>
    </w:p>
    <w:p w14:paraId="028F8901">
      <w:pPr>
        <w:rPr>
          <w:rFonts w:hint="default" w:ascii="Arial Regular" w:hAnsi="Arial Regular" w:cs="Arial Regular"/>
          <w:b/>
          <w:bCs/>
          <w:sz w:val="24"/>
          <w:szCs w:val="24"/>
        </w:rPr>
      </w:pPr>
      <w:r>
        <w:rPr>
          <w:rFonts w:hint="default" w:ascii="Arial Regular" w:hAnsi="Arial Regular" w:cs="Arial Regular"/>
          <w:b/>
          <w:bCs/>
          <w:sz w:val="24"/>
          <w:szCs w:val="24"/>
        </w:rPr>
        <w:t>2. Case study</w:t>
      </w:r>
    </w:p>
    <w:p w14:paraId="6948523D">
      <w:pPr>
        <w:rPr>
          <w:rFonts w:hint="default" w:ascii="Arial Regular" w:hAnsi="Arial Regular" w:cs="Arial Regular"/>
          <w:b/>
          <w:bCs/>
          <w:sz w:val="24"/>
          <w:szCs w:val="24"/>
        </w:rPr>
      </w:pPr>
      <w:r>
        <w:rPr>
          <w:rFonts w:hint="default" w:ascii="Arial Regular" w:hAnsi="Arial Regular" w:cs="Arial Regular"/>
          <w:b/>
          <w:bCs/>
          <w:sz w:val="24"/>
          <w:szCs w:val="24"/>
        </w:rPr>
        <w:t>2.1 The globalization background of Coca-Cola</w:t>
      </w:r>
    </w:p>
    <w:p w14:paraId="10A4F741">
      <w:pPr>
        <w:ind w:firstLine="480" w:firstLineChars="200"/>
        <w:rPr>
          <w:rFonts w:hint="default" w:ascii="Arial Regular" w:hAnsi="Arial Regular" w:cs="Arial Regular"/>
          <w:sz w:val="24"/>
          <w:szCs w:val="24"/>
        </w:rPr>
      </w:pPr>
      <w:r>
        <w:rPr>
          <w:rFonts w:hint="default" w:ascii="Arial Regular" w:hAnsi="Arial Regular" w:cs="Arial Regular"/>
          <w:sz w:val="24"/>
          <w:szCs w:val="24"/>
        </w:rPr>
        <w:t>Coca-Cola, the world-renowned beverage giant, with its deeply rooted brand image and wide product line, has won the love of consumers around the world. Behind its success, in addition to excellent product quality and innovative marketing strategies, the more critical is the deep insight and clever integration of different cultural backgrounds. In the context of globalization, Coca-Cola not only sells its products all over the world, but also strives to integrate brand culture with local culture, thus establishing a unique brand identity among consumer groups in different regions and cultures.</w:t>
      </w:r>
    </w:p>
    <w:p w14:paraId="6DD13740">
      <w:pPr>
        <w:rPr>
          <w:rFonts w:hint="default" w:ascii="Arial Regular" w:hAnsi="Arial Regular" w:cs="Arial Regular"/>
          <w:b/>
          <w:bCs/>
          <w:sz w:val="24"/>
          <w:szCs w:val="24"/>
        </w:rPr>
      </w:pPr>
      <w:r>
        <w:rPr>
          <w:rFonts w:hint="default" w:ascii="Arial Regular" w:hAnsi="Arial Regular" w:cs="Arial Regular"/>
          <w:b/>
          <w:bCs/>
          <w:sz w:val="24"/>
          <w:szCs w:val="24"/>
        </w:rPr>
        <w:t>2.2 How does Coca-Cola deal with cultural differences?</w:t>
      </w:r>
    </w:p>
    <w:p w14:paraId="77C50800">
      <w:pPr>
        <w:ind w:firstLine="480" w:firstLineChars="200"/>
        <w:rPr>
          <w:rFonts w:hint="default" w:ascii="Arial Regular" w:hAnsi="Arial Regular" w:cs="Arial Regular"/>
          <w:sz w:val="24"/>
          <w:szCs w:val="24"/>
        </w:rPr>
      </w:pPr>
      <w:r>
        <w:rPr>
          <w:rFonts w:hint="default" w:ascii="Arial Regular" w:hAnsi="Arial Regular" w:cs="Arial Regular"/>
          <w:sz w:val="24"/>
          <w:szCs w:val="24"/>
        </w:rPr>
        <w:t>In the process of global marketing, Coca-Cola always adheres to the "localization" strategy, adjusting products, packaging and publicity according to the cultural differences of different countries and regions, so as to be closer to local consumers. Specific to the product level, Coca-Cola has launched a series of drinks for different regional cultures. For example, in China, in order to cater to local consumers' pursuit of health and nature, Coca-Cola launched the "Health House" series, which adds herbal ingredients such as dates and goji berries, aiming to provide health and tonic effects. In addition, Coca-Cola has also introduced the "Coca-Cola Plus" product with tea ingredients, emphasizing its characteristics of helping fat burning and health management. In the UK market, Coca-Cola has developed relatively refined and upmarket products with consumers increasingly emphasizing quality and fashionable life. Such as the series "Coca-Cola Signature Mixers", targeting specific mixing with several kinds of spirits to give out distinctive and personalized tastes and meet consumers' further needs. Therefore, a line of such new series product enjoys unprecedented popularity among people in Britain. Speaking of advertisement, Coca-Cola is good at using various cultural elements to tell some stories that have a close relation with the local consumers. For example, during the Chinese Spring Festival, Coca-Cola will launch an advertisement that incorporates traditional cultural elements such as couplets, blessing characters, and firecrackers to express reunion and festivity. This is a very effective localized advertising strategy since it serves both in developing a closer relationship between the consumer and the brand on an emotional basis and extends the brand's appeal across diverse cultural boundaries.</w:t>
      </w:r>
    </w:p>
    <w:p w14:paraId="091BB52E">
      <w:pPr>
        <w:ind w:firstLine="480" w:firstLineChars="200"/>
        <w:rPr>
          <w:rFonts w:hint="default" w:ascii="Arial Regular" w:hAnsi="Arial Regular" w:cs="Arial Regular"/>
          <w:sz w:val="24"/>
          <w:szCs w:val="24"/>
        </w:rPr>
      </w:pPr>
      <w:r>
        <w:rPr>
          <w:rFonts w:hint="default" w:ascii="Arial Regular" w:hAnsi="Arial Regular" w:cs="Arial Regular"/>
          <w:sz w:val="24"/>
          <w:szCs w:val="24"/>
        </w:rPr>
        <w:t>The successful experience of Coca-Cola partly lies in the perfect combination of its global vision and strategy of localization. Endeavoring to deeply understand each and every cultural difference, it manages to perfectly ensure that the brand concept sprang into integration with the local culture, winning wide recognition and loyalty from mainstream consumers. However, the increasing competition in the global market, with consumer demand diversifying, Coca-Cola is also met with unprecedented challenges. On one hand, the brand vitality of Coca-Cola relies on continuous innovation. Within a market environment that constantly changes, Coca-Cola is developing new products and services to satisfy the growing and changing needs of consumers. On the other hand, brand consistency maintenance is another critical task facing Coca-Cola. During the process of globalization, how to respect cultural difference and hold the unity and coherence of core value of brand is a problem that Coca-Cola needs to think and solve constantly.</w:t>
      </w:r>
    </w:p>
    <w:p w14:paraId="73B5057D">
      <w:pPr>
        <w:rPr>
          <w:rFonts w:hint="default" w:ascii="Arial Regular" w:hAnsi="Arial Regular" w:cs="Arial Regular"/>
          <w:b/>
          <w:bCs/>
          <w:sz w:val="24"/>
          <w:szCs w:val="24"/>
        </w:rPr>
      </w:pPr>
      <w:r>
        <w:rPr>
          <w:rFonts w:hint="default" w:ascii="Arial Regular" w:hAnsi="Arial Regular" w:cs="Arial Regular"/>
          <w:b/>
          <w:bCs/>
          <w:sz w:val="24"/>
          <w:szCs w:val="24"/>
        </w:rPr>
        <w:t>3. Theoretical analysis</w:t>
      </w:r>
    </w:p>
    <w:p w14:paraId="79BA9229">
      <w:pPr>
        <w:rPr>
          <w:rFonts w:hint="default" w:ascii="Arial Regular" w:hAnsi="Arial Regular" w:cs="Arial Regular"/>
          <w:b/>
          <w:bCs/>
          <w:sz w:val="24"/>
          <w:szCs w:val="24"/>
        </w:rPr>
      </w:pPr>
      <w:r>
        <w:rPr>
          <w:rFonts w:hint="default" w:ascii="Arial Regular" w:hAnsi="Arial Regular" w:cs="Arial Regular"/>
          <w:b/>
          <w:bCs/>
          <w:sz w:val="24"/>
          <w:szCs w:val="24"/>
        </w:rPr>
        <w:t>3.1 Cultural difference theory</w:t>
      </w:r>
    </w:p>
    <w:p w14:paraId="5EB2A2E2">
      <w:pPr>
        <w:ind w:firstLine="480" w:firstLineChars="200"/>
        <w:rPr>
          <w:rFonts w:hint="default" w:ascii="Arial Regular" w:hAnsi="Arial Regular" w:cs="Arial Regular"/>
          <w:sz w:val="24"/>
          <w:szCs w:val="24"/>
        </w:rPr>
      </w:pPr>
      <w:r>
        <w:rPr>
          <w:rFonts w:hint="default" w:ascii="Arial Regular" w:hAnsi="Arial Regular" w:cs="Arial Regular"/>
          <w:sz w:val="24"/>
          <w:szCs w:val="24"/>
        </w:rPr>
        <w:t>The theory of cultural difference underlines the diversity and complexity of cultural backgrounds in the studies of human behavioral patterns. This theory tends to indicate that individuals and groups in different cultural backgrounds differ significantly in values, cognitive ways, norms of behavior, etc., and such differences have carved their peculiar behavioral patterns and life ways (Barreto et al., 2021).</w:t>
      </w:r>
    </w:p>
    <w:p w14:paraId="061FA43A">
      <w:pPr>
        <w:ind w:firstLine="480" w:firstLineChars="200"/>
        <w:rPr>
          <w:rFonts w:hint="default" w:ascii="Arial Regular" w:hAnsi="Arial Regular" w:cs="Arial Regular"/>
          <w:sz w:val="24"/>
          <w:szCs w:val="24"/>
        </w:rPr>
      </w:pPr>
      <w:r>
        <w:rPr>
          <w:rFonts w:hint="default" w:ascii="Arial Regular" w:hAnsi="Arial Regular" w:cs="Arial Regular"/>
          <w:sz w:val="24"/>
          <w:szCs w:val="24"/>
        </w:rPr>
        <w:t>Among the major determinants, there are cultural factors, and the effect of cultural differences on consumers is huge (Snowden and Yamada, 2005). First of all, cultural differences impact how consumer needs are perceived. With different cultural backgrounds, consumers' actual demands and expectations for commodities or services are also very different; this requires that an enterprise, while entering a new market, carry out profound research in terms of the cultural background of the target consumer to accurately capture their real needs. It affects also the way information is processed by consumers. People of different cultures may use different approaches and techniques for information reception, interpretation, and memorization. Moreover, cultural diversity impacts noticeably the very process of purchasing decision-making. In purchasing decisions, buyers coming from various cultural backgrounds can weigh functional attributes of goods differently as well as the symbolic attributes. For example, in some cultures, the brand image and reputation of a commodity might be regarded as the most influential element which impacts consumers to purchase a commodity; in another culture, added value and the effectiveness of a commodity are much more emphasized by the consumers. Lastly, consumer behavior varies according to implementation across cultures. In this context, there might be several significant differences among different consumers of diverse cultures such as habits for shopping, methods of making the payments, and needs associated with post-sale services (Na et al., 2010). These differences also require enterprises to fully consider the cultural characteristics of the target market when formulating marketing strategies, ensuring the effectiveness and pertinence of marketing strategies. To sum up, the theory of cultural differences provides an important theoretical basis and practical guidance for enterprises to formulate cross-cultural marketing strategies by revealing the similarities and differences of consumer behaviors under different cultural backgrounds.</w:t>
      </w:r>
    </w:p>
    <w:p w14:paraId="0790266B">
      <w:pPr>
        <w:rPr>
          <w:rFonts w:hint="default" w:ascii="Arial Regular" w:hAnsi="Arial Regular" w:cs="Arial Regular"/>
          <w:b/>
          <w:bCs/>
          <w:sz w:val="24"/>
          <w:szCs w:val="24"/>
        </w:rPr>
      </w:pPr>
      <w:r>
        <w:rPr>
          <w:rFonts w:hint="default" w:ascii="Arial Regular" w:hAnsi="Arial Regular" w:cs="Arial Regular"/>
          <w:b/>
          <w:bCs/>
          <w:sz w:val="24"/>
          <w:szCs w:val="24"/>
        </w:rPr>
        <w:t>3.2 Influence of cultural differences</w:t>
      </w:r>
    </w:p>
    <w:p w14:paraId="479D6669">
      <w:pPr>
        <w:ind w:firstLine="480" w:firstLineChars="200"/>
        <w:rPr>
          <w:rFonts w:hint="default" w:ascii="Arial Regular" w:hAnsi="Arial Regular" w:cs="Arial Regular"/>
          <w:sz w:val="24"/>
          <w:szCs w:val="24"/>
        </w:rPr>
      </w:pPr>
      <w:r>
        <w:rPr>
          <w:rFonts w:hint="default" w:ascii="Arial Regular" w:hAnsi="Arial Regular" w:cs="Arial Regular"/>
          <w:sz w:val="24"/>
          <w:szCs w:val="24"/>
        </w:rPr>
        <w:t xml:space="preserve">In the context of accelerating globalization, the interaction between brand identity and cultural differences has become an issue that cannot be ignored. As an important embodiment of corporate culture and market positioning, the formation and dissemination of brand identity is deeply influenced by the cultural characteristics of the target market. At the same time, brands also shape and lead consumers' values and lifestyles through their unique symbolic and cultural connotations. </w:t>
      </w:r>
    </w:p>
    <w:p w14:paraId="14F032CE">
      <w:pPr>
        <w:ind w:firstLine="480" w:firstLineChars="200"/>
        <w:rPr>
          <w:rFonts w:hint="default" w:ascii="Arial Regular" w:hAnsi="Arial Regular" w:cs="Arial Regular"/>
          <w:sz w:val="24"/>
          <w:szCs w:val="24"/>
        </w:rPr>
      </w:pPr>
      <w:r>
        <w:rPr>
          <w:rFonts w:hint="default" w:ascii="Arial Regular" w:hAnsi="Arial Regular" w:cs="Arial Regular"/>
          <w:sz w:val="24"/>
          <w:szCs w:val="24"/>
        </w:rPr>
        <w:t xml:space="preserve">First of all, cultural differences have a significant impact on the formation of brand identity. Consumers in different cultural backgrounds have different understanding, evaluation and selection criteria for brands. For example, in Eastern cultures, values of harmony and respect for tradition may lead consumers to identify more strongly with brands that emphasize family values and traditional elements. In UK culture, the values of individuality, innovation and the pursuit of freedom may make consumers more inclined to those brands with avant-garde design and advocate life attitude. Therefore, when entering new markets, brands need to deeply understand the cultural idiosyncrasies of the target market to ensure that the brand message resonates with the values of local consumers. </w:t>
      </w:r>
    </w:p>
    <w:p w14:paraId="3D0E5B47">
      <w:pPr>
        <w:ind w:firstLine="480" w:firstLineChars="200"/>
        <w:rPr>
          <w:rFonts w:hint="default" w:ascii="Arial Regular" w:hAnsi="Arial Regular" w:cs="Arial Regular"/>
          <w:sz w:val="24"/>
          <w:szCs w:val="24"/>
        </w:rPr>
      </w:pPr>
      <w:r>
        <w:rPr>
          <w:rFonts w:hint="default" w:ascii="Arial Regular" w:hAnsi="Arial Regular" w:cs="Arial Regular"/>
          <w:sz w:val="24"/>
          <w:szCs w:val="24"/>
        </w:rPr>
        <w:t xml:space="preserve">Second, brand identity also affects the expression of cultural differences in turn. Brand is not only a product or service logo, but also a carrier of cultural symbols and values. Through brand communication and promotion, enterprises can pass on their cultural concepts and lifestyles to consumers, thereby shaping or changing their values and behavior habits. For example, some internationally renowned brands have successfully attracted many consumers from different cultural backgrounds to become their loyal fans by promoting their unique brand culture and values on a global scale. In the process of pursuing the lifestyle represented by the brand, these consumers also accept the cultural concepts and values conveyed by the brand to a certain extent. </w:t>
      </w:r>
    </w:p>
    <w:p w14:paraId="592ECEC8">
      <w:pPr>
        <w:ind w:firstLine="480" w:firstLineChars="200"/>
        <w:rPr>
          <w:rFonts w:hint="default" w:ascii="Arial Regular" w:hAnsi="Arial Regular" w:cs="Arial Regular"/>
          <w:sz w:val="24"/>
          <w:szCs w:val="24"/>
        </w:rPr>
      </w:pPr>
      <w:r>
        <w:rPr>
          <w:rFonts w:hint="default" w:ascii="Arial Regular" w:hAnsi="Arial Regular" w:cs="Arial Regular"/>
          <w:sz w:val="24"/>
          <w:szCs w:val="24"/>
        </w:rPr>
        <w:t>Finally, the interaction between brand identity and cultural difference is reflected in the marketing strategy of brand localization. In the face of the fierce competition in the market, the consumption structure with different cultural backgrounds requires brands to make marketing strategies oriented in targets with differences. This includes product design, service method enhancement, optimization of marketing channels, and development of advertising strategies in accordance with local cultural traditions. Localized marketing can help a brand blend in better with the target market, building close emotional connection and cultural resonance with consumers, which increases brand competitiveness and loyalty in the marketplace.</w:t>
      </w:r>
    </w:p>
    <w:p w14:paraId="0DC1E2B5">
      <w:pPr>
        <w:rPr>
          <w:rFonts w:hint="default" w:ascii="Arial Regular" w:hAnsi="Arial Regular" w:cs="Arial Regular"/>
          <w:b/>
          <w:bCs/>
          <w:sz w:val="24"/>
          <w:szCs w:val="24"/>
        </w:rPr>
      </w:pPr>
      <w:r>
        <w:rPr>
          <w:rFonts w:hint="default" w:ascii="Arial Regular" w:hAnsi="Arial Regular" w:cs="Arial Regular"/>
          <w:b/>
          <w:bCs/>
          <w:sz w:val="24"/>
          <w:szCs w:val="24"/>
        </w:rPr>
        <w:t>3.3 Consumption differences in different cultures</w:t>
      </w:r>
    </w:p>
    <w:p w14:paraId="6BE84DAF">
      <w:pPr>
        <w:ind w:firstLine="480" w:firstLineChars="200"/>
        <w:rPr>
          <w:rFonts w:hint="default" w:ascii="Arial Regular" w:hAnsi="Arial Regular" w:cs="Arial Regular"/>
          <w:sz w:val="24"/>
          <w:szCs w:val="24"/>
        </w:rPr>
      </w:pPr>
      <w:r>
        <w:rPr>
          <w:rFonts w:hint="default" w:ascii="Arial Regular" w:hAnsi="Arial Regular" w:cs="Arial Regular"/>
          <w:sz w:val="24"/>
          <w:szCs w:val="24"/>
        </w:rPr>
        <w:t>Brand identity differs a lot in different cultural consumer groups. Though some cultures believe that the brand should stress historical accumulation and traditional value in brand recognition, most French luxury brands usually attach great importance to touting handmade skills and family heritage, which Europeans love deeply and hold in high regard because of attachment to history and tradition. Whereas the brand positioned in the US market, shows more willingness to express its innovational capability and futuristic orientation to draw in people for whom progress and efficiency play a major role. Brand Emotion: While some cultures believe that brand portrays personal identity and social status. For example, for the pursuit of international brands by Chinese consumers, it is often in a close relationship with their needs for personal image and social recognition [5]. On the contrary, in such a more rational socio-cultural context like Germany, the emotional dependence on brands can be relatively weak, and consumers value the practicality and cost performance more when considering products. In terms of brand behavior intention, consumers in different cultures also have obvious differences in aspects of purchase frequency, brand loyalty, and whether they are willing to recommend brands to others.</w:t>
      </w:r>
    </w:p>
    <w:p w14:paraId="1DA1B047">
      <w:pPr>
        <w:ind w:firstLine="480" w:firstLineChars="200"/>
        <w:rPr>
          <w:rFonts w:hint="default" w:ascii="Arial Regular" w:hAnsi="Arial Regular" w:cs="Arial Regular"/>
          <w:sz w:val="24"/>
          <w:szCs w:val="24"/>
        </w:rPr>
      </w:pPr>
      <w:r>
        <w:rPr>
          <w:rFonts w:hint="default" w:ascii="Arial Regular" w:hAnsi="Arial Regular" w:cs="Arial Regular"/>
          <w:sz w:val="24"/>
          <w:szCs w:val="24"/>
        </w:rPr>
        <w:t>Cultural factors are at once central and complex in the construction of brand identity (Bailey et al., 2019). First, cultural values deeply influence consumers' perceptions of the core value of a brand. For example, in an individualistic culture, consumers might feel more attached to brands that convey self-realization and individuality. Conversely, consumers in a collectivist culture will appreciate the message of community belonging and family harmony communicated in the brand. The different brand function expectation and symbolic attribute are formed with the long-term consumption habit of different divisions. For example, Japanese consumers have a very strong inclination towards extreme pursuits of details and service quality; as a result, Japanese brands win prestige in precise manufacturing and after-sales customer service. Thirdly, the social norm mechanism affects consumer choices through identification to groups or a social-pressure mechanism. In the case of today's highly developed social media, the display and dissemination of brand image on social media are usually interfered with by the internal norms of specific cultural groups, thus influencing the consumer's identity and loyalty towards a brand. The interaction of these factors contributes to shaping a consumer's distinctive identity with a brand (Krendl and Pescosolido, 2020).</w:t>
      </w:r>
    </w:p>
    <w:p w14:paraId="1365FFAF">
      <w:pPr>
        <w:rPr>
          <w:rFonts w:hint="default" w:ascii="Arial Regular" w:hAnsi="Arial Regular" w:cs="Arial Regular"/>
          <w:b/>
          <w:bCs/>
          <w:sz w:val="24"/>
          <w:szCs w:val="24"/>
        </w:rPr>
      </w:pPr>
      <w:r>
        <w:rPr>
          <w:rFonts w:hint="default" w:ascii="Arial Regular" w:hAnsi="Arial Regular" w:cs="Arial Regular"/>
          <w:b/>
          <w:bCs/>
          <w:sz w:val="24"/>
          <w:szCs w:val="24"/>
        </w:rPr>
        <w:t>4.</w:t>
      </w:r>
      <w:r>
        <w:rPr>
          <w:rFonts w:hint="default" w:ascii="Arial Regular" w:hAnsi="Arial Regular" w:eastAsia="微软雅黑" w:cs="Arial Regular"/>
          <w:b/>
          <w:bCs/>
          <w:color w:val="5A75E0"/>
          <w:sz w:val="24"/>
          <w:szCs w:val="24"/>
          <w:shd w:val="clear" w:color="auto" w:fill="FFFFFF"/>
        </w:rPr>
        <w:t xml:space="preserve"> </w:t>
      </w:r>
      <w:r>
        <w:rPr>
          <w:rFonts w:hint="default" w:ascii="Arial Regular" w:hAnsi="Arial Regular" w:cs="Arial Regular"/>
          <w:b/>
          <w:bCs/>
          <w:sz w:val="24"/>
          <w:szCs w:val="24"/>
        </w:rPr>
        <w:t>Recommendations</w:t>
      </w:r>
    </w:p>
    <w:p w14:paraId="4F55DE39">
      <w:pPr>
        <w:ind w:firstLine="480" w:firstLineChars="200"/>
        <w:rPr>
          <w:rFonts w:hint="default" w:ascii="Arial Regular" w:hAnsi="Arial Regular" w:cs="Arial Regular"/>
          <w:sz w:val="24"/>
          <w:szCs w:val="24"/>
        </w:rPr>
      </w:pPr>
      <w:r>
        <w:rPr>
          <w:rFonts w:hint="default" w:ascii="Arial Regular" w:hAnsi="Arial Regular" w:cs="Arial Regular"/>
          <w:sz w:val="24"/>
          <w:szCs w:val="24"/>
        </w:rPr>
        <w:t>The case of Coca-Cola's global marketing is an in-depth analysis of how cultural differences are at the heart of shaping brand identity and how the brand subtly uses these differences to enhance its market appeal. The success of Coca-Cola first demonstrates the importance of deeply understanding and respecting cultural differences. Under the wave of globalization, brand is no longer a single, isolated existence, but a symbol system closely linked with local culture. Through detailed market research, Coca-Cola has gained insight into the unique preferences of consumers in different regions in terms of taste, health, fashion, etc., and then ade precise responses in product development and marketing strategies. For example, the introduction of herbal drinks in Asia not only satisfies consumers' pursuit of health, but also achieves a harmonious resonance with local culture in taste. Second, the case of Coca-Cola shows the wisdom of closely combining brand ideas with local culture. Brand concept is the soul of the brand, and culture is the soil of the brand. As Coca-Cola spread its brand concept of "sharing happiness" around the world, it cleverly incorporated it into various cultural contexts. Whether it is a festival in the UK or a traditional ceremony in China, Coca-Cola can find an entry point that resonates with consumers' emotions and makes the brand concept deeply rooted in people's hearts. Finally, this case also highlights the critical role of flexible localization strategies in global marketing. Localization isn't just product level but rather comprehensive adaptation from marketing strategy to communication mode, even organizational structure. The Research and Development center laid down by Coca-Cola all over the world can well ensure it quickly catches up with the change of the market under the premise of consistency on a global basis. This strategic layout of both globalization and localization enables Coca-Cola to stand out in the fierce market competition.</w:t>
      </w:r>
    </w:p>
    <w:p w14:paraId="4A82DEAF">
      <w:pPr>
        <w:rPr>
          <w:rFonts w:hint="default" w:ascii="Arial Regular" w:hAnsi="Arial Regular" w:cs="Arial Regular"/>
          <w:b/>
          <w:bCs/>
          <w:sz w:val="24"/>
          <w:szCs w:val="24"/>
        </w:rPr>
      </w:pPr>
      <w:r>
        <w:rPr>
          <w:rFonts w:hint="default" w:ascii="Arial Regular" w:hAnsi="Arial Regular" w:cs="Arial Regular"/>
          <w:b/>
          <w:bCs/>
          <w:sz w:val="24"/>
          <w:szCs w:val="24"/>
        </w:rPr>
        <w:t>5. Conclusions</w:t>
      </w:r>
    </w:p>
    <w:p w14:paraId="0615F997">
      <w:pPr>
        <w:ind w:firstLine="480" w:firstLineChars="200"/>
        <w:rPr>
          <w:rFonts w:hint="default" w:ascii="Arial Regular" w:hAnsi="Arial Regular" w:cs="Arial Regular"/>
          <w:sz w:val="24"/>
          <w:szCs w:val="24"/>
        </w:rPr>
      </w:pPr>
      <w:r>
        <w:rPr>
          <w:rFonts w:hint="default" w:ascii="Arial Regular" w:hAnsi="Arial Regular" w:cs="Arial Regular"/>
          <w:sz w:val="24"/>
          <w:szCs w:val="24"/>
        </w:rPr>
        <w:t>This paper discusses the main function and mechanism of action of cultural differences in the process of shaping brand identity. The results reflect that, under the multicultural background, the brand identity of different cultural consumer groups could be influenced by many factors, among which the most core and complex factor is cultural difference. First, cultural differences have a profound impact on consumer perceptions. In addition, the consumer of different cultural backgrounds holds different values, aesthetical concepts, and consumption habits, influencing the perception and understanding the consumer has for a brand directly. Therefore, during this process of going global, a brand must understand and respect such cultural differences with more depth, and it must ensure that the information carried by its brand message may be compatible with the cognitive system of local consumers. The cultural difference would greatly influence consumers' sentiment too. Brand is not just a product or service; it's a kind of emotional sustenance, a symbol. Because different cultural backgrounds affect people differently emotionally about a brand, a brand needs to clearly identify what will create the most emotional demands by the consumers, using appropriate linkage between effective brand emotional marketing strategy. In fact, last but not least, the influence caused by cultural difference goes right into shaping a consumer's behavior intentions. Buying behavior of customers is much attached with the culturally traditional backgrounds of their living. When formulating market strategies, brands must comprehensively consider the behavioral features of different cultural consumer groups and formulate more precise and effective market strategies to better guide consumers' behavioral intentions and enhance the competitiveness of brands in the market.</w:t>
      </w:r>
    </w:p>
    <w:p w14:paraId="1084FE89">
      <w:pPr>
        <w:ind w:firstLine="480" w:firstLineChars="200"/>
        <w:rPr>
          <w:rFonts w:hint="default" w:ascii="Arial Regular" w:hAnsi="Arial Regular" w:cs="Arial Regular"/>
          <w:sz w:val="24"/>
          <w:szCs w:val="24"/>
        </w:rPr>
      </w:pPr>
    </w:p>
    <w:p w14:paraId="3F893469">
      <w:pPr>
        <w:rPr>
          <w:rFonts w:hint="default" w:ascii="Arial Regular" w:hAnsi="Arial Regular" w:cs="Arial Regular"/>
          <w:b/>
          <w:bCs/>
          <w:sz w:val="24"/>
          <w:szCs w:val="24"/>
        </w:rPr>
      </w:pPr>
    </w:p>
    <w:p w14:paraId="5D509B26">
      <w:pPr>
        <w:rPr>
          <w:rFonts w:hint="default" w:ascii="Arial Regular" w:hAnsi="Arial Regular" w:cs="Arial Regular"/>
          <w:b/>
          <w:bCs/>
          <w:sz w:val="24"/>
          <w:szCs w:val="24"/>
        </w:rPr>
      </w:pPr>
    </w:p>
    <w:p w14:paraId="33CB7943">
      <w:pPr>
        <w:rPr>
          <w:rFonts w:hint="default" w:ascii="Arial Regular" w:hAnsi="Arial Regular" w:cs="Arial Regular"/>
          <w:b/>
          <w:bCs/>
          <w:sz w:val="24"/>
          <w:szCs w:val="24"/>
        </w:rPr>
      </w:pPr>
    </w:p>
    <w:p w14:paraId="2AF8FB36">
      <w:pPr>
        <w:rPr>
          <w:rFonts w:hint="default" w:ascii="Arial Regular" w:hAnsi="Arial Regular" w:cs="Arial Regular"/>
          <w:b/>
          <w:bCs/>
          <w:sz w:val="24"/>
          <w:szCs w:val="24"/>
        </w:rPr>
      </w:pPr>
    </w:p>
    <w:p w14:paraId="378E15A2">
      <w:pPr>
        <w:rPr>
          <w:rFonts w:hint="default" w:ascii="Arial Regular" w:hAnsi="Arial Regular" w:cs="Arial Regular"/>
          <w:b/>
          <w:bCs/>
          <w:sz w:val="24"/>
          <w:szCs w:val="24"/>
        </w:rPr>
      </w:pPr>
    </w:p>
    <w:p w14:paraId="00A91584">
      <w:pPr>
        <w:rPr>
          <w:rFonts w:hint="default" w:ascii="Arial Regular" w:hAnsi="Arial Regular" w:cs="Arial Regular"/>
          <w:b/>
          <w:bCs/>
          <w:sz w:val="24"/>
          <w:szCs w:val="24"/>
        </w:rPr>
      </w:pPr>
    </w:p>
    <w:p w14:paraId="27D57EEA">
      <w:pPr>
        <w:rPr>
          <w:rFonts w:hint="default" w:ascii="Arial Regular" w:hAnsi="Arial Regular" w:cs="Arial Regular"/>
          <w:b/>
          <w:bCs/>
          <w:sz w:val="24"/>
          <w:szCs w:val="24"/>
        </w:rPr>
      </w:pPr>
    </w:p>
    <w:p w14:paraId="62030C7C">
      <w:pPr>
        <w:rPr>
          <w:rFonts w:hint="default" w:ascii="Arial Regular" w:hAnsi="Arial Regular" w:cs="Arial Regular"/>
          <w:b/>
          <w:bCs/>
          <w:sz w:val="24"/>
          <w:szCs w:val="24"/>
        </w:rPr>
      </w:pPr>
    </w:p>
    <w:p w14:paraId="1397CCA4">
      <w:pPr>
        <w:rPr>
          <w:rFonts w:hint="default" w:ascii="Arial Regular" w:hAnsi="Arial Regular" w:cs="Arial Regular"/>
          <w:b/>
          <w:bCs/>
          <w:sz w:val="24"/>
          <w:szCs w:val="24"/>
        </w:rPr>
      </w:pPr>
    </w:p>
    <w:p w14:paraId="62F5D0E4">
      <w:pPr>
        <w:rPr>
          <w:rFonts w:hint="default" w:ascii="Arial Regular" w:hAnsi="Arial Regular" w:cs="Arial Regular"/>
          <w:b/>
          <w:bCs/>
          <w:sz w:val="24"/>
          <w:szCs w:val="24"/>
        </w:rPr>
      </w:pPr>
    </w:p>
    <w:p w14:paraId="67D1B190">
      <w:pPr>
        <w:rPr>
          <w:rFonts w:hint="default" w:ascii="Arial Regular" w:hAnsi="Arial Regular" w:cs="Arial Regular"/>
          <w:b/>
          <w:bCs/>
          <w:sz w:val="24"/>
          <w:szCs w:val="24"/>
        </w:rPr>
      </w:pPr>
    </w:p>
    <w:p w14:paraId="735908E4">
      <w:pPr>
        <w:rPr>
          <w:rFonts w:hint="default" w:ascii="Arial Regular" w:hAnsi="Arial Regular" w:cs="Arial Regular"/>
          <w:b/>
          <w:bCs/>
          <w:sz w:val="24"/>
          <w:szCs w:val="24"/>
        </w:rPr>
      </w:pPr>
    </w:p>
    <w:p w14:paraId="505F2DA3">
      <w:pPr>
        <w:rPr>
          <w:rFonts w:hint="default" w:ascii="Arial Regular" w:hAnsi="Arial Regular" w:cs="Arial Regular"/>
          <w:b/>
          <w:bCs/>
          <w:sz w:val="24"/>
          <w:szCs w:val="24"/>
        </w:rPr>
      </w:pPr>
    </w:p>
    <w:p w14:paraId="3F0E6B24">
      <w:pPr>
        <w:rPr>
          <w:rFonts w:hint="default" w:ascii="Arial Regular" w:hAnsi="Arial Regular" w:cs="Arial Regular"/>
          <w:b/>
          <w:bCs/>
          <w:sz w:val="24"/>
          <w:szCs w:val="24"/>
        </w:rPr>
      </w:pPr>
    </w:p>
    <w:p w14:paraId="0ED93FB1">
      <w:pPr>
        <w:rPr>
          <w:rFonts w:hint="default" w:ascii="Arial Regular" w:hAnsi="Arial Regular" w:cs="Arial Regular"/>
          <w:b/>
          <w:bCs/>
          <w:sz w:val="24"/>
          <w:szCs w:val="24"/>
        </w:rPr>
      </w:pPr>
      <w:r>
        <w:rPr>
          <w:rFonts w:hint="default" w:ascii="Arial Regular" w:hAnsi="Arial Regular" w:cs="Arial Regular"/>
          <w:b/>
          <w:bCs/>
          <w:sz w:val="24"/>
          <w:szCs w:val="24"/>
        </w:rPr>
        <w:t>Reference</w:t>
      </w:r>
    </w:p>
    <w:p w14:paraId="378BD459">
      <w:pPr>
        <w:rPr>
          <w:rFonts w:hint="default" w:ascii="Arial Regular" w:hAnsi="Arial Regular" w:cs="Arial Regular"/>
          <w:sz w:val="24"/>
          <w:szCs w:val="24"/>
        </w:rPr>
      </w:pPr>
      <w:r>
        <w:rPr>
          <w:rFonts w:hint="default" w:ascii="Arial Regular" w:hAnsi="Arial Regular" w:cs="Arial Regular"/>
          <w:sz w:val="24"/>
          <w:szCs w:val="24"/>
        </w:rPr>
        <w:t>Barreto, M., Victor, C., Hammond, C., Eccles, A., Richins, M. T., &amp; Qualter, P. (2021). Loneliness around the world: Age, gender, and cultural differences in loneliness. </w:t>
      </w:r>
      <w:r>
        <w:rPr>
          <w:rFonts w:hint="default" w:ascii="Arial Regular" w:hAnsi="Arial Regular" w:cs="Arial Regular"/>
          <w:i/>
          <w:iCs/>
          <w:sz w:val="24"/>
          <w:szCs w:val="24"/>
        </w:rPr>
        <w:t>Personality and individual differences</w:t>
      </w:r>
      <w:r>
        <w:rPr>
          <w:rFonts w:hint="default" w:ascii="Arial Regular" w:hAnsi="Arial Regular" w:cs="Arial Regular"/>
          <w:sz w:val="24"/>
          <w:szCs w:val="24"/>
        </w:rPr>
        <w:t>, </w:t>
      </w:r>
      <w:r>
        <w:rPr>
          <w:rFonts w:hint="default" w:ascii="Arial Regular" w:hAnsi="Arial Regular" w:cs="Arial Regular"/>
          <w:i/>
          <w:iCs/>
          <w:sz w:val="24"/>
          <w:szCs w:val="24"/>
        </w:rPr>
        <w:t>169</w:t>
      </w:r>
      <w:r>
        <w:rPr>
          <w:rFonts w:hint="default" w:ascii="Arial Regular" w:hAnsi="Arial Regular" w:cs="Arial Regular"/>
          <w:sz w:val="24"/>
          <w:szCs w:val="24"/>
        </w:rPr>
        <w:t>, 110066.</w:t>
      </w:r>
    </w:p>
    <w:p w14:paraId="19B15AC9">
      <w:pPr>
        <w:rPr>
          <w:rFonts w:hint="default" w:ascii="Arial Regular" w:hAnsi="Arial Regular" w:cs="Arial Regular"/>
          <w:sz w:val="24"/>
          <w:szCs w:val="24"/>
        </w:rPr>
      </w:pPr>
    </w:p>
    <w:p w14:paraId="1993620C">
      <w:pPr>
        <w:rPr>
          <w:rFonts w:hint="default" w:ascii="Arial Regular" w:hAnsi="Arial Regular" w:cs="Arial Regular"/>
          <w:sz w:val="24"/>
          <w:szCs w:val="24"/>
        </w:rPr>
      </w:pPr>
      <w:r>
        <w:rPr>
          <w:rFonts w:hint="default" w:ascii="Arial Regular" w:hAnsi="Arial Regular" w:cs="Arial Regular"/>
          <w:sz w:val="24"/>
          <w:szCs w:val="24"/>
        </w:rPr>
        <w:t>Krendl, A. C., &amp; Pescosolido, B. A. (2020). Countries and cultural differences in the stigma of mental illness: the east–west divide. </w:t>
      </w:r>
      <w:r>
        <w:rPr>
          <w:rFonts w:hint="default" w:ascii="Arial Regular" w:hAnsi="Arial Regular" w:cs="Arial Regular"/>
          <w:i/>
          <w:iCs/>
          <w:sz w:val="24"/>
          <w:szCs w:val="24"/>
        </w:rPr>
        <w:t>Journal of Cross-Cultural Psychology</w:t>
      </w:r>
      <w:r>
        <w:rPr>
          <w:rFonts w:hint="default" w:ascii="Arial Regular" w:hAnsi="Arial Regular" w:cs="Arial Regular"/>
          <w:sz w:val="24"/>
          <w:szCs w:val="24"/>
        </w:rPr>
        <w:t>, </w:t>
      </w:r>
      <w:r>
        <w:rPr>
          <w:rFonts w:hint="default" w:ascii="Arial Regular" w:hAnsi="Arial Regular" w:cs="Arial Regular"/>
          <w:i/>
          <w:iCs/>
          <w:sz w:val="24"/>
          <w:szCs w:val="24"/>
        </w:rPr>
        <w:t>51</w:t>
      </w:r>
      <w:r>
        <w:rPr>
          <w:rFonts w:hint="default" w:ascii="Arial Regular" w:hAnsi="Arial Regular" w:cs="Arial Regular"/>
          <w:sz w:val="24"/>
          <w:szCs w:val="24"/>
        </w:rPr>
        <w:t>(2), 149-167.</w:t>
      </w:r>
    </w:p>
    <w:p w14:paraId="0D9DC305">
      <w:pPr>
        <w:rPr>
          <w:rFonts w:hint="default" w:ascii="Arial Regular" w:hAnsi="Arial Regular" w:cs="Arial Regular"/>
          <w:sz w:val="24"/>
          <w:szCs w:val="24"/>
        </w:rPr>
      </w:pPr>
    </w:p>
    <w:p w14:paraId="00545341">
      <w:pPr>
        <w:rPr>
          <w:rFonts w:hint="default" w:ascii="Arial Regular" w:hAnsi="Arial Regular" w:cs="Arial Regular"/>
          <w:sz w:val="24"/>
          <w:szCs w:val="24"/>
        </w:rPr>
      </w:pPr>
      <w:r>
        <w:rPr>
          <w:rFonts w:hint="default" w:ascii="Arial Regular" w:hAnsi="Arial Regular" w:cs="Arial Regular"/>
          <w:sz w:val="24"/>
          <w:szCs w:val="24"/>
        </w:rPr>
        <w:t>Bailey, R. K., Mokonogho, J., &amp; Kumar, A. (2019). Racial and ethnic differences in depression: current perspectives. </w:t>
      </w:r>
      <w:r>
        <w:rPr>
          <w:rFonts w:hint="default" w:ascii="Arial Regular" w:hAnsi="Arial Regular" w:cs="Arial Regular"/>
          <w:i/>
          <w:iCs/>
          <w:sz w:val="24"/>
          <w:szCs w:val="24"/>
        </w:rPr>
        <w:t>Neuropsychiatric disease and treatment</w:t>
      </w:r>
      <w:r>
        <w:rPr>
          <w:rFonts w:hint="default" w:ascii="Arial Regular" w:hAnsi="Arial Regular" w:cs="Arial Regular"/>
          <w:sz w:val="24"/>
          <w:szCs w:val="24"/>
        </w:rPr>
        <w:t>, 603-609.</w:t>
      </w:r>
    </w:p>
    <w:p w14:paraId="61B3AD90">
      <w:pPr>
        <w:rPr>
          <w:rFonts w:hint="default" w:ascii="Arial Regular" w:hAnsi="Arial Regular" w:cs="Arial Regular"/>
          <w:sz w:val="24"/>
          <w:szCs w:val="24"/>
        </w:rPr>
      </w:pPr>
    </w:p>
    <w:p w14:paraId="1CD30898">
      <w:pPr>
        <w:rPr>
          <w:rFonts w:hint="default" w:ascii="Arial Regular" w:hAnsi="Arial Regular" w:cs="Arial Regular"/>
          <w:sz w:val="24"/>
          <w:szCs w:val="24"/>
        </w:rPr>
      </w:pPr>
      <w:r>
        <w:rPr>
          <w:rFonts w:hint="default" w:ascii="Arial Regular" w:hAnsi="Arial Regular" w:cs="Arial Regular"/>
          <w:sz w:val="24"/>
          <w:szCs w:val="24"/>
        </w:rPr>
        <w:t>Snowden, L. R., &amp; Yamada, A. M. (2005). Cultural differences in access to care. </w:t>
      </w:r>
      <w:r>
        <w:rPr>
          <w:rFonts w:hint="default" w:ascii="Arial Regular" w:hAnsi="Arial Regular" w:cs="Arial Regular"/>
          <w:i/>
          <w:iCs/>
          <w:sz w:val="24"/>
          <w:szCs w:val="24"/>
        </w:rPr>
        <w:t>Annu. Rev. Clin. Psychol.</w:t>
      </w:r>
      <w:r>
        <w:rPr>
          <w:rFonts w:hint="default" w:ascii="Arial Regular" w:hAnsi="Arial Regular" w:cs="Arial Regular"/>
          <w:sz w:val="24"/>
          <w:szCs w:val="24"/>
        </w:rPr>
        <w:t>, </w:t>
      </w:r>
      <w:r>
        <w:rPr>
          <w:rFonts w:hint="default" w:ascii="Arial Regular" w:hAnsi="Arial Regular" w:cs="Arial Regular"/>
          <w:i/>
          <w:iCs/>
          <w:sz w:val="24"/>
          <w:szCs w:val="24"/>
        </w:rPr>
        <w:t>1</w:t>
      </w:r>
      <w:r>
        <w:rPr>
          <w:rFonts w:hint="default" w:ascii="Arial Regular" w:hAnsi="Arial Regular" w:cs="Arial Regular"/>
          <w:sz w:val="24"/>
          <w:szCs w:val="24"/>
        </w:rPr>
        <w:t>(1), 143-166.</w:t>
      </w:r>
    </w:p>
    <w:p w14:paraId="1252FAB3">
      <w:pPr>
        <w:rPr>
          <w:rFonts w:hint="default" w:ascii="Arial Regular" w:hAnsi="Arial Regular" w:cs="Arial Regular"/>
          <w:sz w:val="24"/>
          <w:szCs w:val="24"/>
        </w:rPr>
      </w:pPr>
    </w:p>
    <w:p w14:paraId="73F8E228">
      <w:pPr>
        <w:rPr>
          <w:rFonts w:hint="default" w:ascii="Arial Regular" w:hAnsi="Arial Regular" w:cs="Arial Regular"/>
          <w:sz w:val="24"/>
          <w:szCs w:val="24"/>
        </w:rPr>
      </w:pPr>
      <w:r>
        <w:rPr>
          <w:rFonts w:hint="default" w:ascii="Arial Regular" w:hAnsi="Arial Regular" w:cs="Arial Regular"/>
          <w:sz w:val="24"/>
          <w:szCs w:val="24"/>
        </w:rPr>
        <w:t>Na, J., Grossmann, I., Varnum, M. E., Kitayama, S., Gonzalez, R., &amp; Nisbett, R. E. (2010). Cultural differences are not always reducible to individual differences. </w:t>
      </w:r>
      <w:r>
        <w:rPr>
          <w:rFonts w:hint="default" w:ascii="Arial Regular" w:hAnsi="Arial Regular" w:cs="Arial Regular"/>
          <w:i/>
          <w:iCs/>
          <w:sz w:val="24"/>
          <w:szCs w:val="24"/>
        </w:rPr>
        <w:t>Proceedings of the National Academy of Sciences</w:t>
      </w:r>
      <w:r>
        <w:rPr>
          <w:rFonts w:hint="default" w:ascii="Arial Regular" w:hAnsi="Arial Regular" w:cs="Arial Regular"/>
          <w:sz w:val="24"/>
          <w:szCs w:val="24"/>
        </w:rPr>
        <w:t>, </w:t>
      </w:r>
      <w:r>
        <w:rPr>
          <w:rFonts w:hint="default" w:ascii="Arial Regular" w:hAnsi="Arial Regular" w:cs="Arial Regular"/>
          <w:i/>
          <w:iCs/>
          <w:sz w:val="24"/>
          <w:szCs w:val="24"/>
        </w:rPr>
        <w:t>107</w:t>
      </w:r>
      <w:r>
        <w:rPr>
          <w:rFonts w:hint="default" w:ascii="Arial Regular" w:hAnsi="Arial Regular" w:cs="Arial Regular"/>
          <w:sz w:val="24"/>
          <w:szCs w:val="24"/>
        </w:rPr>
        <w:t>(14), 6192-6197</w:t>
      </w:r>
    </w:p>
    <w:p w14:paraId="03B7DF1C">
      <w:pPr>
        <w:rPr>
          <w:rFonts w:hint="default" w:ascii="Arial Regular" w:hAnsi="Arial Regular" w:cs="Arial Regular"/>
          <w:sz w:val="24"/>
          <w:szCs w:val="24"/>
        </w:rPr>
      </w:pPr>
    </w:p>
    <w:p w14:paraId="166AA3DF">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Banutu-Gomez, M. B. (2012). Coca-Cola: International business strategy for globalization. </w:t>
      </w:r>
      <w:r>
        <w:rPr>
          <w:rFonts w:hint="default" w:ascii="Arial Regular" w:hAnsi="Arial Regular" w:eastAsia="宋体" w:cs="Arial Regular"/>
          <w:i/>
          <w:iCs/>
          <w:caps w:val="0"/>
          <w:color w:val="222222"/>
          <w:spacing w:val="0"/>
          <w:kern w:val="0"/>
          <w:sz w:val="24"/>
          <w:szCs w:val="24"/>
          <w:u w:val="none"/>
          <w:lang w:val="en-US" w:eastAsia="zh-CN" w:bidi="ar"/>
        </w:rPr>
        <w:t>The Business &amp; Management Review</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3</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(1), 155.</w:t>
      </w:r>
    </w:p>
    <w:p w14:paraId="22D09CD1">
      <w:pPr>
        <w:rPr>
          <w:rFonts w:hint="default" w:ascii="Arial Regular" w:hAnsi="Arial Regular" w:cs="Arial Regular"/>
          <w:sz w:val="24"/>
          <w:szCs w:val="24"/>
        </w:rPr>
      </w:pPr>
    </w:p>
    <w:p w14:paraId="3A30F51E">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Barkay, T. (2013). When business and community meet: A case study of Coca-Cola. </w:t>
      </w:r>
      <w:r>
        <w:rPr>
          <w:rFonts w:hint="default" w:ascii="Arial Regular" w:hAnsi="Arial Regular" w:eastAsia="宋体" w:cs="Arial Regular"/>
          <w:i/>
          <w:iCs/>
          <w:caps w:val="0"/>
          <w:color w:val="222222"/>
          <w:spacing w:val="0"/>
          <w:kern w:val="0"/>
          <w:sz w:val="24"/>
          <w:szCs w:val="24"/>
          <w:u w:val="none"/>
          <w:lang w:val="en-US" w:eastAsia="zh-CN" w:bidi="ar"/>
        </w:rPr>
        <w:t>Critical Sociology</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39</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(2), 277-293.</w:t>
      </w:r>
    </w:p>
    <w:p w14:paraId="6FA0D069">
      <w:pPr>
        <w:rPr>
          <w:rFonts w:hint="default" w:ascii="Arial Regular" w:hAnsi="Arial Regular" w:cs="Arial Regular"/>
          <w:sz w:val="24"/>
          <w:szCs w:val="24"/>
        </w:rPr>
      </w:pPr>
    </w:p>
    <w:p w14:paraId="0D0FA0F1">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Tien, N. H., Vu, N. T., &amp; Tien, N. V. (2019). The role of brand and brand management in creating business value case of Coca-Cola Vietnam. </w:t>
      </w:r>
      <w:r>
        <w:rPr>
          <w:rFonts w:hint="default" w:ascii="Arial Regular" w:hAnsi="Arial Regular" w:eastAsia="宋体" w:cs="Arial Regular"/>
          <w:i/>
          <w:iCs/>
          <w:caps w:val="0"/>
          <w:color w:val="222222"/>
          <w:spacing w:val="0"/>
          <w:kern w:val="0"/>
          <w:sz w:val="24"/>
          <w:szCs w:val="24"/>
          <w:u w:val="none"/>
          <w:lang w:val="en-US" w:eastAsia="zh-CN" w:bidi="ar"/>
        </w:rPr>
        <w:t>International journal of research in marketing management and sales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1</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(2), 57-62.</w:t>
      </w:r>
    </w:p>
    <w:p w14:paraId="11AB2135">
      <w:pPr>
        <w:rPr>
          <w:rFonts w:hint="default" w:ascii="Arial Regular" w:hAnsi="Arial Regular" w:cs="Arial Regular"/>
          <w:sz w:val="24"/>
          <w:szCs w:val="24"/>
        </w:rPr>
      </w:pPr>
    </w:p>
    <w:p w14:paraId="5028DE69">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Banks, H. (2016). The business of peace: Coca-Cola's contribution to stability, growth, and optimism. </w:t>
      </w:r>
      <w:r>
        <w:rPr>
          <w:rFonts w:hint="default" w:ascii="Arial Regular" w:hAnsi="Arial Regular" w:eastAsia="宋体" w:cs="Arial Regular"/>
          <w:i/>
          <w:iCs/>
          <w:caps w:val="0"/>
          <w:color w:val="222222"/>
          <w:spacing w:val="0"/>
          <w:kern w:val="0"/>
          <w:sz w:val="24"/>
          <w:szCs w:val="24"/>
          <w:u w:val="none"/>
          <w:lang w:val="en-US" w:eastAsia="zh-CN" w:bidi="ar"/>
        </w:rPr>
        <w:t>Business Horizons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59</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(5), 455-461.</w:t>
      </w:r>
    </w:p>
    <w:p w14:paraId="626FC713">
      <w:pPr>
        <w:rPr>
          <w:rFonts w:hint="default" w:ascii="Arial Regular" w:hAnsi="Arial Regular" w:cs="Arial Regular"/>
          <w:sz w:val="24"/>
          <w:szCs w:val="24"/>
        </w:rPr>
      </w:pPr>
    </w:p>
    <w:p w14:paraId="7DBDB3CB">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Knežević, A. G., Koprivica, I., &amp; Kriste, L. M. THE CASE STUDY OF THE COCA-COLA COMPANY. </w:t>
      </w:r>
      <w:r>
        <w:rPr>
          <w:rFonts w:hint="default" w:ascii="Arial Regular" w:hAnsi="Arial Regular" w:eastAsia="宋体" w:cs="Arial Regular"/>
          <w:i/>
          <w:iCs/>
          <w:caps w:val="0"/>
          <w:color w:val="222222"/>
          <w:spacing w:val="0"/>
          <w:kern w:val="0"/>
          <w:sz w:val="24"/>
          <w:szCs w:val="24"/>
          <w:u w:val="none"/>
          <w:lang w:val="en-US" w:eastAsia="zh-CN" w:bidi="ar"/>
        </w:rPr>
        <w:t>COMPANY ANALYSIS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71.</w:t>
      </w:r>
    </w:p>
    <w:p w14:paraId="5210341D">
      <w:pPr>
        <w:rPr>
          <w:rFonts w:hint="default" w:ascii="Arial Regular" w:hAnsi="Arial Regular" w:cs="Arial Regular"/>
          <w:sz w:val="24"/>
          <w:szCs w:val="24"/>
        </w:rPr>
      </w:pPr>
    </w:p>
    <w:p w14:paraId="1555AF3E">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Huse, O., Reeve, E., Bell, C., Sacks, G., Baker, P., Wood, B., &amp; Backholer, K. (2022). Strategies used by the soft drink industry to grow and sustain sales: a case-study of The Coca-Cola Company in East Asia. </w:t>
      </w:r>
      <w:r>
        <w:rPr>
          <w:rFonts w:hint="default" w:ascii="Arial Regular" w:hAnsi="Arial Regular" w:eastAsia="宋体" w:cs="Arial Regular"/>
          <w:i/>
          <w:iCs/>
          <w:caps w:val="0"/>
          <w:color w:val="222222"/>
          <w:spacing w:val="0"/>
          <w:kern w:val="0"/>
          <w:sz w:val="24"/>
          <w:szCs w:val="24"/>
          <w:u w:val="none"/>
          <w:lang w:val="en-US" w:eastAsia="zh-CN" w:bidi="ar"/>
        </w:rPr>
        <w:t>BMJ global health</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7</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(12), e010386.</w:t>
      </w:r>
    </w:p>
    <w:p w14:paraId="55D9FF41">
      <w:pPr>
        <w:rPr>
          <w:rFonts w:hint="default" w:ascii="Arial Regular" w:hAnsi="Arial Regular" w:cs="Arial Regular"/>
          <w:sz w:val="24"/>
          <w:szCs w:val="24"/>
        </w:rPr>
      </w:pPr>
    </w:p>
    <w:p w14:paraId="6F9369F0">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Li, M. (2022, December). Strategy and financial statement analysis of the Coca-Cola Company. In </w:t>
      </w:r>
      <w:r>
        <w:rPr>
          <w:rFonts w:hint="default" w:ascii="Arial Regular" w:hAnsi="Arial Regular" w:eastAsia="宋体" w:cs="Arial Regular"/>
          <w:i/>
          <w:iCs/>
          <w:caps w:val="0"/>
          <w:color w:val="222222"/>
          <w:spacing w:val="0"/>
          <w:kern w:val="0"/>
          <w:sz w:val="24"/>
          <w:szCs w:val="24"/>
          <w:u w:val="none"/>
          <w:lang w:val="en-US" w:eastAsia="zh-CN" w:bidi="ar"/>
        </w:rPr>
        <w:t>2022 2nd International Conference on Financial Management and Economic Transition (FMET 2022)</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(pp. 264-273). Atlantis Press.</w:t>
      </w:r>
    </w:p>
    <w:p w14:paraId="5B16D3F9">
      <w:pPr>
        <w:rPr>
          <w:rFonts w:hint="default" w:ascii="Arial Regular" w:hAnsi="Arial Regular" w:cs="Arial Regular"/>
          <w:sz w:val="24"/>
          <w:szCs w:val="24"/>
        </w:rPr>
      </w:pPr>
    </w:p>
    <w:p w14:paraId="69F15891">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Simões-Coelho, M., Figueira, A. R., &amp; Russo, E. (2023). Balancing global corporate sustainability engagement in asymmetric markets: The Coca-Cola Co. case. </w:t>
      </w:r>
      <w:r>
        <w:rPr>
          <w:rFonts w:hint="default" w:ascii="Arial Regular" w:hAnsi="Arial Regular" w:eastAsia="宋体" w:cs="Arial Regular"/>
          <w:i/>
          <w:iCs/>
          <w:caps w:val="0"/>
          <w:color w:val="222222"/>
          <w:spacing w:val="0"/>
          <w:kern w:val="0"/>
          <w:sz w:val="24"/>
          <w:szCs w:val="24"/>
          <w:u w:val="none"/>
          <w:lang w:val="en-US" w:eastAsia="zh-CN" w:bidi="ar"/>
        </w:rPr>
        <w:t>Sustainable Production and Consumption</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40</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89-100.</w:t>
      </w:r>
    </w:p>
    <w:p w14:paraId="087DEE9F">
      <w:pPr>
        <w:rPr>
          <w:rFonts w:hint="default" w:ascii="Arial Regular" w:hAnsi="Arial Regular" w:cs="Arial Regular"/>
          <w:sz w:val="24"/>
          <w:szCs w:val="24"/>
        </w:rPr>
      </w:pPr>
    </w:p>
    <w:p w14:paraId="1E8E995F">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Tin, S. T., &amp; Othman, Z. (2025). Navigating Boycott Challenges A Case Study of Coca-Cola Malaysia. </w:t>
      </w:r>
      <w:r>
        <w:rPr>
          <w:rFonts w:hint="default" w:ascii="Arial Regular" w:hAnsi="Arial Regular" w:eastAsia="宋体" w:cs="Arial Regular"/>
          <w:i/>
          <w:iCs/>
          <w:caps w:val="0"/>
          <w:color w:val="222222"/>
          <w:spacing w:val="0"/>
          <w:kern w:val="0"/>
          <w:sz w:val="24"/>
          <w:szCs w:val="24"/>
          <w:u w:val="none"/>
          <w:lang w:val="en-US" w:eastAsia="zh-CN" w:bidi="ar"/>
        </w:rPr>
        <w:t>IIUM Journal of Case Studies in Management</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16</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(1).</w:t>
      </w:r>
    </w:p>
    <w:p w14:paraId="150D35C6">
      <w:pPr>
        <w:rPr>
          <w:rFonts w:hint="default" w:ascii="Arial Regular" w:hAnsi="Arial Regular" w:cs="Arial Regular"/>
          <w:sz w:val="24"/>
          <w:szCs w:val="24"/>
        </w:rPr>
      </w:pPr>
    </w:p>
    <w:p w14:paraId="7BA52BAB">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Yulius, Y. (2022). Employee Performace Affected By Compensation and Competence in Pt Coca Cola Amatil Indonesia. </w:t>
      </w:r>
      <w:r>
        <w:rPr>
          <w:rFonts w:hint="default" w:ascii="Arial Regular" w:hAnsi="Arial Regular" w:eastAsia="宋体" w:cs="Arial Regular"/>
          <w:i/>
          <w:iCs/>
          <w:caps w:val="0"/>
          <w:color w:val="222222"/>
          <w:spacing w:val="0"/>
          <w:kern w:val="0"/>
          <w:sz w:val="24"/>
          <w:szCs w:val="24"/>
          <w:u w:val="none"/>
          <w:lang w:val="en-US" w:eastAsia="zh-CN" w:bidi="ar"/>
        </w:rPr>
        <w:t>Dinasti International Journal of Management Science</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3</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(5), 953-960.</w:t>
      </w:r>
    </w:p>
    <w:p w14:paraId="296B409F">
      <w:pPr>
        <w:rPr>
          <w:rFonts w:hint="default" w:ascii="Arial Regular" w:hAnsi="Arial Regular" w:cs="Arial Regular"/>
          <w:sz w:val="24"/>
          <w:szCs w:val="24"/>
        </w:rPr>
      </w:pPr>
    </w:p>
    <w:p w14:paraId="1FA1922B">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Arubuolawe, O. O. (2022). </w:t>
      </w:r>
      <w:r>
        <w:rPr>
          <w:rFonts w:hint="default" w:ascii="Arial Regular" w:hAnsi="Arial Regular" w:eastAsia="宋体" w:cs="Arial Regular"/>
          <w:i/>
          <w:iCs/>
          <w:caps w:val="0"/>
          <w:color w:val="222222"/>
          <w:spacing w:val="0"/>
          <w:kern w:val="0"/>
          <w:sz w:val="24"/>
          <w:szCs w:val="24"/>
          <w:u w:val="none"/>
          <w:lang w:val="en-US" w:eastAsia="zh-CN" w:bidi="ar"/>
        </w:rPr>
        <w:t>The Effect of Non-Financial Motivation on Employee commitment in an organization.(case study coco cola)</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(Doctoral dissertation, Dublin, National College of Ireland).</w:t>
      </w:r>
    </w:p>
    <w:p w14:paraId="766F74D8">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Stahl, G. K., &amp; Maznevski, M. L. (2021). Unraveling the effects of cultural diversity in teams: A retrospective of research on multicultural work groups and an agenda for future research. </w:t>
      </w:r>
      <w:r>
        <w:rPr>
          <w:rFonts w:hint="default" w:ascii="Arial Regular" w:hAnsi="Arial Regular" w:eastAsia="宋体" w:cs="Arial Regular"/>
          <w:i/>
          <w:iCs/>
          <w:caps w:val="0"/>
          <w:color w:val="222222"/>
          <w:spacing w:val="0"/>
          <w:kern w:val="0"/>
          <w:sz w:val="24"/>
          <w:szCs w:val="24"/>
          <w:u w:val="none"/>
          <w:lang w:val="en-US" w:eastAsia="zh-CN" w:bidi="ar"/>
        </w:rPr>
        <w:t>Journal of International Business Studies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52</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(1), 4.</w:t>
      </w:r>
    </w:p>
    <w:p w14:paraId="1C315765">
      <w:pPr>
        <w:rPr>
          <w:rFonts w:hint="default" w:ascii="Arial Regular" w:hAnsi="Arial Regular" w:cs="Arial Regular"/>
          <w:sz w:val="24"/>
          <w:szCs w:val="24"/>
        </w:rPr>
      </w:pPr>
    </w:p>
    <w:p w14:paraId="61171026">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Shenkar, O., Luo, Y., &amp; Chi, T. (2021). </w:t>
      </w:r>
      <w:r>
        <w:rPr>
          <w:rFonts w:hint="default" w:ascii="Arial Regular" w:hAnsi="Arial Regular" w:eastAsia="宋体" w:cs="Arial Regular"/>
          <w:i/>
          <w:iCs/>
          <w:caps w:val="0"/>
          <w:color w:val="222222"/>
          <w:spacing w:val="0"/>
          <w:kern w:val="0"/>
          <w:sz w:val="24"/>
          <w:szCs w:val="24"/>
          <w:u w:val="none"/>
          <w:lang w:val="en-US" w:eastAsia="zh-CN" w:bidi="ar"/>
        </w:rPr>
        <w:t>International business</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Routledge.</w:t>
      </w:r>
    </w:p>
    <w:p w14:paraId="1E82832E">
      <w:pPr>
        <w:rPr>
          <w:rFonts w:hint="default" w:ascii="Arial Regular" w:hAnsi="Arial Regular" w:cs="Arial Regular"/>
          <w:sz w:val="24"/>
          <w:szCs w:val="24"/>
        </w:rPr>
      </w:pPr>
    </w:p>
    <w:p w14:paraId="35A5E123">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Shams, R., Vrontis, D., Belyaeva, Z., Ferraris, A., &amp; Czinkota, M. R. (2021). Strategic agility in international business: A conceptual framework for “agile” multinationals. </w:t>
      </w:r>
      <w:r>
        <w:rPr>
          <w:rFonts w:hint="default" w:ascii="Arial Regular" w:hAnsi="Arial Regular" w:eastAsia="宋体" w:cs="Arial Regular"/>
          <w:i/>
          <w:iCs/>
          <w:caps w:val="0"/>
          <w:color w:val="222222"/>
          <w:spacing w:val="0"/>
          <w:kern w:val="0"/>
          <w:sz w:val="24"/>
          <w:szCs w:val="24"/>
          <w:u w:val="none"/>
          <w:lang w:val="en-US" w:eastAsia="zh-CN" w:bidi="ar"/>
        </w:rPr>
        <w:t>Journal of International Management</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27</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(1), 100737.</w:t>
      </w:r>
    </w:p>
    <w:p w14:paraId="040E0BC8">
      <w:pPr>
        <w:rPr>
          <w:rFonts w:hint="default" w:ascii="Arial Regular" w:hAnsi="Arial Regular" w:cs="Arial Regular"/>
          <w:sz w:val="24"/>
          <w:szCs w:val="24"/>
        </w:rPr>
      </w:pPr>
    </w:p>
    <w:p w14:paraId="4C30DC2E">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Li, J., Wu, N., &amp; Xiong, S. (2021). Sustainable innovation in the context of organizational cultural diversity: The role of cultural intelligence and knowledge sharing. </w:t>
      </w:r>
      <w:r>
        <w:rPr>
          <w:rFonts w:hint="default" w:ascii="Arial Regular" w:hAnsi="Arial Regular" w:eastAsia="宋体" w:cs="Arial Regular"/>
          <w:i/>
          <w:iCs/>
          <w:caps w:val="0"/>
          <w:color w:val="222222"/>
          <w:spacing w:val="0"/>
          <w:kern w:val="0"/>
          <w:sz w:val="24"/>
          <w:szCs w:val="24"/>
          <w:u w:val="none"/>
          <w:lang w:val="en-US" w:eastAsia="zh-CN" w:bidi="ar"/>
        </w:rPr>
        <w:t>Plos One</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16</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(5), e0250878.</w:t>
      </w:r>
    </w:p>
    <w:p w14:paraId="21710439">
      <w:pPr>
        <w:rPr>
          <w:rFonts w:hint="default" w:ascii="Arial Regular" w:hAnsi="Arial Regular" w:cs="Arial Regular"/>
          <w:sz w:val="24"/>
          <w:szCs w:val="24"/>
        </w:rPr>
      </w:pPr>
    </w:p>
    <w:p w14:paraId="5E877C5E">
      <w:pPr>
        <w:keepNext w:val="0"/>
        <w:keepLines w:val="0"/>
        <w:widowControl/>
        <w:suppressLineNumbers w:val="0"/>
        <w:jc w:val="left"/>
        <w:rPr>
          <w:rFonts w:hint="default" w:ascii="Arial Regular" w:hAnsi="Arial Regular" w:cs="Arial Regular"/>
          <w:sz w:val="24"/>
          <w:szCs w:val="24"/>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Magnani, G., &amp; Gioia, D. (2023). Using the Gioia Methodology in international business and entrepreneurship research. </w:t>
      </w:r>
      <w:r>
        <w:rPr>
          <w:rFonts w:hint="default" w:ascii="Arial Regular" w:hAnsi="Arial Regular" w:eastAsia="宋体" w:cs="Arial Regular"/>
          <w:i/>
          <w:iCs/>
          <w:caps w:val="0"/>
          <w:color w:val="222222"/>
          <w:spacing w:val="0"/>
          <w:kern w:val="0"/>
          <w:sz w:val="24"/>
          <w:szCs w:val="24"/>
          <w:u w:val="none"/>
          <w:lang w:val="en-US" w:eastAsia="zh-CN" w:bidi="ar"/>
        </w:rPr>
        <w:t>International Business Review</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 </w:t>
      </w:r>
      <w:r>
        <w:rPr>
          <w:rFonts w:hint="default" w:ascii="Arial Regular" w:hAnsi="Arial Regular" w:eastAsia="宋体" w:cs="Arial Regular"/>
          <w:i/>
          <w:iCs/>
          <w:caps w:val="0"/>
          <w:color w:val="222222"/>
          <w:spacing w:val="0"/>
          <w:kern w:val="0"/>
          <w:sz w:val="24"/>
          <w:szCs w:val="24"/>
          <w:u w:val="none"/>
          <w:lang w:val="en-US" w:eastAsia="zh-CN" w:bidi="ar"/>
        </w:rPr>
        <w:t>32</w:t>
      </w: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(2), 102097.</w:t>
      </w:r>
    </w:p>
    <w:p w14:paraId="0D11BDA4">
      <w:pPr>
        <w:rPr>
          <w:rFonts w:hint="default" w:ascii="Arial Regular" w:hAnsi="Arial Regular" w:cs="Arial Regular"/>
          <w:sz w:val="24"/>
          <w:szCs w:val="24"/>
        </w:rPr>
      </w:pPr>
    </w:p>
    <w:p w14:paraId="3A65AAF2">
      <w:pP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Chen Xi. (2022). Research on cross-cultural conflict management of British multinational companies in China. Advances in Social Sciences, 11, 3340.</w:t>
      </w:r>
    </w:p>
    <w:p w14:paraId="742AB378">
      <w:pP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p>
    <w:p w14:paraId="2D36D17F">
      <w:pP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pPr>
      <w:r>
        <w:rPr>
          <w:rFonts w:hint="default" w:ascii="Arial Regular" w:hAnsi="Arial Regular" w:eastAsia="宋体" w:cs="Arial Regular"/>
          <w:i w:val="0"/>
          <w:iCs w:val="0"/>
          <w:caps w:val="0"/>
          <w:color w:val="222222"/>
          <w:spacing w:val="0"/>
          <w:kern w:val="0"/>
          <w:sz w:val="24"/>
          <w:szCs w:val="24"/>
          <w:u w:val="none"/>
          <w:shd w:val="clear" w:fill="FFFFFF"/>
          <w:lang w:val="en-US" w:eastAsia="zh-CN" w:bidi="ar"/>
        </w:rPr>
        <w:t>Cai Junyan, &amp; Yang Xilin. (2022). The impact of cultural differences on the management of multinational enterprises and countermeasures for cross-cultural management. Shopping mall modernization, 1, 103-105.</w:t>
      </w:r>
    </w:p>
    <w:p w14:paraId="63D4369D">
      <w:pPr>
        <w:rPr>
          <w:rFonts w:ascii="Times New Roman" w:hAnsi="Times New Roman" w:cs="Times New Roman"/>
          <w:sz w:val="28"/>
          <w:szCs w:val="32"/>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汉仪中等线KW"/>
    <w:panose1 w:val="00000000000000000000"/>
    <w:charset w:val="00"/>
    <w:family w:val="auto"/>
    <w:pitch w:val="default"/>
    <w:sig w:usb0="00000000" w:usb1="00000000" w:usb2="00000000" w:usb3="00000000" w:csb0="00000000" w:csb1="00000000"/>
  </w:font>
  <w:font w:name="等线 Light">
    <w:altName w:val="汉仪中等线KW"/>
    <w:panose1 w:val="00000000000000000000"/>
    <w:charset w:val="00"/>
    <w:family w:val="auto"/>
    <w:pitch w:val="default"/>
    <w:sig w:usb0="00000000" w:usb1="00000000" w:usb2="00000000" w:usb3="00000000" w:csb0="00000000" w:csb1="00000000"/>
  </w:font>
  <w:font w:name="Arial Regular">
    <w:panose1 w:val="020B0604020202090204"/>
    <w:charset w:val="00"/>
    <w:family w:val="auto"/>
    <w:pitch w:val="default"/>
    <w:sig w:usb0="E0000AFF" w:usb1="00007843" w:usb2="00000001" w:usb3="00000000" w:csb0="400001BF" w:csb1="DFF70000"/>
  </w:font>
  <w:font w:name="微软雅黑">
    <w:altName w:val="汉仪旗黑"/>
    <w:panose1 w:val="020B0503020204020204"/>
    <w:charset w:val="86"/>
    <w:family w:val="swiss"/>
    <w:pitch w:val="default"/>
    <w:sig w:usb0="00000000" w:usb1="00000000" w:usb2="00000016" w:usb3="00000000" w:csb0="0004001F" w:csb1="00000000"/>
  </w:font>
  <w:font w:name="汉仪书宋二KW">
    <w:panose1 w:val="00020600040101010101"/>
    <w:charset w:val="86"/>
    <w:family w:val="auto"/>
    <w:pitch w:val="default"/>
    <w:sig w:usb0="A00002BF" w:usb1="18EF7CFA" w:usb2="00000016" w:usb3="00000000" w:csb0="00040000" w:csb1="00000000"/>
  </w:font>
  <w:font w:name="汉仪中等线KW">
    <w:panose1 w:val="01010104010101010101"/>
    <w:charset w:val="86"/>
    <w:family w:val="auto"/>
    <w:pitch w:val="default"/>
    <w:sig w:usb0="800002BF" w:usb1="004F7CFA" w:usb2="00000000" w:usb3="00000000" w:csb0="00040001"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Helvetica Neue">
    <w:panose1 w:val="02000503000000020004"/>
    <w:charset w:val="00"/>
    <w:family w:val="auto"/>
    <w:pitch w:val="default"/>
    <w:sig w:usb0="E50002FF" w:usb1="500079DB" w:usb2="00000010" w:usb3="00000000" w:csb0="00000000" w:csb1="00000000"/>
  </w:font>
  <w:font w:name="汉仪旗黑">
    <w:panose1 w:val="00020600040101010101"/>
    <w:charset w:val="86"/>
    <w:family w:val="auto"/>
    <w:pitch w:val="default"/>
    <w:sig w:usb0="A00002BF" w:usb1="1ACF7CFA" w:usb2="00000016" w:usb3="00000000" w:csb0="0004009F" w:csb1="DFD70000"/>
  </w:font>
  <w:font w:name="等线">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冬青黑体简体中文">
    <w:panose1 w:val="020B0300000000000000"/>
    <w:charset w:val="86"/>
    <w:family w:val="auto"/>
    <w:pitch w:val="default"/>
    <w:sig w:usb0="A00002BF" w:usb1="1ACF7CFA" w:usb2="00000016" w:usb3="00000000" w:csb0="00060007"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4"/>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DYwYTFjZDBiZGJmMzE2N2U1NTg2MjdmYjBjMzAyYTAifQ=="/>
  </w:docVars>
  <w:rsids>
    <w:rsidRoot w:val="007051A1"/>
    <w:rsid w:val="001236DB"/>
    <w:rsid w:val="001452CA"/>
    <w:rsid w:val="00187613"/>
    <w:rsid w:val="002D3D0F"/>
    <w:rsid w:val="003F5F23"/>
    <w:rsid w:val="004D7052"/>
    <w:rsid w:val="0060701B"/>
    <w:rsid w:val="00697232"/>
    <w:rsid w:val="006A48C8"/>
    <w:rsid w:val="006A49AA"/>
    <w:rsid w:val="007051A1"/>
    <w:rsid w:val="009717A9"/>
    <w:rsid w:val="009C3B0C"/>
    <w:rsid w:val="00A73F90"/>
    <w:rsid w:val="00B0606B"/>
    <w:rsid w:val="00CE37BC"/>
    <w:rsid w:val="00D44E30"/>
    <w:rsid w:val="00DC3649"/>
    <w:rsid w:val="00E31589"/>
    <w:rsid w:val="00E85290"/>
    <w:rsid w:val="00EC0270"/>
    <w:rsid w:val="77D7EE70"/>
    <w:rsid w:val="F6C563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78" w:lineRule="auto"/>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qFormat/>
    <w:uiPriority w:val="9"/>
    <w:pPr>
      <w:keepNext/>
      <w:keepLines/>
      <w:spacing w:before="340" w:after="330" w:line="578" w:lineRule="auto"/>
      <w:outlineLvl w:val="0"/>
    </w:pPr>
    <w:rPr>
      <w:b/>
      <w:bCs/>
      <w:kern w:val="44"/>
      <w:sz w:val="44"/>
      <w:szCs w:val="44"/>
    </w:rPr>
  </w:style>
  <w:style w:type="character" w:default="1" w:styleId="7">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3">
    <w:name w:val="toc 1"/>
    <w:basedOn w:val="1"/>
    <w:next w:val="1"/>
    <w:unhideWhenUsed/>
    <w:uiPriority w:val="39"/>
    <w:pPr>
      <w:tabs>
        <w:tab w:val="right" w:leader="dot" w:pos="8296"/>
      </w:tabs>
    </w:pPr>
    <w:rPr>
      <w:rFonts w:ascii="Times New Roman" w:hAnsi="Times New Roman" w:cs="Times New Roman"/>
      <w:sz w:val="24"/>
      <w:szCs w:val="28"/>
    </w:rPr>
  </w:style>
  <w:style w:type="paragraph" w:styleId="4">
    <w:name w:val="toc 2"/>
    <w:basedOn w:val="1"/>
    <w:next w:val="1"/>
    <w:unhideWhenUsed/>
    <w:uiPriority w:val="39"/>
    <w:pPr>
      <w:ind w:left="420" w:leftChars="200"/>
    </w:pPr>
  </w:style>
  <w:style w:type="paragraph" w:styleId="5">
    <w:name w:val="Title"/>
    <w:basedOn w:val="1"/>
    <w:next w:val="1"/>
    <w:qFormat/>
    <w:uiPriority w:val="10"/>
    <w:pPr>
      <w:pBdr>
        <w:bottom w:val="single" w:color="156082" w:themeColor="accent1" w:sz="8" w:space="4"/>
      </w:pBdr>
      <w:spacing w:after="300" w:line="240" w:lineRule="auto"/>
      <w:contextualSpacing/>
    </w:pPr>
    <w:rPr>
      <w:rFonts w:asciiTheme="majorHAnsi" w:hAnsiTheme="majorHAnsi" w:eastAsiaTheme="majorEastAsia" w:cstheme="majorBidi"/>
      <w:color w:val="0B1E31" w:themeColor="text2" w:themeShade="BF"/>
      <w:spacing w:val="5"/>
      <w:sz w:val="52"/>
      <w:szCs w:val="52"/>
    </w:rPr>
  </w:style>
  <w:style w:type="character" w:styleId="8">
    <w:name w:val="Hyperlink"/>
    <w:basedOn w:val="7"/>
    <w:unhideWhenUsed/>
    <w:uiPriority w:val="99"/>
    <w:rPr>
      <w:color w:val="467886" w:themeColor="hyperlink"/>
      <w:u w:val="single"/>
      <w14:textFill>
        <w14:solidFill>
          <w14:schemeClr w14:val="hlink"/>
        </w14:solidFill>
      </w14:textFill>
    </w:rPr>
  </w:style>
  <w:style w:type="paragraph" w:customStyle="1" w:styleId="9">
    <w:name w:val="列表段落1"/>
    <w:basedOn w:val="1"/>
    <w:qFormat/>
    <w:uiPriority w:val="34"/>
    <w:pPr>
      <w:ind w:firstLine="420" w:firstLineChars="200"/>
    </w:pPr>
  </w:style>
  <w:style w:type="paragraph" w:customStyle="1" w:styleId="10">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104862" w:themeColor="accent1" w:themeShade="BF"/>
      <w:kern w:val="0"/>
      <w:sz w:val="32"/>
      <w:szCs w:val="32"/>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13</Pages>
  <Words>2804</Words>
  <Characters>15983</Characters>
  <Lines>133</Lines>
  <Paragraphs>37</Paragraphs>
  <TotalTime>0</TotalTime>
  <ScaleCrop>false</ScaleCrop>
  <LinksUpToDate>false</LinksUpToDate>
  <CharactersWithSpaces>18750</CharactersWithSpaces>
  <Application>WPS Office_6.12.0.8899_F1E327BC-269C-435d-A152-05C5408002CA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2025-01-11T08:59:00Z</dcterms:created>
  <dc:creator>超伦 袁</dc:creator>
  <cp:lastModifiedBy>。</cp:lastModifiedBy>
  <dcterms:modified xsi:type="dcterms:W3CDTF">2025-01-10T22:16:40Z</dcterms:modified>
  <cp:revision>59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5296E2E9F3A6BFE8262B8167E55ADA11_43</vt:lpwstr>
  </property>
  <property fmtid="{D5CDD505-2E9C-101B-9397-08002B2CF9AE}" pid="3" name="KSOProductBuildVer">
    <vt:lpwstr>2052-6.12.0.8899</vt:lpwstr>
  </property>
</Properties>
</file>