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5E1349" w14:textId="1C68DFCA" w:rsidR="003C5832" w:rsidRPr="00E654A2" w:rsidRDefault="009B0FC1" w:rsidP="003C5832">
      <w:pPr>
        <w:pStyle w:val="Heading3"/>
        <w:jc w:val="both"/>
        <w:rPr>
          <w:rFonts w:ascii="Arial" w:hAnsi="Arial" w:cs="Arial"/>
          <w:color w:val="auto"/>
          <w:sz w:val="24"/>
          <w:szCs w:val="24"/>
          <w:lang w:eastAsia="en-GB"/>
        </w:rPr>
      </w:pPr>
      <w:r>
        <w:rPr>
          <w:rFonts w:ascii="Arial" w:hAnsi="Arial" w:cs="Arial"/>
          <w:b/>
          <w:bCs/>
          <w:color w:val="auto"/>
          <w:sz w:val="24"/>
          <w:szCs w:val="24"/>
        </w:rPr>
        <w:t xml:space="preserve">Portfolio </w:t>
      </w:r>
    </w:p>
    <w:p w14:paraId="24FAC132" w14:textId="0927D12E" w:rsidR="00470240" w:rsidRPr="00E654A2" w:rsidRDefault="00470240">
      <w:pPr>
        <w:jc w:val="both"/>
        <w:rPr>
          <w:rFonts w:ascii="Arial" w:hAnsi="Arial" w:cs="Arial"/>
          <w:lang w:eastAsia="en-GB"/>
        </w:rPr>
      </w:pPr>
      <w:r w:rsidRPr="00E654A2">
        <w:rPr>
          <w:rFonts w:ascii="Arial" w:hAnsi="Arial" w:cs="Arial"/>
          <w:sz w:val="24"/>
          <w:szCs w:val="24"/>
        </w:rPr>
        <w:t xml:space="preserve">This portfolio describes what competent </w:t>
      </w:r>
      <w:r w:rsidR="003A7A89" w:rsidRPr="00E654A2">
        <w:rPr>
          <w:rFonts w:ascii="Arial" w:hAnsi="Arial" w:cs="Arial"/>
          <w:sz w:val="24"/>
          <w:szCs w:val="24"/>
        </w:rPr>
        <w:t>Chartered</w:t>
      </w:r>
      <w:r w:rsidR="00A442C7" w:rsidRPr="00E654A2">
        <w:rPr>
          <w:rFonts w:ascii="Arial" w:hAnsi="Arial" w:cs="Arial"/>
          <w:sz w:val="24"/>
          <w:szCs w:val="24"/>
        </w:rPr>
        <w:t xml:space="preserve"> secretarial and </w:t>
      </w:r>
      <w:r w:rsidRPr="00E654A2">
        <w:rPr>
          <w:rFonts w:ascii="Arial" w:hAnsi="Arial" w:cs="Arial"/>
          <w:sz w:val="24"/>
          <w:szCs w:val="24"/>
        </w:rPr>
        <w:t xml:space="preserve">governance </w:t>
      </w:r>
      <w:r w:rsidR="00A82A01" w:rsidRPr="00E654A2">
        <w:rPr>
          <w:rFonts w:ascii="Arial" w:hAnsi="Arial" w:cs="Arial"/>
          <w:sz w:val="24"/>
          <w:szCs w:val="24"/>
        </w:rPr>
        <w:t>practice</w:t>
      </w:r>
      <w:r w:rsidRPr="00E654A2">
        <w:rPr>
          <w:rFonts w:ascii="Arial" w:hAnsi="Arial" w:cs="Arial"/>
          <w:sz w:val="24"/>
          <w:szCs w:val="24"/>
        </w:rPr>
        <w:t xml:space="preserve"> looks like </w:t>
      </w:r>
      <w:r w:rsidR="0057309C">
        <w:rPr>
          <w:rFonts w:ascii="Arial" w:hAnsi="Arial" w:cs="Arial"/>
          <w:sz w:val="24"/>
          <w:szCs w:val="24"/>
        </w:rPr>
        <w:t>alongside</w:t>
      </w:r>
      <w:r w:rsidRPr="00E654A2">
        <w:rPr>
          <w:rFonts w:ascii="Arial" w:hAnsi="Arial" w:cs="Arial"/>
          <w:sz w:val="24"/>
          <w:szCs w:val="24"/>
        </w:rPr>
        <w:t xml:space="preserve"> board</w:t>
      </w:r>
      <w:r w:rsidR="00653233" w:rsidRPr="00E654A2">
        <w:rPr>
          <w:rFonts w:ascii="Arial" w:hAnsi="Arial" w:cs="Arial"/>
          <w:sz w:val="24"/>
          <w:szCs w:val="24"/>
        </w:rPr>
        <w:t xml:space="preserve"> level</w:t>
      </w:r>
      <w:r w:rsidRPr="00E654A2">
        <w:rPr>
          <w:rFonts w:ascii="Arial" w:hAnsi="Arial" w:cs="Arial"/>
          <w:sz w:val="24"/>
          <w:szCs w:val="24"/>
        </w:rPr>
        <w:t xml:space="preserve"> decision</w:t>
      </w:r>
      <w:r w:rsidR="00653233" w:rsidRPr="00E654A2">
        <w:rPr>
          <w:rFonts w:ascii="Arial" w:hAnsi="Arial" w:cs="Arial"/>
          <w:sz w:val="24"/>
          <w:szCs w:val="24"/>
        </w:rPr>
        <w:t xml:space="preserve"> making</w:t>
      </w:r>
      <w:r w:rsidRPr="00E654A2">
        <w:rPr>
          <w:rFonts w:ascii="Arial" w:hAnsi="Arial" w:cs="Arial"/>
          <w:sz w:val="24"/>
          <w:szCs w:val="24"/>
        </w:rPr>
        <w:t xml:space="preserve">. It moves </w:t>
      </w:r>
      <w:r w:rsidR="00AA4FA5" w:rsidRPr="00E654A2">
        <w:rPr>
          <w:rFonts w:ascii="Arial" w:hAnsi="Arial" w:cs="Arial"/>
          <w:sz w:val="24"/>
          <w:szCs w:val="24"/>
        </w:rPr>
        <w:t>from practice evidence</w:t>
      </w:r>
      <w:r w:rsidR="005453CA" w:rsidRPr="00E654A2">
        <w:rPr>
          <w:rFonts w:ascii="Arial" w:hAnsi="Arial" w:cs="Arial"/>
          <w:sz w:val="24"/>
          <w:szCs w:val="24"/>
        </w:rPr>
        <w:t xml:space="preserve"> by using </w:t>
      </w:r>
      <w:r w:rsidR="00AA4FA5" w:rsidRPr="00E654A2">
        <w:rPr>
          <w:rFonts w:ascii="Arial" w:hAnsi="Arial" w:cs="Arial"/>
          <w:sz w:val="24"/>
          <w:szCs w:val="24"/>
        </w:rPr>
        <w:t>micro</w:t>
      </w:r>
      <w:r w:rsidR="00AA4FA5" w:rsidRPr="00E654A2">
        <w:rPr>
          <w:rFonts w:ascii="Arial" w:hAnsi="Arial" w:cs="Arial"/>
          <w:sz w:val="24"/>
          <w:szCs w:val="24"/>
        </w:rPr>
        <w:noBreakHyphen/>
        <w:t>cases</w:t>
      </w:r>
      <w:r w:rsidRPr="00E654A2">
        <w:rPr>
          <w:rFonts w:ascii="Arial" w:hAnsi="Arial" w:cs="Arial"/>
          <w:sz w:val="24"/>
          <w:szCs w:val="24"/>
        </w:rPr>
        <w:t xml:space="preserve"> to a conceptual model, and then to an applied learning and development plan aligned to a </w:t>
      </w:r>
      <w:r w:rsidR="00B714E7" w:rsidRPr="00E654A2">
        <w:rPr>
          <w:rFonts w:ascii="Arial" w:hAnsi="Arial" w:cs="Arial"/>
          <w:sz w:val="24"/>
          <w:szCs w:val="24"/>
        </w:rPr>
        <w:t xml:space="preserve">proposed </w:t>
      </w:r>
      <w:r w:rsidRPr="00E654A2">
        <w:rPr>
          <w:rFonts w:ascii="Arial" w:hAnsi="Arial" w:cs="Arial"/>
          <w:sz w:val="24"/>
          <w:szCs w:val="24"/>
        </w:rPr>
        <w:t xml:space="preserve">professional doctorate </w:t>
      </w:r>
      <w:r w:rsidR="00B714E7" w:rsidRPr="00E654A2">
        <w:rPr>
          <w:rFonts w:ascii="Arial" w:hAnsi="Arial" w:cs="Arial"/>
          <w:sz w:val="24"/>
          <w:szCs w:val="24"/>
        </w:rPr>
        <w:t xml:space="preserve">study </w:t>
      </w:r>
      <w:r w:rsidRPr="00E654A2">
        <w:rPr>
          <w:rFonts w:ascii="Arial" w:hAnsi="Arial" w:cs="Arial"/>
          <w:sz w:val="24"/>
          <w:szCs w:val="24"/>
        </w:rPr>
        <w:t>on AI</w:t>
      </w:r>
      <w:r w:rsidRPr="00E654A2">
        <w:rPr>
          <w:rFonts w:ascii="Arial" w:hAnsi="Arial" w:cs="Arial"/>
          <w:sz w:val="24"/>
          <w:szCs w:val="24"/>
        </w:rPr>
        <w:noBreakHyphen/>
        <w:t>enhanced document management systems.</w:t>
      </w:r>
    </w:p>
    <w:p w14:paraId="1D7CA2F2" w14:textId="40EEF62E" w:rsidR="006979BF" w:rsidRDefault="002D4EF3" w:rsidP="002D4EF3">
      <w:pPr>
        <w:jc w:val="both"/>
        <w:rPr>
          <w:rFonts w:ascii="Arial" w:hAnsi="Arial" w:cs="Arial"/>
          <w:sz w:val="24"/>
          <w:szCs w:val="24"/>
        </w:rPr>
      </w:pPr>
      <w:r w:rsidRPr="00E654A2">
        <w:rPr>
          <w:rFonts w:ascii="Arial" w:hAnsi="Arial" w:cs="Arial"/>
          <w:color w:val="000000"/>
          <w:sz w:val="24"/>
        </w:rPr>
        <w:t xml:space="preserve">To ensure this review stays objective, "advanced capability" is evaluated by looking at the record of decisions: what information is documented, what gets escalated, and </w:t>
      </w:r>
      <w:r w:rsidR="005C327D">
        <w:rPr>
          <w:rFonts w:ascii="Arial" w:hAnsi="Arial" w:cs="Arial"/>
          <w:color w:val="000000"/>
          <w:sz w:val="24"/>
        </w:rPr>
        <w:t>the validity of the supporting rationale</w:t>
      </w:r>
      <w:r w:rsidRPr="00E654A2">
        <w:rPr>
          <w:rFonts w:ascii="Arial" w:hAnsi="Arial" w:cs="Arial"/>
          <w:color w:val="000000"/>
          <w:sz w:val="24"/>
        </w:rPr>
        <w:t xml:space="preserve">. </w:t>
      </w:r>
      <w:r w:rsidR="00975E6E" w:rsidRPr="00E654A2">
        <w:rPr>
          <w:rFonts w:ascii="Arial" w:hAnsi="Arial" w:cs="Arial"/>
          <w:sz w:val="24"/>
          <w:szCs w:val="24"/>
        </w:rPr>
        <w:t>One is looking</w:t>
      </w:r>
      <w:r w:rsidR="006979BF" w:rsidRPr="00E654A2">
        <w:rPr>
          <w:rFonts w:ascii="Arial" w:hAnsi="Arial" w:cs="Arial"/>
          <w:sz w:val="24"/>
          <w:szCs w:val="24"/>
        </w:rPr>
        <w:t xml:space="preserve"> for traceability, proportionate control, clear ownership, and decisions that </w:t>
      </w:r>
      <w:r w:rsidR="00A30FB1" w:rsidRPr="00E654A2">
        <w:rPr>
          <w:rFonts w:ascii="Arial" w:hAnsi="Arial" w:cs="Arial"/>
          <w:sz w:val="24"/>
          <w:szCs w:val="24"/>
        </w:rPr>
        <w:t>are</w:t>
      </w:r>
      <w:r w:rsidR="006979BF" w:rsidRPr="00E654A2">
        <w:rPr>
          <w:rFonts w:ascii="Arial" w:hAnsi="Arial" w:cs="Arial"/>
          <w:sz w:val="24"/>
          <w:szCs w:val="24"/>
        </w:rPr>
        <w:t xml:space="preserve"> strategically</w:t>
      </w:r>
      <w:r w:rsidR="00A30FB1" w:rsidRPr="00E654A2">
        <w:rPr>
          <w:rFonts w:ascii="Arial" w:hAnsi="Arial" w:cs="Arial"/>
          <w:sz w:val="24"/>
          <w:szCs w:val="24"/>
        </w:rPr>
        <w:t xml:space="preserve"> sound</w:t>
      </w:r>
      <w:r w:rsidR="006979BF" w:rsidRPr="00E654A2">
        <w:rPr>
          <w:rFonts w:ascii="Arial" w:hAnsi="Arial" w:cs="Arial"/>
          <w:sz w:val="24"/>
          <w:szCs w:val="24"/>
        </w:rPr>
        <w:t xml:space="preserve">. This links to the </w:t>
      </w:r>
      <w:r w:rsidR="003C3CAE" w:rsidRPr="00E654A2">
        <w:rPr>
          <w:rFonts w:ascii="Arial" w:hAnsi="Arial" w:cs="Arial"/>
          <w:sz w:val="24"/>
          <w:szCs w:val="24"/>
        </w:rPr>
        <w:t xml:space="preserve">UK Corporate Governance </w:t>
      </w:r>
      <w:r w:rsidR="006979BF" w:rsidRPr="00E654A2">
        <w:rPr>
          <w:rFonts w:ascii="Arial" w:hAnsi="Arial" w:cs="Arial"/>
          <w:sz w:val="24"/>
          <w:szCs w:val="24"/>
        </w:rPr>
        <w:t>Code’s</w:t>
      </w:r>
      <w:r w:rsidR="00EA61B3" w:rsidRPr="00E654A2">
        <w:rPr>
          <w:rFonts w:ascii="Arial" w:hAnsi="Arial" w:cs="Arial"/>
          <w:sz w:val="24"/>
          <w:szCs w:val="24"/>
        </w:rPr>
        <w:t xml:space="preserve"> (the </w:t>
      </w:r>
      <w:r w:rsidR="00EA61B3" w:rsidRPr="009654CB">
        <w:rPr>
          <w:rFonts w:ascii="Arial" w:hAnsi="Arial" w:cs="Arial"/>
          <w:b/>
          <w:bCs/>
          <w:sz w:val="24"/>
          <w:szCs w:val="24"/>
        </w:rPr>
        <w:t>“Code”</w:t>
      </w:r>
      <w:r w:rsidR="00EA61B3" w:rsidRPr="00E654A2">
        <w:rPr>
          <w:rFonts w:ascii="Arial" w:hAnsi="Arial" w:cs="Arial"/>
          <w:sz w:val="24"/>
          <w:szCs w:val="24"/>
        </w:rPr>
        <w:t>)</w:t>
      </w:r>
      <w:r w:rsidR="006979BF" w:rsidRPr="00E654A2">
        <w:rPr>
          <w:rFonts w:ascii="Arial" w:hAnsi="Arial" w:cs="Arial"/>
          <w:sz w:val="24"/>
          <w:szCs w:val="24"/>
        </w:rPr>
        <w:t xml:space="preserve"> expectation that “The board should monitor the company’s risk management and internal control framework and … carry out a review of its effectiveness” (Financial Reporting Council, 2024, p.12).</w:t>
      </w:r>
    </w:p>
    <w:p w14:paraId="46F84623" w14:textId="77777777" w:rsidR="003C5832" w:rsidRPr="00E654A2" w:rsidRDefault="003C5832" w:rsidP="003C5832">
      <w:pPr>
        <w:pStyle w:val="Heading1"/>
        <w:jc w:val="both"/>
        <w:rPr>
          <w:rFonts w:ascii="Arial" w:hAnsi="Arial" w:cs="Arial"/>
          <w:color w:val="auto"/>
          <w:sz w:val="24"/>
          <w:szCs w:val="24"/>
          <w:lang w:eastAsia="en-GB"/>
        </w:rPr>
      </w:pPr>
      <w:r w:rsidRPr="00E654A2">
        <w:rPr>
          <w:rFonts w:ascii="Arial" w:hAnsi="Arial" w:cs="Arial"/>
          <w:b/>
          <w:bCs/>
          <w:color w:val="auto"/>
          <w:sz w:val="24"/>
          <w:szCs w:val="24"/>
        </w:rPr>
        <w:t>Part 1: Critical Review of Professional Learning for a Chartered Secretary and Governance Professional</w:t>
      </w:r>
    </w:p>
    <w:p w14:paraId="3DA78B46" w14:textId="77777777" w:rsidR="003C5832" w:rsidRPr="00E654A2" w:rsidRDefault="003C5832" w:rsidP="003C5832">
      <w:pPr>
        <w:pStyle w:val="Heading3"/>
        <w:jc w:val="both"/>
        <w:rPr>
          <w:rFonts w:ascii="Arial" w:hAnsi="Arial" w:cs="Arial"/>
          <w:color w:val="auto"/>
          <w:sz w:val="24"/>
          <w:szCs w:val="24"/>
          <w:lang w:eastAsia="en-GB"/>
        </w:rPr>
      </w:pPr>
      <w:r w:rsidRPr="00E654A2">
        <w:rPr>
          <w:rFonts w:ascii="Arial" w:hAnsi="Arial" w:cs="Arial"/>
          <w:b/>
          <w:bCs/>
          <w:color w:val="auto"/>
          <w:sz w:val="24"/>
          <w:szCs w:val="24"/>
        </w:rPr>
        <w:t>Introduction</w:t>
      </w:r>
    </w:p>
    <w:p w14:paraId="50FE159C" w14:textId="759AABAC" w:rsidR="001F7E60" w:rsidRPr="00E654A2" w:rsidRDefault="002A6268" w:rsidP="002A6268">
      <w:pPr>
        <w:jc w:val="both"/>
        <w:rPr>
          <w:rFonts w:ascii="Arial" w:hAnsi="Arial" w:cs="Arial"/>
          <w:lang w:eastAsia="en-GB"/>
        </w:rPr>
      </w:pPr>
      <w:r w:rsidRPr="00E654A2">
        <w:rPr>
          <w:rFonts w:ascii="Arial" w:hAnsi="Arial" w:cs="Arial"/>
          <w:color w:val="000000"/>
          <w:sz w:val="24"/>
        </w:rPr>
        <w:t xml:space="preserve">Chartered secretarial and governance </w:t>
      </w:r>
      <w:r w:rsidR="00A82A01" w:rsidRPr="00E654A2">
        <w:rPr>
          <w:rFonts w:ascii="Arial" w:hAnsi="Arial" w:cs="Arial"/>
          <w:color w:val="000000"/>
          <w:sz w:val="24"/>
        </w:rPr>
        <w:t>practice</w:t>
      </w:r>
      <w:r w:rsidRPr="00E654A2">
        <w:rPr>
          <w:rFonts w:ascii="Arial" w:hAnsi="Arial" w:cs="Arial"/>
          <w:color w:val="000000"/>
          <w:sz w:val="24"/>
        </w:rPr>
        <w:t xml:space="preserve"> links statute, board decisions, organisational dynamics, and accountability. Strategic governance extends beyond board papers, involving forums, routines, and artefacts to guide priorities, resource allocation, risk management, and accountability. It also includes maps of decision rights, escalation triggers, and documentation explaining key decisions. </w:t>
      </w:r>
      <w:r w:rsidR="001F7E60" w:rsidRPr="00E654A2">
        <w:rPr>
          <w:rFonts w:ascii="Arial" w:hAnsi="Arial" w:cs="Arial"/>
          <w:sz w:val="24"/>
          <w:szCs w:val="24"/>
        </w:rPr>
        <w:t xml:space="preserve">The Code defines corporate governance as “the system by which companies are directed and controlled” (Financial Reporting Council, 2024, p.1). In that context, competence is not just technical accuracy; it is the ability to exercise judgement under uncertainty and convert it into defensible process and advice (Eraut, 1994; Eraut, 2004). This review examines </w:t>
      </w:r>
      <w:r w:rsidR="008C3C71" w:rsidRPr="00E654A2">
        <w:rPr>
          <w:rFonts w:ascii="Arial" w:hAnsi="Arial" w:cs="Arial"/>
          <w:sz w:val="24"/>
          <w:szCs w:val="24"/>
        </w:rPr>
        <w:t>the author</w:t>
      </w:r>
      <w:r w:rsidR="001F7E60" w:rsidRPr="00E654A2">
        <w:rPr>
          <w:rFonts w:ascii="Arial" w:hAnsi="Arial" w:cs="Arial"/>
          <w:sz w:val="24"/>
          <w:szCs w:val="24"/>
        </w:rPr>
        <w:t>s professional learning by reading learning theory through the C</w:t>
      </w:r>
      <w:r w:rsidR="00C844A6">
        <w:rPr>
          <w:rFonts w:ascii="Arial" w:hAnsi="Arial" w:cs="Arial"/>
          <w:sz w:val="24"/>
          <w:szCs w:val="24"/>
        </w:rPr>
        <w:t xml:space="preserve">hartered </w:t>
      </w:r>
      <w:r w:rsidR="001F7E60" w:rsidRPr="00E654A2">
        <w:rPr>
          <w:rFonts w:ascii="Arial" w:hAnsi="Arial" w:cs="Arial"/>
          <w:sz w:val="24"/>
          <w:szCs w:val="24"/>
        </w:rPr>
        <w:t>G</w:t>
      </w:r>
      <w:r w:rsidR="00C844A6">
        <w:rPr>
          <w:rFonts w:ascii="Arial" w:hAnsi="Arial" w:cs="Arial"/>
          <w:sz w:val="24"/>
          <w:szCs w:val="24"/>
        </w:rPr>
        <w:t xml:space="preserve">overnance </w:t>
      </w:r>
      <w:r w:rsidR="001F7E60" w:rsidRPr="00E654A2">
        <w:rPr>
          <w:rFonts w:ascii="Arial" w:hAnsi="Arial" w:cs="Arial"/>
          <w:sz w:val="24"/>
          <w:szCs w:val="24"/>
        </w:rPr>
        <w:t>I</w:t>
      </w:r>
      <w:r w:rsidR="00C844A6">
        <w:rPr>
          <w:rFonts w:ascii="Arial" w:hAnsi="Arial" w:cs="Arial"/>
          <w:sz w:val="24"/>
          <w:szCs w:val="24"/>
        </w:rPr>
        <w:t>nstitute</w:t>
      </w:r>
      <w:r w:rsidR="00EE09F1">
        <w:rPr>
          <w:rFonts w:ascii="Arial" w:hAnsi="Arial" w:cs="Arial"/>
          <w:sz w:val="24"/>
          <w:szCs w:val="24"/>
        </w:rPr>
        <w:t>’s (</w:t>
      </w:r>
      <w:r w:rsidR="00EE09F1">
        <w:rPr>
          <w:rFonts w:ascii="Arial" w:hAnsi="Arial" w:cs="Arial"/>
          <w:b/>
          <w:bCs/>
          <w:sz w:val="24"/>
          <w:szCs w:val="24"/>
        </w:rPr>
        <w:t>“CGI”)</w:t>
      </w:r>
      <w:r w:rsidR="001F7E60" w:rsidRPr="00E654A2">
        <w:rPr>
          <w:rFonts w:ascii="Arial" w:hAnsi="Arial" w:cs="Arial"/>
          <w:sz w:val="24"/>
          <w:szCs w:val="24"/>
        </w:rPr>
        <w:t xml:space="preserve"> Competency Framework, which frames effectiveness across Knowledge, Practice and Values (CGI, no date).</w:t>
      </w:r>
    </w:p>
    <w:p w14:paraId="44121ADC" w14:textId="704BAF4F" w:rsidR="00D409E0" w:rsidRPr="00E654A2" w:rsidRDefault="00D409E0" w:rsidP="001F1EBF">
      <w:pPr>
        <w:jc w:val="both"/>
        <w:rPr>
          <w:rFonts w:ascii="Arial" w:hAnsi="Arial" w:cs="Arial"/>
          <w:lang w:eastAsia="en-GB"/>
        </w:rPr>
      </w:pPr>
      <w:r w:rsidRPr="00E654A2">
        <w:rPr>
          <w:rFonts w:ascii="Arial" w:hAnsi="Arial" w:cs="Arial"/>
          <w:sz w:val="24"/>
          <w:szCs w:val="24"/>
        </w:rPr>
        <w:t>For clarity, this portfolio uses two related governance lenses</w:t>
      </w:r>
      <w:r w:rsidR="00862FCA">
        <w:rPr>
          <w:rFonts w:ascii="Arial" w:hAnsi="Arial" w:cs="Arial"/>
          <w:sz w:val="24"/>
          <w:szCs w:val="24"/>
        </w:rPr>
        <w:t xml:space="preserve">. </w:t>
      </w:r>
      <w:r w:rsidRPr="00E654A2">
        <w:rPr>
          <w:rFonts w:ascii="Arial" w:hAnsi="Arial" w:cs="Arial"/>
          <w:i/>
          <w:iCs/>
          <w:sz w:val="24"/>
          <w:szCs w:val="24"/>
        </w:rPr>
        <w:t>Board</w:t>
      </w:r>
      <w:r w:rsidR="0080418F" w:rsidRPr="00E654A2">
        <w:rPr>
          <w:rFonts w:ascii="Arial" w:hAnsi="Arial" w:cs="Arial"/>
          <w:i/>
          <w:iCs/>
          <w:sz w:val="24"/>
          <w:szCs w:val="24"/>
        </w:rPr>
        <w:t xml:space="preserve"> </w:t>
      </w:r>
      <w:r w:rsidRPr="00E654A2">
        <w:rPr>
          <w:rFonts w:ascii="Arial" w:hAnsi="Arial" w:cs="Arial"/>
          <w:i/>
          <w:iCs/>
          <w:sz w:val="24"/>
          <w:szCs w:val="24"/>
        </w:rPr>
        <w:t>facing governance</w:t>
      </w:r>
      <w:r w:rsidRPr="00E654A2">
        <w:rPr>
          <w:rFonts w:ascii="Arial" w:hAnsi="Arial" w:cs="Arial"/>
          <w:sz w:val="24"/>
          <w:szCs w:val="24"/>
        </w:rPr>
        <w:t xml:space="preserve"> covers the formal cycle: agenda planning, papers, minutes, approvals and the assurance evidence that demonstrates due process and effective internal control. The Code reinforces this through its expectation of board monitoring and periodic review of the effectiveness of the risk management and internal control framework (Financial Reporting Council, 2024, p.12</w:t>
      </w:r>
      <w:r w:rsidRPr="00E654A2">
        <w:rPr>
          <w:rFonts w:ascii="Arial" w:hAnsi="Arial" w:cs="Arial"/>
          <w:i/>
          <w:iCs/>
          <w:sz w:val="24"/>
          <w:szCs w:val="24"/>
        </w:rPr>
        <w:t xml:space="preserve">). </w:t>
      </w:r>
      <w:r w:rsidRPr="00E654A2">
        <w:rPr>
          <w:rFonts w:ascii="Arial" w:hAnsi="Arial" w:cs="Arial"/>
          <w:i/>
          <w:iCs/>
          <w:color w:val="000000"/>
          <w:sz w:val="24"/>
          <w:szCs w:val="24"/>
        </w:rPr>
        <w:t>Strategic governance</w:t>
      </w:r>
      <w:r w:rsidRPr="00E654A2">
        <w:rPr>
          <w:rFonts w:ascii="Arial" w:hAnsi="Arial" w:cs="Arial"/>
          <w:color w:val="000000"/>
          <w:sz w:val="24"/>
          <w:szCs w:val="24"/>
        </w:rPr>
        <w:t xml:space="preserve"> is the work that keeps strategy moving between meetings</w:t>
      </w:r>
      <w:r w:rsidR="00716A7D">
        <w:rPr>
          <w:rFonts w:ascii="Arial" w:hAnsi="Arial" w:cs="Arial"/>
          <w:color w:val="000000"/>
          <w:sz w:val="24"/>
          <w:szCs w:val="24"/>
        </w:rPr>
        <w:t>, i</w:t>
      </w:r>
      <w:r w:rsidRPr="00E654A2">
        <w:rPr>
          <w:rFonts w:ascii="Arial" w:hAnsi="Arial" w:cs="Arial"/>
          <w:color w:val="000000"/>
          <w:sz w:val="24"/>
          <w:szCs w:val="24"/>
        </w:rPr>
        <w:t xml:space="preserve">t includes decision rights and escalation routes, prioritisation and </w:t>
      </w:r>
      <w:r w:rsidRPr="00E654A2">
        <w:rPr>
          <w:rFonts w:ascii="Arial" w:hAnsi="Arial" w:cs="Arial"/>
          <w:color w:val="000000"/>
          <w:sz w:val="24"/>
          <w:szCs w:val="24"/>
        </w:rPr>
        <w:lastRenderedPageBreak/>
        <w:t xml:space="preserve">resource allocation, and performance oversight. It also relies on review and learning cycles that </w:t>
      </w:r>
      <w:r w:rsidR="00D43EA9">
        <w:rPr>
          <w:rFonts w:ascii="Arial" w:hAnsi="Arial" w:cs="Arial"/>
          <w:color w:val="000000"/>
          <w:sz w:val="24"/>
          <w:szCs w:val="24"/>
        </w:rPr>
        <w:t xml:space="preserve">enable </w:t>
      </w:r>
      <w:r w:rsidR="00B15E40">
        <w:rPr>
          <w:rFonts w:ascii="Arial" w:hAnsi="Arial" w:cs="Arial"/>
          <w:color w:val="000000"/>
          <w:sz w:val="24"/>
          <w:szCs w:val="24"/>
        </w:rPr>
        <w:t xml:space="preserve">continuous </w:t>
      </w:r>
      <w:r w:rsidR="00D43EA9">
        <w:rPr>
          <w:rFonts w:ascii="Arial" w:hAnsi="Arial" w:cs="Arial"/>
          <w:color w:val="000000"/>
          <w:sz w:val="24"/>
          <w:szCs w:val="24"/>
        </w:rPr>
        <w:t>adjustments</w:t>
      </w:r>
      <w:r w:rsidRPr="00E654A2">
        <w:rPr>
          <w:rFonts w:ascii="Arial" w:hAnsi="Arial" w:cs="Arial"/>
          <w:color w:val="000000"/>
          <w:sz w:val="24"/>
          <w:szCs w:val="24"/>
        </w:rPr>
        <w:t xml:space="preserve">. </w:t>
      </w:r>
      <w:r w:rsidR="001F1EBF" w:rsidRPr="00E654A2">
        <w:rPr>
          <w:rFonts w:ascii="Arial" w:hAnsi="Arial" w:cs="Arial"/>
          <w:color w:val="000000"/>
          <w:sz w:val="24"/>
        </w:rPr>
        <w:t xml:space="preserve">When executed effectively, fewer issues emerge late or require escalation. Clear ownership is established, and cross-functional decisions are achieved more efficiently due to a shared understanding of operational standards. These elements are mutually dependent: strategic governance determines the calibre of proposals submitted to the board, while board </w:t>
      </w:r>
      <w:r w:rsidR="00DD0120" w:rsidRPr="00E654A2">
        <w:rPr>
          <w:rFonts w:ascii="Arial" w:hAnsi="Arial" w:cs="Arial"/>
          <w:color w:val="000000"/>
          <w:sz w:val="24"/>
        </w:rPr>
        <w:t xml:space="preserve">facing </w:t>
      </w:r>
      <w:r w:rsidR="001F1EBF" w:rsidRPr="00E654A2">
        <w:rPr>
          <w:rFonts w:ascii="Arial" w:hAnsi="Arial" w:cs="Arial"/>
          <w:color w:val="000000"/>
          <w:sz w:val="24"/>
        </w:rPr>
        <w:t>governance ensures accountability, rigorous evaluation, and authorisation for significant decisions (CGI, no date; Financial Reporting Council, 2024; Financial Reporting Council, 2018).</w:t>
      </w:r>
    </w:p>
    <w:p w14:paraId="3895F7B2" w14:textId="58625C79" w:rsidR="00470240" w:rsidRPr="00E654A2" w:rsidRDefault="00603B49" w:rsidP="00603B49">
      <w:pPr>
        <w:jc w:val="both"/>
        <w:rPr>
          <w:rFonts w:ascii="Arial" w:hAnsi="Arial" w:cs="Arial"/>
          <w:lang w:eastAsia="en-GB"/>
        </w:rPr>
      </w:pPr>
      <w:r w:rsidRPr="00E654A2">
        <w:rPr>
          <w:rFonts w:ascii="Arial" w:hAnsi="Arial" w:cs="Arial"/>
          <w:color w:val="000000"/>
          <w:sz w:val="24"/>
        </w:rPr>
        <w:t xml:space="preserve">Short micro-cases are used to present the evidence. Each case describes the scenario and limitations, then details </w:t>
      </w:r>
      <w:r w:rsidR="0093395B" w:rsidRPr="00E654A2">
        <w:rPr>
          <w:rFonts w:ascii="Arial" w:hAnsi="Arial" w:cs="Arial"/>
          <w:color w:val="000000"/>
          <w:sz w:val="24"/>
        </w:rPr>
        <w:t>the authors</w:t>
      </w:r>
      <w:r w:rsidRPr="00E654A2">
        <w:rPr>
          <w:rFonts w:ascii="Arial" w:hAnsi="Arial" w:cs="Arial"/>
          <w:color w:val="000000"/>
          <w:sz w:val="24"/>
        </w:rPr>
        <w:t xml:space="preserve"> actions within the governance process: how decisions were handled, what was documented, and what subsequent indicators showed about the effectiveness of </w:t>
      </w:r>
      <w:r w:rsidR="00977D28">
        <w:rPr>
          <w:rFonts w:ascii="Arial" w:hAnsi="Arial" w:cs="Arial"/>
          <w:color w:val="000000"/>
          <w:sz w:val="24"/>
        </w:rPr>
        <w:t xml:space="preserve">their </w:t>
      </w:r>
      <w:r w:rsidRPr="00E654A2">
        <w:rPr>
          <w:rFonts w:ascii="Arial" w:hAnsi="Arial" w:cs="Arial"/>
          <w:color w:val="000000"/>
          <w:sz w:val="24"/>
        </w:rPr>
        <w:t xml:space="preserve">approach. </w:t>
      </w:r>
      <w:r w:rsidR="00470240" w:rsidRPr="00E654A2">
        <w:rPr>
          <w:rFonts w:ascii="Arial" w:hAnsi="Arial" w:cs="Arial"/>
          <w:sz w:val="24"/>
          <w:szCs w:val="24"/>
        </w:rPr>
        <w:t>The purpose is to test whether the theory explains what counts as competent practice when the outputs are papers, minutes, logs, escalation routes, terms of reference and assurance packs.</w:t>
      </w:r>
    </w:p>
    <w:p w14:paraId="67914ADF" w14:textId="77777777" w:rsidR="003C5832" w:rsidRPr="00E654A2" w:rsidRDefault="003C5832" w:rsidP="003C5832">
      <w:pPr>
        <w:pStyle w:val="Heading3"/>
        <w:jc w:val="both"/>
        <w:rPr>
          <w:rFonts w:ascii="Arial" w:hAnsi="Arial" w:cs="Arial"/>
          <w:color w:val="auto"/>
          <w:sz w:val="24"/>
          <w:szCs w:val="24"/>
          <w:lang w:eastAsia="en-GB"/>
        </w:rPr>
      </w:pPr>
      <w:r w:rsidRPr="00E654A2">
        <w:rPr>
          <w:rFonts w:ascii="Arial" w:hAnsi="Arial" w:cs="Arial"/>
          <w:b/>
          <w:bCs/>
          <w:color w:val="auto"/>
          <w:sz w:val="24"/>
          <w:szCs w:val="24"/>
        </w:rPr>
        <w:t>Conceptualising professional learning: typologies, codifications, and theoretical models</w:t>
      </w:r>
    </w:p>
    <w:p w14:paraId="76483E4E" w14:textId="35C04343" w:rsidR="006979BF" w:rsidRPr="00E654A2" w:rsidRDefault="006979BF">
      <w:pPr>
        <w:jc w:val="both"/>
        <w:rPr>
          <w:rFonts w:ascii="Arial" w:hAnsi="Arial" w:cs="Arial"/>
          <w:lang w:eastAsia="en-GB"/>
        </w:rPr>
      </w:pPr>
      <w:r w:rsidRPr="00E654A2">
        <w:rPr>
          <w:rFonts w:ascii="Arial" w:hAnsi="Arial" w:cs="Arial"/>
          <w:sz w:val="24"/>
          <w:szCs w:val="24"/>
        </w:rPr>
        <w:t xml:space="preserve">The CGI Competency Framework frames governance competence across “Knowledge”, “Practice” and “Values” (CGI, no date, p.2). This review uses learning theory to explain how those domains develop in the work: formal learning provides statutory and technical foundations; informal learning develops situational awareness and </w:t>
      </w:r>
      <w:r w:rsidR="00E15AF3" w:rsidRPr="00E654A2">
        <w:rPr>
          <w:rFonts w:ascii="Arial" w:hAnsi="Arial" w:cs="Arial"/>
          <w:sz w:val="24"/>
          <w:szCs w:val="24"/>
        </w:rPr>
        <w:t>the practicalities of shaping the role</w:t>
      </w:r>
      <w:r w:rsidRPr="00E654A2">
        <w:rPr>
          <w:rFonts w:ascii="Arial" w:hAnsi="Arial" w:cs="Arial"/>
          <w:sz w:val="24"/>
          <w:szCs w:val="24"/>
        </w:rPr>
        <w:t xml:space="preserve">; and tacit judgement </w:t>
      </w:r>
      <w:r w:rsidR="006D0612" w:rsidRPr="00E654A2">
        <w:rPr>
          <w:rFonts w:ascii="Arial" w:hAnsi="Arial" w:cs="Arial"/>
          <w:sz w:val="24"/>
          <w:szCs w:val="24"/>
        </w:rPr>
        <w:t>transforms</w:t>
      </w:r>
      <w:r w:rsidRPr="00E654A2">
        <w:rPr>
          <w:rFonts w:ascii="Arial" w:hAnsi="Arial" w:cs="Arial"/>
          <w:sz w:val="24"/>
          <w:szCs w:val="24"/>
        </w:rPr>
        <w:t xml:space="preserve"> both into advice and evidence </w:t>
      </w:r>
      <w:r w:rsidR="006D0612" w:rsidRPr="00E654A2">
        <w:rPr>
          <w:rFonts w:ascii="Arial" w:hAnsi="Arial" w:cs="Arial"/>
          <w:sz w:val="24"/>
          <w:szCs w:val="24"/>
        </w:rPr>
        <w:t xml:space="preserve">that can withstand scrutiny </w:t>
      </w:r>
      <w:r w:rsidRPr="00E654A2">
        <w:rPr>
          <w:rFonts w:ascii="Arial" w:hAnsi="Arial" w:cs="Arial"/>
          <w:sz w:val="24"/>
          <w:szCs w:val="24"/>
        </w:rPr>
        <w:t xml:space="preserve">(Eraut, 1994; Eraut, 2004; </w:t>
      </w:r>
      <w:proofErr w:type="spellStart"/>
      <w:r w:rsidRPr="00E654A2">
        <w:rPr>
          <w:rFonts w:ascii="Arial" w:hAnsi="Arial" w:cs="Arial"/>
          <w:sz w:val="24"/>
          <w:szCs w:val="24"/>
        </w:rPr>
        <w:t>Marsick</w:t>
      </w:r>
      <w:proofErr w:type="spellEnd"/>
      <w:r w:rsidRPr="00E654A2">
        <w:rPr>
          <w:rFonts w:ascii="Arial" w:hAnsi="Arial" w:cs="Arial"/>
          <w:sz w:val="24"/>
          <w:szCs w:val="24"/>
        </w:rPr>
        <w:t xml:space="preserve"> and Watkins, 1990; Polanyi, 1966; Schön, 1983). A governance</w:t>
      </w:r>
      <w:r w:rsidR="00C542CB" w:rsidRPr="00E654A2">
        <w:rPr>
          <w:rFonts w:ascii="Arial" w:hAnsi="Arial" w:cs="Arial"/>
          <w:sz w:val="24"/>
          <w:szCs w:val="24"/>
        </w:rPr>
        <w:t xml:space="preserve"> </w:t>
      </w:r>
      <w:r w:rsidRPr="00E654A2">
        <w:rPr>
          <w:rFonts w:ascii="Arial" w:hAnsi="Arial" w:cs="Arial"/>
          <w:sz w:val="24"/>
          <w:szCs w:val="24"/>
        </w:rPr>
        <w:t xml:space="preserve">specific constraint </w:t>
      </w:r>
      <w:r w:rsidR="00DA564A">
        <w:rPr>
          <w:rFonts w:ascii="Arial" w:hAnsi="Arial" w:cs="Arial"/>
          <w:sz w:val="24"/>
          <w:szCs w:val="24"/>
        </w:rPr>
        <w:t>encompasses all three areas</w:t>
      </w:r>
      <w:r w:rsidRPr="00E654A2">
        <w:rPr>
          <w:rFonts w:ascii="Arial" w:hAnsi="Arial" w:cs="Arial"/>
          <w:sz w:val="24"/>
          <w:szCs w:val="24"/>
        </w:rPr>
        <w:t xml:space="preserve">: confidentiality and discoverability </w:t>
      </w:r>
      <w:r w:rsidR="0095034C" w:rsidRPr="00E654A2">
        <w:rPr>
          <w:rFonts w:ascii="Arial" w:hAnsi="Arial" w:cs="Arial"/>
          <w:sz w:val="24"/>
          <w:szCs w:val="24"/>
        </w:rPr>
        <w:t xml:space="preserve">influence </w:t>
      </w:r>
      <w:r w:rsidRPr="00E654A2">
        <w:rPr>
          <w:rFonts w:ascii="Arial" w:hAnsi="Arial" w:cs="Arial"/>
          <w:sz w:val="24"/>
          <w:szCs w:val="24"/>
        </w:rPr>
        <w:t xml:space="preserve">what can be written down and </w:t>
      </w:r>
      <w:r w:rsidR="002D315B" w:rsidRPr="00E654A2">
        <w:rPr>
          <w:rFonts w:ascii="Arial" w:hAnsi="Arial" w:cs="Arial"/>
          <w:sz w:val="24"/>
          <w:szCs w:val="24"/>
        </w:rPr>
        <w:t>the ways</w:t>
      </w:r>
      <w:r w:rsidRPr="00E654A2">
        <w:rPr>
          <w:rFonts w:ascii="Arial" w:hAnsi="Arial" w:cs="Arial"/>
          <w:sz w:val="24"/>
          <w:szCs w:val="24"/>
        </w:rPr>
        <w:t xml:space="preserve"> competence </w:t>
      </w:r>
      <w:r w:rsidR="002D315B" w:rsidRPr="00E654A2">
        <w:rPr>
          <w:rFonts w:ascii="Arial" w:hAnsi="Arial" w:cs="Arial"/>
          <w:sz w:val="24"/>
          <w:szCs w:val="24"/>
        </w:rPr>
        <w:t>can be</w:t>
      </w:r>
      <w:r w:rsidRPr="00E654A2">
        <w:rPr>
          <w:rFonts w:ascii="Arial" w:hAnsi="Arial" w:cs="Arial"/>
          <w:sz w:val="24"/>
          <w:szCs w:val="24"/>
        </w:rPr>
        <w:t xml:space="preserve"> demonstrated.</w:t>
      </w:r>
    </w:p>
    <w:p w14:paraId="0628C0FF" w14:textId="650A8353" w:rsidR="003C5832" w:rsidRPr="00E654A2" w:rsidRDefault="003C5832" w:rsidP="003C5832">
      <w:pPr>
        <w:pStyle w:val="Heading3"/>
        <w:jc w:val="both"/>
        <w:rPr>
          <w:rFonts w:ascii="Arial" w:hAnsi="Arial" w:cs="Arial"/>
          <w:color w:val="auto"/>
          <w:sz w:val="24"/>
          <w:szCs w:val="24"/>
          <w:lang w:eastAsia="en-GB"/>
        </w:rPr>
      </w:pPr>
      <w:r w:rsidRPr="00E654A2">
        <w:rPr>
          <w:rFonts w:ascii="Arial" w:hAnsi="Arial" w:cs="Arial"/>
          <w:b/>
          <w:bCs/>
          <w:color w:val="auto"/>
          <w:sz w:val="24"/>
          <w:szCs w:val="24"/>
        </w:rPr>
        <w:t xml:space="preserve">Formal and informal learning: </w:t>
      </w:r>
      <w:r w:rsidR="00340889" w:rsidRPr="00E654A2">
        <w:rPr>
          <w:rFonts w:ascii="Arial" w:hAnsi="Arial" w:cs="Arial"/>
          <w:b/>
          <w:bCs/>
          <w:color w:val="auto"/>
          <w:sz w:val="24"/>
          <w:szCs w:val="24"/>
        </w:rPr>
        <w:t>E</w:t>
      </w:r>
      <w:r w:rsidRPr="00E654A2">
        <w:rPr>
          <w:rFonts w:ascii="Arial" w:hAnsi="Arial" w:cs="Arial"/>
          <w:b/>
          <w:bCs/>
          <w:color w:val="auto"/>
          <w:sz w:val="24"/>
          <w:szCs w:val="24"/>
        </w:rPr>
        <w:t>xperiences and analytical frameworks</w:t>
      </w:r>
    </w:p>
    <w:p w14:paraId="577E448A" w14:textId="4A09A3AD" w:rsidR="006979BF" w:rsidRPr="00E654A2" w:rsidRDefault="00340889">
      <w:pPr>
        <w:jc w:val="both"/>
        <w:rPr>
          <w:rFonts w:ascii="Arial" w:hAnsi="Arial" w:cs="Arial"/>
          <w:lang w:eastAsia="en-GB"/>
        </w:rPr>
      </w:pPr>
      <w:r w:rsidRPr="00E654A2">
        <w:rPr>
          <w:rFonts w:ascii="Arial" w:hAnsi="Arial" w:cs="Arial"/>
          <w:sz w:val="24"/>
          <w:szCs w:val="24"/>
        </w:rPr>
        <w:t>The author</w:t>
      </w:r>
      <w:r w:rsidR="00D57DD8">
        <w:rPr>
          <w:rFonts w:ascii="Arial" w:hAnsi="Arial" w:cs="Arial"/>
          <w:sz w:val="24"/>
          <w:szCs w:val="24"/>
        </w:rPr>
        <w:t>’</w:t>
      </w:r>
      <w:r w:rsidRPr="00E654A2">
        <w:rPr>
          <w:rFonts w:ascii="Arial" w:hAnsi="Arial" w:cs="Arial"/>
          <w:sz w:val="24"/>
          <w:szCs w:val="24"/>
        </w:rPr>
        <w:t>s</w:t>
      </w:r>
      <w:r w:rsidR="006979BF" w:rsidRPr="00E654A2">
        <w:rPr>
          <w:rFonts w:ascii="Arial" w:hAnsi="Arial" w:cs="Arial"/>
          <w:sz w:val="24"/>
          <w:szCs w:val="24"/>
        </w:rPr>
        <w:t xml:space="preserve"> development combines structured learning (qualifications</w:t>
      </w:r>
      <w:r w:rsidR="00681D7A">
        <w:rPr>
          <w:rFonts w:ascii="Arial" w:hAnsi="Arial" w:cs="Arial"/>
          <w:sz w:val="24"/>
          <w:szCs w:val="24"/>
        </w:rPr>
        <w:t xml:space="preserve"> and </w:t>
      </w:r>
      <w:r w:rsidR="00983163">
        <w:rPr>
          <w:rFonts w:ascii="Arial" w:hAnsi="Arial" w:cs="Arial"/>
          <w:sz w:val="24"/>
          <w:szCs w:val="24"/>
        </w:rPr>
        <w:t>c</w:t>
      </w:r>
      <w:r w:rsidR="00681D7A">
        <w:rPr>
          <w:rFonts w:ascii="Arial" w:hAnsi="Arial" w:cs="Arial"/>
          <w:sz w:val="24"/>
          <w:szCs w:val="24"/>
        </w:rPr>
        <w:t xml:space="preserve">ontinued </w:t>
      </w:r>
      <w:r w:rsidR="00983163">
        <w:rPr>
          <w:rFonts w:ascii="Arial" w:hAnsi="Arial" w:cs="Arial"/>
          <w:sz w:val="24"/>
          <w:szCs w:val="24"/>
        </w:rPr>
        <w:t>p</w:t>
      </w:r>
      <w:r w:rsidR="00681D7A">
        <w:rPr>
          <w:rFonts w:ascii="Arial" w:hAnsi="Arial" w:cs="Arial"/>
          <w:sz w:val="24"/>
          <w:szCs w:val="24"/>
        </w:rPr>
        <w:t xml:space="preserve">rofessional </w:t>
      </w:r>
      <w:r w:rsidR="00983163">
        <w:rPr>
          <w:rFonts w:ascii="Arial" w:hAnsi="Arial" w:cs="Arial"/>
          <w:sz w:val="24"/>
          <w:szCs w:val="24"/>
        </w:rPr>
        <w:t>d</w:t>
      </w:r>
      <w:r w:rsidR="00681D7A">
        <w:rPr>
          <w:rFonts w:ascii="Arial" w:hAnsi="Arial" w:cs="Arial"/>
          <w:sz w:val="24"/>
          <w:szCs w:val="24"/>
        </w:rPr>
        <w:t>evelopment</w:t>
      </w:r>
      <w:r w:rsidR="0072051F">
        <w:rPr>
          <w:rFonts w:ascii="Arial" w:hAnsi="Arial" w:cs="Arial"/>
          <w:sz w:val="24"/>
          <w:szCs w:val="24"/>
        </w:rPr>
        <w:t xml:space="preserve"> (</w:t>
      </w:r>
      <w:r w:rsidR="009654CB" w:rsidRPr="009654CB">
        <w:rPr>
          <w:rFonts w:ascii="Arial" w:hAnsi="Arial" w:cs="Arial"/>
          <w:b/>
          <w:bCs/>
          <w:sz w:val="24"/>
          <w:szCs w:val="24"/>
        </w:rPr>
        <w:t>“CPD”)</w:t>
      </w:r>
      <w:r w:rsidR="006979BF" w:rsidRPr="009654CB">
        <w:rPr>
          <w:rFonts w:ascii="Arial" w:hAnsi="Arial" w:cs="Arial"/>
          <w:sz w:val="24"/>
          <w:szCs w:val="24"/>
        </w:rPr>
        <w:t xml:space="preserve">) </w:t>
      </w:r>
      <w:r w:rsidR="006979BF" w:rsidRPr="00E654A2">
        <w:rPr>
          <w:rFonts w:ascii="Arial" w:hAnsi="Arial" w:cs="Arial"/>
          <w:sz w:val="24"/>
          <w:szCs w:val="24"/>
        </w:rPr>
        <w:t xml:space="preserve">with learning embedded in </w:t>
      </w:r>
      <w:r w:rsidR="00246495" w:rsidRPr="00E654A2">
        <w:rPr>
          <w:rFonts w:ascii="Arial" w:hAnsi="Arial" w:cs="Arial"/>
          <w:sz w:val="24"/>
          <w:szCs w:val="24"/>
        </w:rPr>
        <w:t>day-to-day</w:t>
      </w:r>
      <w:r w:rsidR="00AC49B3" w:rsidRPr="00E654A2">
        <w:rPr>
          <w:rFonts w:ascii="Arial" w:hAnsi="Arial" w:cs="Arial"/>
          <w:sz w:val="24"/>
          <w:szCs w:val="24"/>
        </w:rPr>
        <w:t xml:space="preserve"> </w:t>
      </w:r>
      <w:r w:rsidR="00CF3701">
        <w:rPr>
          <w:rFonts w:ascii="Arial" w:hAnsi="Arial" w:cs="Arial"/>
          <w:sz w:val="24"/>
          <w:szCs w:val="24"/>
        </w:rPr>
        <w:t xml:space="preserve">professional </w:t>
      </w:r>
      <w:r w:rsidR="006979BF" w:rsidRPr="00E654A2">
        <w:rPr>
          <w:rFonts w:ascii="Arial" w:hAnsi="Arial" w:cs="Arial"/>
          <w:sz w:val="24"/>
          <w:szCs w:val="24"/>
        </w:rPr>
        <w:t>governance work. Using Eraut</w:t>
      </w:r>
      <w:r w:rsidR="000A1DC5">
        <w:rPr>
          <w:rFonts w:ascii="Arial" w:hAnsi="Arial" w:cs="Arial"/>
          <w:sz w:val="24"/>
          <w:szCs w:val="24"/>
        </w:rPr>
        <w:t>,</w:t>
      </w:r>
      <w:r w:rsidR="006979BF" w:rsidRPr="00E654A2">
        <w:rPr>
          <w:rFonts w:ascii="Arial" w:hAnsi="Arial" w:cs="Arial"/>
          <w:sz w:val="24"/>
          <w:szCs w:val="24"/>
        </w:rPr>
        <w:t xml:space="preserve"> and </w:t>
      </w:r>
      <w:proofErr w:type="spellStart"/>
      <w:r w:rsidR="006979BF" w:rsidRPr="00E654A2">
        <w:rPr>
          <w:rFonts w:ascii="Arial" w:hAnsi="Arial" w:cs="Arial"/>
          <w:sz w:val="24"/>
          <w:szCs w:val="24"/>
        </w:rPr>
        <w:t>Marsick</w:t>
      </w:r>
      <w:proofErr w:type="spellEnd"/>
      <w:r w:rsidR="006979BF" w:rsidRPr="00E654A2">
        <w:rPr>
          <w:rFonts w:ascii="Arial" w:hAnsi="Arial" w:cs="Arial"/>
          <w:sz w:val="24"/>
          <w:szCs w:val="24"/>
        </w:rPr>
        <w:t xml:space="preserve"> </w:t>
      </w:r>
      <w:r w:rsidR="00DE1B6A" w:rsidRPr="00E654A2">
        <w:rPr>
          <w:rFonts w:ascii="Arial" w:hAnsi="Arial" w:cs="Arial"/>
          <w:sz w:val="24"/>
          <w:szCs w:val="24"/>
        </w:rPr>
        <w:t xml:space="preserve">and </w:t>
      </w:r>
      <w:r w:rsidR="006979BF" w:rsidRPr="00E654A2">
        <w:rPr>
          <w:rFonts w:ascii="Arial" w:hAnsi="Arial" w:cs="Arial"/>
          <w:sz w:val="24"/>
          <w:szCs w:val="24"/>
        </w:rPr>
        <w:t xml:space="preserve">Watkins, the </w:t>
      </w:r>
      <w:r w:rsidR="00B22206">
        <w:rPr>
          <w:rFonts w:ascii="Arial" w:hAnsi="Arial" w:cs="Arial"/>
          <w:sz w:val="24"/>
          <w:szCs w:val="24"/>
        </w:rPr>
        <w:t>key argument is that</w:t>
      </w:r>
      <w:r w:rsidR="006979BF" w:rsidRPr="00E654A2">
        <w:rPr>
          <w:rFonts w:ascii="Arial" w:hAnsi="Arial" w:cs="Arial"/>
          <w:sz w:val="24"/>
          <w:szCs w:val="24"/>
        </w:rPr>
        <w:t xml:space="preserve"> capability grows through repeated decisions, scrutiny and feedback, not instruction alone (Eraut, 2004; </w:t>
      </w:r>
      <w:proofErr w:type="spellStart"/>
      <w:r w:rsidR="006979BF" w:rsidRPr="00E654A2">
        <w:rPr>
          <w:rFonts w:ascii="Arial" w:hAnsi="Arial" w:cs="Arial"/>
          <w:sz w:val="24"/>
          <w:szCs w:val="24"/>
        </w:rPr>
        <w:t>Marsick</w:t>
      </w:r>
      <w:proofErr w:type="spellEnd"/>
      <w:r w:rsidR="006979BF" w:rsidRPr="00E654A2">
        <w:rPr>
          <w:rFonts w:ascii="Arial" w:hAnsi="Arial" w:cs="Arial"/>
          <w:sz w:val="24"/>
          <w:szCs w:val="24"/>
        </w:rPr>
        <w:t xml:space="preserve"> and Watkins, 1990).</w:t>
      </w:r>
    </w:p>
    <w:p w14:paraId="6B4EECFE" w14:textId="3A5F05A4" w:rsidR="006979BF" w:rsidRPr="00E654A2" w:rsidRDefault="006979BF">
      <w:pPr>
        <w:jc w:val="both"/>
        <w:rPr>
          <w:rFonts w:ascii="Arial" w:hAnsi="Arial" w:cs="Arial"/>
          <w:lang w:eastAsia="en-GB"/>
        </w:rPr>
      </w:pPr>
      <w:r w:rsidRPr="00E654A2">
        <w:rPr>
          <w:rFonts w:ascii="Arial" w:hAnsi="Arial" w:cs="Arial"/>
          <w:sz w:val="24"/>
          <w:szCs w:val="24"/>
        </w:rPr>
        <w:t xml:space="preserve">Eraut’s implicit/reactive/deliberative learning is visible when </w:t>
      </w:r>
      <w:r w:rsidR="00DE1B6A" w:rsidRPr="00E654A2">
        <w:rPr>
          <w:rFonts w:ascii="Arial" w:hAnsi="Arial" w:cs="Arial"/>
          <w:sz w:val="24"/>
          <w:szCs w:val="24"/>
        </w:rPr>
        <w:t>the author</w:t>
      </w:r>
      <w:r w:rsidRPr="00E654A2">
        <w:rPr>
          <w:rFonts w:ascii="Arial" w:hAnsi="Arial" w:cs="Arial"/>
          <w:sz w:val="24"/>
          <w:szCs w:val="24"/>
        </w:rPr>
        <w:t xml:space="preserve"> absorbs norms, responds to urgent demands, then refines routines into reviewable outputs (assumptions, actions and escalation triggers) (Eraut, 2004).</w:t>
      </w:r>
    </w:p>
    <w:p w14:paraId="5CE595C2" w14:textId="6CE52DD3" w:rsidR="003C5832" w:rsidRPr="00E654A2" w:rsidRDefault="003C5832" w:rsidP="003C5832">
      <w:pPr>
        <w:pStyle w:val="Heading3"/>
        <w:jc w:val="both"/>
        <w:rPr>
          <w:rFonts w:ascii="Arial" w:hAnsi="Arial" w:cs="Arial"/>
          <w:color w:val="auto"/>
          <w:sz w:val="24"/>
          <w:szCs w:val="24"/>
          <w:lang w:eastAsia="en-GB"/>
        </w:rPr>
      </w:pPr>
      <w:r w:rsidRPr="00E654A2">
        <w:rPr>
          <w:rFonts w:ascii="Arial" w:hAnsi="Arial" w:cs="Arial"/>
          <w:b/>
          <w:bCs/>
          <w:color w:val="auto"/>
          <w:sz w:val="24"/>
          <w:szCs w:val="24"/>
        </w:rPr>
        <w:lastRenderedPageBreak/>
        <w:t>High</w:t>
      </w:r>
      <w:r w:rsidR="004828A0" w:rsidRPr="00E654A2">
        <w:rPr>
          <w:rFonts w:ascii="Arial" w:hAnsi="Arial" w:cs="Arial"/>
          <w:b/>
          <w:bCs/>
          <w:color w:val="auto"/>
          <w:sz w:val="24"/>
          <w:szCs w:val="24"/>
        </w:rPr>
        <w:t xml:space="preserve"> </w:t>
      </w:r>
      <w:r w:rsidRPr="00E654A2">
        <w:rPr>
          <w:rFonts w:ascii="Arial" w:hAnsi="Arial" w:cs="Arial"/>
          <w:b/>
          <w:bCs/>
          <w:color w:val="auto"/>
          <w:sz w:val="24"/>
          <w:szCs w:val="24"/>
        </w:rPr>
        <w:t>level informal learning: judgement under constraint</w:t>
      </w:r>
    </w:p>
    <w:p w14:paraId="250CF4AA" w14:textId="1AF0C352" w:rsidR="0014463F" w:rsidRPr="00E654A2" w:rsidRDefault="0014463F">
      <w:pPr>
        <w:jc w:val="both"/>
        <w:rPr>
          <w:rFonts w:ascii="Arial" w:hAnsi="Arial" w:cs="Arial"/>
          <w:lang w:eastAsia="en-GB"/>
        </w:rPr>
      </w:pPr>
      <w:r w:rsidRPr="00E654A2">
        <w:rPr>
          <w:rFonts w:ascii="Arial" w:hAnsi="Arial" w:cs="Arial"/>
          <w:color w:val="000000"/>
          <w:sz w:val="24"/>
          <w:szCs w:val="24"/>
        </w:rPr>
        <w:t>High</w:t>
      </w:r>
      <w:r w:rsidR="004828A0" w:rsidRPr="00E654A2">
        <w:rPr>
          <w:rFonts w:ascii="Arial" w:hAnsi="Arial" w:cs="Arial"/>
          <w:color w:val="000000"/>
          <w:sz w:val="24"/>
          <w:szCs w:val="24"/>
        </w:rPr>
        <w:t xml:space="preserve"> </w:t>
      </w:r>
      <w:r w:rsidRPr="00E654A2">
        <w:rPr>
          <w:rFonts w:ascii="Arial" w:hAnsi="Arial" w:cs="Arial"/>
          <w:color w:val="000000"/>
          <w:sz w:val="24"/>
          <w:szCs w:val="24"/>
        </w:rPr>
        <w:t xml:space="preserve">level informal learning shows up clearly when the “right” procedure is not obvious and </w:t>
      </w:r>
      <w:r w:rsidR="00DD0120" w:rsidRPr="00E654A2">
        <w:rPr>
          <w:rFonts w:ascii="Arial" w:hAnsi="Arial" w:cs="Arial"/>
          <w:color w:val="000000"/>
          <w:sz w:val="24"/>
          <w:szCs w:val="24"/>
        </w:rPr>
        <w:t>there are time constraints</w:t>
      </w:r>
      <w:r w:rsidR="004828A0" w:rsidRPr="00E654A2">
        <w:rPr>
          <w:rFonts w:ascii="Arial" w:hAnsi="Arial" w:cs="Arial"/>
          <w:color w:val="000000"/>
          <w:sz w:val="24"/>
          <w:szCs w:val="24"/>
        </w:rPr>
        <w:t xml:space="preserve">, </w:t>
      </w:r>
      <w:r w:rsidRPr="00E654A2">
        <w:rPr>
          <w:rFonts w:ascii="Arial" w:hAnsi="Arial" w:cs="Arial"/>
          <w:color w:val="000000"/>
          <w:sz w:val="24"/>
          <w:szCs w:val="24"/>
        </w:rPr>
        <w:t xml:space="preserve">typically where scrutiny is high and the evidence base is partial (Eraut, 2004). In those moments, competence is </w:t>
      </w:r>
      <w:r w:rsidR="00AD5CFF">
        <w:rPr>
          <w:rFonts w:ascii="Arial" w:hAnsi="Arial" w:cs="Arial"/>
          <w:color w:val="000000"/>
          <w:sz w:val="24"/>
          <w:szCs w:val="24"/>
        </w:rPr>
        <w:t xml:space="preserve">demonstrated through </w:t>
      </w:r>
      <w:r w:rsidRPr="00E654A2">
        <w:rPr>
          <w:rFonts w:ascii="Arial" w:hAnsi="Arial" w:cs="Arial"/>
          <w:color w:val="000000"/>
          <w:sz w:val="24"/>
          <w:szCs w:val="24"/>
        </w:rPr>
        <w:t xml:space="preserve">an escalation route that fits the risk, </w:t>
      </w:r>
      <w:r w:rsidR="00AD5CFF">
        <w:rPr>
          <w:rFonts w:ascii="Arial" w:hAnsi="Arial" w:cs="Arial"/>
          <w:color w:val="000000"/>
          <w:sz w:val="24"/>
          <w:szCs w:val="24"/>
        </w:rPr>
        <w:t xml:space="preserve">produces </w:t>
      </w:r>
      <w:r w:rsidRPr="00E654A2">
        <w:rPr>
          <w:rFonts w:ascii="Arial" w:hAnsi="Arial" w:cs="Arial"/>
          <w:color w:val="000000"/>
          <w:sz w:val="24"/>
          <w:szCs w:val="24"/>
        </w:rPr>
        <w:t xml:space="preserve">minutes that capture decisions </w:t>
      </w:r>
      <w:r w:rsidR="009D025B">
        <w:rPr>
          <w:rFonts w:ascii="Arial" w:hAnsi="Arial" w:cs="Arial"/>
          <w:color w:val="000000"/>
          <w:sz w:val="24"/>
          <w:szCs w:val="24"/>
        </w:rPr>
        <w:t>while safeguarding</w:t>
      </w:r>
      <w:r w:rsidRPr="00E654A2">
        <w:rPr>
          <w:rFonts w:ascii="Arial" w:hAnsi="Arial" w:cs="Arial"/>
          <w:color w:val="000000"/>
          <w:sz w:val="24"/>
          <w:szCs w:val="24"/>
        </w:rPr>
        <w:t xml:space="preserve"> the organisation, and a rationale that </w:t>
      </w:r>
      <w:r w:rsidR="00646418">
        <w:rPr>
          <w:rFonts w:ascii="Arial" w:hAnsi="Arial" w:cs="Arial"/>
          <w:color w:val="000000"/>
          <w:sz w:val="24"/>
          <w:szCs w:val="24"/>
        </w:rPr>
        <w:t>others can</w:t>
      </w:r>
      <w:r w:rsidRPr="00E654A2">
        <w:rPr>
          <w:rFonts w:ascii="Arial" w:hAnsi="Arial" w:cs="Arial"/>
          <w:color w:val="000000"/>
          <w:sz w:val="24"/>
          <w:szCs w:val="24"/>
        </w:rPr>
        <w:t xml:space="preserve"> follow </w:t>
      </w:r>
      <w:r w:rsidR="00646418">
        <w:rPr>
          <w:rFonts w:ascii="Arial" w:hAnsi="Arial" w:cs="Arial"/>
          <w:color w:val="000000"/>
          <w:sz w:val="24"/>
          <w:szCs w:val="24"/>
        </w:rPr>
        <w:t>in the future</w:t>
      </w:r>
      <w:r w:rsidRPr="00E654A2">
        <w:rPr>
          <w:rFonts w:ascii="Arial" w:hAnsi="Arial" w:cs="Arial"/>
          <w:color w:val="000000"/>
          <w:sz w:val="24"/>
          <w:szCs w:val="24"/>
        </w:rPr>
        <w:t>.</w:t>
      </w:r>
    </w:p>
    <w:p w14:paraId="5150380A" w14:textId="77777777" w:rsidR="003C5832" w:rsidRPr="00E654A2" w:rsidRDefault="003C5832" w:rsidP="003C5832">
      <w:pPr>
        <w:pStyle w:val="Heading4"/>
        <w:jc w:val="both"/>
        <w:rPr>
          <w:rFonts w:ascii="Arial" w:hAnsi="Arial" w:cs="Arial"/>
          <w:color w:val="auto"/>
          <w:sz w:val="24"/>
          <w:szCs w:val="24"/>
          <w:lang w:eastAsia="en-GB"/>
        </w:rPr>
      </w:pPr>
      <w:r w:rsidRPr="00E654A2">
        <w:rPr>
          <w:rFonts w:ascii="Arial" w:hAnsi="Arial" w:cs="Arial"/>
          <w:color w:val="auto"/>
          <w:sz w:val="24"/>
          <w:szCs w:val="24"/>
        </w:rPr>
        <w:t>Micro-case 1: escalation and forum design</w:t>
      </w:r>
    </w:p>
    <w:p w14:paraId="405336E8" w14:textId="11C032F5" w:rsidR="00F828B7" w:rsidRPr="00E654A2" w:rsidRDefault="00F828B7" w:rsidP="00D264CE">
      <w:pPr>
        <w:jc w:val="both"/>
        <w:rPr>
          <w:rFonts w:ascii="Arial" w:hAnsi="Arial" w:cs="Arial"/>
          <w:color w:val="000000"/>
          <w:sz w:val="24"/>
        </w:rPr>
      </w:pPr>
      <w:r w:rsidRPr="00E654A2">
        <w:rPr>
          <w:rFonts w:ascii="Arial" w:hAnsi="Arial" w:cs="Arial"/>
          <w:sz w:val="24"/>
          <w:szCs w:val="24"/>
        </w:rPr>
        <w:t>In a restructuring decision, the immediate problem is not the technical answer</w:t>
      </w:r>
      <w:r w:rsidR="00497B6E">
        <w:rPr>
          <w:rFonts w:ascii="Arial" w:hAnsi="Arial" w:cs="Arial"/>
          <w:sz w:val="24"/>
          <w:szCs w:val="24"/>
        </w:rPr>
        <w:t>,</w:t>
      </w:r>
      <w:r w:rsidRPr="00E654A2">
        <w:rPr>
          <w:rFonts w:ascii="Arial" w:hAnsi="Arial" w:cs="Arial"/>
          <w:sz w:val="24"/>
          <w:szCs w:val="24"/>
        </w:rPr>
        <w:t xml:space="preserve"> but where the decision should sit. </w:t>
      </w:r>
      <w:r w:rsidR="00E0714D">
        <w:rPr>
          <w:rFonts w:ascii="Arial" w:hAnsi="Arial" w:cs="Arial"/>
          <w:sz w:val="24"/>
          <w:szCs w:val="24"/>
        </w:rPr>
        <w:t>Given time constraints and inconsistent</w:t>
      </w:r>
      <w:r w:rsidRPr="00E654A2">
        <w:rPr>
          <w:rFonts w:ascii="Arial" w:hAnsi="Arial" w:cs="Arial"/>
          <w:sz w:val="24"/>
          <w:szCs w:val="24"/>
        </w:rPr>
        <w:t xml:space="preserve"> evidence, and sensitivity about what can be recorded, </w:t>
      </w:r>
      <w:r w:rsidR="00597136" w:rsidRPr="00E654A2">
        <w:rPr>
          <w:rFonts w:ascii="Arial" w:hAnsi="Arial" w:cs="Arial"/>
          <w:sz w:val="24"/>
          <w:szCs w:val="24"/>
        </w:rPr>
        <w:t>one</w:t>
      </w:r>
      <w:r w:rsidRPr="00E654A2">
        <w:rPr>
          <w:rFonts w:ascii="Arial" w:hAnsi="Arial" w:cs="Arial"/>
          <w:sz w:val="24"/>
          <w:szCs w:val="24"/>
        </w:rPr>
        <w:t xml:space="preserve"> </w:t>
      </w:r>
      <w:r w:rsidR="00814C85" w:rsidRPr="00E654A2">
        <w:rPr>
          <w:rFonts w:ascii="Arial" w:hAnsi="Arial" w:cs="Arial"/>
          <w:sz w:val="24"/>
          <w:szCs w:val="24"/>
        </w:rPr>
        <w:t>considers</w:t>
      </w:r>
      <w:r w:rsidRPr="00E654A2">
        <w:rPr>
          <w:rFonts w:ascii="Arial" w:hAnsi="Arial" w:cs="Arial"/>
          <w:sz w:val="24"/>
          <w:szCs w:val="24"/>
        </w:rPr>
        <w:t xml:space="preserve"> whether the matter belongs with a committee, the chair, or executive action. </w:t>
      </w:r>
      <w:r w:rsidR="00BA735F">
        <w:rPr>
          <w:rFonts w:ascii="Arial" w:hAnsi="Arial" w:cs="Arial"/>
          <w:color w:val="000000"/>
          <w:sz w:val="24"/>
        </w:rPr>
        <w:t xml:space="preserve">One </w:t>
      </w:r>
      <w:r w:rsidR="00D264CE" w:rsidRPr="00E654A2">
        <w:rPr>
          <w:rFonts w:ascii="Arial" w:hAnsi="Arial" w:cs="Arial"/>
          <w:color w:val="000000"/>
          <w:sz w:val="24"/>
        </w:rPr>
        <w:t>writes a brief options note listing assumptions, specifying residual risk, and defining escalation and review triggers (e.g., what new information would bring the issue back to the board). This ensures the process is defensible, the reasoning is clear, and accountability for follow-up is established.</w:t>
      </w:r>
    </w:p>
    <w:p w14:paraId="3D21D6AE" w14:textId="77777777" w:rsidR="00F00DD6" w:rsidRPr="00E654A2" w:rsidRDefault="00F00DD6" w:rsidP="00F00DD6">
      <w:pPr>
        <w:pStyle w:val="Heading4"/>
        <w:jc w:val="both"/>
        <w:rPr>
          <w:rFonts w:ascii="Arial" w:hAnsi="Arial" w:cs="Arial"/>
          <w:color w:val="auto"/>
          <w:sz w:val="24"/>
          <w:szCs w:val="24"/>
          <w:lang w:eastAsia="en-GB"/>
        </w:rPr>
      </w:pPr>
      <w:r w:rsidRPr="00E654A2">
        <w:rPr>
          <w:rFonts w:ascii="Arial" w:hAnsi="Arial" w:cs="Arial"/>
          <w:color w:val="auto"/>
          <w:sz w:val="24"/>
          <w:szCs w:val="24"/>
        </w:rPr>
        <w:t>Micro-case 2: jurisdictional statutory request</w:t>
      </w:r>
    </w:p>
    <w:p w14:paraId="09AFECF3" w14:textId="173CF247" w:rsidR="00F00DD6" w:rsidRPr="00E654A2" w:rsidRDefault="00D02209" w:rsidP="00D02209">
      <w:pPr>
        <w:jc w:val="both"/>
        <w:rPr>
          <w:rFonts w:ascii="Arial" w:hAnsi="Arial" w:cs="Arial"/>
          <w:lang w:eastAsia="en-GB"/>
        </w:rPr>
      </w:pPr>
      <w:r w:rsidRPr="00E654A2">
        <w:rPr>
          <w:rFonts w:ascii="Arial" w:hAnsi="Arial" w:cs="Arial"/>
          <w:color w:val="000000"/>
          <w:sz w:val="24"/>
        </w:rPr>
        <w:t>When facing a statutory information request from a</w:t>
      </w:r>
      <w:r w:rsidR="002044C9" w:rsidRPr="00E654A2">
        <w:rPr>
          <w:rFonts w:ascii="Arial" w:hAnsi="Arial" w:cs="Arial"/>
          <w:color w:val="000000"/>
          <w:sz w:val="24"/>
        </w:rPr>
        <w:t xml:space="preserve"> non-UK</w:t>
      </w:r>
      <w:r w:rsidRPr="00E654A2">
        <w:rPr>
          <w:rFonts w:ascii="Arial" w:hAnsi="Arial" w:cs="Arial"/>
          <w:color w:val="000000"/>
          <w:sz w:val="24"/>
        </w:rPr>
        <w:t xml:space="preserve"> jurisdiction, simply referring to the rules isn’t enough. The situation involves </w:t>
      </w:r>
      <w:r w:rsidR="00114FDC">
        <w:rPr>
          <w:rFonts w:ascii="Arial" w:hAnsi="Arial" w:cs="Arial"/>
          <w:color w:val="000000"/>
          <w:sz w:val="24"/>
        </w:rPr>
        <w:t xml:space="preserve">at times, </w:t>
      </w:r>
      <w:r w:rsidRPr="00E654A2">
        <w:rPr>
          <w:rFonts w:ascii="Arial" w:hAnsi="Arial" w:cs="Arial"/>
          <w:color w:val="000000"/>
          <w:sz w:val="24"/>
        </w:rPr>
        <w:t xml:space="preserve">an unfamiliar </w:t>
      </w:r>
      <w:r w:rsidR="00114FDC">
        <w:rPr>
          <w:rFonts w:ascii="Arial" w:hAnsi="Arial" w:cs="Arial"/>
          <w:color w:val="000000"/>
          <w:sz w:val="24"/>
        </w:rPr>
        <w:t xml:space="preserve">or uncertain </w:t>
      </w:r>
      <w:r w:rsidRPr="00E654A2">
        <w:rPr>
          <w:rFonts w:ascii="Arial" w:hAnsi="Arial" w:cs="Arial"/>
          <w:color w:val="000000"/>
          <w:sz w:val="24"/>
        </w:rPr>
        <w:t xml:space="preserve">legal </w:t>
      </w:r>
      <w:r w:rsidR="001F443E">
        <w:rPr>
          <w:rFonts w:ascii="Arial" w:hAnsi="Arial" w:cs="Arial"/>
          <w:color w:val="000000"/>
          <w:sz w:val="24"/>
        </w:rPr>
        <w:t>background</w:t>
      </w:r>
      <w:r w:rsidRPr="00E654A2">
        <w:rPr>
          <w:rFonts w:ascii="Arial" w:hAnsi="Arial" w:cs="Arial"/>
          <w:color w:val="000000"/>
          <w:sz w:val="24"/>
        </w:rPr>
        <w:t xml:space="preserve">, tight deadlines, and serious risks if mistakes are made. Navigating this requires balancing the need for speed with the desire for thoroughness and certainty. To manage this, </w:t>
      </w:r>
      <w:r w:rsidR="00597136" w:rsidRPr="00E654A2">
        <w:rPr>
          <w:rFonts w:ascii="Arial" w:hAnsi="Arial" w:cs="Arial"/>
          <w:color w:val="000000"/>
          <w:sz w:val="24"/>
        </w:rPr>
        <w:t xml:space="preserve">one </w:t>
      </w:r>
      <w:r w:rsidR="00856C06">
        <w:rPr>
          <w:rFonts w:ascii="Arial" w:hAnsi="Arial" w:cs="Arial"/>
          <w:color w:val="000000"/>
          <w:sz w:val="24"/>
        </w:rPr>
        <w:t>looks towards their own</w:t>
      </w:r>
      <w:r w:rsidR="006141C3">
        <w:rPr>
          <w:rFonts w:ascii="Arial" w:hAnsi="Arial" w:cs="Arial"/>
          <w:color w:val="000000"/>
          <w:sz w:val="24"/>
        </w:rPr>
        <w:t xml:space="preserve"> knowledge within this area, </w:t>
      </w:r>
      <w:r w:rsidRPr="00E654A2">
        <w:rPr>
          <w:rFonts w:ascii="Arial" w:hAnsi="Arial" w:cs="Arial"/>
          <w:color w:val="000000"/>
          <w:sz w:val="24"/>
        </w:rPr>
        <w:t>consults both internal legal teams and outside advisers, cross-references their interpretations, notes what’s clear and what’s not, and creates reminders to follow up as new information becomes available. This process ensures the advice given is traceable, balanced, open to scrutiny, responsible, and can be defended if needed.</w:t>
      </w:r>
    </w:p>
    <w:p w14:paraId="383A03E3" w14:textId="77777777" w:rsidR="003C5832" w:rsidRPr="00E654A2" w:rsidRDefault="003C5832" w:rsidP="003C5832">
      <w:pPr>
        <w:pStyle w:val="Heading4"/>
        <w:jc w:val="both"/>
        <w:rPr>
          <w:rFonts w:ascii="Arial" w:hAnsi="Arial" w:cs="Arial"/>
          <w:color w:val="auto"/>
          <w:sz w:val="24"/>
          <w:szCs w:val="24"/>
          <w:lang w:eastAsia="en-GB"/>
        </w:rPr>
      </w:pPr>
      <w:r w:rsidRPr="00E654A2">
        <w:rPr>
          <w:rFonts w:ascii="Arial" w:hAnsi="Arial" w:cs="Arial"/>
          <w:color w:val="auto"/>
          <w:sz w:val="24"/>
          <w:szCs w:val="24"/>
        </w:rPr>
        <w:t>Micro-case 3: entity reduction and complexity realism</w:t>
      </w:r>
    </w:p>
    <w:p w14:paraId="1F29DC4A" w14:textId="4FD4B8F5" w:rsidR="001F7E60" w:rsidRPr="00E654A2" w:rsidRDefault="001F7E60">
      <w:pPr>
        <w:jc w:val="both"/>
        <w:rPr>
          <w:rFonts w:ascii="Arial" w:hAnsi="Arial" w:cs="Arial"/>
          <w:lang w:eastAsia="en-GB"/>
        </w:rPr>
      </w:pPr>
      <w:r w:rsidRPr="00E654A2">
        <w:rPr>
          <w:rFonts w:ascii="Arial" w:hAnsi="Arial" w:cs="Arial"/>
          <w:sz w:val="24"/>
          <w:szCs w:val="24"/>
        </w:rPr>
        <w:t xml:space="preserve">Entity reduction work is rarely linear. </w:t>
      </w:r>
      <w:r w:rsidR="00597136" w:rsidRPr="00E654A2">
        <w:rPr>
          <w:rFonts w:ascii="Arial" w:hAnsi="Arial" w:cs="Arial"/>
          <w:sz w:val="24"/>
          <w:szCs w:val="24"/>
        </w:rPr>
        <w:t>One</w:t>
      </w:r>
      <w:r w:rsidRPr="00E654A2">
        <w:rPr>
          <w:rFonts w:ascii="Arial" w:hAnsi="Arial" w:cs="Arial"/>
          <w:sz w:val="24"/>
          <w:szCs w:val="24"/>
        </w:rPr>
        <w:t xml:space="preserve"> </w:t>
      </w:r>
      <w:proofErr w:type="gramStart"/>
      <w:r w:rsidRPr="00E654A2">
        <w:rPr>
          <w:rFonts w:ascii="Arial" w:hAnsi="Arial" w:cs="Arial"/>
          <w:sz w:val="24"/>
          <w:szCs w:val="24"/>
        </w:rPr>
        <w:t>has to</w:t>
      </w:r>
      <w:proofErr w:type="gramEnd"/>
      <w:r w:rsidRPr="00E654A2">
        <w:rPr>
          <w:rFonts w:ascii="Arial" w:hAnsi="Arial" w:cs="Arial"/>
          <w:sz w:val="24"/>
          <w:szCs w:val="24"/>
        </w:rPr>
        <w:t xml:space="preserve"> sequence steps across legal, tax, treasury, insurance, pensions and local teams, often with competing objectives and fragmented ownership. The trade-off is between imposing a single standard approach (which improves control and comparability) and allowing local variation where it reduces execution risk. </w:t>
      </w:r>
      <w:r w:rsidR="00773733">
        <w:rPr>
          <w:rFonts w:ascii="Arial" w:hAnsi="Arial" w:cs="Arial"/>
          <w:sz w:val="24"/>
          <w:szCs w:val="24"/>
        </w:rPr>
        <w:t xml:space="preserve">One’s </w:t>
      </w:r>
      <w:r w:rsidRPr="00E654A2">
        <w:rPr>
          <w:rFonts w:ascii="Arial" w:hAnsi="Arial" w:cs="Arial"/>
          <w:sz w:val="24"/>
          <w:szCs w:val="24"/>
        </w:rPr>
        <w:t xml:space="preserve">response is to structure the decision pack and </w:t>
      </w:r>
      <w:proofErr w:type="gramStart"/>
      <w:r w:rsidRPr="00E654A2">
        <w:rPr>
          <w:rFonts w:ascii="Arial" w:hAnsi="Arial" w:cs="Arial"/>
          <w:sz w:val="24"/>
          <w:szCs w:val="24"/>
        </w:rPr>
        <w:t>log</w:t>
      </w:r>
      <w:proofErr w:type="gramEnd"/>
      <w:r w:rsidRPr="00E654A2">
        <w:rPr>
          <w:rFonts w:ascii="Arial" w:hAnsi="Arial" w:cs="Arial"/>
          <w:sz w:val="24"/>
          <w:szCs w:val="24"/>
        </w:rPr>
        <w:t xml:space="preserve"> so it is obvious who decides what. </w:t>
      </w:r>
      <w:r w:rsidR="003B2A26">
        <w:rPr>
          <w:rFonts w:ascii="Arial" w:hAnsi="Arial" w:cs="Arial"/>
          <w:sz w:val="24"/>
          <w:szCs w:val="24"/>
        </w:rPr>
        <w:t xml:space="preserve">One </w:t>
      </w:r>
      <w:r w:rsidRPr="00E654A2">
        <w:rPr>
          <w:rFonts w:ascii="Arial" w:hAnsi="Arial" w:cs="Arial"/>
          <w:sz w:val="24"/>
          <w:szCs w:val="24"/>
        </w:rPr>
        <w:t>also makes dependencies clear (e.g., banking or insurance sign</w:t>
      </w:r>
      <w:r w:rsidRPr="00E654A2">
        <w:rPr>
          <w:rFonts w:ascii="Arial" w:hAnsi="Arial" w:cs="Arial"/>
          <w:sz w:val="24"/>
          <w:szCs w:val="24"/>
        </w:rPr>
        <w:noBreakHyphen/>
        <w:t>offs), records the assumptions behind sequencing, and notes which exceptions are being taken and why. That structure enables challenge in the moment and assurance later, without re</w:t>
      </w:r>
      <w:r w:rsidRPr="00E654A2">
        <w:rPr>
          <w:rFonts w:ascii="Arial" w:hAnsi="Arial" w:cs="Arial"/>
          <w:sz w:val="24"/>
          <w:szCs w:val="24"/>
        </w:rPr>
        <w:noBreakHyphen/>
        <w:t>running the entire analysis from scratch.</w:t>
      </w:r>
    </w:p>
    <w:p w14:paraId="4E9ECBF3" w14:textId="77777777" w:rsidR="003C5832" w:rsidRPr="00E654A2" w:rsidRDefault="003C5832" w:rsidP="003C5832">
      <w:pPr>
        <w:pStyle w:val="Heading3"/>
        <w:jc w:val="both"/>
        <w:rPr>
          <w:rFonts w:ascii="Arial" w:hAnsi="Arial" w:cs="Arial"/>
          <w:color w:val="auto"/>
          <w:sz w:val="24"/>
          <w:szCs w:val="24"/>
          <w:lang w:eastAsia="en-GB"/>
        </w:rPr>
      </w:pPr>
      <w:r w:rsidRPr="00E654A2">
        <w:rPr>
          <w:rFonts w:ascii="Arial" w:hAnsi="Arial" w:cs="Arial"/>
          <w:b/>
          <w:bCs/>
          <w:color w:val="auto"/>
          <w:sz w:val="24"/>
          <w:szCs w:val="24"/>
        </w:rPr>
        <w:lastRenderedPageBreak/>
        <w:t>Tacit knowledge, professional judgement, and complexity in practice</w:t>
      </w:r>
    </w:p>
    <w:p w14:paraId="5A2D9E2B" w14:textId="43AD30E0" w:rsidR="006979BF" w:rsidRPr="00E654A2" w:rsidRDefault="006979BF">
      <w:pPr>
        <w:jc w:val="both"/>
        <w:rPr>
          <w:rFonts w:ascii="Arial" w:hAnsi="Arial" w:cs="Arial"/>
          <w:lang w:eastAsia="en-GB"/>
        </w:rPr>
      </w:pPr>
      <w:r w:rsidRPr="00E654A2">
        <w:rPr>
          <w:rFonts w:ascii="Arial" w:hAnsi="Arial" w:cs="Arial"/>
          <w:sz w:val="24"/>
          <w:szCs w:val="24"/>
        </w:rPr>
        <w:t xml:space="preserve">Tacit knowledge matters because not everything in governance can be written down. As Polanyi </w:t>
      </w:r>
      <w:r w:rsidR="003B2A26">
        <w:rPr>
          <w:rFonts w:ascii="Arial" w:hAnsi="Arial" w:cs="Arial"/>
          <w:sz w:val="24"/>
          <w:szCs w:val="24"/>
        </w:rPr>
        <w:t>highlights</w:t>
      </w:r>
      <w:r w:rsidRPr="00E654A2">
        <w:rPr>
          <w:rFonts w:ascii="Arial" w:hAnsi="Arial" w:cs="Arial"/>
          <w:sz w:val="24"/>
          <w:szCs w:val="24"/>
        </w:rPr>
        <w:t>, “we can know more than we can tell” (Polanyi, 1966, p.4)</w:t>
      </w:r>
      <w:r w:rsidR="007419F2">
        <w:rPr>
          <w:rFonts w:ascii="Arial" w:hAnsi="Arial" w:cs="Arial"/>
          <w:sz w:val="24"/>
          <w:szCs w:val="24"/>
        </w:rPr>
        <w:t xml:space="preserve"> highlighting that not every aspect of what professionals know </w:t>
      </w:r>
      <w:r w:rsidR="00F533C9">
        <w:rPr>
          <w:rFonts w:ascii="Arial" w:hAnsi="Arial" w:cs="Arial"/>
          <w:sz w:val="24"/>
          <w:szCs w:val="24"/>
        </w:rPr>
        <w:t>can be recorded</w:t>
      </w:r>
      <w:r w:rsidRPr="00E654A2">
        <w:rPr>
          <w:rFonts w:ascii="Arial" w:hAnsi="Arial" w:cs="Arial"/>
          <w:sz w:val="24"/>
          <w:szCs w:val="24"/>
        </w:rPr>
        <w:t>.</w:t>
      </w:r>
      <w:r w:rsidR="004B0E0C">
        <w:rPr>
          <w:rFonts w:ascii="Arial" w:hAnsi="Arial" w:cs="Arial"/>
          <w:sz w:val="24"/>
          <w:szCs w:val="24"/>
        </w:rPr>
        <w:t xml:space="preserve"> Eraut (2000) </w:t>
      </w:r>
      <w:r w:rsidR="00F533C9">
        <w:rPr>
          <w:rFonts w:ascii="Arial" w:hAnsi="Arial" w:cs="Arial"/>
          <w:sz w:val="24"/>
          <w:szCs w:val="24"/>
        </w:rPr>
        <w:t>argues</w:t>
      </w:r>
      <w:r w:rsidR="00A11220">
        <w:rPr>
          <w:rFonts w:ascii="Arial" w:hAnsi="Arial" w:cs="Arial"/>
          <w:sz w:val="24"/>
          <w:szCs w:val="24"/>
        </w:rPr>
        <w:t xml:space="preserve"> that tacit knowledge</w:t>
      </w:r>
      <w:r w:rsidRPr="00E654A2">
        <w:rPr>
          <w:rFonts w:ascii="Arial" w:hAnsi="Arial" w:cs="Arial"/>
          <w:sz w:val="24"/>
          <w:szCs w:val="24"/>
        </w:rPr>
        <w:t xml:space="preserve"> </w:t>
      </w:r>
      <w:r w:rsidR="00BE5D00">
        <w:rPr>
          <w:rFonts w:ascii="Arial" w:hAnsi="Arial" w:cs="Arial"/>
          <w:sz w:val="24"/>
          <w:szCs w:val="24"/>
        </w:rPr>
        <w:t>plays a central role in professional work, particularly where formal learning is non-formal and judgement must be exercised in complex, fast-moving situati</w:t>
      </w:r>
      <w:r w:rsidR="00273A67">
        <w:rPr>
          <w:rFonts w:ascii="Arial" w:hAnsi="Arial" w:cs="Arial"/>
          <w:sz w:val="24"/>
          <w:szCs w:val="24"/>
        </w:rPr>
        <w:t xml:space="preserve">ons (Eraut, 2000) </w:t>
      </w:r>
      <w:r w:rsidRPr="00E654A2">
        <w:rPr>
          <w:rFonts w:ascii="Arial" w:hAnsi="Arial" w:cs="Arial"/>
          <w:sz w:val="24"/>
          <w:szCs w:val="24"/>
        </w:rPr>
        <w:t xml:space="preserve">In practice, </w:t>
      </w:r>
      <w:r w:rsidR="003B4314">
        <w:rPr>
          <w:rFonts w:ascii="Arial" w:hAnsi="Arial" w:cs="Arial"/>
          <w:sz w:val="24"/>
          <w:szCs w:val="24"/>
        </w:rPr>
        <w:t>individuals use their own experience, intuition and tacit understanding to solve complex problems</w:t>
      </w:r>
      <w:r w:rsidR="00C52BB5">
        <w:rPr>
          <w:rFonts w:ascii="Arial" w:hAnsi="Arial" w:cs="Arial"/>
          <w:sz w:val="24"/>
          <w:szCs w:val="24"/>
        </w:rPr>
        <w:t xml:space="preserve"> that cannot be codified. Confidentiality an</w:t>
      </w:r>
      <w:r w:rsidR="001A59C7">
        <w:rPr>
          <w:rFonts w:ascii="Arial" w:hAnsi="Arial" w:cs="Arial"/>
          <w:sz w:val="24"/>
          <w:szCs w:val="24"/>
        </w:rPr>
        <w:t>d difficulty in accessing information can limit what is recorded.  Tacit knowledge therefore</w:t>
      </w:r>
      <w:r w:rsidR="0036508E">
        <w:rPr>
          <w:rFonts w:ascii="Arial" w:hAnsi="Arial" w:cs="Arial"/>
          <w:sz w:val="24"/>
          <w:szCs w:val="24"/>
        </w:rPr>
        <w:t xml:space="preserve"> can support both professional effectiveness and the adaptability of governance systems (Polanyi</w:t>
      </w:r>
      <w:r w:rsidR="001B5D60">
        <w:rPr>
          <w:rFonts w:ascii="Arial" w:hAnsi="Arial" w:cs="Arial"/>
          <w:sz w:val="24"/>
          <w:szCs w:val="24"/>
        </w:rPr>
        <w:t>, 1966; Eraut, 2000).</w:t>
      </w:r>
    </w:p>
    <w:p w14:paraId="3608F9AD" w14:textId="6246C5E3" w:rsidR="003C5832" w:rsidRPr="00E654A2" w:rsidRDefault="003C5832" w:rsidP="003C5832">
      <w:pPr>
        <w:pStyle w:val="Heading4"/>
        <w:jc w:val="both"/>
        <w:rPr>
          <w:rFonts w:ascii="Arial" w:hAnsi="Arial" w:cs="Arial"/>
          <w:lang w:eastAsia="en-GB"/>
        </w:rPr>
      </w:pPr>
      <w:r w:rsidRPr="00E654A2">
        <w:rPr>
          <w:rFonts w:ascii="Arial" w:hAnsi="Arial" w:cs="Arial"/>
          <w:color w:val="auto"/>
          <w:sz w:val="24"/>
          <w:szCs w:val="24"/>
        </w:rPr>
        <w:t xml:space="preserve">Micro-case </w:t>
      </w:r>
      <w:r w:rsidR="001127AC" w:rsidRPr="00E654A2">
        <w:rPr>
          <w:rFonts w:ascii="Arial" w:hAnsi="Arial" w:cs="Arial"/>
          <w:color w:val="auto"/>
          <w:sz w:val="24"/>
          <w:szCs w:val="24"/>
        </w:rPr>
        <w:t>4</w:t>
      </w:r>
      <w:r w:rsidRPr="00E654A2">
        <w:rPr>
          <w:rFonts w:ascii="Arial" w:hAnsi="Arial" w:cs="Arial"/>
          <w:color w:val="auto"/>
          <w:sz w:val="24"/>
          <w:szCs w:val="24"/>
        </w:rPr>
        <w:t>: minutes as governance evidence</w:t>
      </w:r>
    </w:p>
    <w:p w14:paraId="0CF6EE69" w14:textId="0DE990BF" w:rsidR="00F828B7" w:rsidRPr="00E654A2" w:rsidRDefault="00F828B7">
      <w:pPr>
        <w:jc w:val="both"/>
        <w:rPr>
          <w:rFonts w:ascii="Arial" w:hAnsi="Arial" w:cs="Arial"/>
          <w:sz w:val="24"/>
          <w:szCs w:val="24"/>
        </w:rPr>
      </w:pPr>
      <w:r w:rsidRPr="00E654A2">
        <w:rPr>
          <w:rFonts w:ascii="Arial" w:hAnsi="Arial" w:cs="Arial"/>
          <w:sz w:val="24"/>
          <w:szCs w:val="24"/>
        </w:rPr>
        <w:t xml:space="preserve">Minutes are both evidence and exposure. Under time pressure, and with differing risk appetites in the room, </w:t>
      </w:r>
      <w:r w:rsidR="00597136" w:rsidRPr="00E654A2">
        <w:rPr>
          <w:rFonts w:ascii="Arial" w:hAnsi="Arial" w:cs="Arial"/>
          <w:sz w:val="24"/>
          <w:szCs w:val="24"/>
        </w:rPr>
        <w:t xml:space="preserve">one </w:t>
      </w:r>
      <w:proofErr w:type="gramStart"/>
      <w:r w:rsidRPr="00E654A2">
        <w:rPr>
          <w:rFonts w:ascii="Arial" w:hAnsi="Arial" w:cs="Arial"/>
          <w:sz w:val="24"/>
          <w:szCs w:val="24"/>
        </w:rPr>
        <w:t>has to</w:t>
      </w:r>
      <w:proofErr w:type="gramEnd"/>
      <w:r w:rsidRPr="00E654A2">
        <w:rPr>
          <w:rFonts w:ascii="Arial" w:hAnsi="Arial" w:cs="Arial"/>
          <w:sz w:val="24"/>
          <w:szCs w:val="24"/>
        </w:rPr>
        <w:t xml:space="preserve"> judge how much rationale to capture so the record shows due process without creating avoidable legal or reputational risk. In practice </w:t>
      </w:r>
      <w:r w:rsidR="003D574D">
        <w:rPr>
          <w:rFonts w:ascii="Arial" w:hAnsi="Arial" w:cs="Arial"/>
          <w:sz w:val="24"/>
          <w:szCs w:val="24"/>
        </w:rPr>
        <w:t>one</w:t>
      </w:r>
      <w:r w:rsidRPr="00E654A2">
        <w:rPr>
          <w:rFonts w:ascii="Arial" w:hAnsi="Arial" w:cs="Arial"/>
          <w:sz w:val="24"/>
          <w:szCs w:val="24"/>
        </w:rPr>
        <w:t xml:space="preserve"> keeps the minutes disciplined</w:t>
      </w:r>
      <w:r w:rsidR="00E8757A" w:rsidRPr="00E654A2">
        <w:rPr>
          <w:rFonts w:ascii="Arial" w:hAnsi="Arial" w:cs="Arial"/>
          <w:sz w:val="24"/>
          <w:szCs w:val="24"/>
        </w:rPr>
        <w:t xml:space="preserve"> with </w:t>
      </w:r>
      <w:r w:rsidRPr="00E654A2">
        <w:rPr>
          <w:rFonts w:ascii="Arial" w:hAnsi="Arial" w:cs="Arial"/>
          <w:sz w:val="24"/>
          <w:szCs w:val="24"/>
        </w:rPr>
        <w:t>clear decision wording, actions/owners/deadlines, and precise follow</w:t>
      </w:r>
      <w:r w:rsidRPr="00E654A2">
        <w:rPr>
          <w:rFonts w:ascii="Arial" w:hAnsi="Arial" w:cs="Arial"/>
          <w:sz w:val="24"/>
          <w:szCs w:val="24"/>
        </w:rPr>
        <w:noBreakHyphen/>
        <w:t>ups</w:t>
      </w:r>
      <w:r w:rsidR="00E8757A" w:rsidRPr="00E654A2">
        <w:rPr>
          <w:rFonts w:ascii="Arial" w:hAnsi="Arial" w:cs="Arial"/>
          <w:sz w:val="24"/>
          <w:szCs w:val="24"/>
        </w:rPr>
        <w:t xml:space="preserve"> which </w:t>
      </w:r>
      <w:r w:rsidRPr="00E654A2">
        <w:rPr>
          <w:rFonts w:ascii="Arial" w:hAnsi="Arial" w:cs="Arial"/>
          <w:sz w:val="24"/>
          <w:szCs w:val="24"/>
        </w:rPr>
        <w:t>then checks alignment back to the paper set and the action log. When an assurance question arises later, the papers</w:t>
      </w:r>
      <w:r w:rsidR="00DE13CA">
        <w:rPr>
          <w:rFonts w:ascii="Arial" w:hAnsi="Arial" w:cs="Arial"/>
          <w:sz w:val="24"/>
          <w:szCs w:val="24"/>
        </w:rPr>
        <w:t xml:space="preserve">, </w:t>
      </w:r>
      <w:r w:rsidRPr="00E654A2">
        <w:rPr>
          <w:rFonts w:ascii="Arial" w:hAnsi="Arial" w:cs="Arial"/>
          <w:sz w:val="24"/>
          <w:szCs w:val="24"/>
        </w:rPr>
        <w:t>minutes</w:t>
      </w:r>
      <w:r w:rsidR="00DE13CA">
        <w:rPr>
          <w:rFonts w:ascii="Arial" w:hAnsi="Arial" w:cs="Arial"/>
          <w:sz w:val="24"/>
          <w:szCs w:val="24"/>
        </w:rPr>
        <w:t xml:space="preserve"> and </w:t>
      </w:r>
      <w:r w:rsidRPr="00E654A2">
        <w:rPr>
          <w:rFonts w:ascii="Arial" w:hAnsi="Arial" w:cs="Arial"/>
          <w:sz w:val="24"/>
          <w:szCs w:val="24"/>
        </w:rPr>
        <w:t>actions trail is coherent: it shows what was decided, why it was reasonable at the time, and who owned the residual risk.</w:t>
      </w:r>
    </w:p>
    <w:p w14:paraId="635F9991" w14:textId="37756958" w:rsidR="00DE4733" w:rsidRPr="00E654A2" w:rsidRDefault="00DE4733" w:rsidP="00DE4733">
      <w:pPr>
        <w:pStyle w:val="Heading4"/>
        <w:jc w:val="both"/>
        <w:rPr>
          <w:rFonts w:ascii="Arial" w:hAnsi="Arial" w:cs="Arial"/>
          <w:lang w:eastAsia="en-GB"/>
        </w:rPr>
      </w:pPr>
      <w:r w:rsidRPr="00E654A2">
        <w:rPr>
          <w:rFonts w:ascii="Arial" w:hAnsi="Arial" w:cs="Arial"/>
          <w:color w:val="auto"/>
          <w:sz w:val="24"/>
          <w:szCs w:val="24"/>
        </w:rPr>
        <w:t xml:space="preserve">Micro-case </w:t>
      </w:r>
      <w:r w:rsidR="001127AC" w:rsidRPr="00E654A2">
        <w:rPr>
          <w:rFonts w:ascii="Arial" w:hAnsi="Arial" w:cs="Arial"/>
          <w:color w:val="auto"/>
          <w:sz w:val="24"/>
          <w:szCs w:val="24"/>
        </w:rPr>
        <w:t>5</w:t>
      </w:r>
      <w:r w:rsidRPr="00E654A2">
        <w:rPr>
          <w:rFonts w:ascii="Arial" w:hAnsi="Arial" w:cs="Arial"/>
          <w:color w:val="auto"/>
          <w:sz w:val="24"/>
          <w:szCs w:val="24"/>
        </w:rPr>
        <w:t>: enabling challenge without overstepping role boundaries</w:t>
      </w:r>
    </w:p>
    <w:p w14:paraId="49CD4868" w14:textId="0E614300" w:rsidR="00DE4733" w:rsidRPr="00E654A2" w:rsidRDefault="00C72875" w:rsidP="003C73A9">
      <w:pPr>
        <w:jc w:val="both"/>
        <w:rPr>
          <w:rFonts w:ascii="Arial" w:hAnsi="Arial" w:cs="Arial"/>
          <w:lang w:eastAsia="en-GB"/>
        </w:rPr>
      </w:pPr>
      <w:r w:rsidRPr="00E654A2">
        <w:rPr>
          <w:rFonts w:ascii="Arial" w:hAnsi="Arial" w:cs="Arial"/>
          <w:color w:val="000000"/>
          <w:sz w:val="24"/>
        </w:rPr>
        <w:t>One</w:t>
      </w:r>
      <w:r w:rsidR="002B6C59" w:rsidRPr="00E654A2">
        <w:rPr>
          <w:rFonts w:ascii="Arial" w:hAnsi="Arial" w:cs="Arial"/>
          <w:color w:val="000000"/>
          <w:sz w:val="24"/>
        </w:rPr>
        <w:t xml:space="preserve"> designs processes to encourage challenge without overriding directors’ decision rights. Constraints include power imbalances and limited meeting time. </w:t>
      </w:r>
      <w:r w:rsidR="00E236DC">
        <w:rPr>
          <w:rFonts w:ascii="Arial" w:hAnsi="Arial" w:cs="Arial"/>
          <w:color w:val="000000"/>
          <w:sz w:val="24"/>
        </w:rPr>
        <w:t>One</w:t>
      </w:r>
      <w:r w:rsidR="002B6C59" w:rsidRPr="00E654A2">
        <w:rPr>
          <w:rFonts w:ascii="Arial" w:hAnsi="Arial" w:cs="Arial"/>
          <w:color w:val="000000"/>
          <w:sz w:val="24"/>
        </w:rPr>
        <w:t xml:space="preserve"> </w:t>
      </w:r>
      <w:proofErr w:type="gramStart"/>
      <w:r w:rsidR="002B6C59" w:rsidRPr="00E654A2">
        <w:rPr>
          <w:rFonts w:ascii="Arial" w:hAnsi="Arial" w:cs="Arial"/>
          <w:color w:val="000000"/>
          <w:sz w:val="24"/>
        </w:rPr>
        <w:t>balances</w:t>
      </w:r>
      <w:proofErr w:type="gramEnd"/>
      <w:r w:rsidR="002B6C59" w:rsidRPr="00E654A2">
        <w:rPr>
          <w:rFonts w:ascii="Arial" w:hAnsi="Arial" w:cs="Arial"/>
          <w:color w:val="000000"/>
          <w:sz w:val="24"/>
        </w:rPr>
        <w:t xml:space="preserve"> facilitating debate with avoiding undue influence. Governance outputs are neutral, risk-focused questions, papers detailing options, sequencing actions, and documenting unresolved issues for follow-up. Impact signals include traceable decisions, proportional responses, challenge, accountability, and defensibility in records.</w:t>
      </w:r>
    </w:p>
    <w:p w14:paraId="3412EB19" w14:textId="2E69B3BF" w:rsidR="006979BF" w:rsidRPr="00E654A2" w:rsidRDefault="006979BF">
      <w:pPr>
        <w:jc w:val="both"/>
        <w:rPr>
          <w:rFonts w:ascii="Arial" w:hAnsi="Arial" w:cs="Arial"/>
          <w:lang w:eastAsia="en-GB"/>
        </w:rPr>
      </w:pPr>
      <w:r w:rsidRPr="00E654A2">
        <w:rPr>
          <w:rFonts w:ascii="Arial" w:hAnsi="Arial" w:cs="Arial"/>
          <w:sz w:val="24"/>
          <w:szCs w:val="24"/>
        </w:rPr>
        <w:t xml:space="preserve">Other </w:t>
      </w:r>
      <w:r w:rsidR="00A677D4" w:rsidRPr="00E654A2">
        <w:rPr>
          <w:rFonts w:ascii="Arial" w:hAnsi="Arial" w:cs="Arial"/>
          <w:sz w:val="24"/>
          <w:szCs w:val="24"/>
        </w:rPr>
        <w:t xml:space="preserve">situations </w:t>
      </w:r>
      <w:r w:rsidRPr="00E654A2">
        <w:rPr>
          <w:rFonts w:ascii="Arial" w:hAnsi="Arial" w:cs="Arial"/>
          <w:sz w:val="24"/>
          <w:szCs w:val="24"/>
        </w:rPr>
        <w:t xml:space="preserve">(not </w:t>
      </w:r>
      <w:r w:rsidR="00A677D4" w:rsidRPr="00E654A2">
        <w:rPr>
          <w:rFonts w:ascii="Arial" w:hAnsi="Arial" w:cs="Arial"/>
          <w:sz w:val="24"/>
          <w:szCs w:val="24"/>
        </w:rPr>
        <w:t>set out in a micro-case</w:t>
      </w:r>
      <w:r w:rsidRPr="00E654A2">
        <w:rPr>
          <w:rFonts w:ascii="Arial" w:hAnsi="Arial" w:cs="Arial"/>
          <w:sz w:val="24"/>
          <w:szCs w:val="24"/>
        </w:rPr>
        <w:t>) show the same pattern: handling unfamiliar statutory requests by triangulating advice; redesigning operating-model decision rights to prevent late escalation; and using process to surface unspoken concerns without overstepping role boundaries. Across these situations, the consistent capability is translating uncertainty into a defensible decision trail and workable escalation.</w:t>
      </w:r>
    </w:p>
    <w:p w14:paraId="4B61AD68" w14:textId="2129891F" w:rsidR="006979BF" w:rsidRPr="00E654A2" w:rsidRDefault="006979BF" w:rsidP="00DA4BE5">
      <w:pPr>
        <w:jc w:val="both"/>
        <w:rPr>
          <w:rFonts w:ascii="Arial" w:hAnsi="Arial" w:cs="Arial"/>
          <w:lang w:eastAsia="en-GB"/>
        </w:rPr>
      </w:pPr>
      <w:r w:rsidRPr="00E654A2">
        <w:rPr>
          <w:rFonts w:ascii="Arial" w:hAnsi="Arial" w:cs="Arial"/>
          <w:sz w:val="24"/>
          <w:szCs w:val="24"/>
        </w:rPr>
        <w:t xml:space="preserve">Professional judgement sits between explicit rules and real-world pressure. It is vulnerable to predictable bias (e.g., deference to senior voices) (Eraut, 1994). Brookfield and Schön provide practical ways to </w:t>
      </w:r>
      <w:r w:rsidR="008C6895">
        <w:rPr>
          <w:rFonts w:ascii="Arial" w:hAnsi="Arial" w:cs="Arial"/>
          <w:sz w:val="24"/>
          <w:szCs w:val="24"/>
        </w:rPr>
        <w:t>address th</w:t>
      </w:r>
      <w:r w:rsidR="005D3F5D">
        <w:rPr>
          <w:rFonts w:ascii="Arial" w:hAnsi="Arial" w:cs="Arial"/>
          <w:sz w:val="24"/>
          <w:szCs w:val="24"/>
        </w:rPr>
        <w:t>is</w:t>
      </w:r>
      <w:r w:rsidR="008C6895">
        <w:rPr>
          <w:rFonts w:ascii="Arial" w:hAnsi="Arial" w:cs="Arial"/>
          <w:sz w:val="24"/>
          <w:szCs w:val="24"/>
        </w:rPr>
        <w:t xml:space="preserve"> issue</w:t>
      </w:r>
      <w:r w:rsidR="00EF29EF" w:rsidRPr="00E654A2">
        <w:rPr>
          <w:rFonts w:ascii="Arial" w:hAnsi="Arial" w:cs="Arial"/>
          <w:sz w:val="24"/>
          <w:szCs w:val="24"/>
        </w:rPr>
        <w:t xml:space="preserve">. Brookfield </w:t>
      </w:r>
      <w:r w:rsidR="00EF29EF" w:rsidRPr="00E654A2">
        <w:rPr>
          <w:rFonts w:ascii="Arial" w:hAnsi="Arial" w:cs="Arial"/>
          <w:color w:val="000000"/>
          <w:sz w:val="24"/>
        </w:rPr>
        <w:t xml:space="preserve">suggests critical reflection to address biases in professional judgement by questioning assumptions and </w:t>
      </w:r>
      <w:r w:rsidR="00EF29EF" w:rsidRPr="00E654A2">
        <w:rPr>
          <w:rFonts w:ascii="Arial" w:hAnsi="Arial" w:cs="Arial"/>
          <w:color w:val="000000"/>
          <w:sz w:val="24"/>
        </w:rPr>
        <w:lastRenderedPageBreak/>
        <w:t>considering varied perspectives. Schön (1983) promotes 'reflection-in-action', urging professionals to evaluate their decisions during the process rather than relying on established norms. Both approaches encourage self-awareness and inclusive environments, reducing bias and improving professional judgement</w:t>
      </w:r>
      <w:r w:rsidRPr="00E654A2">
        <w:rPr>
          <w:rFonts w:ascii="Arial" w:hAnsi="Arial" w:cs="Arial"/>
          <w:sz w:val="24"/>
          <w:szCs w:val="24"/>
        </w:rPr>
        <w:t xml:space="preserve"> (Brookfield, 2017; Schön, 1983) and </w:t>
      </w:r>
      <w:r w:rsidR="00C72875" w:rsidRPr="00E654A2">
        <w:rPr>
          <w:rFonts w:ascii="Arial" w:hAnsi="Arial" w:cs="Arial"/>
          <w:sz w:val="24"/>
          <w:szCs w:val="24"/>
        </w:rPr>
        <w:t>one</w:t>
      </w:r>
      <w:r w:rsidRPr="00E654A2">
        <w:rPr>
          <w:rFonts w:ascii="Arial" w:hAnsi="Arial" w:cs="Arial"/>
          <w:sz w:val="24"/>
          <w:szCs w:val="24"/>
        </w:rPr>
        <w:t xml:space="preserve"> </w:t>
      </w:r>
      <w:r w:rsidR="00F97EF1">
        <w:rPr>
          <w:rFonts w:ascii="Arial" w:hAnsi="Arial" w:cs="Arial"/>
          <w:sz w:val="24"/>
          <w:szCs w:val="24"/>
        </w:rPr>
        <w:t>incorporates it</w:t>
      </w:r>
      <w:r w:rsidRPr="00E654A2">
        <w:rPr>
          <w:rFonts w:ascii="Arial" w:hAnsi="Arial" w:cs="Arial"/>
          <w:sz w:val="24"/>
          <w:szCs w:val="24"/>
        </w:rPr>
        <w:t xml:space="preserve"> through short debriefs and peer challenge before </w:t>
      </w:r>
      <w:r w:rsidR="00D02AC0">
        <w:rPr>
          <w:rFonts w:ascii="Arial" w:hAnsi="Arial" w:cs="Arial"/>
          <w:sz w:val="24"/>
          <w:szCs w:val="24"/>
        </w:rPr>
        <w:t>significant</w:t>
      </w:r>
      <w:r w:rsidRPr="00E654A2">
        <w:rPr>
          <w:rFonts w:ascii="Arial" w:hAnsi="Arial" w:cs="Arial"/>
          <w:sz w:val="24"/>
          <w:szCs w:val="24"/>
        </w:rPr>
        <w:t xml:space="preserve"> papers circulate.</w:t>
      </w:r>
    </w:p>
    <w:p w14:paraId="6904C217" w14:textId="04FF766E" w:rsidR="003227EF" w:rsidRPr="00E654A2" w:rsidRDefault="003227EF">
      <w:pPr>
        <w:jc w:val="both"/>
        <w:rPr>
          <w:rFonts w:ascii="Arial" w:hAnsi="Arial" w:cs="Arial"/>
          <w:lang w:eastAsia="en-GB"/>
        </w:rPr>
      </w:pPr>
      <w:r w:rsidRPr="00E654A2">
        <w:rPr>
          <w:rFonts w:ascii="Arial" w:hAnsi="Arial" w:cs="Arial"/>
          <w:sz w:val="24"/>
          <w:szCs w:val="24"/>
        </w:rPr>
        <w:t>On CGI’s Values domain, the micro</w:t>
      </w:r>
      <w:r w:rsidRPr="00E654A2">
        <w:rPr>
          <w:rFonts w:ascii="Arial" w:hAnsi="Arial" w:cs="Arial"/>
          <w:sz w:val="24"/>
          <w:szCs w:val="24"/>
        </w:rPr>
        <w:noBreakHyphen/>
        <w:t xml:space="preserve">cases show values in action rather than as statements. Independence of mind appears when </w:t>
      </w:r>
      <w:r w:rsidR="00C72875" w:rsidRPr="00E654A2">
        <w:rPr>
          <w:rFonts w:ascii="Arial" w:hAnsi="Arial" w:cs="Arial"/>
          <w:sz w:val="24"/>
          <w:szCs w:val="24"/>
        </w:rPr>
        <w:t>one</w:t>
      </w:r>
      <w:r w:rsidRPr="00E654A2">
        <w:rPr>
          <w:rFonts w:ascii="Arial" w:hAnsi="Arial" w:cs="Arial"/>
          <w:sz w:val="24"/>
          <w:szCs w:val="24"/>
        </w:rPr>
        <w:t xml:space="preserve"> uses process to surface concerns that are not being voiced (Micro</w:t>
      </w:r>
      <w:r w:rsidRPr="00E654A2">
        <w:rPr>
          <w:rFonts w:ascii="Arial" w:hAnsi="Arial" w:cs="Arial"/>
          <w:sz w:val="24"/>
          <w:szCs w:val="24"/>
        </w:rPr>
        <w:noBreakHyphen/>
        <w:t xml:space="preserve">case </w:t>
      </w:r>
      <w:r w:rsidR="001127AC" w:rsidRPr="00E654A2">
        <w:rPr>
          <w:rFonts w:ascii="Arial" w:hAnsi="Arial" w:cs="Arial"/>
          <w:sz w:val="24"/>
          <w:szCs w:val="24"/>
        </w:rPr>
        <w:t>5</w:t>
      </w:r>
      <w:r w:rsidRPr="00E654A2">
        <w:rPr>
          <w:rFonts w:ascii="Arial" w:hAnsi="Arial" w:cs="Arial"/>
          <w:sz w:val="24"/>
          <w:szCs w:val="24"/>
        </w:rPr>
        <w:t xml:space="preserve">), and when </w:t>
      </w:r>
      <w:r w:rsidR="003827E9">
        <w:rPr>
          <w:rFonts w:ascii="Arial" w:hAnsi="Arial" w:cs="Arial"/>
          <w:sz w:val="24"/>
          <w:szCs w:val="24"/>
        </w:rPr>
        <w:t>one</w:t>
      </w:r>
      <w:r w:rsidRPr="00E654A2">
        <w:rPr>
          <w:rFonts w:ascii="Arial" w:hAnsi="Arial" w:cs="Arial"/>
          <w:sz w:val="24"/>
          <w:szCs w:val="24"/>
        </w:rPr>
        <w:t xml:space="preserve"> chooses a proportionate escalation route even if it creates short</w:t>
      </w:r>
      <w:r w:rsidRPr="00E654A2">
        <w:rPr>
          <w:rFonts w:ascii="Arial" w:hAnsi="Arial" w:cs="Arial"/>
          <w:sz w:val="24"/>
          <w:szCs w:val="24"/>
        </w:rPr>
        <w:noBreakHyphen/>
        <w:t>term discomfort (Micro</w:t>
      </w:r>
      <w:r w:rsidRPr="00E654A2">
        <w:rPr>
          <w:rFonts w:ascii="Arial" w:hAnsi="Arial" w:cs="Arial"/>
          <w:sz w:val="24"/>
          <w:szCs w:val="24"/>
        </w:rPr>
        <w:noBreakHyphen/>
        <w:t xml:space="preserve">case 1). Professional courage shows up in how </w:t>
      </w:r>
      <w:r w:rsidR="003827E9">
        <w:rPr>
          <w:rFonts w:ascii="Arial" w:hAnsi="Arial" w:cs="Arial"/>
          <w:sz w:val="24"/>
          <w:szCs w:val="24"/>
        </w:rPr>
        <w:t>one</w:t>
      </w:r>
      <w:r w:rsidRPr="00E654A2">
        <w:rPr>
          <w:rFonts w:ascii="Arial" w:hAnsi="Arial" w:cs="Arial"/>
          <w:sz w:val="24"/>
          <w:szCs w:val="24"/>
        </w:rPr>
        <w:t xml:space="preserve"> records residual risk explicitly, instead of allowing ambiguity to be hidden in “noted” actions. In </w:t>
      </w:r>
      <w:r w:rsidR="00B508AD">
        <w:rPr>
          <w:rFonts w:ascii="Arial" w:hAnsi="Arial" w:cs="Arial"/>
          <w:sz w:val="24"/>
          <w:szCs w:val="24"/>
        </w:rPr>
        <w:t>essence</w:t>
      </w:r>
      <w:r w:rsidRPr="00E654A2">
        <w:rPr>
          <w:rFonts w:ascii="Arial" w:hAnsi="Arial" w:cs="Arial"/>
          <w:sz w:val="24"/>
          <w:szCs w:val="24"/>
        </w:rPr>
        <w:t>, the Values domain is enacted through the way judgement is exercised under pressure and how accountability is made visible in the record (CGI, no date).</w:t>
      </w:r>
    </w:p>
    <w:p w14:paraId="3C315E99" w14:textId="77777777" w:rsidR="003C5832" w:rsidRPr="00E654A2" w:rsidRDefault="003C5832" w:rsidP="003C5832">
      <w:pPr>
        <w:pStyle w:val="Heading3"/>
        <w:jc w:val="both"/>
        <w:rPr>
          <w:rFonts w:ascii="Arial" w:hAnsi="Arial" w:cs="Arial"/>
          <w:color w:val="auto"/>
          <w:sz w:val="24"/>
          <w:szCs w:val="24"/>
          <w:lang w:eastAsia="en-GB"/>
        </w:rPr>
      </w:pPr>
      <w:r w:rsidRPr="00E654A2">
        <w:rPr>
          <w:rFonts w:ascii="Arial" w:hAnsi="Arial" w:cs="Arial"/>
          <w:b/>
          <w:bCs/>
          <w:color w:val="auto"/>
          <w:sz w:val="24"/>
          <w:szCs w:val="24"/>
        </w:rPr>
        <w:t>Engaging with disciplinary and transdisciplinary knowledge bases</w:t>
      </w:r>
    </w:p>
    <w:p w14:paraId="4D06D7C4" w14:textId="23DE0C1C" w:rsidR="003C5832" w:rsidRPr="00E654A2" w:rsidRDefault="00C72875" w:rsidP="003C5832">
      <w:pPr>
        <w:jc w:val="both"/>
        <w:rPr>
          <w:rFonts w:ascii="Arial" w:hAnsi="Arial" w:cs="Arial"/>
          <w:sz w:val="24"/>
          <w:szCs w:val="24"/>
          <w:lang w:eastAsia="en-GB"/>
        </w:rPr>
      </w:pPr>
      <w:r w:rsidRPr="00E654A2">
        <w:rPr>
          <w:rFonts w:ascii="Arial" w:hAnsi="Arial" w:cs="Arial"/>
          <w:sz w:val="24"/>
          <w:szCs w:val="24"/>
        </w:rPr>
        <w:t>The authors</w:t>
      </w:r>
      <w:r w:rsidR="003C5832" w:rsidRPr="00E654A2">
        <w:rPr>
          <w:rFonts w:ascii="Arial" w:hAnsi="Arial" w:cs="Arial"/>
          <w:sz w:val="24"/>
          <w:szCs w:val="24"/>
        </w:rPr>
        <w:t xml:space="preserve"> development combines disciplinary expertise (corporate governance, company law, audit, risk and finance) with the ability to apply it </w:t>
      </w:r>
      <w:r w:rsidR="00686408">
        <w:rPr>
          <w:rFonts w:ascii="Arial" w:hAnsi="Arial" w:cs="Arial"/>
          <w:sz w:val="24"/>
          <w:szCs w:val="24"/>
        </w:rPr>
        <w:t>within</w:t>
      </w:r>
      <w:r w:rsidR="003C5832" w:rsidRPr="00E654A2">
        <w:rPr>
          <w:rFonts w:ascii="Arial" w:hAnsi="Arial" w:cs="Arial"/>
          <w:sz w:val="24"/>
          <w:szCs w:val="24"/>
        </w:rPr>
        <w:t xml:space="preserve"> board constraints. Formal learning supports technical accuracy in board documentation and regulatory interpretation, including statutory obligations under the Companies Act 2006 and the Economic Crime and Corporate Transparency Act 2023 (Companies Act 2006; Economic Crime and Corporate Transparency Act 2023). The distinction at senior level is the capacity to translate these requirements into proportionate, adoptable governance practice.</w:t>
      </w:r>
    </w:p>
    <w:p w14:paraId="4599A543" w14:textId="430DF915" w:rsidR="006979BF" w:rsidRPr="00E654A2" w:rsidRDefault="00C72875">
      <w:pPr>
        <w:jc w:val="both"/>
        <w:rPr>
          <w:rFonts w:ascii="Arial" w:hAnsi="Arial" w:cs="Arial"/>
          <w:lang w:eastAsia="en-GB"/>
        </w:rPr>
      </w:pPr>
      <w:r w:rsidRPr="00E654A2">
        <w:rPr>
          <w:rFonts w:ascii="Arial" w:hAnsi="Arial" w:cs="Arial"/>
          <w:sz w:val="24"/>
          <w:szCs w:val="24"/>
        </w:rPr>
        <w:t xml:space="preserve">The author </w:t>
      </w:r>
      <w:r w:rsidR="006979BF" w:rsidRPr="00E654A2">
        <w:rPr>
          <w:rFonts w:ascii="Arial" w:hAnsi="Arial" w:cs="Arial"/>
          <w:sz w:val="24"/>
          <w:szCs w:val="24"/>
        </w:rPr>
        <w:t xml:space="preserve">increasingly integrates legal, finance, tax and risk viewpoints, which aligns with Nicolescu’s </w:t>
      </w:r>
      <w:proofErr w:type="spellStart"/>
      <w:r w:rsidR="006979BF" w:rsidRPr="00E654A2">
        <w:rPr>
          <w:rFonts w:ascii="Arial" w:hAnsi="Arial" w:cs="Arial"/>
          <w:sz w:val="24"/>
          <w:szCs w:val="24"/>
        </w:rPr>
        <w:t>transdisciplinarity</w:t>
      </w:r>
      <w:proofErr w:type="spellEnd"/>
      <w:r w:rsidR="006979BF" w:rsidRPr="00E654A2">
        <w:rPr>
          <w:rFonts w:ascii="Arial" w:hAnsi="Arial" w:cs="Arial"/>
          <w:sz w:val="24"/>
          <w:szCs w:val="24"/>
        </w:rPr>
        <w:t xml:space="preserve"> (Nicolescu, 2002). Because governance problems can be “wicked”, inputs </w:t>
      </w:r>
      <w:r w:rsidR="0019520E">
        <w:rPr>
          <w:rFonts w:ascii="Arial" w:hAnsi="Arial" w:cs="Arial"/>
          <w:sz w:val="24"/>
          <w:szCs w:val="24"/>
        </w:rPr>
        <w:t>do not always align clearly</w:t>
      </w:r>
      <w:r w:rsidR="006979BF" w:rsidRPr="00E654A2">
        <w:rPr>
          <w:rFonts w:ascii="Arial" w:hAnsi="Arial" w:cs="Arial"/>
          <w:sz w:val="24"/>
          <w:szCs w:val="24"/>
        </w:rPr>
        <w:t>. Rittel and Webber note that “Policy problems cannot be definitively described” (Rittel and Webber, 1973, p.155). The practical response is to make trade</w:t>
      </w:r>
      <w:r w:rsidR="006979BF" w:rsidRPr="00E654A2">
        <w:rPr>
          <w:rFonts w:ascii="Arial" w:hAnsi="Arial" w:cs="Arial"/>
          <w:sz w:val="24"/>
          <w:szCs w:val="24"/>
        </w:rPr>
        <w:noBreakHyphen/>
        <w:t xml:space="preserve">offs, dependencies and decision rights explicit </w:t>
      </w:r>
      <w:r w:rsidR="000154CD">
        <w:rPr>
          <w:rFonts w:ascii="Arial" w:hAnsi="Arial" w:cs="Arial"/>
          <w:sz w:val="24"/>
          <w:szCs w:val="24"/>
        </w:rPr>
        <w:t xml:space="preserve">to enable </w:t>
      </w:r>
      <w:r w:rsidR="006979BF" w:rsidRPr="00E654A2">
        <w:rPr>
          <w:rFonts w:ascii="Arial" w:hAnsi="Arial" w:cs="Arial"/>
          <w:sz w:val="24"/>
          <w:szCs w:val="24"/>
        </w:rPr>
        <w:t xml:space="preserve">directors </w:t>
      </w:r>
      <w:r w:rsidR="000154CD">
        <w:rPr>
          <w:rFonts w:ascii="Arial" w:hAnsi="Arial" w:cs="Arial"/>
          <w:sz w:val="24"/>
          <w:szCs w:val="24"/>
        </w:rPr>
        <w:t>to</w:t>
      </w:r>
      <w:r w:rsidR="006979BF" w:rsidRPr="00E654A2">
        <w:rPr>
          <w:rFonts w:ascii="Arial" w:hAnsi="Arial" w:cs="Arial"/>
          <w:sz w:val="24"/>
          <w:szCs w:val="24"/>
        </w:rPr>
        <w:t xml:space="preserve"> exercise collective judgement.</w:t>
      </w:r>
    </w:p>
    <w:p w14:paraId="2FA42845" w14:textId="77777777" w:rsidR="003C5832" w:rsidRPr="00E654A2" w:rsidRDefault="003C5832" w:rsidP="003C5832">
      <w:pPr>
        <w:pStyle w:val="Heading3"/>
        <w:jc w:val="both"/>
        <w:rPr>
          <w:rFonts w:ascii="Arial" w:hAnsi="Arial" w:cs="Arial"/>
          <w:color w:val="auto"/>
          <w:sz w:val="24"/>
          <w:szCs w:val="24"/>
          <w:lang w:eastAsia="en-GB"/>
        </w:rPr>
      </w:pPr>
      <w:r w:rsidRPr="00E654A2">
        <w:rPr>
          <w:rFonts w:ascii="Arial" w:hAnsi="Arial" w:cs="Arial"/>
          <w:b/>
          <w:bCs/>
          <w:color w:val="auto"/>
          <w:sz w:val="24"/>
          <w:szCs w:val="24"/>
        </w:rPr>
        <w:t>Learning in constrained, complex environments: reflection and resilience</w:t>
      </w:r>
    </w:p>
    <w:p w14:paraId="378B2312" w14:textId="261AFA99" w:rsidR="006979BF" w:rsidRPr="00E654A2" w:rsidRDefault="006979BF">
      <w:pPr>
        <w:jc w:val="both"/>
        <w:rPr>
          <w:rFonts w:ascii="Arial" w:hAnsi="Arial" w:cs="Arial"/>
          <w:lang w:eastAsia="en-GB"/>
        </w:rPr>
      </w:pPr>
      <w:r w:rsidRPr="00E654A2">
        <w:rPr>
          <w:rFonts w:ascii="Arial" w:hAnsi="Arial" w:cs="Arial"/>
          <w:sz w:val="24"/>
          <w:szCs w:val="24"/>
        </w:rPr>
        <w:t xml:space="preserve">Snowden and Boone’s </w:t>
      </w:r>
      <w:proofErr w:type="spellStart"/>
      <w:r w:rsidRPr="00E654A2">
        <w:rPr>
          <w:rFonts w:ascii="Arial" w:hAnsi="Arial" w:cs="Arial"/>
          <w:sz w:val="24"/>
          <w:szCs w:val="24"/>
        </w:rPr>
        <w:t>Cynefin</w:t>
      </w:r>
      <w:proofErr w:type="spellEnd"/>
      <w:r w:rsidRPr="00E654A2">
        <w:rPr>
          <w:rFonts w:ascii="Arial" w:hAnsi="Arial" w:cs="Arial"/>
          <w:sz w:val="24"/>
          <w:szCs w:val="24"/>
        </w:rPr>
        <w:t xml:space="preserve"> framework helps because it stops governance professionals forcing complex problems into “best practice” templates (Snowden and Boone, 2007). In complex contexts, leaders should “probe first, then sense, and then respond” (Snowden and Boone, 2007, p.73). In governance terms, that </w:t>
      </w:r>
      <w:r w:rsidR="00FE18F0">
        <w:rPr>
          <w:rFonts w:ascii="Arial" w:hAnsi="Arial" w:cs="Arial"/>
          <w:sz w:val="24"/>
          <w:szCs w:val="24"/>
        </w:rPr>
        <w:t>requires creating clear</w:t>
      </w:r>
      <w:r w:rsidRPr="00E654A2">
        <w:rPr>
          <w:rFonts w:ascii="Arial" w:hAnsi="Arial" w:cs="Arial"/>
          <w:sz w:val="24"/>
          <w:szCs w:val="24"/>
        </w:rPr>
        <w:t xml:space="preserve"> commitments and </w:t>
      </w:r>
      <w:r w:rsidR="00D11698">
        <w:rPr>
          <w:rFonts w:ascii="Arial" w:hAnsi="Arial" w:cs="Arial"/>
          <w:sz w:val="24"/>
          <w:szCs w:val="24"/>
        </w:rPr>
        <w:t xml:space="preserve">establishing </w:t>
      </w:r>
      <w:r w:rsidRPr="00E654A2">
        <w:rPr>
          <w:rFonts w:ascii="Arial" w:hAnsi="Arial" w:cs="Arial"/>
          <w:sz w:val="24"/>
          <w:szCs w:val="24"/>
        </w:rPr>
        <w:t xml:space="preserve">review points and escalation </w:t>
      </w:r>
      <w:r w:rsidR="000A7F81">
        <w:rPr>
          <w:rFonts w:ascii="Arial" w:hAnsi="Arial" w:cs="Arial"/>
          <w:sz w:val="24"/>
          <w:szCs w:val="24"/>
        </w:rPr>
        <w:t xml:space="preserve">protocols within the </w:t>
      </w:r>
      <w:r w:rsidR="00D11698">
        <w:rPr>
          <w:rFonts w:ascii="Arial" w:hAnsi="Arial" w:cs="Arial"/>
          <w:sz w:val="24"/>
          <w:szCs w:val="24"/>
        </w:rPr>
        <w:t>documentation process</w:t>
      </w:r>
      <w:r w:rsidRPr="00E654A2">
        <w:rPr>
          <w:rFonts w:ascii="Arial" w:hAnsi="Arial" w:cs="Arial"/>
          <w:sz w:val="24"/>
          <w:szCs w:val="24"/>
        </w:rPr>
        <w:t>.</w:t>
      </w:r>
    </w:p>
    <w:p w14:paraId="6EBD2B08" w14:textId="77777777" w:rsidR="006979BF" w:rsidRPr="00E654A2" w:rsidRDefault="006979BF">
      <w:pPr>
        <w:jc w:val="both"/>
        <w:rPr>
          <w:rFonts w:ascii="Arial" w:hAnsi="Arial" w:cs="Arial"/>
          <w:lang w:eastAsia="en-GB"/>
        </w:rPr>
      </w:pPr>
      <w:r w:rsidRPr="00E654A2">
        <w:rPr>
          <w:rFonts w:ascii="Arial" w:hAnsi="Arial" w:cs="Arial"/>
          <w:sz w:val="24"/>
          <w:szCs w:val="24"/>
        </w:rPr>
        <w:lastRenderedPageBreak/>
        <w:t>Major change accelerates learning because it forces non</w:t>
      </w:r>
      <w:r w:rsidRPr="00E654A2">
        <w:rPr>
          <w:rFonts w:ascii="Arial" w:hAnsi="Arial" w:cs="Arial"/>
          <w:sz w:val="24"/>
          <w:szCs w:val="24"/>
        </w:rPr>
        <w:noBreakHyphen/>
        <w:t>routine decisions under fixed timetables. Brookfield’s critical reflection helps make that learning reusable through short debriefs that surface missing evidence, escalation triggers and what should change next time (Brookfield, 2017).</w:t>
      </w:r>
    </w:p>
    <w:p w14:paraId="49170B27" w14:textId="77777777" w:rsidR="003C5832" w:rsidRPr="00E654A2" w:rsidRDefault="003C5832" w:rsidP="003C5832">
      <w:pPr>
        <w:pStyle w:val="Heading3"/>
        <w:jc w:val="both"/>
        <w:rPr>
          <w:rFonts w:ascii="Arial" w:hAnsi="Arial" w:cs="Arial"/>
          <w:color w:val="auto"/>
          <w:sz w:val="24"/>
          <w:szCs w:val="24"/>
          <w:lang w:eastAsia="en-GB"/>
        </w:rPr>
      </w:pPr>
      <w:r w:rsidRPr="00E654A2">
        <w:rPr>
          <w:rFonts w:ascii="Arial" w:hAnsi="Arial" w:cs="Arial"/>
          <w:b/>
          <w:bCs/>
          <w:color w:val="auto"/>
          <w:sz w:val="24"/>
          <w:szCs w:val="24"/>
        </w:rPr>
        <w:t>Implications for professional practice and organisational learning</w:t>
      </w:r>
    </w:p>
    <w:p w14:paraId="25428457" w14:textId="77777777" w:rsidR="0095367D" w:rsidRPr="00E654A2" w:rsidRDefault="0095367D">
      <w:pPr>
        <w:jc w:val="both"/>
        <w:rPr>
          <w:rFonts w:ascii="Arial" w:hAnsi="Arial" w:cs="Arial"/>
          <w:lang w:eastAsia="en-GB"/>
        </w:rPr>
      </w:pPr>
      <w:r w:rsidRPr="00E654A2">
        <w:rPr>
          <w:rFonts w:ascii="Arial" w:hAnsi="Arial" w:cs="Arial"/>
          <w:sz w:val="24"/>
          <w:szCs w:val="24"/>
        </w:rPr>
        <w:t>Implications for practice are straightforward in principle but harder in execution. Good governance development needs technical grounding, but it also needs deliberate support for the informal learning that happens through board cycles, transactions and organisational change.</w:t>
      </w:r>
    </w:p>
    <w:p w14:paraId="24B76D97" w14:textId="77777777" w:rsidR="00527695" w:rsidRPr="00E654A2" w:rsidRDefault="00527695">
      <w:pPr>
        <w:jc w:val="both"/>
        <w:rPr>
          <w:rFonts w:ascii="Arial" w:hAnsi="Arial" w:cs="Arial"/>
          <w:lang w:eastAsia="en-GB"/>
        </w:rPr>
      </w:pPr>
      <w:r w:rsidRPr="00E654A2">
        <w:rPr>
          <w:rFonts w:ascii="Arial" w:hAnsi="Arial" w:cs="Arial"/>
          <w:sz w:val="24"/>
          <w:szCs w:val="24"/>
        </w:rPr>
        <w:t>In practice, that means pairing CPD with mentoring and peer review of board papers and minutes. It also means building routines that externalise tacit know</w:t>
      </w:r>
      <w:r w:rsidRPr="00E654A2">
        <w:rPr>
          <w:rFonts w:ascii="Arial" w:hAnsi="Arial" w:cs="Arial"/>
          <w:sz w:val="24"/>
          <w:szCs w:val="24"/>
        </w:rPr>
        <w:noBreakHyphen/>
        <w:t>how, such as short debriefs after committee cycles, decision log prompts, and agreed escalation triggers. Finally, governance professionals benefit from structured cross</w:t>
      </w:r>
      <w:r w:rsidRPr="00E654A2">
        <w:rPr>
          <w:rFonts w:ascii="Arial" w:hAnsi="Arial" w:cs="Arial"/>
          <w:sz w:val="24"/>
          <w:szCs w:val="24"/>
        </w:rPr>
        <w:noBreakHyphen/>
        <w:t>functional exposure so they can integrate legal, finance and risk inputs without losing accountability clarity in multi</w:t>
      </w:r>
      <w:r w:rsidRPr="00E654A2">
        <w:rPr>
          <w:rFonts w:ascii="Arial" w:hAnsi="Arial" w:cs="Arial"/>
          <w:sz w:val="24"/>
          <w:szCs w:val="24"/>
        </w:rPr>
        <w:noBreakHyphen/>
        <w:t>stakeholder settings.</w:t>
      </w:r>
    </w:p>
    <w:p w14:paraId="5565C9C6" w14:textId="77777777" w:rsidR="003C5832" w:rsidRPr="00E654A2" w:rsidRDefault="003C5832" w:rsidP="003C5832">
      <w:pPr>
        <w:pStyle w:val="Heading3"/>
        <w:jc w:val="both"/>
        <w:rPr>
          <w:rFonts w:ascii="Arial" w:hAnsi="Arial" w:cs="Arial"/>
          <w:color w:val="auto"/>
          <w:sz w:val="24"/>
          <w:szCs w:val="24"/>
          <w:lang w:eastAsia="en-GB"/>
        </w:rPr>
      </w:pPr>
      <w:r w:rsidRPr="00E654A2">
        <w:rPr>
          <w:rFonts w:ascii="Arial" w:hAnsi="Arial" w:cs="Arial"/>
          <w:b/>
          <w:bCs/>
          <w:color w:val="auto"/>
          <w:sz w:val="24"/>
          <w:szCs w:val="24"/>
        </w:rPr>
        <w:t>Methodological critique and positioning</w:t>
      </w:r>
    </w:p>
    <w:p w14:paraId="03234F89" w14:textId="33C273FC" w:rsidR="006979BF" w:rsidRPr="00E654A2" w:rsidRDefault="006979BF">
      <w:pPr>
        <w:jc w:val="both"/>
        <w:rPr>
          <w:rFonts w:ascii="Arial" w:hAnsi="Arial" w:cs="Arial"/>
          <w:lang w:eastAsia="en-GB"/>
        </w:rPr>
      </w:pPr>
      <w:r w:rsidRPr="00E654A2">
        <w:rPr>
          <w:rFonts w:ascii="Arial" w:hAnsi="Arial" w:cs="Arial"/>
          <w:sz w:val="24"/>
          <w:szCs w:val="24"/>
        </w:rPr>
        <w:t>Learning theory helps, but governance adds constraints. Statutory accountability, power and reputational exposure shape what can be said, recorded and escalated (Eraut, 2004; Schön, 1983). That is why this review</w:t>
      </w:r>
      <w:r w:rsidR="00C144B1">
        <w:rPr>
          <w:rFonts w:ascii="Arial" w:hAnsi="Arial" w:cs="Arial"/>
          <w:sz w:val="24"/>
          <w:szCs w:val="24"/>
        </w:rPr>
        <w:t xml:space="preserve"> consider</w:t>
      </w:r>
      <w:r w:rsidRPr="00E654A2">
        <w:rPr>
          <w:rFonts w:ascii="Arial" w:hAnsi="Arial" w:cs="Arial"/>
          <w:sz w:val="24"/>
          <w:szCs w:val="24"/>
        </w:rPr>
        <w:t xml:space="preserve"> artefacts and decision architecture as the </w:t>
      </w:r>
      <w:r w:rsidR="00A76A74">
        <w:rPr>
          <w:rFonts w:ascii="Arial" w:hAnsi="Arial" w:cs="Arial"/>
          <w:sz w:val="24"/>
          <w:szCs w:val="24"/>
        </w:rPr>
        <w:t>strongest</w:t>
      </w:r>
      <w:r w:rsidRPr="00E654A2">
        <w:rPr>
          <w:rFonts w:ascii="Arial" w:hAnsi="Arial" w:cs="Arial"/>
          <w:sz w:val="24"/>
          <w:szCs w:val="24"/>
        </w:rPr>
        <w:t xml:space="preserve"> evidence of learning.</w:t>
      </w:r>
    </w:p>
    <w:p w14:paraId="573C98A0" w14:textId="00E05517" w:rsidR="003227EF" w:rsidRPr="00E654A2" w:rsidRDefault="00231C55">
      <w:pPr>
        <w:jc w:val="both"/>
        <w:rPr>
          <w:rFonts w:ascii="Arial" w:hAnsi="Arial" w:cs="Arial"/>
          <w:lang w:eastAsia="en-GB"/>
        </w:rPr>
      </w:pPr>
      <w:r>
        <w:rPr>
          <w:rFonts w:ascii="Arial" w:hAnsi="Arial" w:cs="Arial"/>
          <w:sz w:val="24"/>
          <w:szCs w:val="24"/>
        </w:rPr>
        <w:t>In other words</w:t>
      </w:r>
      <w:r w:rsidR="003227EF" w:rsidRPr="00E654A2">
        <w:rPr>
          <w:rFonts w:ascii="Arial" w:hAnsi="Arial" w:cs="Arial"/>
          <w:sz w:val="24"/>
          <w:szCs w:val="24"/>
        </w:rPr>
        <w:t xml:space="preserve">, governance competence </w:t>
      </w:r>
      <w:proofErr w:type="gramStart"/>
      <w:r w:rsidR="003227EF" w:rsidRPr="00E654A2">
        <w:rPr>
          <w:rFonts w:ascii="Arial" w:hAnsi="Arial" w:cs="Arial"/>
          <w:sz w:val="24"/>
          <w:szCs w:val="24"/>
        </w:rPr>
        <w:t>has to</w:t>
      </w:r>
      <w:proofErr w:type="gramEnd"/>
      <w:r w:rsidR="003227EF" w:rsidRPr="00E654A2">
        <w:rPr>
          <w:rFonts w:ascii="Arial" w:hAnsi="Arial" w:cs="Arial"/>
          <w:sz w:val="24"/>
          <w:szCs w:val="24"/>
        </w:rPr>
        <w:t xml:space="preserve"> be visible under real constraints. Knowing the rule or being reflective is not enough if the advice cannot </w:t>
      </w:r>
      <w:r w:rsidR="00161972">
        <w:rPr>
          <w:rFonts w:ascii="Arial" w:hAnsi="Arial" w:cs="Arial"/>
          <w:sz w:val="24"/>
          <w:szCs w:val="24"/>
        </w:rPr>
        <w:t>with</w:t>
      </w:r>
      <w:r w:rsidR="003227EF" w:rsidRPr="00E654A2">
        <w:rPr>
          <w:rFonts w:ascii="Arial" w:hAnsi="Arial" w:cs="Arial"/>
          <w:sz w:val="24"/>
          <w:szCs w:val="24"/>
        </w:rPr>
        <w:t xml:space="preserve">stand </w:t>
      </w:r>
      <w:r w:rsidR="00161972">
        <w:rPr>
          <w:rFonts w:ascii="Arial" w:hAnsi="Arial" w:cs="Arial"/>
          <w:sz w:val="24"/>
          <w:szCs w:val="24"/>
        </w:rPr>
        <w:t>the</w:t>
      </w:r>
      <w:r w:rsidR="003227EF" w:rsidRPr="00E654A2">
        <w:rPr>
          <w:rFonts w:ascii="Arial" w:hAnsi="Arial" w:cs="Arial"/>
          <w:sz w:val="24"/>
          <w:szCs w:val="24"/>
        </w:rPr>
        <w:t xml:space="preserve"> scrutiny, if ownership is unclear, or if escalation happens too late. That emphasis on ethical judgement and accountable practice is consistent with CGI’s framing of competence (CGI, no date).</w:t>
      </w:r>
    </w:p>
    <w:p w14:paraId="7D3A5B44" w14:textId="77777777" w:rsidR="003C5832" w:rsidRPr="00E654A2" w:rsidRDefault="003C5832" w:rsidP="003C5832">
      <w:pPr>
        <w:pStyle w:val="Heading3"/>
        <w:jc w:val="both"/>
        <w:rPr>
          <w:rFonts w:ascii="Arial" w:hAnsi="Arial" w:cs="Arial"/>
          <w:color w:val="auto"/>
          <w:sz w:val="24"/>
          <w:szCs w:val="24"/>
          <w:lang w:eastAsia="en-GB"/>
        </w:rPr>
      </w:pPr>
      <w:r w:rsidRPr="00E654A2">
        <w:rPr>
          <w:rFonts w:ascii="Arial" w:hAnsi="Arial" w:cs="Arial"/>
          <w:b/>
          <w:bCs/>
          <w:color w:val="auto"/>
          <w:sz w:val="24"/>
          <w:szCs w:val="24"/>
        </w:rPr>
        <w:t>Explicit hypothesis</w:t>
      </w:r>
    </w:p>
    <w:p w14:paraId="40C209F3" w14:textId="29CCC5AB" w:rsidR="006979BF" w:rsidRPr="00E654A2" w:rsidRDefault="00773EE5">
      <w:pPr>
        <w:jc w:val="both"/>
        <w:rPr>
          <w:rFonts w:ascii="Arial" w:hAnsi="Arial" w:cs="Arial"/>
          <w:lang w:eastAsia="en-GB"/>
        </w:rPr>
      </w:pPr>
      <w:r>
        <w:rPr>
          <w:rFonts w:ascii="Arial" w:hAnsi="Arial" w:cs="Arial"/>
          <w:sz w:val="24"/>
          <w:szCs w:val="24"/>
        </w:rPr>
        <w:t>It is proposed that</w:t>
      </w:r>
      <w:r w:rsidR="006979BF" w:rsidRPr="00E654A2">
        <w:rPr>
          <w:rFonts w:ascii="Arial" w:hAnsi="Arial" w:cs="Arial"/>
          <w:sz w:val="24"/>
          <w:szCs w:val="24"/>
        </w:rPr>
        <w:t xml:space="preserve"> advanced governance </w:t>
      </w:r>
      <w:r w:rsidR="00233CE9">
        <w:rPr>
          <w:rFonts w:ascii="Arial" w:hAnsi="Arial" w:cs="Arial"/>
          <w:sz w:val="24"/>
          <w:szCs w:val="24"/>
        </w:rPr>
        <w:t>skills develop,</w:t>
      </w:r>
      <w:r w:rsidR="006979BF" w:rsidRPr="00E654A2">
        <w:rPr>
          <w:rFonts w:ascii="Arial" w:hAnsi="Arial" w:cs="Arial"/>
          <w:sz w:val="24"/>
          <w:szCs w:val="24"/>
        </w:rPr>
        <w:t xml:space="preserve"> mainly</w:t>
      </w:r>
      <w:r w:rsidR="00233CE9">
        <w:rPr>
          <w:rFonts w:ascii="Arial" w:hAnsi="Arial" w:cs="Arial"/>
          <w:sz w:val="24"/>
          <w:szCs w:val="24"/>
        </w:rPr>
        <w:t>,</w:t>
      </w:r>
      <w:r w:rsidR="006979BF" w:rsidRPr="00E654A2">
        <w:rPr>
          <w:rFonts w:ascii="Arial" w:hAnsi="Arial" w:cs="Arial"/>
          <w:sz w:val="24"/>
          <w:szCs w:val="24"/>
        </w:rPr>
        <w:t xml:space="preserve"> through repeated judgement</w:t>
      </w:r>
      <w:r w:rsidR="00C679FF">
        <w:rPr>
          <w:rFonts w:ascii="Arial" w:hAnsi="Arial" w:cs="Arial"/>
          <w:sz w:val="24"/>
          <w:szCs w:val="24"/>
        </w:rPr>
        <w:t xml:space="preserve"> in uncertain situations</w:t>
      </w:r>
      <w:r w:rsidR="006979BF" w:rsidRPr="00E654A2">
        <w:rPr>
          <w:rFonts w:ascii="Arial" w:hAnsi="Arial" w:cs="Arial"/>
          <w:sz w:val="24"/>
          <w:szCs w:val="24"/>
        </w:rPr>
        <w:t>, especially decisions about escalation, documentation and residual</w:t>
      </w:r>
      <w:r w:rsidR="002F5A5E" w:rsidRPr="00E654A2">
        <w:rPr>
          <w:rFonts w:ascii="Arial" w:hAnsi="Arial" w:cs="Arial"/>
          <w:sz w:val="24"/>
          <w:szCs w:val="24"/>
        </w:rPr>
        <w:t xml:space="preserve"> </w:t>
      </w:r>
      <w:r w:rsidR="006979BF" w:rsidRPr="00E654A2">
        <w:rPr>
          <w:rFonts w:ascii="Arial" w:hAnsi="Arial" w:cs="Arial"/>
          <w:sz w:val="24"/>
          <w:szCs w:val="24"/>
        </w:rPr>
        <w:t>risk ownership, rather than through technical knowledge accumulation alone.</w:t>
      </w:r>
    </w:p>
    <w:p w14:paraId="05C3669E" w14:textId="77777777" w:rsidR="0057072C" w:rsidRPr="00E654A2" w:rsidRDefault="0057072C" w:rsidP="0057072C">
      <w:pPr>
        <w:pStyle w:val="Heading3"/>
        <w:jc w:val="both"/>
        <w:rPr>
          <w:rFonts w:ascii="Arial" w:hAnsi="Arial" w:cs="Arial"/>
          <w:lang w:eastAsia="en-GB"/>
        </w:rPr>
      </w:pPr>
      <w:r w:rsidRPr="00E654A2">
        <w:rPr>
          <w:rFonts w:ascii="Arial" w:hAnsi="Arial" w:cs="Arial"/>
          <w:b/>
          <w:bCs/>
          <w:color w:val="auto"/>
          <w:sz w:val="24"/>
          <w:szCs w:val="24"/>
        </w:rPr>
        <w:t>Summary: mapping learning to governance impact (board assurance and strategic governance)</w:t>
      </w:r>
    </w:p>
    <w:p w14:paraId="3AA713BC" w14:textId="04526DF4" w:rsidR="006979BF" w:rsidRPr="00E654A2" w:rsidRDefault="006979BF">
      <w:pPr>
        <w:jc w:val="both"/>
        <w:rPr>
          <w:rFonts w:ascii="Arial" w:hAnsi="Arial" w:cs="Arial"/>
          <w:lang w:eastAsia="en-GB"/>
        </w:rPr>
      </w:pPr>
      <w:r w:rsidRPr="00E654A2">
        <w:rPr>
          <w:rFonts w:ascii="Arial" w:hAnsi="Arial" w:cs="Arial"/>
          <w:sz w:val="24"/>
          <w:szCs w:val="24"/>
        </w:rPr>
        <w:t>Across the micro</w:t>
      </w:r>
      <w:r w:rsidRPr="00E654A2">
        <w:rPr>
          <w:rFonts w:ascii="Arial" w:hAnsi="Arial" w:cs="Arial"/>
          <w:sz w:val="24"/>
          <w:szCs w:val="24"/>
        </w:rPr>
        <w:noBreakHyphen/>
        <w:t xml:space="preserve">cases, the pattern is consistent: Knowledge shows up in technical accuracy and statutory awareness; Practice in how </w:t>
      </w:r>
      <w:r w:rsidR="00C72875" w:rsidRPr="00E654A2">
        <w:rPr>
          <w:rFonts w:ascii="Arial" w:hAnsi="Arial" w:cs="Arial"/>
          <w:sz w:val="24"/>
          <w:szCs w:val="24"/>
        </w:rPr>
        <w:t>one</w:t>
      </w:r>
      <w:r w:rsidRPr="00E654A2">
        <w:rPr>
          <w:rFonts w:ascii="Arial" w:hAnsi="Arial" w:cs="Arial"/>
          <w:sz w:val="24"/>
          <w:szCs w:val="24"/>
        </w:rPr>
        <w:t xml:space="preserve"> shapes decision conditions (papers, escalation, assurance); and Values in making accountability and residual risk </w:t>
      </w:r>
      <w:r w:rsidRPr="00E654A2">
        <w:rPr>
          <w:rFonts w:ascii="Arial" w:hAnsi="Arial" w:cs="Arial"/>
          <w:sz w:val="24"/>
          <w:szCs w:val="24"/>
        </w:rPr>
        <w:lastRenderedPageBreak/>
        <w:t>visible rather than convenient (CGI, no date). The combined effect is stronger board assurance and more reliable strategic governance between meetings.</w:t>
      </w:r>
    </w:p>
    <w:p w14:paraId="3D9579F9" w14:textId="77777777" w:rsidR="0057072C" w:rsidRPr="00E654A2" w:rsidRDefault="0057072C" w:rsidP="0057072C">
      <w:pPr>
        <w:pStyle w:val="Heading3"/>
        <w:jc w:val="both"/>
        <w:rPr>
          <w:rFonts w:ascii="Arial" w:hAnsi="Arial" w:cs="Arial"/>
          <w:lang w:eastAsia="en-GB"/>
        </w:rPr>
      </w:pPr>
      <w:r w:rsidRPr="00E654A2">
        <w:rPr>
          <w:rFonts w:ascii="Arial" w:hAnsi="Arial" w:cs="Arial"/>
          <w:b/>
          <w:bCs/>
          <w:color w:val="auto"/>
          <w:sz w:val="24"/>
          <w:szCs w:val="24"/>
        </w:rPr>
        <w:t>Conclusion: summary and future directions</w:t>
      </w:r>
    </w:p>
    <w:p w14:paraId="753EAA10" w14:textId="58550A7E" w:rsidR="006979BF" w:rsidRPr="00E654A2" w:rsidRDefault="00C133C6">
      <w:pPr>
        <w:jc w:val="both"/>
        <w:rPr>
          <w:rFonts w:ascii="Arial" w:hAnsi="Arial" w:cs="Arial"/>
          <w:lang w:eastAsia="en-GB"/>
        </w:rPr>
      </w:pPr>
      <w:r w:rsidRPr="00E654A2">
        <w:rPr>
          <w:rFonts w:ascii="Arial" w:hAnsi="Arial" w:cs="Arial"/>
          <w:sz w:val="24"/>
          <w:szCs w:val="24"/>
        </w:rPr>
        <w:t xml:space="preserve">The </w:t>
      </w:r>
      <w:r w:rsidR="00FD6E69" w:rsidRPr="00E654A2">
        <w:rPr>
          <w:rFonts w:ascii="Arial" w:hAnsi="Arial" w:cs="Arial"/>
          <w:sz w:val="24"/>
          <w:szCs w:val="24"/>
        </w:rPr>
        <w:t>author’s</w:t>
      </w:r>
      <w:r w:rsidR="006979BF" w:rsidRPr="00E654A2">
        <w:rPr>
          <w:rFonts w:ascii="Arial" w:hAnsi="Arial" w:cs="Arial"/>
          <w:sz w:val="24"/>
          <w:szCs w:val="24"/>
        </w:rPr>
        <w:t xml:space="preserve"> development is best understood </w:t>
      </w:r>
      <w:r w:rsidR="00792B1C">
        <w:rPr>
          <w:rFonts w:ascii="Arial" w:hAnsi="Arial" w:cs="Arial"/>
          <w:sz w:val="24"/>
          <w:szCs w:val="24"/>
        </w:rPr>
        <w:t>by enhanced</w:t>
      </w:r>
      <w:r w:rsidR="006979BF" w:rsidRPr="00E654A2">
        <w:rPr>
          <w:rFonts w:ascii="Arial" w:hAnsi="Arial" w:cs="Arial"/>
          <w:sz w:val="24"/>
          <w:szCs w:val="24"/>
        </w:rPr>
        <w:t xml:space="preserve"> judgement </w:t>
      </w:r>
      <w:r w:rsidR="00792B1C">
        <w:rPr>
          <w:rFonts w:ascii="Arial" w:hAnsi="Arial" w:cs="Arial"/>
          <w:sz w:val="24"/>
          <w:szCs w:val="24"/>
        </w:rPr>
        <w:t>within</w:t>
      </w:r>
      <w:r w:rsidR="006979BF" w:rsidRPr="00E654A2">
        <w:rPr>
          <w:rFonts w:ascii="Arial" w:hAnsi="Arial" w:cs="Arial"/>
          <w:sz w:val="24"/>
          <w:szCs w:val="24"/>
        </w:rPr>
        <w:t xml:space="preserve"> legal </w:t>
      </w:r>
      <w:r w:rsidR="00792B1C">
        <w:rPr>
          <w:rFonts w:ascii="Arial" w:hAnsi="Arial" w:cs="Arial"/>
          <w:sz w:val="24"/>
          <w:szCs w:val="24"/>
        </w:rPr>
        <w:t>frameworks</w:t>
      </w:r>
      <w:r w:rsidR="006979BF" w:rsidRPr="00E654A2">
        <w:rPr>
          <w:rFonts w:ascii="Arial" w:hAnsi="Arial" w:cs="Arial"/>
          <w:sz w:val="24"/>
          <w:szCs w:val="24"/>
        </w:rPr>
        <w:t xml:space="preserve">, ethical </w:t>
      </w:r>
      <w:r w:rsidR="00792B1C">
        <w:rPr>
          <w:rFonts w:ascii="Arial" w:hAnsi="Arial" w:cs="Arial"/>
          <w:sz w:val="24"/>
          <w:szCs w:val="24"/>
        </w:rPr>
        <w:t>considerations</w:t>
      </w:r>
      <w:r w:rsidR="006979BF" w:rsidRPr="00E654A2">
        <w:rPr>
          <w:rFonts w:ascii="Arial" w:hAnsi="Arial" w:cs="Arial"/>
          <w:sz w:val="24"/>
          <w:szCs w:val="24"/>
        </w:rPr>
        <w:t xml:space="preserve"> and collective decision-making. Formal learning provides statutory foundations, while informal and tacit learning supply the adaptive capability needed in ambiguous, time</w:t>
      </w:r>
      <w:r w:rsidR="006979BF" w:rsidRPr="00E654A2">
        <w:rPr>
          <w:rFonts w:ascii="Arial" w:hAnsi="Arial" w:cs="Arial"/>
          <w:sz w:val="24"/>
          <w:szCs w:val="24"/>
        </w:rPr>
        <w:noBreakHyphen/>
        <w:t>pressured settings (Eraut, 1994; Eraut, 2004). A small number of routines can strengthen this further: peer review of board papers</w:t>
      </w:r>
      <w:r w:rsidR="006938CD">
        <w:rPr>
          <w:rFonts w:ascii="Arial" w:hAnsi="Arial" w:cs="Arial"/>
          <w:sz w:val="24"/>
          <w:szCs w:val="24"/>
        </w:rPr>
        <w:t xml:space="preserve"> and </w:t>
      </w:r>
      <w:r w:rsidR="006979BF" w:rsidRPr="00E654A2">
        <w:rPr>
          <w:rFonts w:ascii="Arial" w:hAnsi="Arial" w:cs="Arial"/>
          <w:sz w:val="24"/>
          <w:szCs w:val="24"/>
        </w:rPr>
        <w:t>minutes, short post</w:t>
      </w:r>
      <w:r w:rsidR="006979BF" w:rsidRPr="00E654A2">
        <w:rPr>
          <w:rFonts w:ascii="Arial" w:hAnsi="Arial" w:cs="Arial"/>
          <w:sz w:val="24"/>
          <w:szCs w:val="24"/>
        </w:rPr>
        <w:noBreakHyphen/>
        <w:t>cycle debriefs, and occasional scenario rehearsals so decision rights and escalation triggers are tested before a live crisis (Snowden and Boone, 2007; Brookfield, 2017).</w:t>
      </w:r>
    </w:p>
    <w:p w14:paraId="688BE000" w14:textId="62890349" w:rsidR="002F5A5E" w:rsidRPr="00E654A2" w:rsidRDefault="002F5A5E">
      <w:pPr>
        <w:jc w:val="both"/>
        <w:rPr>
          <w:rFonts w:ascii="Arial" w:hAnsi="Arial" w:cs="Arial"/>
          <w:sz w:val="24"/>
          <w:szCs w:val="24"/>
        </w:rPr>
      </w:pPr>
    </w:p>
    <w:p w14:paraId="7DCE4916" w14:textId="2191052B" w:rsidR="003C5832" w:rsidRPr="00E654A2" w:rsidRDefault="003C5832" w:rsidP="003C5832">
      <w:pPr>
        <w:pStyle w:val="Heading1"/>
        <w:jc w:val="both"/>
        <w:rPr>
          <w:rFonts w:ascii="Arial" w:hAnsi="Arial" w:cs="Arial"/>
          <w:color w:val="auto"/>
          <w:sz w:val="24"/>
          <w:szCs w:val="24"/>
          <w:lang w:eastAsia="en-GB"/>
        </w:rPr>
      </w:pPr>
      <w:r w:rsidRPr="00E654A2">
        <w:rPr>
          <w:rFonts w:ascii="Arial" w:hAnsi="Arial" w:cs="Arial"/>
          <w:b/>
          <w:bCs/>
          <w:color w:val="auto"/>
          <w:sz w:val="24"/>
          <w:szCs w:val="24"/>
        </w:rPr>
        <w:t>Part 2: Conceptual Framework for Practice</w:t>
      </w:r>
    </w:p>
    <w:p w14:paraId="6DD6D5C3" w14:textId="1A4E4C6B" w:rsidR="003C5832" w:rsidRPr="00E654A2" w:rsidRDefault="003C5832" w:rsidP="003C5832">
      <w:pPr>
        <w:rPr>
          <w:rFonts w:ascii="Arial" w:hAnsi="Arial" w:cs="Arial"/>
          <w:sz w:val="24"/>
          <w:szCs w:val="24"/>
        </w:rPr>
      </w:pPr>
      <w:r w:rsidRPr="00E654A2">
        <w:rPr>
          <w:rFonts w:ascii="Arial" w:hAnsi="Arial" w:cs="Arial"/>
          <w:sz w:val="24"/>
          <w:szCs w:val="24"/>
        </w:rPr>
        <w:t>Figure 1: Conceptual Framework for Chartered Secretarial and Governance Practice</w:t>
      </w:r>
    </w:p>
    <w:p w14:paraId="45029243" w14:textId="32009377" w:rsidR="00E12FBD" w:rsidRPr="00E654A2" w:rsidRDefault="00AC54CA" w:rsidP="003C5832">
      <w:pPr>
        <w:rPr>
          <w:rFonts w:ascii="Arial" w:hAnsi="Arial" w:cs="Arial"/>
          <w:sz w:val="24"/>
          <w:szCs w:val="24"/>
        </w:rPr>
      </w:pPr>
      <w:r w:rsidRPr="00EB62C2">
        <w:lastRenderedPageBreak/>
        <w:drawing>
          <wp:inline distT="0" distB="0" distL="0" distR="0" wp14:anchorId="2A77943D" wp14:editId="7B8A0D8C">
            <wp:extent cx="5988011" cy="4465320"/>
            <wp:effectExtent l="0" t="0" r="0" b="0"/>
            <wp:docPr id="1122793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793306" name=""/>
                    <pic:cNvPicPr/>
                  </pic:nvPicPr>
                  <pic:blipFill rotWithShape="1">
                    <a:blip r:embed="rId7">
                      <a:alphaModFix/>
                      <a:extLst>
                        <a:ext uri="{BEBA8EAE-BF5A-486C-A8C5-ECC9F3942E4B}">
                          <a14:imgProps xmlns:a14="http://schemas.microsoft.com/office/drawing/2010/main">
                            <a14:imgLayer r:embed="rId8">
                              <a14:imgEffect>
                                <a14:sharpenSoften amount="50000"/>
                              </a14:imgEffect>
                              <a14:imgEffect>
                                <a14:saturation sat="200000"/>
                              </a14:imgEffect>
                            </a14:imgLayer>
                          </a14:imgProps>
                        </a:ext>
                      </a:extLst>
                    </a:blip>
                    <a:srcRect l="111" t="9754" b="13667"/>
                    <a:stretch>
                      <a:fillRect/>
                    </a:stretch>
                  </pic:blipFill>
                  <pic:spPr bwMode="auto">
                    <a:xfrm>
                      <a:off x="0" y="0"/>
                      <a:ext cx="6013190" cy="4484096"/>
                    </a:xfrm>
                    <a:prstGeom prst="rect">
                      <a:avLst/>
                    </a:prstGeom>
                    <a:ln>
                      <a:noFill/>
                    </a:ln>
                    <a:effectLst>
                      <a:softEdge rad="112500"/>
                    </a:effectLst>
                    <a:extLst>
                      <a:ext uri="{53640926-AAD7-44D8-BBD7-CCE9431645EC}">
                        <a14:shadowObscured xmlns:a14="http://schemas.microsoft.com/office/drawing/2010/main"/>
                      </a:ext>
                    </a:extLst>
                  </pic:spPr>
                </pic:pic>
              </a:graphicData>
            </a:graphic>
          </wp:inline>
        </w:drawing>
      </w:r>
    </w:p>
    <w:p w14:paraId="307668D8" w14:textId="1E07E1B2" w:rsidR="006979BF" w:rsidRPr="00E654A2" w:rsidRDefault="006979BF">
      <w:pPr>
        <w:jc w:val="both"/>
        <w:rPr>
          <w:rFonts w:ascii="Arial" w:hAnsi="Arial" w:cs="Arial"/>
          <w:lang w:eastAsia="en-GB"/>
        </w:rPr>
      </w:pPr>
      <w:r w:rsidRPr="00E654A2">
        <w:rPr>
          <w:rFonts w:ascii="Arial" w:hAnsi="Arial" w:cs="Arial"/>
          <w:sz w:val="24"/>
          <w:szCs w:val="24"/>
        </w:rPr>
        <w:t xml:space="preserve">Figure 1 shows how formal knowledge, informal learning and transdisciplinary insight are brought together through tacit judgement, with </w:t>
      </w:r>
      <w:r w:rsidR="00C20CD3">
        <w:rPr>
          <w:rFonts w:ascii="Arial" w:hAnsi="Arial" w:cs="Arial"/>
          <w:sz w:val="24"/>
          <w:szCs w:val="24"/>
        </w:rPr>
        <w:t xml:space="preserve">governance </w:t>
      </w:r>
      <w:r w:rsidRPr="00E654A2">
        <w:rPr>
          <w:rFonts w:ascii="Arial" w:hAnsi="Arial" w:cs="Arial"/>
          <w:sz w:val="24"/>
          <w:szCs w:val="24"/>
        </w:rPr>
        <w:t>impacts visible in board assurance and strategic governance.</w:t>
      </w:r>
    </w:p>
    <w:p w14:paraId="0105F28B" w14:textId="77777777" w:rsidR="003C5832" w:rsidRPr="00E654A2" w:rsidRDefault="003C5832" w:rsidP="003C5832">
      <w:pPr>
        <w:pStyle w:val="Heading3"/>
        <w:jc w:val="both"/>
        <w:rPr>
          <w:rFonts w:ascii="Arial" w:hAnsi="Arial" w:cs="Arial"/>
          <w:color w:val="auto"/>
          <w:sz w:val="24"/>
          <w:szCs w:val="24"/>
          <w:lang w:eastAsia="en-GB"/>
        </w:rPr>
      </w:pPr>
      <w:r w:rsidRPr="00E654A2">
        <w:rPr>
          <w:rFonts w:ascii="Arial" w:hAnsi="Arial" w:cs="Arial"/>
          <w:b/>
          <w:bCs/>
          <w:color w:val="auto"/>
          <w:sz w:val="24"/>
          <w:szCs w:val="24"/>
        </w:rPr>
        <w:t>Introduction</w:t>
      </w:r>
    </w:p>
    <w:p w14:paraId="0D53D252" w14:textId="28807122" w:rsidR="00B32AED" w:rsidRPr="00E654A2" w:rsidRDefault="00B32AED">
      <w:pPr>
        <w:jc w:val="both"/>
        <w:rPr>
          <w:rFonts w:ascii="Arial" w:hAnsi="Arial" w:cs="Arial"/>
          <w:lang w:eastAsia="en-GB"/>
        </w:rPr>
      </w:pPr>
      <w:r w:rsidRPr="00E654A2">
        <w:rPr>
          <w:rFonts w:ascii="Arial" w:hAnsi="Arial" w:cs="Arial"/>
          <w:sz w:val="24"/>
          <w:szCs w:val="24"/>
        </w:rPr>
        <w:t xml:space="preserve">Part 2 sets out the conceptual framework used in this portfolio. It explains how governance professionals </w:t>
      </w:r>
      <w:r w:rsidR="00A34C6B">
        <w:rPr>
          <w:rFonts w:ascii="Arial" w:hAnsi="Arial" w:cs="Arial"/>
          <w:sz w:val="24"/>
          <w:szCs w:val="24"/>
        </w:rPr>
        <w:t>integrate</w:t>
      </w:r>
      <w:r w:rsidRPr="00E654A2">
        <w:rPr>
          <w:rFonts w:ascii="Arial" w:hAnsi="Arial" w:cs="Arial"/>
          <w:sz w:val="24"/>
          <w:szCs w:val="24"/>
        </w:rPr>
        <w:t xml:space="preserve"> formal knowledge, </w:t>
      </w:r>
      <w:r w:rsidR="00A34C6B">
        <w:rPr>
          <w:rFonts w:ascii="Arial" w:hAnsi="Arial" w:cs="Arial"/>
          <w:sz w:val="24"/>
          <w:szCs w:val="24"/>
        </w:rPr>
        <w:t xml:space="preserve">professional </w:t>
      </w:r>
      <w:r w:rsidRPr="00E654A2">
        <w:rPr>
          <w:rFonts w:ascii="Arial" w:hAnsi="Arial" w:cs="Arial"/>
          <w:sz w:val="24"/>
          <w:szCs w:val="24"/>
        </w:rPr>
        <w:t xml:space="preserve">experience and cross-disciplinary insight through tacit judgement to produce </w:t>
      </w:r>
      <w:r w:rsidR="009E4496">
        <w:rPr>
          <w:rFonts w:ascii="Arial" w:hAnsi="Arial" w:cs="Arial"/>
          <w:sz w:val="24"/>
          <w:szCs w:val="24"/>
        </w:rPr>
        <w:t>practical</w:t>
      </w:r>
      <w:r w:rsidRPr="00E654A2">
        <w:rPr>
          <w:rFonts w:ascii="Arial" w:hAnsi="Arial" w:cs="Arial"/>
          <w:sz w:val="24"/>
          <w:szCs w:val="24"/>
        </w:rPr>
        <w:t xml:space="preserve"> advice and usable governance artefacts. </w:t>
      </w:r>
    </w:p>
    <w:p w14:paraId="7482A540" w14:textId="77777777" w:rsidR="003C5832" w:rsidRPr="00E654A2" w:rsidRDefault="003C5832" w:rsidP="003C5832">
      <w:pPr>
        <w:pStyle w:val="Heading3"/>
        <w:jc w:val="both"/>
        <w:rPr>
          <w:rFonts w:ascii="Arial" w:hAnsi="Arial" w:cs="Arial"/>
          <w:color w:val="auto"/>
          <w:sz w:val="24"/>
          <w:szCs w:val="24"/>
          <w:lang w:eastAsia="en-GB"/>
        </w:rPr>
      </w:pPr>
      <w:r w:rsidRPr="00E654A2">
        <w:rPr>
          <w:rFonts w:ascii="Arial" w:hAnsi="Arial" w:cs="Arial"/>
          <w:b/>
          <w:bCs/>
          <w:color w:val="auto"/>
          <w:sz w:val="24"/>
          <w:szCs w:val="24"/>
        </w:rPr>
        <w:t>Overview of the conceptual framework</w:t>
      </w:r>
    </w:p>
    <w:p w14:paraId="1F8486E4" w14:textId="300319E5" w:rsidR="006979BF" w:rsidRPr="00E654A2" w:rsidRDefault="006979BF">
      <w:pPr>
        <w:jc w:val="both"/>
        <w:rPr>
          <w:rFonts w:ascii="Arial" w:hAnsi="Arial" w:cs="Arial"/>
          <w:lang w:eastAsia="en-GB"/>
        </w:rPr>
      </w:pPr>
      <w:r w:rsidRPr="00E654A2">
        <w:rPr>
          <w:rFonts w:ascii="Arial" w:hAnsi="Arial" w:cs="Arial"/>
          <w:color w:val="000000"/>
          <w:sz w:val="24"/>
          <w:szCs w:val="24"/>
        </w:rPr>
        <w:t>The model links five elements: formal knowledge, informal learning, tacit judgement, transdisciplinary insight and governance impact. “</w:t>
      </w:r>
      <w:r w:rsidR="00C20CD3">
        <w:rPr>
          <w:rFonts w:ascii="Arial" w:hAnsi="Arial" w:cs="Arial"/>
          <w:color w:val="000000"/>
          <w:sz w:val="24"/>
          <w:szCs w:val="24"/>
        </w:rPr>
        <w:t xml:space="preserve">Governance </w:t>
      </w:r>
      <w:r w:rsidRPr="00E654A2">
        <w:rPr>
          <w:rFonts w:ascii="Arial" w:hAnsi="Arial" w:cs="Arial"/>
          <w:color w:val="000000"/>
          <w:sz w:val="24"/>
          <w:szCs w:val="24"/>
        </w:rPr>
        <w:t>Impact” then feeds the learning cycle, because what works is captured and reused (for example, better decision logs, clearer escalation, stronger board papers).</w:t>
      </w:r>
    </w:p>
    <w:p w14:paraId="4CDBF5B7" w14:textId="77777777" w:rsidR="003C5832" w:rsidRPr="00E654A2" w:rsidRDefault="003C5832" w:rsidP="003C5832">
      <w:pPr>
        <w:pStyle w:val="Heading3"/>
        <w:jc w:val="both"/>
        <w:rPr>
          <w:rFonts w:ascii="Arial" w:hAnsi="Arial" w:cs="Arial"/>
          <w:color w:val="auto"/>
          <w:sz w:val="24"/>
          <w:szCs w:val="24"/>
          <w:lang w:eastAsia="en-GB"/>
        </w:rPr>
      </w:pPr>
      <w:r w:rsidRPr="00E654A2">
        <w:rPr>
          <w:rFonts w:ascii="Arial" w:hAnsi="Arial" w:cs="Arial"/>
          <w:b/>
          <w:bCs/>
          <w:color w:val="auto"/>
          <w:sz w:val="24"/>
          <w:szCs w:val="24"/>
        </w:rPr>
        <w:lastRenderedPageBreak/>
        <w:t>Original contribution of the framework</w:t>
      </w:r>
    </w:p>
    <w:p w14:paraId="5CB1308D" w14:textId="11CF966D" w:rsidR="00D409E0" w:rsidRPr="00E654A2" w:rsidRDefault="00D409E0">
      <w:pPr>
        <w:jc w:val="both"/>
        <w:rPr>
          <w:rFonts w:ascii="Arial" w:hAnsi="Arial" w:cs="Arial"/>
          <w:lang w:eastAsia="en-GB"/>
        </w:rPr>
      </w:pPr>
      <w:r w:rsidRPr="00E654A2">
        <w:rPr>
          <w:rFonts w:ascii="Arial" w:hAnsi="Arial" w:cs="Arial"/>
          <w:sz w:val="24"/>
          <w:szCs w:val="24"/>
        </w:rPr>
        <w:t xml:space="preserve">What is distinctive here is the governance-specific model. Tacit judgement is positioned at the centre of a role where influence is largely exercised through process design and evidence. Governance impact is treated as a learning cycle too: what works (and what </w:t>
      </w:r>
      <w:r w:rsidR="001947CA">
        <w:rPr>
          <w:rFonts w:ascii="Arial" w:hAnsi="Arial" w:cs="Arial"/>
          <w:sz w:val="24"/>
          <w:szCs w:val="24"/>
        </w:rPr>
        <w:t>does not</w:t>
      </w:r>
      <w:r w:rsidRPr="00E654A2">
        <w:rPr>
          <w:rFonts w:ascii="Arial" w:hAnsi="Arial" w:cs="Arial"/>
          <w:sz w:val="24"/>
          <w:szCs w:val="24"/>
        </w:rPr>
        <w:t>) is captured and reused. Finally, the model makes an explicit boundary condition</w:t>
      </w:r>
      <w:r w:rsidR="0015301A" w:rsidRPr="00E654A2">
        <w:rPr>
          <w:rFonts w:ascii="Arial" w:hAnsi="Arial" w:cs="Arial"/>
          <w:sz w:val="24"/>
          <w:szCs w:val="24"/>
        </w:rPr>
        <w:t xml:space="preserve"> </w:t>
      </w:r>
      <w:r w:rsidRPr="00E654A2">
        <w:rPr>
          <w:rFonts w:ascii="Arial" w:hAnsi="Arial" w:cs="Arial"/>
          <w:sz w:val="24"/>
          <w:szCs w:val="24"/>
        </w:rPr>
        <w:t>because confidentiality and privilege limit what can be written down, the legitimate outputs of judgement are reviewable artefacts such as minutes, decision logs, escalation routes and assurance packs.</w:t>
      </w:r>
    </w:p>
    <w:p w14:paraId="7AB8A633" w14:textId="77777777" w:rsidR="003C5832" w:rsidRPr="00E654A2" w:rsidRDefault="003C5832" w:rsidP="003C5832">
      <w:pPr>
        <w:pStyle w:val="Heading3"/>
        <w:jc w:val="both"/>
        <w:rPr>
          <w:rFonts w:ascii="Arial" w:hAnsi="Arial" w:cs="Arial"/>
          <w:color w:val="auto"/>
          <w:sz w:val="24"/>
          <w:szCs w:val="24"/>
          <w:lang w:eastAsia="en-GB"/>
        </w:rPr>
      </w:pPr>
      <w:r w:rsidRPr="00E654A2">
        <w:rPr>
          <w:rFonts w:ascii="Arial" w:hAnsi="Arial" w:cs="Arial"/>
          <w:b/>
          <w:bCs/>
          <w:color w:val="auto"/>
          <w:sz w:val="24"/>
          <w:szCs w:val="24"/>
        </w:rPr>
        <w:t>How the framework is used in practice</w:t>
      </w:r>
    </w:p>
    <w:p w14:paraId="1E74975A" w14:textId="775B89E0" w:rsidR="00B91DED" w:rsidRPr="00E654A2" w:rsidRDefault="00BC7424">
      <w:pPr>
        <w:jc w:val="both"/>
        <w:rPr>
          <w:rFonts w:ascii="Arial" w:hAnsi="Arial" w:cs="Arial"/>
          <w:lang w:eastAsia="en-GB"/>
        </w:rPr>
      </w:pPr>
      <w:r>
        <w:rPr>
          <w:rFonts w:ascii="Arial" w:hAnsi="Arial" w:cs="Arial"/>
          <w:color w:val="000000"/>
          <w:sz w:val="24"/>
          <w:szCs w:val="24"/>
        </w:rPr>
        <w:t>U</w:t>
      </w:r>
      <w:r w:rsidR="00B91DED" w:rsidRPr="00E654A2">
        <w:rPr>
          <w:rFonts w:ascii="Arial" w:hAnsi="Arial" w:cs="Arial"/>
          <w:color w:val="000000"/>
          <w:sz w:val="24"/>
          <w:szCs w:val="24"/>
        </w:rPr>
        <w:t>se</w:t>
      </w:r>
      <w:r>
        <w:rPr>
          <w:rFonts w:ascii="Arial" w:hAnsi="Arial" w:cs="Arial"/>
          <w:color w:val="000000"/>
          <w:sz w:val="24"/>
          <w:szCs w:val="24"/>
        </w:rPr>
        <w:t>d in practice</w:t>
      </w:r>
      <w:r w:rsidR="00B91DED" w:rsidRPr="00E654A2">
        <w:rPr>
          <w:rFonts w:ascii="Arial" w:hAnsi="Arial" w:cs="Arial"/>
          <w:color w:val="000000"/>
          <w:sz w:val="24"/>
          <w:szCs w:val="24"/>
        </w:rPr>
        <w:t>, the framework works as a diagnostic and a design aid. It helps pinpoint the nature of a gap (knowledge, practice, judgement, or integration) and then guides what kind of development experience is needed. It also offers a practical test for governance artefacts: do they make rationale, ownership and escalation clear enough for someone else to review later? In the doctoral context, the framework becomes a lens for analysing AI</w:t>
      </w:r>
      <w:r w:rsidR="00B91DED" w:rsidRPr="00E654A2">
        <w:rPr>
          <w:rFonts w:ascii="Arial" w:hAnsi="Arial" w:cs="Arial"/>
          <w:color w:val="000000"/>
          <w:sz w:val="24"/>
          <w:szCs w:val="24"/>
        </w:rPr>
        <w:noBreakHyphen/>
        <w:t>enhanced document management as a socio</w:t>
      </w:r>
      <w:r w:rsidR="00B91DED" w:rsidRPr="00E654A2">
        <w:rPr>
          <w:rFonts w:ascii="Arial" w:hAnsi="Arial" w:cs="Arial"/>
          <w:color w:val="000000"/>
          <w:sz w:val="24"/>
          <w:szCs w:val="24"/>
        </w:rPr>
        <w:noBreakHyphen/>
        <w:t>technical system. Interventions are judged by whether they strengthen judgement and traceability, rather than simply adding process.</w:t>
      </w:r>
    </w:p>
    <w:p w14:paraId="083B50B0" w14:textId="77777777" w:rsidR="003C5832" w:rsidRPr="00E654A2" w:rsidRDefault="003C5832" w:rsidP="003C5832">
      <w:pPr>
        <w:pStyle w:val="Heading3"/>
        <w:jc w:val="both"/>
        <w:rPr>
          <w:rFonts w:ascii="Arial" w:hAnsi="Arial" w:cs="Arial"/>
          <w:color w:val="auto"/>
          <w:sz w:val="24"/>
          <w:szCs w:val="24"/>
          <w:lang w:eastAsia="en-GB"/>
        </w:rPr>
      </w:pPr>
      <w:r w:rsidRPr="00E654A2">
        <w:rPr>
          <w:rFonts w:ascii="Arial" w:hAnsi="Arial" w:cs="Arial"/>
          <w:b/>
          <w:bCs/>
          <w:color w:val="auto"/>
          <w:sz w:val="24"/>
          <w:szCs w:val="24"/>
        </w:rPr>
        <w:t>Theoretical underpinning</w:t>
      </w:r>
    </w:p>
    <w:p w14:paraId="1653B4B2" w14:textId="76780DA3" w:rsidR="006979BF" w:rsidRPr="00E654A2" w:rsidRDefault="006979BF">
      <w:pPr>
        <w:jc w:val="both"/>
        <w:rPr>
          <w:rFonts w:ascii="Arial" w:hAnsi="Arial" w:cs="Arial"/>
          <w:lang w:eastAsia="en-GB"/>
        </w:rPr>
      </w:pPr>
      <w:r w:rsidRPr="00E654A2">
        <w:rPr>
          <w:rFonts w:ascii="Arial" w:hAnsi="Arial" w:cs="Arial"/>
          <w:color w:val="000000"/>
          <w:sz w:val="24"/>
          <w:szCs w:val="24"/>
        </w:rPr>
        <w:t>The underpinning draws on professional learning and knowledge research that fits governance work: Eraut</w:t>
      </w:r>
      <w:r w:rsidR="00D22B57">
        <w:rPr>
          <w:rFonts w:ascii="Arial" w:hAnsi="Arial" w:cs="Arial"/>
          <w:color w:val="000000"/>
          <w:sz w:val="24"/>
          <w:szCs w:val="24"/>
        </w:rPr>
        <w:t xml:space="preserve">, </w:t>
      </w:r>
      <w:proofErr w:type="spellStart"/>
      <w:r w:rsidRPr="00E654A2">
        <w:rPr>
          <w:rFonts w:ascii="Arial" w:hAnsi="Arial" w:cs="Arial"/>
          <w:color w:val="000000"/>
          <w:sz w:val="24"/>
          <w:szCs w:val="24"/>
        </w:rPr>
        <w:t>Marsick</w:t>
      </w:r>
      <w:proofErr w:type="spellEnd"/>
      <w:r w:rsidR="00D22B57">
        <w:rPr>
          <w:rFonts w:ascii="Arial" w:hAnsi="Arial" w:cs="Arial"/>
          <w:color w:val="000000"/>
          <w:sz w:val="24"/>
          <w:szCs w:val="24"/>
        </w:rPr>
        <w:t xml:space="preserve"> and </w:t>
      </w:r>
      <w:r w:rsidRPr="00E654A2">
        <w:rPr>
          <w:rFonts w:ascii="Arial" w:hAnsi="Arial" w:cs="Arial"/>
          <w:color w:val="000000"/>
          <w:sz w:val="24"/>
          <w:szCs w:val="24"/>
        </w:rPr>
        <w:t>Watkins on workplace learning, Polanyi and Schön on tacit knowing and reflection, Nonaka/Takeuchi on turning know</w:t>
      </w:r>
      <w:r w:rsidRPr="00E654A2">
        <w:rPr>
          <w:rFonts w:ascii="Arial" w:hAnsi="Arial" w:cs="Arial"/>
          <w:color w:val="000000"/>
          <w:sz w:val="24"/>
          <w:szCs w:val="24"/>
        </w:rPr>
        <w:noBreakHyphen/>
        <w:t xml:space="preserve">how into shareable routines, and </w:t>
      </w:r>
      <w:proofErr w:type="spellStart"/>
      <w:r w:rsidRPr="00E654A2">
        <w:rPr>
          <w:rFonts w:ascii="Arial" w:hAnsi="Arial" w:cs="Arial"/>
          <w:color w:val="000000"/>
          <w:sz w:val="24"/>
          <w:szCs w:val="24"/>
        </w:rPr>
        <w:t>Cynefin</w:t>
      </w:r>
      <w:proofErr w:type="spellEnd"/>
      <w:r w:rsidRPr="00E654A2">
        <w:rPr>
          <w:rFonts w:ascii="Arial" w:hAnsi="Arial" w:cs="Arial"/>
          <w:color w:val="000000"/>
          <w:sz w:val="24"/>
          <w:szCs w:val="24"/>
        </w:rPr>
        <w:t xml:space="preserve"> on judgement in complexity</w:t>
      </w:r>
      <w:r w:rsidR="00734296">
        <w:rPr>
          <w:rFonts w:ascii="Arial" w:hAnsi="Arial" w:cs="Arial"/>
          <w:color w:val="000000"/>
          <w:sz w:val="24"/>
          <w:szCs w:val="24"/>
        </w:rPr>
        <w:t>.  In addition, Beckett and Hager</w:t>
      </w:r>
      <w:r w:rsidR="009C6B41">
        <w:rPr>
          <w:rFonts w:ascii="Arial" w:hAnsi="Arial" w:cs="Arial"/>
          <w:color w:val="000000"/>
          <w:sz w:val="24"/>
          <w:szCs w:val="24"/>
        </w:rPr>
        <w:t xml:space="preserve"> (2002)</w:t>
      </w:r>
      <w:r w:rsidR="00734296">
        <w:rPr>
          <w:rFonts w:ascii="Arial" w:hAnsi="Arial" w:cs="Arial"/>
          <w:color w:val="000000"/>
          <w:sz w:val="24"/>
          <w:szCs w:val="24"/>
        </w:rPr>
        <w:t xml:space="preserve"> </w:t>
      </w:r>
      <w:r w:rsidR="00484D8C">
        <w:rPr>
          <w:rFonts w:ascii="Arial" w:hAnsi="Arial" w:cs="Arial"/>
          <w:color w:val="000000"/>
          <w:sz w:val="24"/>
          <w:szCs w:val="24"/>
        </w:rPr>
        <w:t>further enhance th</w:t>
      </w:r>
      <w:r w:rsidR="00D66129">
        <w:rPr>
          <w:rFonts w:ascii="Arial" w:hAnsi="Arial" w:cs="Arial"/>
          <w:color w:val="000000"/>
          <w:sz w:val="24"/>
          <w:szCs w:val="24"/>
        </w:rPr>
        <w:t>is</w:t>
      </w:r>
      <w:r w:rsidR="00484D8C">
        <w:rPr>
          <w:rFonts w:ascii="Arial" w:hAnsi="Arial" w:cs="Arial"/>
          <w:color w:val="000000"/>
          <w:sz w:val="24"/>
          <w:szCs w:val="24"/>
        </w:rPr>
        <w:t xml:space="preserve"> theoretical </w:t>
      </w:r>
      <w:r w:rsidR="00D66129">
        <w:rPr>
          <w:rFonts w:ascii="Arial" w:hAnsi="Arial" w:cs="Arial"/>
          <w:color w:val="000000"/>
          <w:sz w:val="24"/>
          <w:szCs w:val="24"/>
        </w:rPr>
        <w:t>foundation</w:t>
      </w:r>
      <w:r w:rsidR="001121B1">
        <w:rPr>
          <w:rFonts w:ascii="Arial" w:hAnsi="Arial" w:cs="Arial"/>
          <w:color w:val="000000"/>
          <w:sz w:val="24"/>
          <w:szCs w:val="24"/>
        </w:rPr>
        <w:t xml:space="preserve"> by </w:t>
      </w:r>
      <w:r w:rsidR="0055279A">
        <w:rPr>
          <w:rFonts w:ascii="Arial" w:hAnsi="Arial" w:cs="Arial"/>
          <w:color w:val="000000"/>
          <w:sz w:val="24"/>
          <w:szCs w:val="24"/>
        </w:rPr>
        <w:t xml:space="preserve">highlighting how learning is often informal, </w:t>
      </w:r>
      <w:r w:rsidR="009C6B41">
        <w:rPr>
          <w:rFonts w:ascii="Arial" w:hAnsi="Arial" w:cs="Arial"/>
          <w:color w:val="000000"/>
          <w:sz w:val="24"/>
          <w:szCs w:val="24"/>
        </w:rPr>
        <w:t>context dependent and integrated into everyday practice. (</w:t>
      </w:r>
      <w:r w:rsidRPr="00E654A2">
        <w:rPr>
          <w:rFonts w:ascii="Arial" w:hAnsi="Arial" w:cs="Arial"/>
          <w:color w:val="000000"/>
          <w:sz w:val="24"/>
          <w:szCs w:val="24"/>
        </w:rPr>
        <w:t xml:space="preserve">Eraut, 1994; Eraut, 2004; </w:t>
      </w:r>
      <w:proofErr w:type="spellStart"/>
      <w:r w:rsidRPr="00E654A2">
        <w:rPr>
          <w:rFonts w:ascii="Arial" w:hAnsi="Arial" w:cs="Arial"/>
          <w:color w:val="000000"/>
          <w:sz w:val="24"/>
          <w:szCs w:val="24"/>
        </w:rPr>
        <w:t>Marsick</w:t>
      </w:r>
      <w:proofErr w:type="spellEnd"/>
      <w:r w:rsidRPr="00E654A2">
        <w:rPr>
          <w:rFonts w:ascii="Arial" w:hAnsi="Arial" w:cs="Arial"/>
          <w:color w:val="000000"/>
          <w:sz w:val="24"/>
          <w:szCs w:val="24"/>
        </w:rPr>
        <w:t xml:space="preserve"> and Watkins, 1990; </w:t>
      </w:r>
      <w:proofErr w:type="spellStart"/>
      <w:r w:rsidRPr="00E654A2">
        <w:rPr>
          <w:rFonts w:ascii="Arial" w:hAnsi="Arial" w:cs="Arial"/>
          <w:color w:val="000000"/>
          <w:sz w:val="24"/>
          <w:szCs w:val="24"/>
        </w:rPr>
        <w:t>Marsick</w:t>
      </w:r>
      <w:proofErr w:type="spellEnd"/>
      <w:r w:rsidRPr="00E654A2">
        <w:rPr>
          <w:rFonts w:ascii="Arial" w:hAnsi="Arial" w:cs="Arial"/>
          <w:color w:val="000000"/>
          <w:sz w:val="24"/>
          <w:szCs w:val="24"/>
        </w:rPr>
        <w:t xml:space="preserve"> and Watkins, 2001; Polanyi, 1966; Schön, 1983; Nonaka and Takeuchi, 1995</w:t>
      </w:r>
      <w:r w:rsidR="009C6B41">
        <w:rPr>
          <w:rFonts w:ascii="Arial" w:hAnsi="Arial" w:cs="Arial"/>
          <w:color w:val="000000"/>
          <w:sz w:val="24"/>
          <w:szCs w:val="24"/>
        </w:rPr>
        <w:t>; Beckett and Hager, 2002</w:t>
      </w:r>
      <w:r w:rsidRPr="00E654A2">
        <w:rPr>
          <w:rFonts w:ascii="Arial" w:hAnsi="Arial" w:cs="Arial"/>
          <w:color w:val="000000"/>
          <w:sz w:val="24"/>
          <w:szCs w:val="24"/>
        </w:rPr>
        <w:t>).</w:t>
      </w:r>
    </w:p>
    <w:p w14:paraId="33A323A0" w14:textId="77777777" w:rsidR="003C5832" w:rsidRPr="00E654A2" w:rsidRDefault="003C5832" w:rsidP="003C5832">
      <w:pPr>
        <w:pStyle w:val="Heading4"/>
        <w:jc w:val="both"/>
        <w:rPr>
          <w:rFonts w:ascii="Arial" w:hAnsi="Arial" w:cs="Arial"/>
          <w:color w:val="auto"/>
          <w:sz w:val="24"/>
          <w:szCs w:val="24"/>
          <w:lang w:eastAsia="en-GB"/>
        </w:rPr>
      </w:pPr>
      <w:r w:rsidRPr="00E654A2">
        <w:rPr>
          <w:rFonts w:ascii="Arial" w:hAnsi="Arial" w:cs="Arial"/>
          <w:color w:val="auto"/>
          <w:sz w:val="24"/>
          <w:szCs w:val="24"/>
        </w:rPr>
        <w:t>Formal knowledge: codified foundations</w:t>
      </w:r>
    </w:p>
    <w:p w14:paraId="206F6EA1" w14:textId="35E8BBC4" w:rsidR="00FA60B7" w:rsidRPr="00E654A2" w:rsidRDefault="00FA60B7">
      <w:pPr>
        <w:jc w:val="both"/>
        <w:rPr>
          <w:rFonts w:ascii="Arial" w:hAnsi="Arial" w:cs="Arial"/>
          <w:lang w:eastAsia="en-GB"/>
        </w:rPr>
      </w:pPr>
      <w:r w:rsidRPr="00E654A2">
        <w:rPr>
          <w:rFonts w:ascii="Arial" w:hAnsi="Arial" w:cs="Arial"/>
          <w:sz w:val="24"/>
          <w:szCs w:val="24"/>
        </w:rPr>
        <w:t>Start</w:t>
      </w:r>
      <w:r w:rsidR="00AD1390">
        <w:rPr>
          <w:rFonts w:ascii="Arial" w:hAnsi="Arial" w:cs="Arial"/>
          <w:sz w:val="24"/>
          <w:szCs w:val="24"/>
        </w:rPr>
        <w:t>ing</w:t>
      </w:r>
      <w:r w:rsidRPr="00E654A2">
        <w:rPr>
          <w:rFonts w:ascii="Arial" w:hAnsi="Arial" w:cs="Arial"/>
          <w:sz w:val="24"/>
          <w:szCs w:val="24"/>
        </w:rPr>
        <w:t xml:space="preserve"> with the codified layer: law, regulation, governance codes, standards and internal policy. This is the knowledge base that can be documented and checked externally, and it underpins the legitimacy and defensibility of advice to boards and committees.</w:t>
      </w:r>
    </w:p>
    <w:p w14:paraId="3F34DD7F" w14:textId="77777777" w:rsidR="003C5832" w:rsidRPr="00E654A2" w:rsidRDefault="003C5832" w:rsidP="003C5832">
      <w:pPr>
        <w:pStyle w:val="Heading4"/>
        <w:jc w:val="both"/>
        <w:rPr>
          <w:rFonts w:ascii="Arial" w:hAnsi="Arial" w:cs="Arial"/>
          <w:color w:val="auto"/>
          <w:sz w:val="24"/>
          <w:szCs w:val="24"/>
          <w:lang w:eastAsia="en-GB"/>
        </w:rPr>
      </w:pPr>
      <w:r w:rsidRPr="00E654A2">
        <w:rPr>
          <w:rFonts w:ascii="Arial" w:hAnsi="Arial" w:cs="Arial"/>
          <w:color w:val="auto"/>
          <w:sz w:val="24"/>
          <w:szCs w:val="24"/>
        </w:rPr>
        <w:t>Informal learning: experience and context</w:t>
      </w:r>
    </w:p>
    <w:p w14:paraId="00FB27D0" w14:textId="73A24EAD" w:rsidR="00FA60B7" w:rsidRPr="00E654A2" w:rsidRDefault="00FA60B7">
      <w:pPr>
        <w:jc w:val="both"/>
        <w:rPr>
          <w:rFonts w:ascii="Arial" w:hAnsi="Arial" w:cs="Arial"/>
          <w:lang w:eastAsia="en-GB"/>
        </w:rPr>
      </w:pPr>
      <w:r w:rsidRPr="00E654A2">
        <w:rPr>
          <w:rFonts w:ascii="Arial" w:hAnsi="Arial" w:cs="Arial"/>
          <w:sz w:val="24"/>
          <w:szCs w:val="24"/>
        </w:rPr>
        <w:t xml:space="preserve">What turns that codified </w:t>
      </w:r>
      <w:r w:rsidR="00AD1390">
        <w:rPr>
          <w:rFonts w:ascii="Arial" w:hAnsi="Arial" w:cs="Arial"/>
          <w:sz w:val="24"/>
          <w:szCs w:val="24"/>
        </w:rPr>
        <w:t>layer</w:t>
      </w:r>
      <w:r w:rsidRPr="00E654A2">
        <w:rPr>
          <w:rFonts w:ascii="Arial" w:hAnsi="Arial" w:cs="Arial"/>
          <w:sz w:val="24"/>
          <w:szCs w:val="24"/>
        </w:rPr>
        <w:t xml:space="preserve"> into usable governance is experience in context. Informal learning accumulates through board cycles, executive interactions, regulator and adviser engagement, and the work of transactions, restructurings and organisational change. In line with </w:t>
      </w:r>
      <w:proofErr w:type="spellStart"/>
      <w:r w:rsidRPr="00E654A2">
        <w:rPr>
          <w:rFonts w:ascii="Arial" w:hAnsi="Arial" w:cs="Arial"/>
          <w:sz w:val="24"/>
          <w:szCs w:val="24"/>
        </w:rPr>
        <w:t>Marsick</w:t>
      </w:r>
      <w:proofErr w:type="spellEnd"/>
      <w:r w:rsidRPr="00E654A2">
        <w:rPr>
          <w:rFonts w:ascii="Arial" w:hAnsi="Arial" w:cs="Arial"/>
          <w:sz w:val="24"/>
          <w:szCs w:val="24"/>
        </w:rPr>
        <w:t xml:space="preserve"> and Watkins, it is embedded, often unplanned, and highly situated (</w:t>
      </w:r>
      <w:proofErr w:type="spellStart"/>
      <w:r w:rsidRPr="00E654A2">
        <w:rPr>
          <w:rFonts w:ascii="Arial" w:hAnsi="Arial" w:cs="Arial"/>
          <w:sz w:val="24"/>
          <w:szCs w:val="24"/>
        </w:rPr>
        <w:t>Marsick</w:t>
      </w:r>
      <w:proofErr w:type="spellEnd"/>
      <w:r w:rsidRPr="00E654A2">
        <w:rPr>
          <w:rFonts w:ascii="Arial" w:hAnsi="Arial" w:cs="Arial"/>
          <w:sz w:val="24"/>
          <w:szCs w:val="24"/>
        </w:rPr>
        <w:t xml:space="preserve"> and Watkins, 1990; </w:t>
      </w:r>
      <w:proofErr w:type="spellStart"/>
      <w:r w:rsidRPr="00E654A2">
        <w:rPr>
          <w:rFonts w:ascii="Arial" w:hAnsi="Arial" w:cs="Arial"/>
          <w:sz w:val="24"/>
          <w:szCs w:val="24"/>
        </w:rPr>
        <w:t>Marsick</w:t>
      </w:r>
      <w:proofErr w:type="spellEnd"/>
      <w:r w:rsidRPr="00E654A2">
        <w:rPr>
          <w:rFonts w:ascii="Arial" w:hAnsi="Arial" w:cs="Arial"/>
          <w:sz w:val="24"/>
          <w:szCs w:val="24"/>
        </w:rPr>
        <w:t xml:space="preserve"> and Watkins, 2001).</w:t>
      </w:r>
    </w:p>
    <w:p w14:paraId="1C03220F" w14:textId="6138AC00" w:rsidR="00F515A2" w:rsidRPr="00E654A2" w:rsidRDefault="00F515A2">
      <w:pPr>
        <w:jc w:val="both"/>
        <w:rPr>
          <w:rFonts w:ascii="Arial" w:hAnsi="Arial" w:cs="Arial"/>
          <w:lang w:eastAsia="en-GB"/>
        </w:rPr>
      </w:pPr>
      <w:r w:rsidRPr="00E654A2">
        <w:rPr>
          <w:rFonts w:ascii="Arial" w:hAnsi="Arial" w:cs="Arial"/>
          <w:sz w:val="24"/>
          <w:szCs w:val="24"/>
        </w:rPr>
        <w:lastRenderedPageBreak/>
        <w:t xml:space="preserve">Informal learning is also where the </w:t>
      </w:r>
      <w:r w:rsidR="00B553D0">
        <w:rPr>
          <w:rFonts w:ascii="Arial" w:hAnsi="Arial" w:cs="Arial"/>
          <w:sz w:val="24"/>
          <w:szCs w:val="24"/>
        </w:rPr>
        <w:t xml:space="preserve">governance </w:t>
      </w:r>
      <w:r w:rsidRPr="00E654A2">
        <w:rPr>
          <w:rFonts w:ascii="Arial" w:hAnsi="Arial" w:cs="Arial"/>
          <w:sz w:val="24"/>
          <w:szCs w:val="24"/>
        </w:rPr>
        <w:t xml:space="preserve">role’s social realities are learned: how to read the room, when to test a view privately with the chair, and how to surface dissent without inflaming politics. Over time, that experience </w:t>
      </w:r>
      <w:proofErr w:type="gramStart"/>
      <w:r w:rsidRPr="00E654A2">
        <w:rPr>
          <w:rFonts w:ascii="Arial" w:hAnsi="Arial" w:cs="Arial"/>
          <w:sz w:val="24"/>
          <w:szCs w:val="24"/>
        </w:rPr>
        <w:t>shapes</w:t>
      </w:r>
      <w:proofErr w:type="gramEnd"/>
      <w:r w:rsidRPr="00E654A2">
        <w:rPr>
          <w:rFonts w:ascii="Arial" w:hAnsi="Arial" w:cs="Arial"/>
          <w:sz w:val="24"/>
          <w:szCs w:val="24"/>
        </w:rPr>
        <w:t xml:space="preserve"> professional identity and internalises ethical standards, especially around what can be recorded and how accountability should be handled.</w:t>
      </w:r>
    </w:p>
    <w:p w14:paraId="705D20A2" w14:textId="77777777" w:rsidR="003C5832" w:rsidRPr="00E654A2" w:rsidRDefault="003C5832" w:rsidP="003C5832">
      <w:pPr>
        <w:pStyle w:val="Heading4"/>
        <w:jc w:val="both"/>
        <w:rPr>
          <w:rFonts w:ascii="Arial" w:hAnsi="Arial" w:cs="Arial"/>
          <w:color w:val="auto"/>
          <w:sz w:val="24"/>
          <w:szCs w:val="24"/>
          <w:lang w:eastAsia="en-GB"/>
        </w:rPr>
      </w:pPr>
      <w:r w:rsidRPr="00E654A2">
        <w:rPr>
          <w:rFonts w:ascii="Arial" w:hAnsi="Arial" w:cs="Arial"/>
          <w:color w:val="auto"/>
          <w:sz w:val="24"/>
          <w:szCs w:val="24"/>
        </w:rPr>
        <w:t>Tacit judgement: integrative core</w:t>
      </w:r>
    </w:p>
    <w:p w14:paraId="3FB9D24D" w14:textId="5B6DAB1F" w:rsidR="003C5832" w:rsidRPr="00E654A2" w:rsidRDefault="003C5832" w:rsidP="003C5832">
      <w:pPr>
        <w:jc w:val="both"/>
        <w:rPr>
          <w:rFonts w:ascii="Arial" w:hAnsi="Arial" w:cs="Arial"/>
          <w:lang w:eastAsia="en-GB"/>
        </w:rPr>
      </w:pPr>
      <w:r w:rsidRPr="00E654A2">
        <w:rPr>
          <w:rFonts w:ascii="Arial" w:hAnsi="Arial" w:cs="Arial"/>
          <w:sz w:val="24"/>
          <w:szCs w:val="24"/>
        </w:rPr>
        <w:t xml:space="preserve">Tacit judgement is the integrative core: it </w:t>
      </w:r>
      <w:r w:rsidR="00647122" w:rsidRPr="00E654A2">
        <w:rPr>
          <w:rFonts w:ascii="Arial" w:hAnsi="Arial" w:cs="Arial"/>
          <w:sz w:val="24"/>
          <w:szCs w:val="24"/>
        </w:rPr>
        <w:t>combines</w:t>
      </w:r>
      <w:r w:rsidRPr="00E654A2">
        <w:rPr>
          <w:rFonts w:ascii="Arial" w:hAnsi="Arial" w:cs="Arial"/>
          <w:sz w:val="24"/>
          <w:szCs w:val="24"/>
        </w:rPr>
        <w:t xml:space="preserve"> formal knowledge, experience and contextual cues into sound advice. It shapes how risks are framed, when issues are escalated, and how decisions are recorded to support collective judgement (Polanyi, 1966; Schön, 1983).</w:t>
      </w:r>
    </w:p>
    <w:p w14:paraId="57E96690" w14:textId="17731478" w:rsidR="00F515A2" w:rsidRPr="00E654A2" w:rsidRDefault="00F515A2">
      <w:pPr>
        <w:jc w:val="both"/>
        <w:rPr>
          <w:rFonts w:ascii="Arial" w:hAnsi="Arial" w:cs="Arial"/>
          <w:lang w:eastAsia="en-GB"/>
        </w:rPr>
      </w:pPr>
      <w:r w:rsidRPr="00E654A2">
        <w:rPr>
          <w:rFonts w:ascii="Arial" w:hAnsi="Arial" w:cs="Arial"/>
          <w:sz w:val="24"/>
          <w:szCs w:val="24"/>
        </w:rPr>
        <w:t>Judgement develops because the work keeps presenting non-routine decisions, and because those decisions are later revisited</w:t>
      </w:r>
      <w:r w:rsidR="00E8757A" w:rsidRPr="00E654A2">
        <w:rPr>
          <w:rFonts w:ascii="Arial" w:hAnsi="Arial" w:cs="Arial"/>
          <w:sz w:val="24"/>
          <w:szCs w:val="24"/>
        </w:rPr>
        <w:t xml:space="preserve"> </w:t>
      </w:r>
      <w:r w:rsidRPr="00E654A2">
        <w:rPr>
          <w:rFonts w:ascii="Arial" w:hAnsi="Arial" w:cs="Arial"/>
          <w:sz w:val="24"/>
          <w:szCs w:val="24"/>
        </w:rPr>
        <w:t>by audit, by committees, or simply by hindsight. Reflection and feedback refine what gets escalated, how options are framed, and how uncertainty is recorded. In that sense, judgement becomes a source of professional authority: it is what distinguishes an advanced governance practitioner from someone who is technically competent but still relies on rules alone (Schön, 1983).</w:t>
      </w:r>
    </w:p>
    <w:p w14:paraId="75A778E4" w14:textId="77777777" w:rsidR="003C5832" w:rsidRPr="00E654A2" w:rsidRDefault="003C5832" w:rsidP="003C5832">
      <w:pPr>
        <w:pStyle w:val="Heading4"/>
        <w:jc w:val="both"/>
        <w:rPr>
          <w:rFonts w:ascii="Arial" w:hAnsi="Arial" w:cs="Arial"/>
          <w:color w:val="auto"/>
          <w:sz w:val="24"/>
          <w:szCs w:val="24"/>
          <w:lang w:eastAsia="en-GB"/>
        </w:rPr>
      </w:pPr>
      <w:r w:rsidRPr="00E654A2">
        <w:rPr>
          <w:rFonts w:ascii="Arial" w:hAnsi="Arial" w:cs="Arial"/>
          <w:color w:val="auto"/>
          <w:sz w:val="24"/>
          <w:szCs w:val="24"/>
        </w:rPr>
        <w:t>Transdisciplinary insight</w:t>
      </w:r>
    </w:p>
    <w:p w14:paraId="4A4B7472" w14:textId="77777777" w:rsidR="00DD1243" w:rsidRPr="00E654A2" w:rsidRDefault="00DD1243">
      <w:pPr>
        <w:jc w:val="both"/>
        <w:rPr>
          <w:rFonts w:ascii="Arial" w:hAnsi="Arial" w:cs="Arial"/>
          <w:lang w:eastAsia="en-GB"/>
        </w:rPr>
      </w:pPr>
      <w:r w:rsidRPr="00E654A2">
        <w:rPr>
          <w:rFonts w:ascii="Arial" w:hAnsi="Arial" w:cs="Arial"/>
          <w:sz w:val="24"/>
          <w:szCs w:val="24"/>
        </w:rPr>
        <w:t>Senior governance issues rarely stay inside one discipline. Transdisciplinary insight is the ability to integrate finance, risk, ESG, organisational behaviour and strategy when addressing complex governance problems, aligning with Nicolescu’s emphasis on integration across disciplines (Nicolescu, 2002).</w:t>
      </w:r>
    </w:p>
    <w:p w14:paraId="009CEB54" w14:textId="4A29A776" w:rsidR="00F515A2" w:rsidRPr="00E654A2" w:rsidRDefault="00F515A2">
      <w:pPr>
        <w:jc w:val="both"/>
        <w:rPr>
          <w:rFonts w:ascii="Arial" w:hAnsi="Arial" w:cs="Arial"/>
          <w:lang w:eastAsia="en-GB"/>
        </w:rPr>
      </w:pPr>
      <w:r w:rsidRPr="00E654A2">
        <w:rPr>
          <w:rFonts w:ascii="Arial" w:hAnsi="Arial" w:cs="Arial"/>
          <w:sz w:val="24"/>
          <w:szCs w:val="24"/>
        </w:rPr>
        <w:t>In practice, this is what stops governance advice being narrowly “procedural”. It helps the practitioner anticipate second</w:t>
      </w:r>
      <w:r w:rsidRPr="00E654A2">
        <w:rPr>
          <w:rFonts w:ascii="Arial" w:hAnsi="Arial" w:cs="Arial"/>
          <w:sz w:val="24"/>
          <w:szCs w:val="24"/>
        </w:rPr>
        <w:noBreakHyphen/>
        <w:t>order effects (for example, how a legal step affects banking covenants, insurance coverage, operational capacity or stakeholder trust) and to brief boards on trade-offs in a way that supports long</w:t>
      </w:r>
      <w:r w:rsidRPr="00E654A2">
        <w:rPr>
          <w:rFonts w:ascii="Arial" w:hAnsi="Arial" w:cs="Arial"/>
          <w:sz w:val="24"/>
          <w:szCs w:val="24"/>
        </w:rPr>
        <w:noBreakHyphen/>
        <w:t>term value creation.</w:t>
      </w:r>
    </w:p>
    <w:p w14:paraId="32474E7E" w14:textId="77777777" w:rsidR="003C5832" w:rsidRPr="00E654A2" w:rsidRDefault="003C5832" w:rsidP="003C5832">
      <w:pPr>
        <w:pStyle w:val="Heading4"/>
        <w:jc w:val="both"/>
        <w:rPr>
          <w:rFonts w:ascii="Arial" w:hAnsi="Arial" w:cs="Arial"/>
          <w:color w:val="auto"/>
          <w:sz w:val="24"/>
          <w:szCs w:val="24"/>
          <w:lang w:eastAsia="en-GB"/>
        </w:rPr>
      </w:pPr>
      <w:r w:rsidRPr="00E654A2">
        <w:rPr>
          <w:rFonts w:ascii="Arial" w:hAnsi="Arial" w:cs="Arial"/>
          <w:color w:val="auto"/>
          <w:sz w:val="24"/>
          <w:szCs w:val="24"/>
        </w:rPr>
        <w:t>Governance impact and feedback</w:t>
      </w:r>
    </w:p>
    <w:p w14:paraId="05C6318E" w14:textId="77777777" w:rsidR="00DD1243" w:rsidRPr="00E654A2" w:rsidRDefault="00DD1243">
      <w:pPr>
        <w:jc w:val="both"/>
        <w:rPr>
          <w:rFonts w:ascii="Arial" w:hAnsi="Arial" w:cs="Arial"/>
          <w:lang w:eastAsia="en-GB"/>
        </w:rPr>
      </w:pPr>
      <w:r w:rsidRPr="00E654A2">
        <w:rPr>
          <w:rFonts w:ascii="Arial" w:hAnsi="Arial" w:cs="Arial"/>
          <w:sz w:val="24"/>
          <w:szCs w:val="24"/>
        </w:rPr>
        <w:t>Finally, the model asks what changes when the knowledge and judgement are applied. ‘Governance impact’ covers board effectiveness, decision quality, accountability, risk management and organisational resilience; at the strategic governance level it shows up in clearer direction, disciplined prioritisation and resource allocation, stronger management-to-board information flows, and an improved ability to execute and course-correct under uncertainty (Snowden and Boone, 2007).</w:t>
      </w:r>
    </w:p>
    <w:p w14:paraId="78FD285D" w14:textId="77777777" w:rsidR="003C5832" w:rsidRPr="00E654A2" w:rsidRDefault="003C5832" w:rsidP="003C5832">
      <w:pPr>
        <w:pStyle w:val="Heading3"/>
        <w:jc w:val="both"/>
        <w:rPr>
          <w:rFonts w:ascii="Arial" w:hAnsi="Arial" w:cs="Arial"/>
          <w:color w:val="auto"/>
          <w:sz w:val="24"/>
          <w:szCs w:val="24"/>
          <w:lang w:eastAsia="en-GB"/>
        </w:rPr>
      </w:pPr>
      <w:r w:rsidRPr="00E654A2">
        <w:rPr>
          <w:rFonts w:ascii="Arial" w:hAnsi="Arial" w:cs="Arial"/>
          <w:b/>
          <w:bCs/>
          <w:color w:val="auto"/>
          <w:sz w:val="24"/>
          <w:szCs w:val="24"/>
        </w:rPr>
        <w:t>Relationship to current models and literature</w:t>
      </w:r>
    </w:p>
    <w:p w14:paraId="3F455E07" w14:textId="3A1A5E65" w:rsidR="00B32AED" w:rsidRPr="00E654A2" w:rsidRDefault="00B32AED" w:rsidP="00555FE7">
      <w:pPr>
        <w:jc w:val="both"/>
        <w:rPr>
          <w:rFonts w:ascii="Arial" w:hAnsi="Arial" w:cs="Arial"/>
          <w:lang w:eastAsia="en-GB"/>
        </w:rPr>
      </w:pPr>
      <w:r w:rsidRPr="00E654A2">
        <w:rPr>
          <w:rFonts w:ascii="Arial" w:hAnsi="Arial" w:cs="Arial"/>
          <w:sz w:val="24"/>
          <w:szCs w:val="24"/>
        </w:rPr>
        <w:t xml:space="preserve">Read against established models, the framework keeps the core insights but makes the governance “test” explicit. Eraut and </w:t>
      </w:r>
      <w:proofErr w:type="spellStart"/>
      <w:r w:rsidRPr="00E654A2">
        <w:rPr>
          <w:rFonts w:ascii="Arial" w:hAnsi="Arial" w:cs="Arial"/>
          <w:sz w:val="24"/>
          <w:szCs w:val="24"/>
        </w:rPr>
        <w:t>Marsick</w:t>
      </w:r>
      <w:proofErr w:type="spellEnd"/>
      <w:r w:rsidRPr="00E654A2">
        <w:rPr>
          <w:rFonts w:ascii="Arial" w:hAnsi="Arial" w:cs="Arial"/>
          <w:sz w:val="24"/>
          <w:szCs w:val="24"/>
        </w:rPr>
        <w:t xml:space="preserve"> </w:t>
      </w:r>
      <w:r w:rsidR="00237CF8">
        <w:rPr>
          <w:rFonts w:ascii="Arial" w:hAnsi="Arial" w:cs="Arial"/>
          <w:sz w:val="24"/>
          <w:szCs w:val="24"/>
        </w:rPr>
        <w:t>and</w:t>
      </w:r>
      <w:r w:rsidRPr="00E654A2">
        <w:rPr>
          <w:rFonts w:ascii="Arial" w:hAnsi="Arial" w:cs="Arial"/>
          <w:sz w:val="24"/>
          <w:szCs w:val="24"/>
        </w:rPr>
        <w:t xml:space="preserve"> Watkins inform how learning happens </w:t>
      </w:r>
      <w:r w:rsidRPr="00E654A2">
        <w:rPr>
          <w:rFonts w:ascii="Arial" w:hAnsi="Arial" w:cs="Arial"/>
          <w:sz w:val="24"/>
          <w:szCs w:val="24"/>
        </w:rPr>
        <w:lastRenderedPageBreak/>
        <w:t xml:space="preserve">at work (Eraut, 1994; Eraut, 2004; </w:t>
      </w:r>
      <w:proofErr w:type="spellStart"/>
      <w:r w:rsidRPr="00E654A2">
        <w:rPr>
          <w:rFonts w:ascii="Arial" w:hAnsi="Arial" w:cs="Arial"/>
          <w:sz w:val="24"/>
          <w:szCs w:val="24"/>
        </w:rPr>
        <w:t>Marsick</w:t>
      </w:r>
      <w:proofErr w:type="spellEnd"/>
      <w:r w:rsidRPr="00E654A2">
        <w:rPr>
          <w:rFonts w:ascii="Arial" w:hAnsi="Arial" w:cs="Arial"/>
          <w:sz w:val="24"/>
          <w:szCs w:val="24"/>
        </w:rPr>
        <w:t xml:space="preserve"> and Watkins, 1990; </w:t>
      </w:r>
      <w:proofErr w:type="spellStart"/>
      <w:r w:rsidRPr="00E654A2">
        <w:rPr>
          <w:rFonts w:ascii="Arial" w:hAnsi="Arial" w:cs="Arial"/>
          <w:sz w:val="24"/>
          <w:szCs w:val="24"/>
        </w:rPr>
        <w:t>Marsick</w:t>
      </w:r>
      <w:proofErr w:type="spellEnd"/>
      <w:r w:rsidRPr="00E654A2">
        <w:rPr>
          <w:rFonts w:ascii="Arial" w:hAnsi="Arial" w:cs="Arial"/>
          <w:sz w:val="24"/>
          <w:szCs w:val="24"/>
        </w:rPr>
        <w:t xml:space="preserve"> and Watkins, 2001). </w:t>
      </w:r>
      <w:r w:rsidR="00555FE7" w:rsidRPr="00E654A2">
        <w:rPr>
          <w:rFonts w:ascii="Arial" w:hAnsi="Arial" w:cs="Arial"/>
          <w:color w:val="000000"/>
          <w:sz w:val="24"/>
        </w:rPr>
        <w:t xml:space="preserve">An important further step is to connect learning directly to outcomes acknowledged by boards and assurance functions, including decision traceability, escalation protocols, and the maintenance of defensible records. </w:t>
      </w:r>
      <w:r w:rsidRPr="00E654A2">
        <w:rPr>
          <w:rFonts w:ascii="Arial" w:hAnsi="Arial" w:cs="Arial"/>
          <w:sz w:val="24"/>
          <w:szCs w:val="24"/>
        </w:rPr>
        <w:t>SECI is used to explain how know</w:t>
      </w:r>
      <w:r w:rsidRPr="00E654A2">
        <w:rPr>
          <w:rFonts w:ascii="Arial" w:hAnsi="Arial" w:cs="Arial"/>
          <w:sz w:val="24"/>
          <w:szCs w:val="24"/>
        </w:rPr>
        <w:noBreakHyphen/>
        <w:t xml:space="preserve">how becomes reusable artefacts under confidentiality and statutory accountability (Nonaka and Takeuchi, 1995). </w:t>
      </w:r>
      <w:proofErr w:type="spellStart"/>
      <w:r w:rsidRPr="00E654A2">
        <w:rPr>
          <w:rFonts w:ascii="Arial" w:hAnsi="Arial" w:cs="Arial"/>
          <w:sz w:val="24"/>
          <w:szCs w:val="24"/>
        </w:rPr>
        <w:t>Cynefin</w:t>
      </w:r>
      <w:proofErr w:type="spellEnd"/>
      <w:r w:rsidRPr="00E654A2">
        <w:rPr>
          <w:rFonts w:ascii="Arial" w:hAnsi="Arial" w:cs="Arial"/>
          <w:sz w:val="24"/>
          <w:szCs w:val="24"/>
        </w:rPr>
        <w:t xml:space="preserve"> then explains why judgement development matters most in complex domains (Snowden and Boone, 2007).</w:t>
      </w:r>
    </w:p>
    <w:p w14:paraId="7D16A525" w14:textId="0A2B75C4" w:rsidR="00EF065B" w:rsidRPr="00E654A2" w:rsidRDefault="00EF065B">
      <w:pPr>
        <w:jc w:val="both"/>
        <w:rPr>
          <w:rFonts w:ascii="Arial" w:hAnsi="Arial" w:cs="Arial"/>
          <w:lang w:eastAsia="en-GB"/>
        </w:rPr>
      </w:pPr>
      <w:r w:rsidRPr="00E654A2">
        <w:rPr>
          <w:rFonts w:ascii="Arial" w:hAnsi="Arial" w:cs="Arial"/>
          <w:sz w:val="24"/>
          <w:szCs w:val="24"/>
        </w:rPr>
        <w:t>This is not a generic model</w:t>
      </w:r>
      <w:r w:rsidR="00C41341">
        <w:rPr>
          <w:rFonts w:ascii="Arial" w:hAnsi="Arial" w:cs="Arial"/>
          <w:sz w:val="24"/>
          <w:szCs w:val="24"/>
        </w:rPr>
        <w:t>, it</w:t>
      </w:r>
      <w:r w:rsidRPr="00E654A2">
        <w:rPr>
          <w:rFonts w:ascii="Arial" w:hAnsi="Arial" w:cs="Arial"/>
          <w:sz w:val="24"/>
          <w:szCs w:val="24"/>
        </w:rPr>
        <w:t xml:space="preserve"> is built around what governance work produces</w:t>
      </w:r>
      <w:r w:rsidR="000A123B">
        <w:rPr>
          <w:rFonts w:ascii="Arial" w:hAnsi="Arial" w:cs="Arial"/>
          <w:sz w:val="24"/>
          <w:szCs w:val="24"/>
        </w:rPr>
        <w:t>,</w:t>
      </w:r>
      <w:r w:rsidR="00051D5A" w:rsidRPr="00E654A2">
        <w:rPr>
          <w:rFonts w:ascii="Arial" w:hAnsi="Arial" w:cs="Arial"/>
          <w:sz w:val="24"/>
          <w:szCs w:val="24"/>
        </w:rPr>
        <w:t xml:space="preserve"> including </w:t>
      </w:r>
      <w:r w:rsidRPr="00E654A2">
        <w:rPr>
          <w:rFonts w:ascii="Arial" w:hAnsi="Arial" w:cs="Arial"/>
          <w:sz w:val="24"/>
          <w:szCs w:val="24"/>
        </w:rPr>
        <w:t>papers, minutes, decision logs, escalation routes and assurance evidence</w:t>
      </w:r>
      <w:r w:rsidR="00051D5A" w:rsidRPr="00E654A2">
        <w:rPr>
          <w:rFonts w:ascii="Arial" w:hAnsi="Arial" w:cs="Arial"/>
          <w:sz w:val="24"/>
          <w:szCs w:val="24"/>
        </w:rPr>
        <w:t xml:space="preserve">, </w:t>
      </w:r>
      <w:r w:rsidRPr="00E654A2">
        <w:rPr>
          <w:rFonts w:ascii="Arial" w:hAnsi="Arial" w:cs="Arial"/>
          <w:sz w:val="24"/>
          <w:szCs w:val="24"/>
        </w:rPr>
        <w:t>and the constraints that shape those outputs (collective decision-making, statutory accountability and reputational exposure).</w:t>
      </w:r>
    </w:p>
    <w:p w14:paraId="5D5217A2" w14:textId="6D7E2529" w:rsidR="003C5832" w:rsidRPr="00E654A2" w:rsidRDefault="003C5832" w:rsidP="003C5832">
      <w:pPr>
        <w:pStyle w:val="Heading3"/>
        <w:jc w:val="both"/>
        <w:rPr>
          <w:rFonts w:ascii="Arial" w:hAnsi="Arial" w:cs="Arial"/>
          <w:color w:val="auto"/>
          <w:sz w:val="24"/>
          <w:szCs w:val="24"/>
          <w:lang w:eastAsia="en-GB"/>
        </w:rPr>
      </w:pPr>
      <w:r w:rsidRPr="00E654A2">
        <w:rPr>
          <w:rFonts w:ascii="Arial" w:hAnsi="Arial" w:cs="Arial"/>
          <w:b/>
          <w:bCs/>
          <w:color w:val="auto"/>
          <w:sz w:val="24"/>
          <w:szCs w:val="24"/>
        </w:rPr>
        <w:t xml:space="preserve">Implications for doctoral </w:t>
      </w:r>
      <w:r w:rsidR="00E8017E" w:rsidRPr="00E654A2">
        <w:rPr>
          <w:rFonts w:ascii="Arial" w:hAnsi="Arial" w:cs="Arial"/>
          <w:b/>
          <w:bCs/>
          <w:color w:val="auto"/>
          <w:sz w:val="24"/>
          <w:szCs w:val="24"/>
        </w:rPr>
        <w:t>en</w:t>
      </w:r>
      <w:r w:rsidRPr="00E654A2">
        <w:rPr>
          <w:rFonts w:ascii="Arial" w:hAnsi="Arial" w:cs="Arial"/>
          <w:b/>
          <w:bCs/>
          <w:color w:val="auto"/>
          <w:sz w:val="24"/>
          <w:szCs w:val="24"/>
        </w:rPr>
        <w:t xml:space="preserve">quiry and </w:t>
      </w:r>
      <w:r w:rsidR="009E7936">
        <w:rPr>
          <w:rFonts w:ascii="Arial" w:hAnsi="Arial" w:cs="Arial"/>
          <w:b/>
          <w:bCs/>
          <w:color w:val="auto"/>
          <w:sz w:val="24"/>
          <w:szCs w:val="24"/>
        </w:rPr>
        <w:t>professional practice</w:t>
      </w:r>
    </w:p>
    <w:p w14:paraId="428A1470" w14:textId="77777777" w:rsidR="0049484B" w:rsidRPr="00E654A2" w:rsidRDefault="0049484B">
      <w:pPr>
        <w:jc w:val="both"/>
        <w:rPr>
          <w:rFonts w:ascii="Arial" w:hAnsi="Arial" w:cs="Arial"/>
          <w:lang w:eastAsia="en-GB"/>
        </w:rPr>
      </w:pPr>
      <w:r w:rsidRPr="00E654A2">
        <w:rPr>
          <w:rFonts w:ascii="Arial" w:hAnsi="Arial" w:cs="Arial"/>
          <w:sz w:val="24"/>
          <w:szCs w:val="24"/>
        </w:rPr>
        <w:t>For the doctorate, the framework gives a stable way to frame questions about judgement, governance effectiveness and learning under uncertainty. It points to researchable issues such as how tacit judgement is recognised and legitimised, how informal learning can be supported without turning everything into training, and how governance impact can be evaluated in ways that reflect real decision conditions.</w:t>
      </w:r>
    </w:p>
    <w:p w14:paraId="42A30AB9" w14:textId="5A7A3172" w:rsidR="00EF065B" w:rsidRPr="00E654A2" w:rsidRDefault="00EF065B">
      <w:pPr>
        <w:jc w:val="both"/>
        <w:rPr>
          <w:rFonts w:ascii="Arial" w:hAnsi="Arial" w:cs="Arial"/>
          <w:lang w:eastAsia="en-GB"/>
        </w:rPr>
      </w:pPr>
      <w:r w:rsidRPr="00E654A2">
        <w:rPr>
          <w:rFonts w:ascii="Arial" w:hAnsi="Arial" w:cs="Arial"/>
          <w:sz w:val="24"/>
          <w:szCs w:val="24"/>
        </w:rPr>
        <w:t xml:space="preserve">For </w:t>
      </w:r>
      <w:r w:rsidR="00AB3C9F">
        <w:rPr>
          <w:rFonts w:ascii="Arial" w:hAnsi="Arial" w:cs="Arial"/>
          <w:sz w:val="24"/>
          <w:szCs w:val="24"/>
        </w:rPr>
        <w:t>professional</w:t>
      </w:r>
      <w:r w:rsidRPr="00E654A2">
        <w:rPr>
          <w:rFonts w:ascii="Arial" w:hAnsi="Arial" w:cs="Arial"/>
          <w:sz w:val="24"/>
          <w:szCs w:val="24"/>
        </w:rPr>
        <w:t xml:space="preserve"> practice, the implication is to treat judgement as a capability that can be developed, supported and audited. That means investing in routines that improve the quality of decisions and records</w:t>
      </w:r>
      <w:r w:rsidR="00E8757A" w:rsidRPr="00E654A2">
        <w:rPr>
          <w:rFonts w:ascii="Arial" w:hAnsi="Arial" w:cs="Arial"/>
          <w:sz w:val="24"/>
          <w:szCs w:val="24"/>
        </w:rPr>
        <w:t xml:space="preserve"> including </w:t>
      </w:r>
      <w:r w:rsidRPr="00E654A2">
        <w:rPr>
          <w:rFonts w:ascii="Arial" w:hAnsi="Arial" w:cs="Arial"/>
          <w:sz w:val="24"/>
          <w:szCs w:val="24"/>
        </w:rPr>
        <w:t>peer review of board papers, debriefs after key cycles, agreed escalation thresholds, and cross</w:t>
      </w:r>
      <w:r w:rsidRPr="00E654A2">
        <w:rPr>
          <w:rFonts w:ascii="Arial" w:hAnsi="Arial" w:cs="Arial"/>
          <w:sz w:val="24"/>
          <w:szCs w:val="24"/>
        </w:rPr>
        <w:noBreakHyphen/>
        <w:t>functional “sense</w:t>
      </w:r>
      <w:r w:rsidRPr="00E654A2">
        <w:rPr>
          <w:rFonts w:ascii="Arial" w:hAnsi="Arial" w:cs="Arial"/>
          <w:sz w:val="24"/>
          <w:szCs w:val="24"/>
        </w:rPr>
        <w:noBreakHyphen/>
        <w:t>making” spaces where risk and legal advice can be integrated before it reaches the board.</w:t>
      </w:r>
    </w:p>
    <w:p w14:paraId="3B9C6813" w14:textId="77777777" w:rsidR="003C5832" w:rsidRPr="00E654A2" w:rsidRDefault="003C5832" w:rsidP="003C5832">
      <w:pPr>
        <w:pStyle w:val="Heading3"/>
        <w:jc w:val="both"/>
        <w:rPr>
          <w:rFonts w:ascii="Arial" w:hAnsi="Arial" w:cs="Arial"/>
          <w:color w:val="auto"/>
          <w:sz w:val="24"/>
          <w:szCs w:val="24"/>
          <w:lang w:eastAsia="en-GB"/>
        </w:rPr>
      </w:pPr>
      <w:r w:rsidRPr="00E654A2">
        <w:rPr>
          <w:rFonts w:ascii="Arial" w:hAnsi="Arial" w:cs="Arial"/>
          <w:b/>
          <w:bCs/>
          <w:color w:val="auto"/>
          <w:sz w:val="24"/>
          <w:szCs w:val="24"/>
        </w:rPr>
        <w:t>Conclusion</w:t>
      </w:r>
    </w:p>
    <w:p w14:paraId="234F0CB0" w14:textId="4ACDF2A9" w:rsidR="0049484B" w:rsidRDefault="0049484B">
      <w:pPr>
        <w:jc w:val="both"/>
        <w:rPr>
          <w:rFonts w:ascii="Arial" w:hAnsi="Arial" w:cs="Arial"/>
          <w:sz w:val="24"/>
          <w:szCs w:val="24"/>
        </w:rPr>
      </w:pPr>
      <w:r w:rsidRPr="00E654A2">
        <w:rPr>
          <w:rFonts w:ascii="Arial" w:hAnsi="Arial" w:cs="Arial"/>
          <w:sz w:val="24"/>
          <w:szCs w:val="24"/>
        </w:rPr>
        <w:t xml:space="preserve">In summary, the model makes visible what is often implicit in governance work: how different forms of knowledge are integrated through judgement and expressed through evidence, process and decision conditions. It offers a practice-grounded way to talk about advanced capability that remains usable for </w:t>
      </w:r>
      <w:r w:rsidR="00556D85">
        <w:rPr>
          <w:rFonts w:ascii="Arial" w:hAnsi="Arial" w:cs="Arial"/>
          <w:sz w:val="24"/>
          <w:szCs w:val="24"/>
        </w:rPr>
        <w:t>professional</w:t>
      </w:r>
      <w:r w:rsidRPr="00E654A2">
        <w:rPr>
          <w:rFonts w:ascii="Arial" w:hAnsi="Arial" w:cs="Arial"/>
          <w:sz w:val="24"/>
          <w:szCs w:val="24"/>
        </w:rPr>
        <w:t xml:space="preserve"> and doctoral purposes.</w:t>
      </w:r>
    </w:p>
    <w:p w14:paraId="655DBFE5" w14:textId="77777777" w:rsidR="006938CD" w:rsidRPr="00E654A2" w:rsidRDefault="006938CD">
      <w:pPr>
        <w:jc w:val="both"/>
        <w:rPr>
          <w:rFonts w:ascii="Arial" w:hAnsi="Arial" w:cs="Arial"/>
          <w:lang w:eastAsia="en-GB"/>
        </w:rPr>
      </w:pPr>
    </w:p>
    <w:p w14:paraId="156EEE4A" w14:textId="53FB51B6" w:rsidR="003C5832" w:rsidRPr="00E654A2" w:rsidRDefault="003C5832" w:rsidP="003C5832">
      <w:pPr>
        <w:pStyle w:val="Heading1"/>
        <w:spacing w:before="0"/>
        <w:contextualSpacing/>
        <w:jc w:val="both"/>
        <w:rPr>
          <w:rFonts w:ascii="Arial" w:hAnsi="Arial" w:cs="Arial"/>
          <w:color w:val="auto"/>
          <w:sz w:val="24"/>
          <w:szCs w:val="24"/>
          <w:lang w:eastAsia="en-GB"/>
        </w:rPr>
      </w:pPr>
      <w:r w:rsidRPr="00E654A2">
        <w:rPr>
          <w:rFonts w:ascii="Arial" w:hAnsi="Arial" w:cs="Arial"/>
          <w:b/>
          <w:bCs/>
          <w:color w:val="auto"/>
          <w:sz w:val="24"/>
          <w:szCs w:val="24"/>
        </w:rPr>
        <w:t xml:space="preserve">Part 3: Strategic Learning and Development Plan: Supporting advanced professional judgement and doctoral </w:t>
      </w:r>
      <w:r w:rsidR="00E8017E" w:rsidRPr="00E654A2">
        <w:rPr>
          <w:rFonts w:ascii="Arial" w:hAnsi="Arial" w:cs="Arial"/>
          <w:b/>
          <w:bCs/>
          <w:color w:val="auto"/>
          <w:sz w:val="24"/>
          <w:szCs w:val="24"/>
        </w:rPr>
        <w:t>e</w:t>
      </w:r>
      <w:r w:rsidRPr="00E654A2">
        <w:rPr>
          <w:rFonts w:ascii="Arial" w:hAnsi="Arial" w:cs="Arial"/>
          <w:b/>
          <w:bCs/>
          <w:color w:val="auto"/>
          <w:sz w:val="24"/>
          <w:szCs w:val="24"/>
        </w:rPr>
        <w:t xml:space="preserve">nquiry in corporate governance and </w:t>
      </w:r>
      <w:r w:rsidR="00C30812">
        <w:rPr>
          <w:rFonts w:ascii="Arial" w:hAnsi="Arial" w:cs="Arial"/>
          <w:b/>
          <w:bCs/>
          <w:color w:val="auto"/>
          <w:sz w:val="24"/>
          <w:szCs w:val="24"/>
        </w:rPr>
        <w:t>Artificial Intelligence (“</w:t>
      </w:r>
      <w:r w:rsidRPr="00E654A2">
        <w:rPr>
          <w:rFonts w:ascii="Arial" w:hAnsi="Arial" w:cs="Arial"/>
          <w:b/>
          <w:bCs/>
          <w:color w:val="auto"/>
          <w:sz w:val="24"/>
          <w:szCs w:val="24"/>
        </w:rPr>
        <w:t>AI</w:t>
      </w:r>
      <w:proofErr w:type="gramStart"/>
      <w:r w:rsidR="00C30812">
        <w:rPr>
          <w:rFonts w:ascii="Arial" w:hAnsi="Arial" w:cs="Arial"/>
          <w:b/>
          <w:bCs/>
          <w:color w:val="auto"/>
          <w:sz w:val="24"/>
          <w:szCs w:val="24"/>
        </w:rPr>
        <w:t>”)</w:t>
      </w:r>
      <w:r w:rsidRPr="00E654A2">
        <w:rPr>
          <w:rFonts w:ascii="Arial" w:hAnsi="Arial" w:cs="Arial"/>
          <w:b/>
          <w:bCs/>
          <w:color w:val="auto"/>
          <w:sz w:val="24"/>
          <w:szCs w:val="24"/>
        </w:rPr>
        <w:noBreakHyphen/>
      </w:r>
      <w:proofErr w:type="gramEnd"/>
      <w:r w:rsidRPr="00E654A2">
        <w:rPr>
          <w:rFonts w:ascii="Arial" w:hAnsi="Arial" w:cs="Arial"/>
          <w:b/>
          <w:bCs/>
          <w:color w:val="auto"/>
          <w:sz w:val="24"/>
          <w:szCs w:val="24"/>
        </w:rPr>
        <w:t>enhanced document management</w:t>
      </w:r>
    </w:p>
    <w:p w14:paraId="5BB83797" w14:textId="77777777" w:rsidR="003C5832" w:rsidRPr="00E654A2" w:rsidRDefault="003C5832" w:rsidP="003C5832">
      <w:pPr>
        <w:pStyle w:val="Heading3"/>
        <w:spacing w:before="360"/>
        <w:jc w:val="both"/>
        <w:rPr>
          <w:rFonts w:ascii="Arial" w:hAnsi="Arial" w:cs="Arial"/>
          <w:color w:val="auto"/>
          <w:sz w:val="24"/>
          <w:szCs w:val="24"/>
          <w:lang w:eastAsia="en-GB"/>
        </w:rPr>
      </w:pPr>
      <w:r w:rsidRPr="00E654A2">
        <w:rPr>
          <w:rFonts w:ascii="Arial" w:hAnsi="Arial" w:cs="Arial"/>
          <w:b/>
          <w:bCs/>
          <w:color w:val="auto"/>
          <w:sz w:val="24"/>
          <w:szCs w:val="24"/>
        </w:rPr>
        <w:t>Introduction</w:t>
      </w:r>
    </w:p>
    <w:p w14:paraId="274403FB" w14:textId="00B8D7A3" w:rsidR="006979BF" w:rsidRPr="00E654A2" w:rsidRDefault="006979BF">
      <w:pPr>
        <w:jc w:val="both"/>
        <w:rPr>
          <w:rFonts w:ascii="Arial" w:hAnsi="Arial" w:cs="Arial"/>
          <w:lang w:eastAsia="en-GB"/>
        </w:rPr>
      </w:pPr>
      <w:r w:rsidRPr="00E654A2">
        <w:rPr>
          <w:rFonts w:ascii="Arial" w:hAnsi="Arial" w:cs="Arial"/>
          <w:sz w:val="24"/>
          <w:szCs w:val="24"/>
        </w:rPr>
        <w:t xml:space="preserve">Part 3 applies the Part 2 framework as a practical learning and development plan </w:t>
      </w:r>
      <w:r w:rsidR="00A858E1" w:rsidRPr="00E654A2">
        <w:rPr>
          <w:rFonts w:ascii="Arial" w:hAnsi="Arial" w:cs="Arial"/>
          <w:sz w:val="24"/>
          <w:szCs w:val="24"/>
        </w:rPr>
        <w:t xml:space="preserve">(the </w:t>
      </w:r>
      <w:r w:rsidR="00A858E1" w:rsidRPr="00A5219F">
        <w:rPr>
          <w:rFonts w:ascii="Arial" w:hAnsi="Arial" w:cs="Arial"/>
          <w:b/>
          <w:bCs/>
          <w:sz w:val="24"/>
          <w:szCs w:val="24"/>
        </w:rPr>
        <w:t>“Plan”</w:t>
      </w:r>
      <w:r w:rsidR="00A858E1" w:rsidRPr="00E654A2">
        <w:rPr>
          <w:rFonts w:ascii="Arial" w:hAnsi="Arial" w:cs="Arial"/>
          <w:sz w:val="24"/>
          <w:szCs w:val="24"/>
        </w:rPr>
        <w:t xml:space="preserve">) </w:t>
      </w:r>
      <w:r w:rsidRPr="00E654A2">
        <w:rPr>
          <w:rFonts w:ascii="Arial" w:hAnsi="Arial" w:cs="Arial"/>
          <w:sz w:val="24"/>
          <w:szCs w:val="24"/>
        </w:rPr>
        <w:t xml:space="preserve">aligned to a </w:t>
      </w:r>
      <w:r w:rsidR="00352222" w:rsidRPr="00E654A2">
        <w:rPr>
          <w:rFonts w:ascii="Arial" w:hAnsi="Arial" w:cs="Arial"/>
          <w:sz w:val="24"/>
          <w:szCs w:val="24"/>
        </w:rPr>
        <w:t xml:space="preserve">proposed </w:t>
      </w:r>
      <w:r w:rsidRPr="00E654A2">
        <w:rPr>
          <w:rFonts w:ascii="Arial" w:hAnsi="Arial" w:cs="Arial"/>
          <w:sz w:val="24"/>
          <w:szCs w:val="24"/>
        </w:rPr>
        <w:t xml:space="preserve">professional doctorate </w:t>
      </w:r>
      <w:r w:rsidR="00161C31" w:rsidRPr="00E654A2">
        <w:rPr>
          <w:rFonts w:ascii="Arial" w:hAnsi="Arial" w:cs="Arial"/>
          <w:sz w:val="24"/>
          <w:szCs w:val="24"/>
        </w:rPr>
        <w:t xml:space="preserve">study </w:t>
      </w:r>
      <w:r w:rsidRPr="00E654A2">
        <w:rPr>
          <w:rFonts w:ascii="Arial" w:hAnsi="Arial" w:cs="Arial"/>
          <w:sz w:val="24"/>
          <w:szCs w:val="24"/>
        </w:rPr>
        <w:t>on AI</w:t>
      </w:r>
      <w:r w:rsidRPr="00E654A2">
        <w:rPr>
          <w:rFonts w:ascii="Arial" w:hAnsi="Arial" w:cs="Arial"/>
          <w:sz w:val="24"/>
          <w:szCs w:val="24"/>
        </w:rPr>
        <w:noBreakHyphen/>
        <w:t xml:space="preserve">enhanced document </w:t>
      </w:r>
      <w:r w:rsidRPr="00E654A2">
        <w:rPr>
          <w:rFonts w:ascii="Arial" w:hAnsi="Arial" w:cs="Arial"/>
          <w:sz w:val="24"/>
          <w:szCs w:val="24"/>
        </w:rPr>
        <w:lastRenderedPageBreak/>
        <w:t xml:space="preserve">management systems. It sets out the work to be produced and tested (decision rights, decision logs, </w:t>
      </w:r>
      <w:r w:rsidR="008F1F62" w:rsidRPr="00E654A2">
        <w:rPr>
          <w:rFonts w:ascii="Arial" w:hAnsi="Arial" w:cs="Arial"/>
          <w:sz w:val="24"/>
          <w:szCs w:val="24"/>
        </w:rPr>
        <w:t xml:space="preserve">Data Protection Impact Assessments </w:t>
      </w:r>
      <w:r w:rsidR="008F1F62" w:rsidRPr="00924DC7">
        <w:rPr>
          <w:rFonts w:ascii="Arial" w:hAnsi="Arial" w:cs="Arial"/>
          <w:b/>
          <w:bCs/>
          <w:sz w:val="24"/>
          <w:szCs w:val="24"/>
        </w:rPr>
        <w:t>(“</w:t>
      </w:r>
      <w:r w:rsidRPr="00924DC7">
        <w:rPr>
          <w:rFonts w:ascii="Arial" w:hAnsi="Arial" w:cs="Arial"/>
          <w:b/>
          <w:bCs/>
          <w:sz w:val="24"/>
          <w:szCs w:val="24"/>
        </w:rPr>
        <w:t>DPIAs</w:t>
      </w:r>
      <w:r w:rsidR="004C71FE" w:rsidRPr="00924DC7">
        <w:rPr>
          <w:rFonts w:ascii="Arial" w:hAnsi="Arial" w:cs="Arial"/>
          <w:b/>
          <w:bCs/>
          <w:sz w:val="24"/>
          <w:szCs w:val="24"/>
        </w:rPr>
        <w:t>”</w:t>
      </w:r>
      <w:r w:rsidR="004C71FE" w:rsidRPr="00E654A2">
        <w:rPr>
          <w:rFonts w:ascii="Arial" w:hAnsi="Arial" w:cs="Arial"/>
          <w:sz w:val="24"/>
          <w:szCs w:val="24"/>
        </w:rPr>
        <w:t>)</w:t>
      </w:r>
      <w:r w:rsidRPr="00E654A2">
        <w:rPr>
          <w:rFonts w:ascii="Arial" w:hAnsi="Arial" w:cs="Arial"/>
          <w:sz w:val="24"/>
          <w:szCs w:val="24"/>
        </w:rPr>
        <w:t xml:space="preserve"> and assurance packs) and how progress will be judged using evidence of impact.</w:t>
      </w:r>
    </w:p>
    <w:p w14:paraId="1B5B51C3" w14:textId="0B2D2D20" w:rsidR="006979BF" w:rsidRPr="00E654A2" w:rsidRDefault="006979BF">
      <w:pPr>
        <w:jc w:val="both"/>
        <w:rPr>
          <w:rFonts w:ascii="Arial" w:hAnsi="Arial" w:cs="Arial"/>
          <w:lang w:eastAsia="en-GB"/>
        </w:rPr>
      </w:pPr>
      <w:r w:rsidRPr="00E654A2">
        <w:rPr>
          <w:rFonts w:ascii="Arial" w:hAnsi="Arial" w:cs="Arial"/>
          <w:sz w:val="24"/>
          <w:szCs w:val="24"/>
        </w:rPr>
        <w:t xml:space="preserve">The doctoral work tests governance where organisations often </w:t>
      </w:r>
      <w:proofErr w:type="gramStart"/>
      <w:r w:rsidRPr="00E654A2">
        <w:rPr>
          <w:rFonts w:ascii="Arial" w:hAnsi="Arial" w:cs="Arial"/>
          <w:sz w:val="24"/>
          <w:szCs w:val="24"/>
        </w:rPr>
        <w:t>struggle:</w:t>
      </w:r>
      <w:proofErr w:type="gramEnd"/>
      <w:r w:rsidRPr="00E654A2">
        <w:rPr>
          <w:rFonts w:ascii="Arial" w:hAnsi="Arial" w:cs="Arial"/>
          <w:sz w:val="24"/>
          <w:szCs w:val="24"/>
        </w:rPr>
        <w:t xml:space="preserve"> who signs off </w:t>
      </w:r>
      <w:r w:rsidR="005A40A0" w:rsidRPr="00E654A2">
        <w:rPr>
          <w:rFonts w:ascii="Arial" w:hAnsi="Arial" w:cs="Arial"/>
          <w:sz w:val="24"/>
          <w:szCs w:val="24"/>
        </w:rPr>
        <w:t>plan</w:t>
      </w:r>
      <w:r w:rsidRPr="00E654A2">
        <w:rPr>
          <w:rFonts w:ascii="Arial" w:hAnsi="Arial" w:cs="Arial"/>
          <w:sz w:val="24"/>
          <w:szCs w:val="24"/>
        </w:rPr>
        <w:t>s, what must be recorded when AI is used for classification/retrieval, and what triggers escalation when controls fail. The aim is explainable, audit</w:t>
      </w:r>
      <w:r w:rsidR="00005CC7" w:rsidRPr="00E654A2">
        <w:rPr>
          <w:rFonts w:ascii="Arial" w:hAnsi="Arial" w:cs="Arial"/>
          <w:sz w:val="24"/>
          <w:szCs w:val="24"/>
        </w:rPr>
        <w:t xml:space="preserve"> </w:t>
      </w:r>
      <w:r w:rsidRPr="00E654A2">
        <w:rPr>
          <w:rFonts w:ascii="Arial" w:hAnsi="Arial" w:cs="Arial"/>
          <w:sz w:val="24"/>
          <w:szCs w:val="24"/>
        </w:rPr>
        <w:t>ready evidence as automation increases.</w:t>
      </w:r>
    </w:p>
    <w:p w14:paraId="6D01B5AC" w14:textId="77777777" w:rsidR="003C5832" w:rsidRPr="00E654A2" w:rsidRDefault="003C5832" w:rsidP="003C5832">
      <w:pPr>
        <w:pStyle w:val="Heading3"/>
        <w:spacing w:before="360"/>
        <w:jc w:val="both"/>
        <w:rPr>
          <w:rFonts w:ascii="Arial" w:hAnsi="Arial" w:cs="Arial"/>
          <w:color w:val="auto"/>
          <w:sz w:val="24"/>
          <w:szCs w:val="24"/>
          <w:lang w:eastAsia="en-GB"/>
        </w:rPr>
      </w:pPr>
      <w:r w:rsidRPr="00E654A2">
        <w:rPr>
          <w:rFonts w:ascii="Arial" w:hAnsi="Arial" w:cs="Arial"/>
          <w:b/>
          <w:bCs/>
          <w:color w:val="auto"/>
          <w:sz w:val="24"/>
          <w:szCs w:val="24"/>
        </w:rPr>
        <w:t>Professional and organisational context</w:t>
      </w:r>
    </w:p>
    <w:p w14:paraId="07BA173E" w14:textId="77777777" w:rsidR="006979BF" w:rsidRPr="00E654A2" w:rsidRDefault="006979BF">
      <w:pPr>
        <w:jc w:val="both"/>
        <w:rPr>
          <w:rFonts w:ascii="Arial" w:hAnsi="Arial" w:cs="Arial"/>
          <w:lang w:eastAsia="en-GB"/>
        </w:rPr>
      </w:pPr>
      <w:r w:rsidRPr="00E654A2">
        <w:rPr>
          <w:rFonts w:ascii="Arial" w:hAnsi="Arial" w:cs="Arial"/>
          <w:sz w:val="24"/>
          <w:szCs w:val="24"/>
        </w:rPr>
        <w:t>The governance role is a practical interface between law, strategy and ethics, increasingly shaped by digital systems. It involves advising boards and ensuring records and decisions can stand up to scrutiny (Financial Reporting Council, 2018; Financial Reporting Council, 2024).</w:t>
      </w:r>
    </w:p>
    <w:p w14:paraId="5D693E32" w14:textId="02432DF2" w:rsidR="006979BF" w:rsidRPr="00E654A2" w:rsidRDefault="006979BF">
      <w:pPr>
        <w:jc w:val="both"/>
        <w:rPr>
          <w:rFonts w:ascii="Arial" w:hAnsi="Arial" w:cs="Arial"/>
          <w:lang w:eastAsia="en-GB"/>
        </w:rPr>
      </w:pPr>
      <w:r w:rsidRPr="00E654A2">
        <w:rPr>
          <w:rFonts w:ascii="Arial" w:hAnsi="Arial" w:cs="Arial"/>
          <w:sz w:val="24"/>
          <w:szCs w:val="24"/>
        </w:rPr>
        <w:t>Digitalisation changes what counts as governance evidence, and AI intensifies questions of accountability, explainability and bias. The NIST AI R</w:t>
      </w:r>
      <w:r w:rsidR="005F1F61" w:rsidRPr="00E654A2">
        <w:rPr>
          <w:rFonts w:ascii="Arial" w:hAnsi="Arial" w:cs="Arial"/>
          <w:sz w:val="24"/>
          <w:szCs w:val="24"/>
        </w:rPr>
        <w:t>isk Mana</w:t>
      </w:r>
      <w:r w:rsidR="00E15B19" w:rsidRPr="00E654A2">
        <w:rPr>
          <w:rFonts w:ascii="Arial" w:hAnsi="Arial" w:cs="Arial"/>
          <w:sz w:val="24"/>
          <w:szCs w:val="24"/>
        </w:rPr>
        <w:t>gement Framework</w:t>
      </w:r>
      <w:r w:rsidRPr="00E654A2">
        <w:rPr>
          <w:rFonts w:ascii="Arial" w:hAnsi="Arial" w:cs="Arial"/>
          <w:sz w:val="24"/>
          <w:szCs w:val="24"/>
        </w:rPr>
        <w:t xml:space="preserve"> frames the overall aim as helping organisations “manage risks to individuals, organizations, and society associated with artificial intelligence” (Tabassi, 2023, p.1).</w:t>
      </w:r>
    </w:p>
    <w:p w14:paraId="1F7CFE6A" w14:textId="5BB4049A" w:rsidR="001F7E60" w:rsidRPr="00E654A2" w:rsidRDefault="001F7E60">
      <w:pPr>
        <w:jc w:val="both"/>
        <w:rPr>
          <w:rFonts w:ascii="Arial" w:hAnsi="Arial" w:cs="Arial"/>
          <w:lang w:eastAsia="en-GB"/>
        </w:rPr>
      </w:pPr>
      <w:r w:rsidRPr="00E654A2">
        <w:rPr>
          <w:rFonts w:ascii="Arial" w:hAnsi="Arial" w:cs="Arial"/>
          <w:sz w:val="24"/>
          <w:szCs w:val="24"/>
        </w:rPr>
        <w:t>The research co-develops a governance framework for an AI</w:t>
      </w:r>
      <w:r w:rsidRPr="00E654A2">
        <w:rPr>
          <w:rFonts w:ascii="Arial" w:hAnsi="Arial" w:cs="Arial"/>
          <w:sz w:val="24"/>
          <w:szCs w:val="24"/>
        </w:rPr>
        <w:noBreakHyphen/>
        <w:t>enhanced DMS where audit trails, retention logic and access controls materially affect governance quality. This reflects records</w:t>
      </w:r>
      <w:r w:rsidR="00466A5B" w:rsidRPr="00E654A2">
        <w:rPr>
          <w:rFonts w:ascii="Arial" w:hAnsi="Arial" w:cs="Arial"/>
          <w:sz w:val="24"/>
          <w:szCs w:val="24"/>
        </w:rPr>
        <w:t xml:space="preserve"> </w:t>
      </w:r>
      <w:r w:rsidRPr="00E654A2">
        <w:rPr>
          <w:rFonts w:ascii="Arial" w:hAnsi="Arial" w:cs="Arial"/>
          <w:sz w:val="24"/>
          <w:szCs w:val="24"/>
        </w:rPr>
        <w:t xml:space="preserve">management principles that treat records as evidence. ISO 15489-1 notes that records requirements stem from “recurrent analysis of business context and the identification of records requirements” (ISO, 2016, p.vi). Learning therefore supports both </w:t>
      </w:r>
      <w:r w:rsidR="00E8017E" w:rsidRPr="00E654A2">
        <w:rPr>
          <w:rFonts w:ascii="Arial" w:hAnsi="Arial" w:cs="Arial"/>
          <w:sz w:val="24"/>
          <w:szCs w:val="24"/>
        </w:rPr>
        <w:t>e</w:t>
      </w:r>
      <w:r w:rsidRPr="00E654A2">
        <w:rPr>
          <w:rFonts w:ascii="Arial" w:hAnsi="Arial" w:cs="Arial"/>
          <w:sz w:val="24"/>
          <w:szCs w:val="24"/>
        </w:rPr>
        <w:t>nquiry and intervention, enabling collaboration with technical stakeholders and credible assurance to governance forums.</w:t>
      </w:r>
    </w:p>
    <w:p w14:paraId="344F849A" w14:textId="77777777" w:rsidR="003C5832" w:rsidRPr="00E654A2" w:rsidRDefault="003C5832" w:rsidP="003C5832">
      <w:pPr>
        <w:pStyle w:val="Heading3"/>
        <w:spacing w:before="360"/>
        <w:jc w:val="both"/>
        <w:rPr>
          <w:rFonts w:ascii="Arial" w:hAnsi="Arial" w:cs="Arial"/>
          <w:color w:val="auto"/>
          <w:sz w:val="24"/>
          <w:szCs w:val="24"/>
          <w:lang w:eastAsia="en-GB"/>
        </w:rPr>
      </w:pPr>
      <w:r w:rsidRPr="00E654A2">
        <w:rPr>
          <w:rFonts w:ascii="Arial" w:hAnsi="Arial" w:cs="Arial"/>
          <w:b/>
          <w:bCs/>
          <w:color w:val="auto"/>
          <w:sz w:val="24"/>
          <w:szCs w:val="24"/>
        </w:rPr>
        <w:t>Strategic foresight and future learning needs analysis</w:t>
      </w:r>
    </w:p>
    <w:p w14:paraId="4A45B910" w14:textId="788B4E40" w:rsidR="006979BF" w:rsidRPr="00E654A2" w:rsidRDefault="006979BF">
      <w:pPr>
        <w:jc w:val="both"/>
        <w:rPr>
          <w:rFonts w:ascii="Arial" w:hAnsi="Arial" w:cs="Arial"/>
          <w:lang w:eastAsia="en-GB"/>
        </w:rPr>
      </w:pPr>
      <w:r w:rsidRPr="00E654A2">
        <w:rPr>
          <w:rFonts w:ascii="Arial" w:hAnsi="Arial" w:cs="Arial"/>
          <w:sz w:val="24"/>
          <w:szCs w:val="24"/>
        </w:rPr>
        <w:t>Each quarter, the project reviews a small set of signals (regulator updates, incidents/near misses, and material changes in the DMS</w:t>
      </w:r>
      <w:r w:rsidR="002F0A73">
        <w:rPr>
          <w:rFonts w:ascii="Arial" w:hAnsi="Arial" w:cs="Arial"/>
          <w:sz w:val="24"/>
          <w:szCs w:val="24"/>
        </w:rPr>
        <w:t xml:space="preserve"> </w:t>
      </w:r>
      <w:r w:rsidRPr="00E654A2">
        <w:rPr>
          <w:rFonts w:ascii="Arial" w:hAnsi="Arial" w:cs="Arial"/>
          <w:sz w:val="24"/>
          <w:szCs w:val="24"/>
        </w:rPr>
        <w:t>model). The team then runs a short “what would this break?” check against the key artefacts (decision log, DPIA triggers, assurance pack) and updates priorities with a recorded rationale.</w:t>
      </w:r>
    </w:p>
    <w:p w14:paraId="51C7729F" w14:textId="6001C341" w:rsidR="006979BF" w:rsidRPr="00E654A2" w:rsidRDefault="006979BF">
      <w:pPr>
        <w:jc w:val="both"/>
        <w:rPr>
          <w:rFonts w:ascii="Arial" w:hAnsi="Arial" w:cs="Arial"/>
          <w:lang w:eastAsia="en-GB"/>
        </w:rPr>
      </w:pPr>
      <w:r w:rsidRPr="00E654A2">
        <w:rPr>
          <w:rFonts w:ascii="Arial" w:hAnsi="Arial" w:cs="Arial"/>
          <w:sz w:val="24"/>
          <w:szCs w:val="24"/>
        </w:rPr>
        <w:t xml:space="preserve">Codes, regulators and standards set expectations, but operationalisation is the hard part (Financial Reporting Council, 2018; Financial Reporting Council, 2024; ICO, 2023; ICO, 2026; ISO/IEC, 2023a; ISO/IEC, 2023b; Tabassi, 2023; OECD, 2019). The doctoral opportunity is to translate these into routines </w:t>
      </w:r>
      <w:r w:rsidR="00146B4A">
        <w:rPr>
          <w:rFonts w:ascii="Arial" w:hAnsi="Arial" w:cs="Arial"/>
          <w:sz w:val="24"/>
          <w:szCs w:val="24"/>
        </w:rPr>
        <w:t xml:space="preserve">that </w:t>
      </w:r>
      <w:r w:rsidRPr="00E654A2">
        <w:rPr>
          <w:rFonts w:ascii="Arial" w:hAnsi="Arial" w:cs="Arial"/>
          <w:sz w:val="24"/>
          <w:szCs w:val="24"/>
        </w:rPr>
        <w:t xml:space="preserve">teams will use, with decision logs and assurance packs </w:t>
      </w:r>
      <w:r w:rsidR="00C24DD1">
        <w:rPr>
          <w:rFonts w:ascii="Arial" w:hAnsi="Arial" w:cs="Arial"/>
          <w:sz w:val="24"/>
          <w:szCs w:val="24"/>
        </w:rPr>
        <w:t>to ensure transparency of j</w:t>
      </w:r>
      <w:r w:rsidRPr="00E654A2">
        <w:rPr>
          <w:rFonts w:ascii="Arial" w:hAnsi="Arial" w:cs="Arial"/>
          <w:sz w:val="24"/>
          <w:szCs w:val="24"/>
        </w:rPr>
        <w:t>udgement when data are incomplete.</w:t>
      </w:r>
    </w:p>
    <w:p w14:paraId="07E2B40A" w14:textId="77777777" w:rsidR="003C5832" w:rsidRPr="00E654A2" w:rsidRDefault="003C5832" w:rsidP="003C5832">
      <w:pPr>
        <w:pStyle w:val="Heading4"/>
        <w:spacing w:before="160" w:after="80"/>
        <w:jc w:val="both"/>
        <w:rPr>
          <w:rFonts w:ascii="Arial" w:hAnsi="Arial" w:cs="Arial"/>
          <w:color w:val="auto"/>
          <w:sz w:val="24"/>
          <w:szCs w:val="24"/>
          <w:lang w:eastAsia="en-GB"/>
        </w:rPr>
      </w:pPr>
      <w:r w:rsidRPr="00E654A2">
        <w:rPr>
          <w:rFonts w:ascii="Arial" w:hAnsi="Arial" w:cs="Arial"/>
          <w:color w:val="auto"/>
          <w:sz w:val="24"/>
          <w:szCs w:val="24"/>
        </w:rPr>
        <w:lastRenderedPageBreak/>
        <w:t>Short</w:t>
      </w:r>
      <w:r w:rsidRPr="00E654A2">
        <w:rPr>
          <w:rFonts w:ascii="Arial" w:hAnsi="Arial" w:cs="Arial"/>
          <w:color w:val="auto"/>
          <w:sz w:val="24"/>
          <w:szCs w:val="24"/>
        </w:rPr>
        <w:noBreakHyphen/>
        <w:t>term learning needs (foundation and readiness)</w:t>
      </w:r>
    </w:p>
    <w:p w14:paraId="39D20511" w14:textId="77777777" w:rsidR="006979BF" w:rsidRPr="00E654A2" w:rsidRDefault="006979BF">
      <w:pPr>
        <w:jc w:val="both"/>
        <w:rPr>
          <w:rFonts w:ascii="Arial" w:hAnsi="Arial" w:cs="Arial"/>
          <w:lang w:eastAsia="en-GB"/>
        </w:rPr>
      </w:pPr>
      <w:r w:rsidRPr="00E654A2">
        <w:rPr>
          <w:rFonts w:ascii="Arial" w:hAnsi="Arial" w:cs="Arial"/>
          <w:sz w:val="24"/>
          <w:szCs w:val="24"/>
        </w:rPr>
        <w:t>Short term: build foundations in information governance, records management and data protection, with a realistic view of where AI will be used in document work and what its limits mean for control.</w:t>
      </w:r>
    </w:p>
    <w:p w14:paraId="65478F02" w14:textId="77777777" w:rsidR="003C5832" w:rsidRPr="00E654A2" w:rsidRDefault="003C5832" w:rsidP="003C5832">
      <w:pPr>
        <w:pStyle w:val="Heading4"/>
        <w:spacing w:before="160" w:after="80"/>
        <w:jc w:val="both"/>
        <w:rPr>
          <w:rFonts w:ascii="Arial" w:hAnsi="Arial" w:cs="Arial"/>
          <w:color w:val="auto"/>
          <w:sz w:val="24"/>
          <w:szCs w:val="24"/>
          <w:lang w:eastAsia="en-GB"/>
        </w:rPr>
      </w:pPr>
      <w:r w:rsidRPr="00E654A2">
        <w:rPr>
          <w:rFonts w:ascii="Arial" w:hAnsi="Arial" w:cs="Arial"/>
          <w:color w:val="auto"/>
          <w:sz w:val="24"/>
          <w:szCs w:val="24"/>
        </w:rPr>
        <w:t>Medium</w:t>
      </w:r>
      <w:r w:rsidRPr="00E654A2">
        <w:rPr>
          <w:rFonts w:ascii="Arial" w:hAnsi="Arial" w:cs="Arial"/>
          <w:color w:val="auto"/>
          <w:sz w:val="24"/>
          <w:szCs w:val="24"/>
        </w:rPr>
        <w:noBreakHyphen/>
        <w:t>term learning needs (assurance, oversight, and applied capability)</w:t>
      </w:r>
    </w:p>
    <w:p w14:paraId="5C9D3B88" w14:textId="77777777" w:rsidR="006979BF" w:rsidRPr="00E654A2" w:rsidRDefault="006979BF">
      <w:pPr>
        <w:jc w:val="both"/>
        <w:rPr>
          <w:rFonts w:ascii="Arial" w:hAnsi="Arial" w:cs="Arial"/>
          <w:lang w:eastAsia="en-GB"/>
        </w:rPr>
      </w:pPr>
      <w:r w:rsidRPr="00E654A2">
        <w:rPr>
          <w:rFonts w:ascii="Arial" w:hAnsi="Arial" w:cs="Arial"/>
          <w:sz w:val="24"/>
          <w:szCs w:val="24"/>
        </w:rPr>
        <w:t>Medium term: design workable assurance for AI</w:t>
      </w:r>
      <w:r w:rsidRPr="00E654A2">
        <w:rPr>
          <w:rFonts w:ascii="Arial" w:hAnsi="Arial" w:cs="Arial"/>
          <w:sz w:val="24"/>
          <w:szCs w:val="24"/>
        </w:rPr>
        <w:noBreakHyphen/>
        <w:t>enabled workflows (explainability, bias, lifecycle controls) and build the facilitation skills needed to co</w:t>
      </w:r>
      <w:r w:rsidRPr="00E654A2">
        <w:rPr>
          <w:rFonts w:ascii="Arial" w:hAnsi="Arial" w:cs="Arial"/>
          <w:sz w:val="24"/>
          <w:szCs w:val="24"/>
        </w:rPr>
        <w:noBreakHyphen/>
        <w:t>produce controls with technical and risk stakeholders.</w:t>
      </w:r>
    </w:p>
    <w:p w14:paraId="6FB3E5CC" w14:textId="77777777" w:rsidR="003C5832" w:rsidRPr="00E654A2" w:rsidRDefault="003C5832" w:rsidP="003C5832">
      <w:pPr>
        <w:pStyle w:val="Heading4"/>
        <w:spacing w:before="160" w:after="80"/>
        <w:jc w:val="both"/>
        <w:rPr>
          <w:rFonts w:ascii="Arial" w:hAnsi="Arial" w:cs="Arial"/>
          <w:color w:val="auto"/>
          <w:sz w:val="24"/>
          <w:szCs w:val="24"/>
          <w:lang w:eastAsia="en-GB"/>
        </w:rPr>
      </w:pPr>
      <w:r w:rsidRPr="00E654A2">
        <w:rPr>
          <w:rFonts w:ascii="Arial" w:hAnsi="Arial" w:cs="Arial"/>
          <w:color w:val="auto"/>
          <w:sz w:val="24"/>
          <w:szCs w:val="24"/>
        </w:rPr>
        <w:t>Long</w:t>
      </w:r>
      <w:r w:rsidRPr="00E654A2">
        <w:rPr>
          <w:rFonts w:ascii="Arial" w:hAnsi="Arial" w:cs="Arial"/>
          <w:color w:val="auto"/>
          <w:sz w:val="24"/>
          <w:szCs w:val="24"/>
        </w:rPr>
        <w:noBreakHyphen/>
        <w:t>term learning needs (contribution, influence, and dissemination)</w:t>
      </w:r>
    </w:p>
    <w:p w14:paraId="5B4FA90C" w14:textId="11250CAB" w:rsidR="006979BF" w:rsidRPr="00E654A2" w:rsidRDefault="006979BF">
      <w:pPr>
        <w:jc w:val="both"/>
        <w:rPr>
          <w:rFonts w:ascii="Arial" w:hAnsi="Arial" w:cs="Arial"/>
          <w:lang w:eastAsia="en-GB"/>
        </w:rPr>
      </w:pPr>
      <w:r w:rsidRPr="00E654A2">
        <w:rPr>
          <w:rFonts w:ascii="Arial" w:hAnsi="Arial" w:cs="Arial"/>
          <w:sz w:val="24"/>
          <w:szCs w:val="24"/>
        </w:rPr>
        <w:t xml:space="preserve">Long term: produce a framework that </w:t>
      </w:r>
      <w:r w:rsidR="004C1FB3">
        <w:rPr>
          <w:rFonts w:ascii="Arial" w:hAnsi="Arial" w:cs="Arial"/>
          <w:sz w:val="24"/>
          <w:szCs w:val="24"/>
        </w:rPr>
        <w:t>extends</w:t>
      </w:r>
      <w:r w:rsidRPr="00E654A2">
        <w:rPr>
          <w:rFonts w:ascii="Arial" w:hAnsi="Arial" w:cs="Arial"/>
          <w:sz w:val="24"/>
          <w:szCs w:val="24"/>
        </w:rPr>
        <w:t xml:space="preserve"> beyond the pilot and stays aligned to changing expectations (policy, standards and board assurance).</w:t>
      </w:r>
    </w:p>
    <w:p w14:paraId="5186BEC5" w14:textId="77777777" w:rsidR="003C5832" w:rsidRPr="00E654A2" w:rsidRDefault="003C5832" w:rsidP="003C5832">
      <w:pPr>
        <w:pStyle w:val="Heading3"/>
        <w:spacing w:before="360"/>
        <w:jc w:val="both"/>
        <w:rPr>
          <w:rFonts w:ascii="Arial" w:hAnsi="Arial" w:cs="Arial"/>
          <w:color w:val="auto"/>
          <w:sz w:val="24"/>
          <w:szCs w:val="24"/>
          <w:lang w:eastAsia="en-GB"/>
        </w:rPr>
      </w:pPr>
      <w:r w:rsidRPr="00E654A2">
        <w:rPr>
          <w:rFonts w:ascii="Arial" w:hAnsi="Arial" w:cs="Arial"/>
          <w:b/>
          <w:bCs/>
          <w:color w:val="auto"/>
          <w:sz w:val="24"/>
          <w:szCs w:val="24"/>
        </w:rPr>
        <w:t>Strategic learning goals and justification</w:t>
      </w:r>
    </w:p>
    <w:p w14:paraId="0D787E98" w14:textId="77777777" w:rsidR="006979BF" w:rsidRPr="00E654A2" w:rsidRDefault="006979BF">
      <w:pPr>
        <w:jc w:val="both"/>
        <w:rPr>
          <w:rFonts w:ascii="Arial" w:hAnsi="Arial" w:cs="Arial"/>
          <w:lang w:eastAsia="en-GB"/>
        </w:rPr>
      </w:pPr>
      <w:r w:rsidRPr="00E654A2">
        <w:rPr>
          <w:rFonts w:ascii="Arial" w:hAnsi="Arial" w:cs="Arial"/>
          <w:sz w:val="24"/>
          <w:szCs w:val="24"/>
        </w:rPr>
        <w:t>Learning priorities reflect common failure points when AI enters document and records work: unclear decision rights, weak traceability, and controls that teams do not adopt.</w:t>
      </w:r>
    </w:p>
    <w:p w14:paraId="7B2C5382" w14:textId="77777777" w:rsidR="0095367D" w:rsidRPr="00E654A2" w:rsidRDefault="0095367D" w:rsidP="0095367D">
      <w:pPr>
        <w:numPr>
          <w:ilvl w:val="0"/>
          <w:numId w:val="1"/>
        </w:numPr>
        <w:jc w:val="both"/>
        <w:rPr>
          <w:rFonts w:ascii="Arial" w:hAnsi="Arial" w:cs="Arial"/>
          <w:lang w:eastAsia="en-GB"/>
        </w:rPr>
      </w:pPr>
      <w:r w:rsidRPr="00E654A2">
        <w:rPr>
          <w:rFonts w:ascii="Arial" w:hAnsi="Arial" w:cs="Arial"/>
          <w:sz w:val="24"/>
          <w:szCs w:val="24"/>
        </w:rPr>
        <w:t>Governance literacy for AI</w:t>
      </w:r>
      <w:r w:rsidRPr="00E654A2">
        <w:rPr>
          <w:rFonts w:ascii="Arial" w:hAnsi="Arial" w:cs="Arial"/>
          <w:sz w:val="24"/>
          <w:szCs w:val="24"/>
        </w:rPr>
        <w:noBreakHyphen/>
        <w:t>enhanced DMS: enough technical and risk fluency to challenge design choices and assurance claims.</w:t>
      </w:r>
    </w:p>
    <w:p w14:paraId="7D357CA6" w14:textId="77777777" w:rsidR="0095367D" w:rsidRPr="00E654A2" w:rsidRDefault="0095367D" w:rsidP="0095367D">
      <w:pPr>
        <w:numPr>
          <w:ilvl w:val="0"/>
          <w:numId w:val="1"/>
        </w:numPr>
        <w:jc w:val="both"/>
        <w:rPr>
          <w:rFonts w:ascii="Arial" w:hAnsi="Arial" w:cs="Arial"/>
          <w:lang w:eastAsia="en-GB"/>
        </w:rPr>
      </w:pPr>
      <w:r w:rsidRPr="00E654A2">
        <w:rPr>
          <w:rFonts w:ascii="Arial" w:hAnsi="Arial" w:cs="Arial"/>
          <w:sz w:val="24"/>
          <w:szCs w:val="24"/>
        </w:rPr>
        <w:t>Judgement and ethics in digital decisions: making proportionate recommendations where accountability, transparency and rights are in play.</w:t>
      </w:r>
    </w:p>
    <w:p w14:paraId="05AB446D" w14:textId="77777777" w:rsidR="0095367D" w:rsidRPr="00E654A2" w:rsidRDefault="0095367D" w:rsidP="0095367D">
      <w:pPr>
        <w:numPr>
          <w:ilvl w:val="0"/>
          <w:numId w:val="1"/>
        </w:numPr>
        <w:jc w:val="both"/>
        <w:rPr>
          <w:rFonts w:ascii="Arial" w:hAnsi="Arial" w:cs="Arial"/>
          <w:lang w:eastAsia="en-GB"/>
        </w:rPr>
      </w:pPr>
      <w:r w:rsidRPr="00E654A2">
        <w:rPr>
          <w:rFonts w:ascii="Arial" w:hAnsi="Arial" w:cs="Arial"/>
          <w:sz w:val="24"/>
          <w:szCs w:val="24"/>
        </w:rPr>
        <w:t>Methodological capability for practitioner research: ethical fieldwork, disciplined analysis and transparent reporting.</w:t>
      </w:r>
    </w:p>
    <w:p w14:paraId="4F323C76" w14:textId="200003BE" w:rsidR="006979BF" w:rsidRPr="00E654A2" w:rsidRDefault="006979BF" w:rsidP="006979BF">
      <w:pPr>
        <w:numPr>
          <w:ilvl w:val="0"/>
          <w:numId w:val="1"/>
        </w:numPr>
        <w:jc w:val="both"/>
        <w:rPr>
          <w:rFonts w:ascii="Arial" w:hAnsi="Arial" w:cs="Arial"/>
          <w:lang w:eastAsia="en-GB"/>
        </w:rPr>
      </w:pPr>
      <w:r w:rsidRPr="00E654A2">
        <w:rPr>
          <w:rFonts w:ascii="Arial" w:hAnsi="Arial" w:cs="Arial"/>
          <w:sz w:val="24"/>
          <w:szCs w:val="24"/>
        </w:rPr>
        <w:t>A usable governance framework/</w:t>
      </w:r>
      <w:r w:rsidR="00606AB7" w:rsidRPr="00E654A2">
        <w:rPr>
          <w:rFonts w:ascii="Arial" w:hAnsi="Arial" w:cs="Arial"/>
          <w:sz w:val="24"/>
          <w:szCs w:val="24"/>
        </w:rPr>
        <w:t xml:space="preserve"> Standard Operating </w:t>
      </w:r>
      <w:r w:rsidR="00606AB7" w:rsidRPr="00674761">
        <w:rPr>
          <w:rFonts w:ascii="Arial" w:hAnsi="Arial" w:cs="Arial"/>
          <w:sz w:val="24"/>
          <w:szCs w:val="24"/>
        </w:rPr>
        <w:t>Procedure (</w:t>
      </w:r>
      <w:r w:rsidR="00606AB7" w:rsidRPr="00674761">
        <w:rPr>
          <w:rFonts w:ascii="Arial" w:hAnsi="Arial" w:cs="Arial"/>
          <w:b/>
          <w:bCs/>
          <w:sz w:val="24"/>
          <w:szCs w:val="24"/>
        </w:rPr>
        <w:t>“</w:t>
      </w:r>
      <w:r w:rsidRPr="00674761">
        <w:rPr>
          <w:rFonts w:ascii="Arial" w:hAnsi="Arial" w:cs="Arial"/>
          <w:b/>
          <w:bCs/>
          <w:sz w:val="24"/>
          <w:szCs w:val="24"/>
        </w:rPr>
        <w:t>SOP</w:t>
      </w:r>
      <w:r w:rsidR="00606AB7" w:rsidRPr="00674761">
        <w:rPr>
          <w:rFonts w:ascii="Arial" w:hAnsi="Arial" w:cs="Arial"/>
          <w:b/>
          <w:bCs/>
          <w:sz w:val="24"/>
          <w:szCs w:val="24"/>
        </w:rPr>
        <w:t>”</w:t>
      </w:r>
      <w:r w:rsidR="00606AB7" w:rsidRPr="00E654A2">
        <w:rPr>
          <w:rFonts w:ascii="Arial" w:hAnsi="Arial" w:cs="Arial"/>
          <w:sz w:val="24"/>
          <w:szCs w:val="24"/>
        </w:rPr>
        <w:t>)</w:t>
      </w:r>
      <w:r w:rsidRPr="00E654A2">
        <w:rPr>
          <w:rFonts w:ascii="Arial" w:hAnsi="Arial" w:cs="Arial"/>
          <w:sz w:val="24"/>
          <w:szCs w:val="24"/>
        </w:rPr>
        <w:t xml:space="preserve"> that can be tested in pilot workflows and then embedded through board</w:t>
      </w:r>
      <w:r w:rsidRPr="00E654A2">
        <w:rPr>
          <w:rFonts w:ascii="Arial" w:hAnsi="Arial" w:cs="Arial"/>
          <w:sz w:val="24"/>
          <w:szCs w:val="24"/>
        </w:rPr>
        <w:noBreakHyphen/>
        <w:t>level reporting and stakeholder communication.</w:t>
      </w:r>
    </w:p>
    <w:p w14:paraId="1CA876F7" w14:textId="2CC453DD" w:rsidR="0095367D" w:rsidRPr="00E654A2" w:rsidRDefault="0095367D">
      <w:pPr>
        <w:jc w:val="both"/>
        <w:rPr>
          <w:rFonts w:ascii="Arial" w:hAnsi="Arial" w:cs="Arial"/>
          <w:lang w:eastAsia="en-GB"/>
        </w:rPr>
      </w:pPr>
      <w:r w:rsidRPr="00E654A2">
        <w:rPr>
          <w:rFonts w:ascii="Arial" w:hAnsi="Arial" w:cs="Arial"/>
          <w:sz w:val="24"/>
          <w:szCs w:val="24"/>
        </w:rPr>
        <w:t>Together, these priorities keep the doctorate anchored in practice: the work produces artefacts that can be used (and critiqued) in real governance forums, and the research contribution is evidenced through what changes</w:t>
      </w:r>
      <w:r w:rsidR="00005CC7" w:rsidRPr="00E654A2">
        <w:rPr>
          <w:rFonts w:ascii="Arial" w:hAnsi="Arial" w:cs="Arial"/>
          <w:sz w:val="24"/>
          <w:szCs w:val="24"/>
        </w:rPr>
        <w:t xml:space="preserve"> including </w:t>
      </w:r>
      <w:r w:rsidRPr="00E654A2">
        <w:rPr>
          <w:rFonts w:ascii="Arial" w:hAnsi="Arial" w:cs="Arial"/>
          <w:sz w:val="24"/>
          <w:szCs w:val="24"/>
        </w:rPr>
        <w:t>decision quality, traceability and control effectiveness</w:t>
      </w:r>
      <w:r w:rsidR="00005CC7" w:rsidRPr="00E654A2">
        <w:rPr>
          <w:rFonts w:ascii="Arial" w:hAnsi="Arial" w:cs="Arial"/>
          <w:sz w:val="24"/>
          <w:szCs w:val="24"/>
        </w:rPr>
        <w:t xml:space="preserve"> </w:t>
      </w:r>
      <w:r w:rsidRPr="00E654A2">
        <w:rPr>
          <w:rFonts w:ascii="Arial" w:hAnsi="Arial" w:cs="Arial"/>
          <w:sz w:val="24"/>
          <w:szCs w:val="24"/>
        </w:rPr>
        <w:t>rather than through activity completion.</w:t>
      </w:r>
    </w:p>
    <w:p w14:paraId="735BC043" w14:textId="77777777" w:rsidR="003C5832" w:rsidRPr="00E654A2" w:rsidRDefault="003C5832" w:rsidP="003C5832">
      <w:pPr>
        <w:pStyle w:val="Heading3"/>
        <w:spacing w:before="360"/>
        <w:jc w:val="both"/>
        <w:rPr>
          <w:rFonts w:ascii="Arial" w:hAnsi="Arial" w:cs="Arial"/>
          <w:color w:val="auto"/>
          <w:sz w:val="24"/>
          <w:szCs w:val="24"/>
          <w:lang w:eastAsia="en-GB"/>
        </w:rPr>
      </w:pPr>
      <w:r w:rsidRPr="00E654A2">
        <w:rPr>
          <w:rFonts w:ascii="Arial" w:hAnsi="Arial" w:cs="Arial"/>
          <w:b/>
          <w:bCs/>
          <w:color w:val="auto"/>
          <w:sz w:val="24"/>
          <w:szCs w:val="24"/>
        </w:rPr>
        <w:t>Explicit doctoral trajectory alignment</w:t>
      </w:r>
    </w:p>
    <w:p w14:paraId="7AD78BBB" w14:textId="16247582" w:rsidR="0057072C" w:rsidRPr="00E654A2" w:rsidRDefault="0057072C" w:rsidP="0057072C">
      <w:pPr>
        <w:numPr>
          <w:ilvl w:val="0"/>
          <w:numId w:val="2"/>
        </w:numPr>
        <w:jc w:val="both"/>
        <w:rPr>
          <w:rFonts w:ascii="Arial" w:hAnsi="Arial" w:cs="Arial"/>
          <w:lang w:eastAsia="en-GB"/>
        </w:rPr>
      </w:pPr>
      <w:r w:rsidRPr="00E654A2">
        <w:rPr>
          <w:rFonts w:ascii="Arial" w:hAnsi="Arial" w:cs="Arial"/>
          <w:b/>
          <w:bCs/>
          <w:sz w:val="24"/>
          <w:szCs w:val="24"/>
        </w:rPr>
        <w:t>Phase 1: Conceptual and Regulatory Grounding.</w:t>
      </w:r>
      <w:r w:rsidRPr="00E654A2">
        <w:rPr>
          <w:rFonts w:ascii="Arial" w:hAnsi="Arial" w:cs="Arial"/>
          <w:sz w:val="24"/>
          <w:szCs w:val="24"/>
        </w:rPr>
        <w:t xml:space="preserve"> The early focus is on consolidating governance theory, information governance standards, data </w:t>
      </w:r>
      <w:r w:rsidRPr="00E654A2">
        <w:rPr>
          <w:rFonts w:ascii="Arial" w:hAnsi="Arial" w:cs="Arial"/>
          <w:sz w:val="24"/>
          <w:szCs w:val="24"/>
        </w:rPr>
        <w:lastRenderedPageBreak/>
        <w:t xml:space="preserve">protection, </w:t>
      </w:r>
      <w:r w:rsidR="00B529CB">
        <w:rPr>
          <w:rFonts w:ascii="Arial" w:hAnsi="Arial" w:cs="Arial"/>
          <w:sz w:val="24"/>
          <w:szCs w:val="24"/>
        </w:rPr>
        <w:t xml:space="preserve">regulation </w:t>
      </w:r>
      <w:r w:rsidRPr="00E654A2">
        <w:rPr>
          <w:rFonts w:ascii="Arial" w:hAnsi="Arial" w:cs="Arial"/>
          <w:sz w:val="24"/>
          <w:szCs w:val="24"/>
        </w:rPr>
        <w:t>and AI ethics. Outputs include a critical review that informs the research framing and supports initial stakeholder engagement.</w:t>
      </w:r>
    </w:p>
    <w:p w14:paraId="7076553A" w14:textId="1AFFDD91" w:rsidR="0090544E" w:rsidRPr="00E654A2" w:rsidRDefault="0090544E" w:rsidP="0090544E">
      <w:pPr>
        <w:numPr>
          <w:ilvl w:val="0"/>
          <w:numId w:val="8"/>
        </w:numPr>
        <w:jc w:val="both"/>
        <w:rPr>
          <w:rFonts w:ascii="Arial" w:hAnsi="Arial" w:cs="Arial"/>
          <w:lang w:eastAsia="en-GB"/>
        </w:rPr>
      </w:pPr>
      <w:r w:rsidRPr="00E654A2">
        <w:rPr>
          <w:rFonts w:ascii="Arial" w:hAnsi="Arial" w:cs="Arial"/>
          <w:b/>
          <w:bCs/>
          <w:sz w:val="24"/>
          <w:szCs w:val="24"/>
        </w:rPr>
        <w:t xml:space="preserve">Phase 2: Practice-Based </w:t>
      </w:r>
      <w:r w:rsidR="00E8017E" w:rsidRPr="00E654A2">
        <w:rPr>
          <w:rFonts w:ascii="Arial" w:hAnsi="Arial" w:cs="Arial"/>
          <w:b/>
          <w:bCs/>
          <w:sz w:val="24"/>
          <w:szCs w:val="24"/>
        </w:rPr>
        <w:t>E</w:t>
      </w:r>
      <w:r w:rsidRPr="00E654A2">
        <w:rPr>
          <w:rFonts w:ascii="Arial" w:hAnsi="Arial" w:cs="Arial"/>
          <w:b/>
          <w:bCs/>
          <w:sz w:val="24"/>
          <w:szCs w:val="24"/>
        </w:rPr>
        <w:t>nquiry and Action Research.</w:t>
      </w:r>
      <w:r w:rsidRPr="00E654A2">
        <w:rPr>
          <w:rFonts w:ascii="Arial" w:hAnsi="Arial" w:cs="Arial"/>
          <w:sz w:val="24"/>
          <w:szCs w:val="24"/>
        </w:rPr>
        <w:t xml:space="preserve"> Evidence is generated through iterative cycles of planning, acting, observing, and reflecting, using organisational interventions as </w:t>
      </w:r>
      <w:r w:rsidR="00E8017E" w:rsidRPr="00E654A2">
        <w:rPr>
          <w:rFonts w:ascii="Arial" w:hAnsi="Arial" w:cs="Arial"/>
          <w:sz w:val="24"/>
          <w:szCs w:val="24"/>
        </w:rPr>
        <w:t>e</w:t>
      </w:r>
      <w:r w:rsidRPr="00E654A2">
        <w:rPr>
          <w:rFonts w:ascii="Arial" w:hAnsi="Arial" w:cs="Arial"/>
          <w:sz w:val="24"/>
          <w:szCs w:val="24"/>
        </w:rPr>
        <w:t>nquiry (Kemmis, McTaggart and Nixon, 2014; Coghlan, 2019). In Kemmis, McTaggart and Nixon’s terms, action research proceeds through a spiral of “plan, act and observe, and reflect” (Kemmis, McTaggart and Nixon, 2014, p.19). Methods include document analysis, workshops, and structured reflection to support co</w:t>
      </w:r>
      <w:r w:rsidRPr="00E654A2">
        <w:rPr>
          <w:rFonts w:ascii="Arial" w:hAnsi="Arial" w:cs="Arial"/>
          <w:sz w:val="24"/>
          <w:szCs w:val="24"/>
        </w:rPr>
        <w:noBreakHyphen/>
        <w:t>production.</w:t>
      </w:r>
    </w:p>
    <w:p w14:paraId="1245E359" w14:textId="169B28FF" w:rsidR="0057072C" w:rsidRPr="00E654A2" w:rsidRDefault="0057072C" w:rsidP="0057072C">
      <w:pPr>
        <w:numPr>
          <w:ilvl w:val="0"/>
          <w:numId w:val="8"/>
        </w:numPr>
        <w:jc w:val="both"/>
        <w:rPr>
          <w:rFonts w:ascii="Arial" w:hAnsi="Arial" w:cs="Arial"/>
          <w:lang w:eastAsia="en-GB"/>
        </w:rPr>
      </w:pPr>
      <w:r w:rsidRPr="00E654A2">
        <w:rPr>
          <w:rFonts w:ascii="Arial" w:hAnsi="Arial" w:cs="Arial"/>
          <w:b/>
          <w:bCs/>
          <w:sz w:val="24"/>
          <w:szCs w:val="24"/>
        </w:rPr>
        <w:t>Phase 3: Framework Development and Contribution.</w:t>
      </w:r>
      <w:r w:rsidRPr="00E654A2">
        <w:rPr>
          <w:rFonts w:ascii="Arial" w:hAnsi="Arial" w:cs="Arial"/>
          <w:sz w:val="24"/>
          <w:szCs w:val="24"/>
        </w:rPr>
        <w:t xml:space="preserve"> The emphasis shifts to </w:t>
      </w:r>
      <w:r w:rsidR="005D4FE1">
        <w:rPr>
          <w:rFonts w:ascii="Arial" w:hAnsi="Arial" w:cs="Arial"/>
          <w:sz w:val="24"/>
          <w:szCs w:val="24"/>
        </w:rPr>
        <w:t>bringing</w:t>
      </w:r>
      <w:r w:rsidRPr="00E654A2">
        <w:rPr>
          <w:rFonts w:ascii="Arial" w:hAnsi="Arial" w:cs="Arial"/>
          <w:sz w:val="24"/>
          <w:szCs w:val="24"/>
        </w:rPr>
        <w:t xml:space="preserve"> findings together, evaluating what changed, and translating the results into a coherent governance framework/SOP for an AI</w:t>
      </w:r>
      <w:r w:rsidRPr="00E654A2">
        <w:rPr>
          <w:rFonts w:ascii="Arial" w:hAnsi="Arial" w:cs="Arial"/>
          <w:sz w:val="24"/>
          <w:szCs w:val="24"/>
        </w:rPr>
        <w:noBreakHyphen/>
        <w:t>enhanced DMS, with outputs written up for organisational</w:t>
      </w:r>
      <w:r w:rsidR="00374B47">
        <w:rPr>
          <w:rFonts w:ascii="Arial" w:hAnsi="Arial" w:cs="Arial"/>
          <w:sz w:val="24"/>
          <w:szCs w:val="24"/>
        </w:rPr>
        <w:t>, professional</w:t>
      </w:r>
      <w:r w:rsidRPr="00E654A2">
        <w:rPr>
          <w:rFonts w:ascii="Arial" w:hAnsi="Arial" w:cs="Arial"/>
          <w:sz w:val="24"/>
          <w:szCs w:val="24"/>
        </w:rPr>
        <w:t xml:space="preserve"> and academic audiences.</w:t>
      </w:r>
    </w:p>
    <w:p w14:paraId="7D600EB5" w14:textId="77777777" w:rsidR="003C5832" w:rsidRPr="00E654A2" w:rsidRDefault="003C5832" w:rsidP="003C5832">
      <w:pPr>
        <w:pStyle w:val="Heading3"/>
        <w:spacing w:before="360"/>
        <w:jc w:val="both"/>
        <w:rPr>
          <w:rFonts w:ascii="Arial" w:hAnsi="Arial" w:cs="Arial"/>
          <w:color w:val="auto"/>
          <w:sz w:val="24"/>
          <w:szCs w:val="24"/>
          <w:lang w:eastAsia="en-GB"/>
        </w:rPr>
      </w:pPr>
      <w:r w:rsidRPr="00E654A2">
        <w:rPr>
          <w:rFonts w:ascii="Arial" w:hAnsi="Arial" w:cs="Arial"/>
          <w:b/>
          <w:bCs/>
          <w:color w:val="auto"/>
          <w:sz w:val="24"/>
          <w:szCs w:val="24"/>
        </w:rPr>
        <w:t>Learning objectives</w:t>
      </w:r>
    </w:p>
    <w:p w14:paraId="6921343B" w14:textId="77777777" w:rsidR="003C5832" w:rsidRPr="00E654A2" w:rsidRDefault="003C5832" w:rsidP="003C5832">
      <w:pPr>
        <w:pStyle w:val="Heading4"/>
        <w:spacing w:before="160" w:after="80"/>
        <w:jc w:val="both"/>
        <w:rPr>
          <w:rFonts w:ascii="Arial" w:hAnsi="Arial" w:cs="Arial"/>
          <w:color w:val="auto"/>
          <w:sz w:val="24"/>
          <w:szCs w:val="24"/>
          <w:lang w:eastAsia="en-GB"/>
        </w:rPr>
      </w:pPr>
      <w:r w:rsidRPr="00E654A2">
        <w:rPr>
          <w:rFonts w:ascii="Arial" w:hAnsi="Arial" w:cs="Arial"/>
          <w:color w:val="auto"/>
          <w:sz w:val="24"/>
          <w:szCs w:val="24"/>
        </w:rPr>
        <w:t>Working hypotheses (to be tested through action research)</w:t>
      </w:r>
    </w:p>
    <w:p w14:paraId="0066AD0C" w14:textId="334C32ED" w:rsidR="0090544E" w:rsidRPr="00E654A2" w:rsidRDefault="0090544E" w:rsidP="0090544E">
      <w:pPr>
        <w:numPr>
          <w:ilvl w:val="0"/>
          <w:numId w:val="6"/>
        </w:numPr>
        <w:jc w:val="both"/>
        <w:rPr>
          <w:rFonts w:ascii="Arial" w:hAnsi="Arial" w:cs="Arial"/>
          <w:lang w:eastAsia="en-GB"/>
        </w:rPr>
      </w:pPr>
      <w:r w:rsidRPr="00E654A2">
        <w:rPr>
          <w:rFonts w:ascii="Arial" w:hAnsi="Arial" w:cs="Arial"/>
          <w:sz w:val="24"/>
          <w:szCs w:val="24"/>
        </w:rPr>
        <w:t xml:space="preserve">Designing governance artefacts to capture </w:t>
      </w:r>
      <w:r w:rsidRPr="00E654A2">
        <w:rPr>
          <w:rFonts w:ascii="Arial" w:hAnsi="Arial" w:cs="Arial"/>
          <w:i/>
          <w:iCs/>
          <w:sz w:val="24"/>
          <w:szCs w:val="24"/>
        </w:rPr>
        <w:t>rationale</w:t>
      </w:r>
      <w:r w:rsidRPr="00E654A2">
        <w:rPr>
          <w:rFonts w:ascii="Arial" w:hAnsi="Arial" w:cs="Arial"/>
          <w:sz w:val="24"/>
          <w:szCs w:val="24"/>
        </w:rPr>
        <w:t xml:space="preserve"> (not only outcomes) should improve board assurance confidence and decision traceability in AI</w:t>
      </w:r>
      <w:r w:rsidRPr="00E654A2">
        <w:rPr>
          <w:rFonts w:ascii="Arial" w:hAnsi="Arial" w:cs="Arial"/>
          <w:sz w:val="24"/>
          <w:szCs w:val="24"/>
        </w:rPr>
        <w:noBreakHyphen/>
        <w:t xml:space="preserve">enhanced DMS use </w:t>
      </w:r>
      <w:proofErr w:type="spellStart"/>
      <w:r w:rsidR="007F3C1B">
        <w:rPr>
          <w:rFonts w:ascii="Arial" w:hAnsi="Arial" w:cs="Arial"/>
          <w:sz w:val="24"/>
          <w:szCs w:val="24"/>
        </w:rPr>
        <w:t>secnarios</w:t>
      </w:r>
      <w:proofErr w:type="spellEnd"/>
      <w:r w:rsidRPr="00E654A2">
        <w:rPr>
          <w:rFonts w:ascii="Arial" w:hAnsi="Arial" w:cs="Arial"/>
          <w:sz w:val="24"/>
          <w:szCs w:val="24"/>
        </w:rPr>
        <w:t>.</w:t>
      </w:r>
    </w:p>
    <w:p w14:paraId="7DE0601B" w14:textId="77777777" w:rsidR="0090544E" w:rsidRPr="00E654A2" w:rsidRDefault="0090544E" w:rsidP="0090544E">
      <w:pPr>
        <w:numPr>
          <w:ilvl w:val="0"/>
          <w:numId w:val="6"/>
        </w:numPr>
        <w:jc w:val="both"/>
        <w:rPr>
          <w:rFonts w:ascii="Arial" w:hAnsi="Arial" w:cs="Arial"/>
          <w:lang w:eastAsia="en-GB"/>
        </w:rPr>
      </w:pPr>
      <w:r w:rsidRPr="00E654A2">
        <w:rPr>
          <w:rFonts w:ascii="Arial" w:hAnsi="Arial" w:cs="Arial"/>
          <w:sz w:val="24"/>
          <w:szCs w:val="24"/>
        </w:rPr>
        <w:t>Clear decision rights (e.g., RACI) and practical escalation thresholds for AI outputs should reduce inappropriate automation reliance and avoid “unowned” risk.</w:t>
      </w:r>
    </w:p>
    <w:p w14:paraId="7F0E7CB8" w14:textId="77777777" w:rsidR="003C5832" w:rsidRPr="00E654A2" w:rsidRDefault="003C5832" w:rsidP="003C5832">
      <w:pPr>
        <w:numPr>
          <w:ilvl w:val="0"/>
          <w:numId w:val="6"/>
        </w:numPr>
        <w:jc w:val="both"/>
        <w:rPr>
          <w:rFonts w:ascii="Arial" w:hAnsi="Arial" w:cs="Arial"/>
          <w:sz w:val="24"/>
          <w:szCs w:val="24"/>
          <w:lang w:eastAsia="en-GB"/>
        </w:rPr>
      </w:pPr>
      <w:r w:rsidRPr="00E654A2">
        <w:rPr>
          <w:rFonts w:ascii="Arial" w:hAnsi="Arial" w:cs="Arial"/>
          <w:sz w:val="24"/>
          <w:szCs w:val="24"/>
        </w:rPr>
        <w:t>If transparency controls (for example confidence indicators, mandatory human review points, and documentation of model assumptions) are implemented proportionately by risk tier, then compliance and user trust can be strengthened without making governance processes unusably burdensome.</w:t>
      </w:r>
    </w:p>
    <w:p w14:paraId="7957376F" w14:textId="77777777" w:rsidR="00F515A2" w:rsidRPr="00E654A2" w:rsidRDefault="00F515A2">
      <w:pPr>
        <w:jc w:val="both"/>
        <w:rPr>
          <w:rFonts w:ascii="Arial" w:hAnsi="Arial" w:cs="Arial"/>
          <w:lang w:eastAsia="en-GB"/>
        </w:rPr>
      </w:pPr>
      <w:r w:rsidRPr="00E654A2">
        <w:rPr>
          <w:rFonts w:ascii="Arial" w:hAnsi="Arial" w:cs="Arial"/>
          <w:sz w:val="24"/>
          <w:szCs w:val="24"/>
        </w:rPr>
        <w:t>The learning objectives below set out what will be built and evidenced through the programme of work.</w:t>
      </w:r>
    </w:p>
    <w:p w14:paraId="6B9B43B0" w14:textId="77777777" w:rsidR="0095367D" w:rsidRPr="00E654A2" w:rsidRDefault="0095367D" w:rsidP="0095367D">
      <w:pPr>
        <w:numPr>
          <w:ilvl w:val="0"/>
          <w:numId w:val="3"/>
        </w:numPr>
        <w:jc w:val="both"/>
        <w:rPr>
          <w:rFonts w:ascii="Arial" w:hAnsi="Arial" w:cs="Arial"/>
          <w:lang w:eastAsia="en-GB"/>
        </w:rPr>
      </w:pPr>
      <w:r w:rsidRPr="00E654A2">
        <w:rPr>
          <w:rFonts w:ascii="Arial" w:hAnsi="Arial" w:cs="Arial"/>
          <w:sz w:val="24"/>
          <w:szCs w:val="24"/>
        </w:rPr>
        <w:t>Capability to evaluate AI</w:t>
      </w:r>
      <w:r w:rsidRPr="00E654A2">
        <w:rPr>
          <w:rFonts w:ascii="Arial" w:hAnsi="Arial" w:cs="Arial"/>
          <w:sz w:val="24"/>
          <w:szCs w:val="24"/>
        </w:rPr>
        <w:noBreakHyphen/>
        <w:t>enhanced DMS features and limitations through a corporate governance lens (including the assurance implications).</w:t>
      </w:r>
    </w:p>
    <w:p w14:paraId="4520B052" w14:textId="1E0629D8" w:rsidR="0095367D" w:rsidRPr="00E654A2" w:rsidRDefault="0095367D" w:rsidP="0095367D">
      <w:pPr>
        <w:numPr>
          <w:ilvl w:val="0"/>
          <w:numId w:val="3"/>
        </w:numPr>
        <w:jc w:val="both"/>
        <w:rPr>
          <w:rFonts w:ascii="Arial" w:hAnsi="Arial" w:cs="Arial"/>
          <w:lang w:eastAsia="en-GB"/>
        </w:rPr>
      </w:pPr>
      <w:r w:rsidRPr="00E654A2">
        <w:rPr>
          <w:rFonts w:ascii="Arial" w:hAnsi="Arial" w:cs="Arial"/>
          <w:sz w:val="24"/>
          <w:szCs w:val="24"/>
        </w:rPr>
        <w:t xml:space="preserve">Proportionate judgement in digitally mediated decisions, especially where legal </w:t>
      </w:r>
      <w:r w:rsidR="006C6F11">
        <w:rPr>
          <w:rFonts w:ascii="Arial" w:hAnsi="Arial" w:cs="Arial"/>
          <w:sz w:val="24"/>
          <w:szCs w:val="24"/>
        </w:rPr>
        <w:t>obligations</w:t>
      </w:r>
      <w:r w:rsidRPr="00E654A2">
        <w:rPr>
          <w:rFonts w:ascii="Arial" w:hAnsi="Arial" w:cs="Arial"/>
          <w:sz w:val="24"/>
          <w:szCs w:val="24"/>
        </w:rPr>
        <w:t xml:space="preserve">, ethics and organisational risk appetite </w:t>
      </w:r>
      <w:r w:rsidR="00740C9B">
        <w:rPr>
          <w:rFonts w:ascii="Arial" w:hAnsi="Arial" w:cs="Arial"/>
          <w:sz w:val="24"/>
          <w:szCs w:val="24"/>
        </w:rPr>
        <w:t>may conflict</w:t>
      </w:r>
      <w:r w:rsidRPr="00E654A2">
        <w:rPr>
          <w:rFonts w:ascii="Arial" w:hAnsi="Arial" w:cs="Arial"/>
          <w:sz w:val="24"/>
          <w:szCs w:val="24"/>
        </w:rPr>
        <w:t>.</w:t>
      </w:r>
    </w:p>
    <w:p w14:paraId="29E9E77F" w14:textId="77777777" w:rsidR="0095367D" w:rsidRPr="00E654A2" w:rsidRDefault="0095367D" w:rsidP="0095367D">
      <w:pPr>
        <w:numPr>
          <w:ilvl w:val="0"/>
          <w:numId w:val="3"/>
        </w:numPr>
        <w:jc w:val="both"/>
        <w:rPr>
          <w:rFonts w:ascii="Arial" w:hAnsi="Arial" w:cs="Arial"/>
          <w:lang w:eastAsia="en-GB"/>
        </w:rPr>
      </w:pPr>
      <w:r w:rsidRPr="00E654A2">
        <w:rPr>
          <w:rFonts w:ascii="Arial" w:hAnsi="Arial" w:cs="Arial"/>
          <w:sz w:val="24"/>
          <w:szCs w:val="24"/>
        </w:rPr>
        <w:t>Methodological integrity: ethics, data management, analysis choices and reporting are documented so a reader can follow the evidence trail.</w:t>
      </w:r>
    </w:p>
    <w:p w14:paraId="34C848B4" w14:textId="77777777" w:rsidR="0095367D" w:rsidRPr="00E654A2" w:rsidRDefault="0095367D" w:rsidP="0095367D">
      <w:pPr>
        <w:numPr>
          <w:ilvl w:val="0"/>
          <w:numId w:val="3"/>
        </w:numPr>
        <w:jc w:val="both"/>
        <w:rPr>
          <w:rFonts w:ascii="Arial" w:hAnsi="Arial" w:cs="Arial"/>
          <w:lang w:eastAsia="en-GB"/>
        </w:rPr>
      </w:pPr>
      <w:r w:rsidRPr="00E654A2">
        <w:rPr>
          <w:rFonts w:ascii="Arial" w:hAnsi="Arial" w:cs="Arial"/>
          <w:sz w:val="24"/>
          <w:szCs w:val="24"/>
        </w:rPr>
        <w:lastRenderedPageBreak/>
        <w:t>Co-design and iteration of a governance framework/SOP that improves compliance, accountability and decision traceability in AI</w:t>
      </w:r>
      <w:r w:rsidRPr="00E654A2">
        <w:rPr>
          <w:rFonts w:ascii="Arial" w:hAnsi="Arial" w:cs="Arial"/>
          <w:sz w:val="24"/>
          <w:szCs w:val="24"/>
        </w:rPr>
        <w:noBreakHyphen/>
        <w:t>enabled workflows.</w:t>
      </w:r>
    </w:p>
    <w:p w14:paraId="21F4A42D" w14:textId="77777777" w:rsidR="0095367D" w:rsidRPr="00E654A2" w:rsidRDefault="0095367D" w:rsidP="0095367D">
      <w:pPr>
        <w:numPr>
          <w:ilvl w:val="0"/>
          <w:numId w:val="3"/>
        </w:numPr>
        <w:jc w:val="both"/>
        <w:rPr>
          <w:rFonts w:ascii="Arial" w:hAnsi="Arial" w:cs="Arial"/>
          <w:lang w:eastAsia="en-GB"/>
        </w:rPr>
      </w:pPr>
      <w:r w:rsidRPr="00E654A2">
        <w:rPr>
          <w:rFonts w:ascii="Arial" w:hAnsi="Arial" w:cs="Arial"/>
          <w:sz w:val="24"/>
          <w:szCs w:val="24"/>
        </w:rPr>
        <w:t>Leadership and adoption: communicating to governance forums, convening stakeholders and embedding improvements so the outputs survive beyond the pilot.</w:t>
      </w:r>
    </w:p>
    <w:p w14:paraId="2EED9C97" w14:textId="77777777" w:rsidR="003C5832" w:rsidRPr="00E654A2" w:rsidRDefault="003C5832" w:rsidP="003C5832">
      <w:pPr>
        <w:pStyle w:val="Heading3"/>
        <w:spacing w:before="360"/>
        <w:jc w:val="both"/>
        <w:rPr>
          <w:rFonts w:ascii="Arial" w:hAnsi="Arial" w:cs="Arial"/>
          <w:color w:val="auto"/>
          <w:sz w:val="24"/>
          <w:szCs w:val="24"/>
          <w:lang w:eastAsia="en-GB"/>
        </w:rPr>
      </w:pPr>
      <w:r w:rsidRPr="00E654A2">
        <w:rPr>
          <w:rFonts w:ascii="Arial" w:hAnsi="Arial" w:cs="Arial"/>
          <w:b/>
          <w:bCs/>
          <w:color w:val="auto"/>
          <w:sz w:val="24"/>
          <w:szCs w:val="24"/>
        </w:rPr>
        <w:t>Learning strategies and methods</w:t>
      </w:r>
    </w:p>
    <w:p w14:paraId="6C9D1F33" w14:textId="77777777" w:rsidR="003C5832" w:rsidRPr="00E654A2" w:rsidRDefault="003C5832" w:rsidP="003C5832">
      <w:pPr>
        <w:pStyle w:val="Heading4"/>
        <w:spacing w:before="160" w:after="80"/>
        <w:jc w:val="both"/>
        <w:rPr>
          <w:rFonts w:ascii="Arial" w:hAnsi="Arial" w:cs="Arial"/>
          <w:color w:val="auto"/>
          <w:sz w:val="24"/>
          <w:szCs w:val="24"/>
          <w:lang w:eastAsia="en-GB"/>
        </w:rPr>
      </w:pPr>
      <w:r w:rsidRPr="00E654A2">
        <w:rPr>
          <w:rFonts w:ascii="Arial" w:hAnsi="Arial" w:cs="Arial"/>
          <w:color w:val="auto"/>
          <w:sz w:val="24"/>
          <w:szCs w:val="24"/>
        </w:rPr>
        <w:t>Formal learning</w:t>
      </w:r>
    </w:p>
    <w:p w14:paraId="746B6BFF" w14:textId="23ADC1CC" w:rsidR="000A0BFA" w:rsidRPr="00E654A2" w:rsidRDefault="000A0BFA">
      <w:pPr>
        <w:jc w:val="both"/>
        <w:rPr>
          <w:rFonts w:ascii="Arial" w:hAnsi="Arial" w:cs="Arial"/>
          <w:lang w:eastAsia="en-GB"/>
        </w:rPr>
      </w:pPr>
      <w:r w:rsidRPr="00E654A2">
        <w:rPr>
          <w:rFonts w:ascii="Arial" w:hAnsi="Arial" w:cs="Arial"/>
          <w:sz w:val="24"/>
          <w:szCs w:val="24"/>
        </w:rPr>
        <w:t xml:space="preserve">Formal learning will support the work as it emerges. </w:t>
      </w:r>
      <w:r w:rsidR="000B7636">
        <w:rPr>
          <w:rFonts w:ascii="Arial" w:hAnsi="Arial" w:cs="Arial"/>
          <w:sz w:val="24"/>
          <w:szCs w:val="24"/>
        </w:rPr>
        <w:t>Research and t</w:t>
      </w:r>
      <w:r w:rsidRPr="00E654A2">
        <w:rPr>
          <w:rFonts w:ascii="Arial" w:hAnsi="Arial" w:cs="Arial"/>
          <w:sz w:val="24"/>
          <w:szCs w:val="24"/>
        </w:rPr>
        <w:t xml:space="preserve">argeted reading will be timed to immediate needs. This includes strengthening the literature base for the DMS governance problem, sharpening the methodological rationale for action research, and preparing ethics and data management documentation before </w:t>
      </w:r>
      <w:r w:rsidR="00024371">
        <w:rPr>
          <w:rFonts w:ascii="Arial" w:hAnsi="Arial" w:cs="Arial"/>
          <w:sz w:val="24"/>
          <w:szCs w:val="24"/>
        </w:rPr>
        <w:t xml:space="preserve">practical </w:t>
      </w:r>
      <w:r w:rsidRPr="00E654A2">
        <w:rPr>
          <w:rFonts w:ascii="Arial" w:hAnsi="Arial" w:cs="Arial"/>
          <w:sz w:val="24"/>
          <w:szCs w:val="24"/>
        </w:rPr>
        <w:t>work begins.</w:t>
      </w:r>
    </w:p>
    <w:p w14:paraId="6815FBB7" w14:textId="77777777" w:rsidR="003C5832" w:rsidRPr="00E654A2" w:rsidRDefault="003C5832" w:rsidP="003C5832">
      <w:pPr>
        <w:pStyle w:val="Heading4"/>
        <w:spacing w:before="160" w:after="80"/>
        <w:jc w:val="both"/>
        <w:rPr>
          <w:rFonts w:ascii="Arial" w:hAnsi="Arial" w:cs="Arial"/>
          <w:color w:val="auto"/>
          <w:sz w:val="24"/>
          <w:szCs w:val="24"/>
          <w:lang w:eastAsia="en-GB"/>
        </w:rPr>
      </w:pPr>
      <w:r w:rsidRPr="00E654A2">
        <w:rPr>
          <w:rFonts w:ascii="Arial" w:hAnsi="Arial" w:cs="Arial"/>
          <w:color w:val="auto"/>
          <w:sz w:val="24"/>
          <w:szCs w:val="24"/>
        </w:rPr>
        <w:t>Experiential learning through organisational initiatives</w:t>
      </w:r>
    </w:p>
    <w:p w14:paraId="29172980" w14:textId="148874EA" w:rsidR="000A0BFA" w:rsidRPr="00E654A2" w:rsidRDefault="000A0BFA">
      <w:pPr>
        <w:jc w:val="both"/>
        <w:rPr>
          <w:rFonts w:ascii="Arial" w:hAnsi="Arial" w:cs="Arial"/>
          <w:lang w:eastAsia="en-GB"/>
        </w:rPr>
      </w:pPr>
      <w:r w:rsidRPr="00E654A2">
        <w:rPr>
          <w:rFonts w:ascii="Arial" w:hAnsi="Arial" w:cs="Arial"/>
          <w:sz w:val="24"/>
          <w:szCs w:val="24"/>
        </w:rPr>
        <w:t>Experiential learning will come from the governance work itself. It will include co</w:t>
      </w:r>
      <w:r w:rsidRPr="00E654A2">
        <w:rPr>
          <w:rFonts w:ascii="Arial" w:hAnsi="Arial" w:cs="Arial"/>
          <w:sz w:val="24"/>
          <w:szCs w:val="24"/>
        </w:rPr>
        <w:noBreakHyphen/>
        <w:t>design sessions on decision rights, DPIA triggers and transparency requirements, testing decision</w:t>
      </w:r>
      <w:r w:rsidRPr="00E654A2">
        <w:rPr>
          <w:rFonts w:ascii="Arial" w:hAnsi="Arial" w:cs="Arial"/>
          <w:sz w:val="24"/>
          <w:szCs w:val="24"/>
        </w:rPr>
        <w:noBreakHyphen/>
        <w:t xml:space="preserve">log prompts in pilot workflows, and reviewing how assurance questions are answered when stakeholders ask for evidence. Work products such as process maps, control drafts, assurance packs and feedback notes will be treated as </w:t>
      </w:r>
      <w:r w:rsidR="00E8017E" w:rsidRPr="00E654A2">
        <w:rPr>
          <w:rFonts w:ascii="Arial" w:hAnsi="Arial" w:cs="Arial"/>
          <w:sz w:val="24"/>
          <w:szCs w:val="24"/>
        </w:rPr>
        <w:t>e</w:t>
      </w:r>
      <w:r w:rsidRPr="00E654A2">
        <w:rPr>
          <w:rFonts w:ascii="Arial" w:hAnsi="Arial" w:cs="Arial"/>
          <w:sz w:val="24"/>
          <w:szCs w:val="24"/>
        </w:rPr>
        <w:t>nquiry material and revised across cycles.</w:t>
      </w:r>
    </w:p>
    <w:p w14:paraId="29846800" w14:textId="4C96D9EC" w:rsidR="001D4063" w:rsidRPr="00E654A2" w:rsidRDefault="001D4063">
      <w:pPr>
        <w:jc w:val="both"/>
        <w:rPr>
          <w:rFonts w:ascii="Arial" w:hAnsi="Arial" w:cs="Arial"/>
          <w:lang w:eastAsia="en-GB"/>
        </w:rPr>
      </w:pPr>
      <w:r w:rsidRPr="00E654A2">
        <w:rPr>
          <w:rFonts w:ascii="Arial" w:hAnsi="Arial" w:cs="Arial"/>
          <w:sz w:val="24"/>
          <w:szCs w:val="24"/>
        </w:rPr>
        <w:t>To keep the doctorate rigorous, the learning evidence will be handled as research material. Core sources will include governance artefacts (policies, retention schedules, DPIAs, decision logs and assurance outputs), workshop outputs and reflective logs. Analysis will be iterative</w:t>
      </w:r>
      <w:r w:rsidR="00FF5E54">
        <w:rPr>
          <w:rFonts w:ascii="Arial" w:hAnsi="Arial" w:cs="Arial"/>
          <w:sz w:val="24"/>
          <w:szCs w:val="24"/>
        </w:rPr>
        <w:t xml:space="preserve"> with</w:t>
      </w:r>
      <w:r w:rsidRPr="00E654A2">
        <w:rPr>
          <w:rFonts w:ascii="Arial" w:hAnsi="Arial" w:cs="Arial"/>
          <w:sz w:val="24"/>
          <w:szCs w:val="24"/>
        </w:rPr>
        <w:t xml:space="preserve"> themes coded around accountability, traceability and ethical trade-offs, then checked across sources rather than treated as a single narrative. Where evidence is incomplete or contested, the plan is to record assumptions and residual uncertainty alongside the rationale for recommendations.</w:t>
      </w:r>
    </w:p>
    <w:p w14:paraId="10E5FD8F" w14:textId="77777777" w:rsidR="003C5832" w:rsidRPr="00E654A2" w:rsidRDefault="003C5832" w:rsidP="003C5832">
      <w:pPr>
        <w:pStyle w:val="Heading4"/>
        <w:spacing w:before="160" w:after="80"/>
        <w:jc w:val="both"/>
        <w:rPr>
          <w:rFonts w:ascii="Arial" w:hAnsi="Arial" w:cs="Arial"/>
          <w:color w:val="auto"/>
          <w:sz w:val="24"/>
          <w:szCs w:val="24"/>
          <w:lang w:eastAsia="en-GB"/>
        </w:rPr>
      </w:pPr>
      <w:r w:rsidRPr="00E654A2">
        <w:rPr>
          <w:rFonts w:ascii="Arial" w:hAnsi="Arial" w:cs="Arial"/>
          <w:color w:val="auto"/>
          <w:sz w:val="24"/>
          <w:szCs w:val="24"/>
        </w:rPr>
        <w:t>Structured reflective practice</w:t>
      </w:r>
    </w:p>
    <w:p w14:paraId="7320B20F" w14:textId="3F40B071" w:rsidR="001F7E60" w:rsidRPr="00E654A2" w:rsidRDefault="001F7E60">
      <w:pPr>
        <w:jc w:val="both"/>
        <w:rPr>
          <w:rFonts w:ascii="Arial" w:hAnsi="Arial" w:cs="Arial"/>
          <w:lang w:eastAsia="en-GB"/>
        </w:rPr>
      </w:pPr>
      <w:r w:rsidRPr="00E654A2">
        <w:rPr>
          <w:rFonts w:ascii="Arial" w:hAnsi="Arial" w:cs="Arial"/>
          <w:sz w:val="24"/>
          <w:szCs w:val="24"/>
        </w:rPr>
        <w:t xml:space="preserve">Reflective practice is used to develop tacit judgement and to make learning visible (Schön, 1983; Gibbs, 1988). </w:t>
      </w:r>
      <w:r w:rsidR="00C133C6" w:rsidRPr="00E654A2">
        <w:rPr>
          <w:rFonts w:ascii="Arial" w:hAnsi="Arial" w:cs="Arial"/>
          <w:sz w:val="24"/>
          <w:szCs w:val="24"/>
        </w:rPr>
        <w:t>The author</w:t>
      </w:r>
      <w:r w:rsidRPr="00E654A2">
        <w:rPr>
          <w:rFonts w:ascii="Arial" w:hAnsi="Arial" w:cs="Arial"/>
          <w:sz w:val="24"/>
          <w:szCs w:val="24"/>
        </w:rPr>
        <w:t xml:space="preserve"> uses a reflective journal, structured debriefs and critical incident analysis to interrogate assumptions, document decision rationales, and evidence learning across action-research cycles. Schön characterises this stance as the practitioner becoming “a researcher in the practice context” (Schön, 1983, p.68). Reflection also serves as an ethical safeguard. It helps the practitioner identify positionality, influence and unintended consequences.</w:t>
      </w:r>
    </w:p>
    <w:p w14:paraId="5B724182" w14:textId="77777777" w:rsidR="003C5832" w:rsidRPr="00E654A2" w:rsidRDefault="003C5832" w:rsidP="003C5832">
      <w:pPr>
        <w:pStyle w:val="Heading3"/>
        <w:spacing w:before="360"/>
        <w:jc w:val="both"/>
        <w:rPr>
          <w:rFonts w:ascii="Arial" w:hAnsi="Arial" w:cs="Arial"/>
          <w:color w:val="auto"/>
          <w:sz w:val="24"/>
          <w:szCs w:val="24"/>
          <w:lang w:eastAsia="en-GB"/>
        </w:rPr>
      </w:pPr>
      <w:r w:rsidRPr="00E654A2">
        <w:rPr>
          <w:rFonts w:ascii="Arial" w:hAnsi="Arial" w:cs="Arial"/>
          <w:b/>
          <w:bCs/>
          <w:color w:val="auto"/>
          <w:sz w:val="24"/>
          <w:szCs w:val="24"/>
        </w:rPr>
        <w:lastRenderedPageBreak/>
        <w:t>Ethical governance, legal, and professional considerations</w:t>
      </w:r>
    </w:p>
    <w:p w14:paraId="3FC33F2D" w14:textId="57683803" w:rsidR="001F7E60" w:rsidRPr="00E654A2" w:rsidRDefault="001F7E60">
      <w:pPr>
        <w:jc w:val="both"/>
        <w:rPr>
          <w:rFonts w:ascii="Arial" w:hAnsi="Arial" w:cs="Arial"/>
          <w:lang w:eastAsia="en-GB"/>
        </w:rPr>
      </w:pPr>
      <w:r w:rsidRPr="00E654A2">
        <w:rPr>
          <w:rFonts w:ascii="Arial" w:hAnsi="Arial" w:cs="Arial"/>
          <w:sz w:val="24"/>
          <w:szCs w:val="24"/>
        </w:rPr>
        <w:t>In this Plan, ethical governance is treated as control work for AI</w:t>
      </w:r>
      <w:r w:rsidRPr="00E654A2">
        <w:rPr>
          <w:rFonts w:ascii="Arial" w:hAnsi="Arial" w:cs="Arial"/>
          <w:sz w:val="24"/>
          <w:szCs w:val="24"/>
        </w:rPr>
        <w:noBreakHyphen/>
        <w:t xml:space="preserve">enhanced information management (OECD, 2019; Tabassi, 2023; ISO/IEC, 2023a; ISO/IEC, 2023b). The intent is to translate principles such as fairness, accountability, transparency, privacy, security and human oversight into decision rights, documented rationale, and evidence of review. The OECD frames trustworthy AI through values-based principles including “human-centred values and fairness”, “transparency and explainability”, “robustness, security and safety”, and “accountability” (OECD, 2019, p.8). Controls are grouped around what needs to be demonstrable: </w:t>
      </w:r>
      <w:r w:rsidRPr="00E654A2">
        <w:rPr>
          <w:rFonts w:ascii="Arial" w:hAnsi="Arial" w:cs="Arial"/>
          <w:i/>
          <w:iCs/>
          <w:sz w:val="24"/>
          <w:szCs w:val="24"/>
        </w:rPr>
        <w:t>who owns the risk</w:t>
      </w:r>
      <w:r w:rsidRPr="00E654A2">
        <w:rPr>
          <w:rFonts w:ascii="Arial" w:hAnsi="Arial" w:cs="Arial"/>
          <w:sz w:val="24"/>
          <w:szCs w:val="24"/>
        </w:rPr>
        <w:t xml:space="preserve"> (RACI, escalation thresholds, residual-risk ownership) (ICO, 2023); </w:t>
      </w:r>
      <w:r w:rsidRPr="00E654A2">
        <w:rPr>
          <w:rFonts w:ascii="Arial" w:hAnsi="Arial" w:cs="Arial"/>
          <w:i/>
          <w:iCs/>
          <w:sz w:val="24"/>
          <w:szCs w:val="24"/>
        </w:rPr>
        <w:t>what was decided and why</w:t>
      </w:r>
      <w:r w:rsidRPr="00E654A2">
        <w:rPr>
          <w:rFonts w:ascii="Arial" w:hAnsi="Arial" w:cs="Arial"/>
          <w:sz w:val="24"/>
          <w:szCs w:val="24"/>
        </w:rPr>
        <w:t xml:space="preserve"> (decision logs, rationale capture, minimum transparency by risk tier) (ISO, 2016); and </w:t>
      </w:r>
      <w:r w:rsidRPr="00E654A2">
        <w:rPr>
          <w:rFonts w:ascii="Arial" w:hAnsi="Arial" w:cs="Arial"/>
          <w:i/>
          <w:iCs/>
          <w:sz w:val="24"/>
          <w:szCs w:val="24"/>
        </w:rPr>
        <w:t>how rights and lawful processing are protected</w:t>
      </w:r>
      <w:r w:rsidRPr="00E654A2">
        <w:rPr>
          <w:rFonts w:ascii="Arial" w:hAnsi="Arial" w:cs="Arial"/>
          <w:sz w:val="24"/>
          <w:szCs w:val="24"/>
        </w:rPr>
        <w:t xml:space="preserve"> (DPIAs, data minimisation, retention and training-data governance) (European Parliament and Council, 2016; Data Protection Act 2018; ICO, 2026). The ICO’s DPIA guidance is explicit: “You must do a DPIA for processing that is likely to result in a high risk to individuals” (ICO, 2026, p.1). More broadly, the accountability principle requires demonstrability: “The controller shall be responsible for, and be able to demonstrate compliance with, paragraph 1 (‘accountability’)” (ICO, no date, para.1). Supporting controls then address fairness and error handling, security and resilience, and continuous improvement through cycle-by-cycle review (DSIT, 2025; ISO/IEC, 2023b).</w:t>
      </w:r>
    </w:p>
    <w:p w14:paraId="6B3D63E5" w14:textId="77777777" w:rsidR="003C5832" w:rsidRPr="00E654A2" w:rsidRDefault="003C5832" w:rsidP="003C5832">
      <w:pPr>
        <w:pStyle w:val="Heading3"/>
        <w:spacing w:before="360"/>
        <w:jc w:val="both"/>
        <w:rPr>
          <w:rFonts w:ascii="Arial" w:hAnsi="Arial" w:cs="Arial"/>
          <w:color w:val="auto"/>
          <w:sz w:val="24"/>
          <w:szCs w:val="24"/>
          <w:lang w:eastAsia="en-GB"/>
        </w:rPr>
      </w:pPr>
      <w:r w:rsidRPr="00E654A2">
        <w:rPr>
          <w:rFonts w:ascii="Arial" w:hAnsi="Arial" w:cs="Arial"/>
          <w:b/>
          <w:bCs/>
          <w:color w:val="auto"/>
          <w:sz w:val="24"/>
          <w:szCs w:val="24"/>
        </w:rPr>
        <w:t>Evaluation and impact framework</w:t>
      </w:r>
    </w:p>
    <w:p w14:paraId="543E2837" w14:textId="410769EA" w:rsidR="00F0004E" w:rsidRPr="00E654A2" w:rsidRDefault="00F0004E">
      <w:pPr>
        <w:jc w:val="both"/>
        <w:rPr>
          <w:rFonts w:ascii="Arial" w:hAnsi="Arial" w:cs="Arial"/>
          <w:lang w:eastAsia="en-GB"/>
        </w:rPr>
      </w:pPr>
      <w:r w:rsidRPr="00E654A2">
        <w:rPr>
          <w:rFonts w:ascii="Arial" w:hAnsi="Arial" w:cs="Arial"/>
          <w:sz w:val="24"/>
          <w:szCs w:val="24"/>
        </w:rPr>
        <w:t xml:space="preserve">Evaluation is </w:t>
      </w:r>
      <w:r w:rsidR="000B62EA">
        <w:rPr>
          <w:rFonts w:ascii="Arial" w:hAnsi="Arial" w:cs="Arial"/>
          <w:sz w:val="24"/>
          <w:szCs w:val="24"/>
        </w:rPr>
        <w:t>focussed on</w:t>
      </w:r>
      <w:r w:rsidRPr="00E654A2">
        <w:rPr>
          <w:rFonts w:ascii="Arial" w:hAnsi="Arial" w:cs="Arial"/>
          <w:sz w:val="24"/>
          <w:szCs w:val="24"/>
        </w:rPr>
        <w:t xml:space="preserve"> governance impact rather than credential accumulation. The </w:t>
      </w:r>
      <w:r w:rsidR="00D6532E" w:rsidRPr="00E654A2">
        <w:rPr>
          <w:rFonts w:ascii="Arial" w:hAnsi="Arial" w:cs="Arial"/>
          <w:sz w:val="24"/>
          <w:szCs w:val="24"/>
        </w:rPr>
        <w:t>P</w:t>
      </w:r>
      <w:r w:rsidRPr="00E654A2">
        <w:rPr>
          <w:rFonts w:ascii="Arial" w:hAnsi="Arial" w:cs="Arial"/>
          <w:sz w:val="24"/>
          <w:szCs w:val="24"/>
        </w:rPr>
        <w:t>lan uses three levels of assessment, chosen to reflect what boards and assurance functions recognise as evidence of control effectiveness (Financial Reporting Council, 2024). This is consistent with the Code’s emphasis on board oversight of the risk management and internal control framework, including expectations of ongoing monitoring and periodic review of effectiveness (Financial Reporting Council, 2024, p.12).</w:t>
      </w:r>
    </w:p>
    <w:p w14:paraId="69048167" w14:textId="77777777" w:rsidR="00F0004E" w:rsidRPr="00E654A2" w:rsidRDefault="00F0004E" w:rsidP="00F0004E">
      <w:pPr>
        <w:numPr>
          <w:ilvl w:val="0"/>
          <w:numId w:val="4"/>
        </w:numPr>
        <w:jc w:val="both"/>
        <w:rPr>
          <w:rFonts w:ascii="Arial" w:hAnsi="Arial" w:cs="Arial"/>
          <w:lang w:eastAsia="en-GB"/>
        </w:rPr>
      </w:pPr>
      <w:r w:rsidRPr="00E654A2">
        <w:rPr>
          <w:rFonts w:ascii="Arial" w:hAnsi="Arial" w:cs="Arial"/>
          <w:b/>
          <w:bCs/>
          <w:sz w:val="24"/>
          <w:szCs w:val="24"/>
        </w:rPr>
        <w:t>Individual (professional capability):</w:t>
      </w:r>
      <w:r w:rsidRPr="00E654A2">
        <w:rPr>
          <w:rFonts w:ascii="Arial" w:hAnsi="Arial" w:cs="Arial"/>
          <w:sz w:val="24"/>
          <w:szCs w:val="24"/>
        </w:rPr>
        <w:t xml:space="preserve"> demonstrably stronger judgement, clearer ethical reasoning, and increased confidence advising on AI</w:t>
      </w:r>
      <w:r w:rsidRPr="00E654A2">
        <w:rPr>
          <w:rFonts w:ascii="Arial" w:hAnsi="Arial" w:cs="Arial"/>
          <w:sz w:val="24"/>
          <w:szCs w:val="24"/>
        </w:rPr>
        <w:noBreakHyphen/>
        <w:t>related governance, supported by improved methodological competence.</w:t>
      </w:r>
    </w:p>
    <w:p w14:paraId="37E10EAF" w14:textId="77777777" w:rsidR="00F0004E" w:rsidRPr="00E654A2" w:rsidRDefault="00F0004E" w:rsidP="00F0004E">
      <w:pPr>
        <w:numPr>
          <w:ilvl w:val="0"/>
          <w:numId w:val="4"/>
        </w:numPr>
        <w:jc w:val="both"/>
        <w:rPr>
          <w:rFonts w:ascii="Arial" w:hAnsi="Arial" w:cs="Arial"/>
          <w:lang w:eastAsia="en-GB"/>
        </w:rPr>
      </w:pPr>
      <w:r w:rsidRPr="00E654A2">
        <w:rPr>
          <w:rFonts w:ascii="Arial" w:hAnsi="Arial" w:cs="Arial"/>
          <w:b/>
          <w:bCs/>
          <w:sz w:val="24"/>
          <w:szCs w:val="24"/>
        </w:rPr>
        <w:t>Board, committees and strategic governance forums:</w:t>
      </w:r>
      <w:r w:rsidRPr="00E654A2">
        <w:rPr>
          <w:rFonts w:ascii="Arial" w:hAnsi="Arial" w:cs="Arial"/>
          <w:sz w:val="24"/>
          <w:szCs w:val="24"/>
        </w:rPr>
        <w:t xml:space="preserve"> better-quality management information, clearer decision rights and escalation thresholds, and more consistent traceability of rationale, challenge and follow</w:t>
      </w:r>
      <w:r w:rsidRPr="00E654A2">
        <w:rPr>
          <w:rFonts w:ascii="Arial" w:hAnsi="Arial" w:cs="Arial"/>
          <w:sz w:val="24"/>
          <w:szCs w:val="24"/>
        </w:rPr>
        <w:noBreakHyphen/>
        <w:t>up.</w:t>
      </w:r>
    </w:p>
    <w:p w14:paraId="5D1CA24D" w14:textId="7FAA34D1" w:rsidR="00F0004E" w:rsidRPr="00E654A2" w:rsidRDefault="00F0004E" w:rsidP="00F0004E">
      <w:pPr>
        <w:numPr>
          <w:ilvl w:val="0"/>
          <w:numId w:val="4"/>
        </w:numPr>
        <w:jc w:val="both"/>
        <w:rPr>
          <w:rFonts w:ascii="Arial" w:hAnsi="Arial" w:cs="Arial"/>
          <w:lang w:eastAsia="en-GB"/>
        </w:rPr>
      </w:pPr>
      <w:r w:rsidRPr="00E654A2">
        <w:rPr>
          <w:rFonts w:ascii="Arial" w:hAnsi="Arial" w:cs="Arial"/>
          <w:b/>
          <w:bCs/>
          <w:sz w:val="24"/>
          <w:szCs w:val="24"/>
        </w:rPr>
        <w:t>Organisation (system and process outcomes):</w:t>
      </w:r>
      <w:r w:rsidRPr="00E654A2">
        <w:rPr>
          <w:rFonts w:ascii="Arial" w:hAnsi="Arial" w:cs="Arial"/>
          <w:sz w:val="24"/>
          <w:szCs w:val="24"/>
        </w:rPr>
        <w:t xml:space="preserve"> adoption of the governance framework</w:t>
      </w:r>
      <w:r w:rsidR="00606AB7" w:rsidRPr="00E654A2">
        <w:rPr>
          <w:rFonts w:ascii="Arial" w:hAnsi="Arial" w:cs="Arial"/>
          <w:sz w:val="24"/>
          <w:szCs w:val="24"/>
        </w:rPr>
        <w:t>/</w:t>
      </w:r>
      <w:r w:rsidRPr="00E654A2">
        <w:rPr>
          <w:rFonts w:ascii="Arial" w:hAnsi="Arial" w:cs="Arial"/>
          <w:sz w:val="24"/>
          <w:szCs w:val="24"/>
        </w:rPr>
        <w:t>SOP, reduced variation in practice, stronger audit readiness, and more resilient compliance under scrutiny.</w:t>
      </w:r>
    </w:p>
    <w:p w14:paraId="32139FD5" w14:textId="418D2473" w:rsidR="001F7E60" w:rsidRPr="00E654A2" w:rsidRDefault="001F7E60">
      <w:pPr>
        <w:jc w:val="both"/>
        <w:rPr>
          <w:rFonts w:ascii="Arial" w:hAnsi="Arial" w:cs="Arial"/>
          <w:lang w:eastAsia="en-GB"/>
        </w:rPr>
      </w:pPr>
      <w:r w:rsidRPr="00E654A2">
        <w:rPr>
          <w:rFonts w:ascii="Arial" w:hAnsi="Arial" w:cs="Arial"/>
          <w:sz w:val="24"/>
          <w:szCs w:val="24"/>
        </w:rPr>
        <w:lastRenderedPageBreak/>
        <w:t xml:space="preserve">Evaluation evidence will come from a small set of repeatable sources. These include reflective journals and critical incident notes, stakeholder feedback at agreed review points, audit or assurance outcomes where available, and “before/after” comparisons of governance processes and artefacts. Evidence will be collected iteratively so the </w:t>
      </w:r>
      <w:r w:rsidR="00D71BE8">
        <w:rPr>
          <w:rFonts w:ascii="Arial" w:hAnsi="Arial" w:cs="Arial"/>
          <w:sz w:val="24"/>
          <w:szCs w:val="24"/>
        </w:rPr>
        <w:t>P</w:t>
      </w:r>
      <w:r w:rsidRPr="00E654A2">
        <w:rPr>
          <w:rFonts w:ascii="Arial" w:hAnsi="Arial" w:cs="Arial"/>
          <w:sz w:val="24"/>
          <w:szCs w:val="24"/>
        </w:rPr>
        <w:t>lan and the research design can be refined. Assumptions and trade-offs will be recorded explicitly when data are partial.</w:t>
      </w:r>
    </w:p>
    <w:p w14:paraId="2B0BB538" w14:textId="77777777" w:rsidR="00F0004E" w:rsidRPr="00E654A2" w:rsidRDefault="00F0004E">
      <w:pPr>
        <w:jc w:val="both"/>
        <w:rPr>
          <w:rFonts w:ascii="Arial" w:hAnsi="Arial" w:cs="Arial"/>
          <w:lang w:eastAsia="en-GB"/>
        </w:rPr>
      </w:pPr>
      <w:r w:rsidRPr="00E654A2">
        <w:rPr>
          <w:rFonts w:ascii="Arial" w:hAnsi="Arial" w:cs="Arial"/>
          <w:sz w:val="24"/>
          <w:szCs w:val="24"/>
        </w:rPr>
        <w:t>Impact will be shown through both artefacts and control signals. Indicative measures include uptake and completeness of decision logs/rationale templates; fewer exceptions caused by unclear ownership or approvals; faster retrieval of evidence for audit/assurance; DPIA completion and adherence to review triggers for AI</w:t>
      </w:r>
      <w:r w:rsidRPr="00E654A2">
        <w:rPr>
          <w:rFonts w:ascii="Arial" w:hAnsi="Arial" w:cs="Arial"/>
          <w:sz w:val="24"/>
          <w:szCs w:val="24"/>
        </w:rPr>
        <w:noBreakHyphen/>
        <w:t>DMS use cases; and stakeholder confidence ratings captured at scheduled reviews. These indicators will be interpreted alongside qualitative evidence and context, rather than treated as standalone targets.</w:t>
      </w:r>
    </w:p>
    <w:p w14:paraId="5C666ED6" w14:textId="3AEBEE34" w:rsidR="00F0004E" w:rsidRPr="00E654A2" w:rsidRDefault="00F0004E" w:rsidP="00F0004E">
      <w:pPr>
        <w:numPr>
          <w:ilvl w:val="0"/>
          <w:numId w:val="7"/>
        </w:numPr>
        <w:jc w:val="both"/>
        <w:rPr>
          <w:rFonts w:ascii="Arial" w:hAnsi="Arial" w:cs="Arial"/>
          <w:lang w:eastAsia="en-GB"/>
        </w:rPr>
      </w:pPr>
      <w:r w:rsidRPr="00E654A2">
        <w:rPr>
          <w:rFonts w:ascii="Arial" w:hAnsi="Arial" w:cs="Arial"/>
          <w:sz w:val="24"/>
          <w:szCs w:val="24"/>
        </w:rPr>
        <w:t>Governance framework/SOP with a control library, decision rights (RACI) and escalation routes for AI</w:t>
      </w:r>
      <w:r w:rsidRPr="00E654A2">
        <w:rPr>
          <w:rFonts w:ascii="Arial" w:hAnsi="Arial" w:cs="Arial"/>
          <w:sz w:val="24"/>
          <w:szCs w:val="24"/>
        </w:rPr>
        <w:noBreakHyphen/>
        <w:t>assisted outputs.</w:t>
      </w:r>
    </w:p>
    <w:p w14:paraId="4492421F" w14:textId="77777777" w:rsidR="00F0004E" w:rsidRPr="00E654A2" w:rsidRDefault="00F0004E" w:rsidP="00F0004E">
      <w:pPr>
        <w:numPr>
          <w:ilvl w:val="0"/>
          <w:numId w:val="7"/>
        </w:numPr>
        <w:jc w:val="both"/>
        <w:rPr>
          <w:rFonts w:ascii="Arial" w:hAnsi="Arial" w:cs="Arial"/>
          <w:lang w:eastAsia="en-GB"/>
        </w:rPr>
      </w:pPr>
      <w:r w:rsidRPr="00E654A2">
        <w:rPr>
          <w:rFonts w:ascii="Arial" w:hAnsi="Arial" w:cs="Arial"/>
          <w:sz w:val="24"/>
          <w:szCs w:val="24"/>
        </w:rPr>
        <w:t>Decision-traceability artefacts (rationale template and decision log) with evidence of consistent use in pilot workflows.</w:t>
      </w:r>
    </w:p>
    <w:p w14:paraId="5906A40F" w14:textId="77777777" w:rsidR="00F0004E" w:rsidRPr="00E654A2" w:rsidRDefault="00F0004E" w:rsidP="00F0004E">
      <w:pPr>
        <w:numPr>
          <w:ilvl w:val="0"/>
          <w:numId w:val="7"/>
        </w:numPr>
        <w:jc w:val="both"/>
        <w:rPr>
          <w:rFonts w:ascii="Arial" w:hAnsi="Arial" w:cs="Arial"/>
          <w:lang w:eastAsia="en-GB"/>
        </w:rPr>
      </w:pPr>
      <w:r w:rsidRPr="00E654A2">
        <w:rPr>
          <w:rFonts w:ascii="Arial" w:hAnsi="Arial" w:cs="Arial"/>
          <w:sz w:val="24"/>
          <w:szCs w:val="24"/>
        </w:rPr>
        <w:t>DPIA/impact assessment template for AI</w:t>
      </w:r>
      <w:r w:rsidRPr="00E654A2">
        <w:rPr>
          <w:rFonts w:ascii="Arial" w:hAnsi="Arial" w:cs="Arial"/>
          <w:sz w:val="24"/>
          <w:szCs w:val="24"/>
        </w:rPr>
        <w:noBreakHyphen/>
        <w:t>enhanced document use cases, including mitigations and review triggers.</w:t>
      </w:r>
    </w:p>
    <w:p w14:paraId="7F8058A5" w14:textId="77777777" w:rsidR="00F0004E" w:rsidRPr="00E654A2" w:rsidRDefault="00F0004E" w:rsidP="00F0004E">
      <w:pPr>
        <w:numPr>
          <w:ilvl w:val="0"/>
          <w:numId w:val="7"/>
        </w:numPr>
        <w:jc w:val="both"/>
        <w:rPr>
          <w:rFonts w:ascii="Arial" w:hAnsi="Arial" w:cs="Arial"/>
          <w:lang w:eastAsia="en-GB"/>
        </w:rPr>
      </w:pPr>
      <w:r w:rsidRPr="00E654A2">
        <w:rPr>
          <w:rFonts w:ascii="Arial" w:hAnsi="Arial" w:cs="Arial"/>
          <w:sz w:val="24"/>
          <w:szCs w:val="24"/>
        </w:rPr>
        <w:t>Assurance pack (control testing approach, residual risk statement and board-facing reporting) aligned to governance forums.</w:t>
      </w:r>
    </w:p>
    <w:p w14:paraId="14DEC368" w14:textId="77777777" w:rsidR="00F0004E" w:rsidRPr="00E654A2" w:rsidRDefault="00F0004E" w:rsidP="00F0004E">
      <w:pPr>
        <w:numPr>
          <w:ilvl w:val="0"/>
          <w:numId w:val="7"/>
        </w:numPr>
        <w:jc w:val="both"/>
        <w:rPr>
          <w:rFonts w:ascii="Arial" w:hAnsi="Arial" w:cs="Arial"/>
          <w:lang w:eastAsia="en-GB"/>
        </w:rPr>
      </w:pPr>
      <w:r w:rsidRPr="00E654A2">
        <w:rPr>
          <w:rFonts w:ascii="Arial" w:hAnsi="Arial" w:cs="Arial"/>
          <w:sz w:val="24"/>
          <w:szCs w:val="24"/>
        </w:rPr>
        <w:t>Indicative metrics (exceptions, audit findings, artefact quality and stakeholder confidence) captured at review points to evidence control effectiveness.</w:t>
      </w:r>
    </w:p>
    <w:p w14:paraId="0FDAD0C5" w14:textId="77777777" w:rsidR="003C5832" w:rsidRPr="00E654A2" w:rsidRDefault="003C5832" w:rsidP="003C5832">
      <w:pPr>
        <w:pStyle w:val="Heading3"/>
        <w:spacing w:before="360"/>
        <w:jc w:val="both"/>
        <w:rPr>
          <w:rFonts w:ascii="Arial" w:hAnsi="Arial" w:cs="Arial"/>
          <w:color w:val="auto"/>
          <w:sz w:val="24"/>
          <w:szCs w:val="24"/>
          <w:lang w:eastAsia="en-GB"/>
        </w:rPr>
      </w:pPr>
      <w:r w:rsidRPr="00E654A2">
        <w:rPr>
          <w:rFonts w:ascii="Arial" w:hAnsi="Arial" w:cs="Arial"/>
          <w:b/>
          <w:bCs/>
          <w:color w:val="auto"/>
          <w:sz w:val="24"/>
          <w:szCs w:val="24"/>
        </w:rPr>
        <w:t>Contribution to doctoral research trajectory</w:t>
      </w:r>
    </w:p>
    <w:p w14:paraId="5A169001" w14:textId="7AA0B6FE" w:rsidR="00527695" w:rsidRPr="00E654A2" w:rsidRDefault="00527695">
      <w:pPr>
        <w:jc w:val="both"/>
        <w:rPr>
          <w:rFonts w:ascii="Arial" w:hAnsi="Arial" w:cs="Arial"/>
          <w:lang w:eastAsia="en-GB"/>
        </w:rPr>
      </w:pPr>
      <w:r w:rsidRPr="00E654A2">
        <w:rPr>
          <w:rFonts w:ascii="Arial" w:hAnsi="Arial" w:cs="Arial"/>
          <w:sz w:val="24"/>
          <w:szCs w:val="24"/>
        </w:rPr>
        <w:t>This Plan embeds learning within practice and positions the practitioner as a co</w:t>
      </w:r>
      <w:r w:rsidRPr="00E654A2">
        <w:rPr>
          <w:rFonts w:ascii="Arial" w:hAnsi="Arial" w:cs="Arial"/>
          <w:sz w:val="24"/>
          <w:szCs w:val="24"/>
        </w:rPr>
        <w:noBreakHyphen/>
        <w:t xml:space="preserve">producer of knowledge. It links the learning design to the Part 2 model of tacit judgement and to the applied doctoral </w:t>
      </w:r>
      <w:r w:rsidR="00E8017E" w:rsidRPr="00E654A2">
        <w:rPr>
          <w:rFonts w:ascii="Arial" w:hAnsi="Arial" w:cs="Arial"/>
          <w:sz w:val="24"/>
          <w:szCs w:val="24"/>
        </w:rPr>
        <w:t>e</w:t>
      </w:r>
      <w:r w:rsidRPr="00E654A2">
        <w:rPr>
          <w:rFonts w:ascii="Arial" w:hAnsi="Arial" w:cs="Arial"/>
          <w:sz w:val="24"/>
          <w:szCs w:val="24"/>
        </w:rPr>
        <w:t>nquiry into AI</w:t>
      </w:r>
      <w:r w:rsidRPr="00E654A2">
        <w:rPr>
          <w:rFonts w:ascii="Arial" w:hAnsi="Arial" w:cs="Arial"/>
          <w:sz w:val="24"/>
          <w:szCs w:val="24"/>
        </w:rPr>
        <w:noBreakHyphen/>
        <w:t>enhanced DMS governance. The main contribution is expected to be a practice</w:t>
      </w:r>
      <w:r w:rsidRPr="00E654A2">
        <w:rPr>
          <w:rFonts w:ascii="Arial" w:hAnsi="Arial" w:cs="Arial"/>
          <w:sz w:val="24"/>
          <w:szCs w:val="24"/>
        </w:rPr>
        <w:noBreakHyphen/>
        <w:t>validated governance framework for AI</w:t>
      </w:r>
      <w:r w:rsidRPr="00E654A2">
        <w:rPr>
          <w:rFonts w:ascii="Arial" w:hAnsi="Arial" w:cs="Arial"/>
          <w:sz w:val="24"/>
          <w:szCs w:val="24"/>
        </w:rPr>
        <w:noBreakHyphen/>
        <w:t>enhanced document management that strengthens compliance, accountability and decision traceability. The doctoral portfolio will also provide a critical account of how such a framework is co</w:t>
      </w:r>
      <w:r w:rsidRPr="00E654A2">
        <w:rPr>
          <w:rFonts w:ascii="Arial" w:hAnsi="Arial" w:cs="Arial"/>
          <w:sz w:val="24"/>
          <w:szCs w:val="24"/>
        </w:rPr>
        <w:noBreakHyphen/>
        <w:t>developed and sustained in organisational settings.</w:t>
      </w:r>
    </w:p>
    <w:p w14:paraId="46F46844" w14:textId="429E904C" w:rsidR="001D4063" w:rsidRPr="00E654A2" w:rsidRDefault="001D4063">
      <w:pPr>
        <w:jc w:val="both"/>
        <w:rPr>
          <w:rFonts w:ascii="Arial" w:hAnsi="Arial" w:cs="Arial"/>
          <w:lang w:eastAsia="en-GB"/>
        </w:rPr>
      </w:pPr>
      <w:r w:rsidRPr="00E654A2">
        <w:rPr>
          <w:rFonts w:ascii="Arial" w:hAnsi="Arial" w:cs="Arial"/>
          <w:sz w:val="24"/>
          <w:szCs w:val="24"/>
        </w:rPr>
        <w:t xml:space="preserve">Communication will be tailored to audience. Board and senior governance updates will stay at the level of risk appetite, control effectiveness and what decisions are needed. </w:t>
      </w:r>
      <w:r w:rsidRPr="00E654A2">
        <w:rPr>
          <w:rFonts w:ascii="Arial" w:hAnsi="Arial" w:cs="Arial"/>
          <w:sz w:val="24"/>
          <w:szCs w:val="24"/>
        </w:rPr>
        <w:lastRenderedPageBreak/>
        <w:t>Specialist stakeholders (data protection, information security, IT and records management) will work with the detailed artefacts</w:t>
      </w:r>
      <w:r w:rsidR="002D5D6C" w:rsidRPr="00E654A2">
        <w:rPr>
          <w:rFonts w:ascii="Arial" w:hAnsi="Arial" w:cs="Arial"/>
          <w:sz w:val="24"/>
          <w:szCs w:val="24"/>
        </w:rPr>
        <w:t xml:space="preserve"> and </w:t>
      </w:r>
      <w:r w:rsidRPr="00E654A2">
        <w:rPr>
          <w:rFonts w:ascii="Arial" w:hAnsi="Arial" w:cs="Arial"/>
          <w:sz w:val="24"/>
          <w:szCs w:val="24"/>
        </w:rPr>
        <w:t>specifications, test outcomes and implementation guidance. Wider user communications will translate requirements into workable behaviours and training. Dissemination will therefore include both doctoral outputs (critical analysis and a methodological account) and practice outputs (briefing notes, templates and lessons learned) to support transferability beyond the immediate case.</w:t>
      </w:r>
    </w:p>
    <w:p w14:paraId="0CE1D945" w14:textId="77777777" w:rsidR="003C5832" w:rsidRPr="00E654A2" w:rsidRDefault="003C5832" w:rsidP="003C5832">
      <w:pPr>
        <w:pStyle w:val="Heading3"/>
        <w:spacing w:before="360"/>
        <w:jc w:val="both"/>
        <w:rPr>
          <w:rFonts w:ascii="Arial" w:hAnsi="Arial" w:cs="Arial"/>
          <w:color w:val="auto"/>
          <w:sz w:val="24"/>
          <w:szCs w:val="24"/>
          <w:lang w:eastAsia="en-GB"/>
        </w:rPr>
      </w:pPr>
      <w:r w:rsidRPr="00E654A2">
        <w:rPr>
          <w:rFonts w:ascii="Arial" w:hAnsi="Arial" w:cs="Arial"/>
          <w:b/>
          <w:bCs/>
          <w:color w:val="auto"/>
          <w:sz w:val="24"/>
          <w:szCs w:val="24"/>
        </w:rPr>
        <w:t>Implementation and review cadence</w:t>
      </w:r>
    </w:p>
    <w:p w14:paraId="03E06B2E" w14:textId="77777777" w:rsidR="00470240" w:rsidRPr="00E654A2" w:rsidRDefault="00470240">
      <w:pPr>
        <w:jc w:val="both"/>
        <w:rPr>
          <w:rFonts w:ascii="Arial" w:hAnsi="Arial" w:cs="Arial"/>
          <w:sz w:val="24"/>
          <w:szCs w:val="24"/>
        </w:rPr>
      </w:pPr>
      <w:r w:rsidRPr="00E654A2">
        <w:rPr>
          <w:rFonts w:ascii="Arial" w:hAnsi="Arial" w:cs="Arial"/>
          <w:sz w:val="24"/>
          <w:szCs w:val="24"/>
        </w:rPr>
        <w:t>Reviews will run quarterly, timed to doctoral milestones and governance reporting cycles. Each cycle will record what changed in the key artefacts (for example, decision log prompts, DPIA triggers and the assurance pack), why the change was made, and what evidence supports it (stakeholder feedback, incident learning, and any audit/assurance findings). The goal is a clear audit trail of learning decisions and governance trade-offs, so progress is judged on evidenced impact rather than activity completion.</w:t>
      </w:r>
    </w:p>
    <w:p w14:paraId="426DB71B" w14:textId="77777777" w:rsidR="009B547A" w:rsidRDefault="009B547A">
      <w:pPr>
        <w:jc w:val="both"/>
        <w:rPr>
          <w:rFonts w:ascii="Arial" w:hAnsi="Arial" w:cs="Arial"/>
          <w:lang w:eastAsia="en-GB"/>
        </w:rPr>
      </w:pPr>
    </w:p>
    <w:p w14:paraId="4A4D2DC6" w14:textId="77777777" w:rsidR="006938CD" w:rsidRDefault="006938CD">
      <w:pPr>
        <w:jc w:val="both"/>
        <w:rPr>
          <w:rFonts w:ascii="Arial" w:hAnsi="Arial" w:cs="Arial"/>
          <w:lang w:eastAsia="en-GB"/>
        </w:rPr>
      </w:pPr>
    </w:p>
    <w:p w14:paraId="2F3445D5" w14:textId="77777777" w:rsidR="006938CD" w:rsidRPr="00E654A2" w:rsidRDefault="006938CD">
      <w:pPr>
        <w:jc w:val="both"/>
        <w:rPr>
          <w:rFonts w:ascii="Arial" w:hAnsi="Arial" w:cs="Arial"/>
          <w:lang w:eastAsia="en-GB"/>
        </w:rPr>
      </w:pPr>
    </w:p>
    <w:p w14:paraId="703B499F" w14:textId="3934B652" w:rsidR="00C133C6" w:rsidRPr="00E654A2" w:rsidRDefault="003C5832" w:rsidP="003C5832">
      <w:pPr>
        <w:jc w:val="both"/>
        <w:rPr>
          <w:rFonts w:ascii="Arial" w:hAnsi="Arial" w:cs="Arial"/>
          <w:b/>
          <w:bCs/>
          <w:sz w:val="24"/>
          <w:szCs w:val="24"/>
        </w:rPr>
      </w:pPr>
      <w:r w:rsidRPr="00E654A2">
        <w:rPr>
          <w:rFonts w:ascii="Arial" w:hAnsi="Arial" w:cs="Arial"/>
          <w:b/>
          <w:bCs/>
          <w:sz w:val="24"/>
          <w:szCs w:val="24"/>
        </w:rPr>
        <w:t xml:space="preserve">Indicative 3-year implementation timeline </w:t>
      </w:r>
    </w:p>
    <w:tbl>
      <w:tblPr>
        <w:tblStyle w:val="TableGrid"/>
        <w:tblW w:w="0" w:type="auto"/>
        <w:tblLook w:val="04A0" w:firstRow="1" w:lastRow="0" w:firstColumn="1" w:lastColumn="0" w:noHBand="0" w:noVBand="1"/>
      </w:tblPr>
      <w:tblGrid>
        <w:gridCol w:w="1764"/>
        <w:gridCol w:w="2578"/>
        <w:gridCol w:w="2577"/>
        <w:gridCol w:w="2089"/>
      </w:tblGrid>
      <w:tr w:rsidR="00C133C6" w:rsidRPr="00E654A2" w14:paraId="25A1F658" w14:textId="77777777" w:rsidTr="006021B3">
        <w:tc>
          <w:tcPr>
            <w:tcW w:w="1386" w:type="dxa"/>
            <w:shd w:val="clear" w:color="auto" w:fill="BFBFBF" w:themeFill="background1" w:themeFillShade="BF"/>
          </w:tcPr>
          <w:p w14:paraId="04AEEA85" w14:textId="5DBB1DF1" w:rsidR="00C133C6" w:rsidRPr="00ED7AC7" w:rsidRDefault="00C133C6" w:rsidP="006021B3">
            <w:pPr>
              <w:rPr>
                <w:rFonts w:ascii="Arial" w:hAnsi="Arial" w:cs="Arial"/>
                <w:b/>
                <w:bCs/>
                <w:sz w:val="24"/>
                <w:szCs w:val="24"/>
                <w:lang w:eastAsia="en-GB"/>
              </w:rPr>
            </w:pPr>
            <w:r w:rsidRPr="00ED7AC7">
              <w:rPr>
                <w:rFonts w:ascii="Arial" w:hAnsi="Arial" w:cs="Arial"/>
                <w:b/>
                <w:bCs/>
                <w:sz w:val="24"/>
                <w:szCs w:val="24"/>
                <w:lang w:eastAsia="en-GB"/>
              </w:rPr>
              <w:t>Period</w:t>
            </w:r>
          </w:p>
        </w:tc>
        <w:tc>
          <w:tcPr>
            <w:tcW w:w="2578" w:type="dxa"/>
            <w:shd w:val="clear" w:color="auto" w:fill="BFBFBF" w:themeFill="background1" w:themeFillShade="BF"/>
          </w:tcPr>
          <w:p w14:paraId="45679DCC" w14:textId="67C67B03" w:rsidR="00C133C6" w:rsidRPr="00ED7AC7" w:rsidRDefault="00C133C6" w:rsidP="006021B3">
            <w:pPr>
              <w:rPr>
                <w:rFonts w:ascii="Arial" w:hAnsi="Arial" w:cs="Arial"/>
                <w:b/>
                <w:bCs/>
                <w:sz w:val="24"/>
                <w:szCs w:val="24"/>
                <w:lang w:eastAsia="en-GB"/>
              </w:rPr>
            </w:pPr>
            <w:r w:rsidRPr="00ED7AC7">
              <w:rPr>
                <w:rFonts w:ascii="Arial" w:hAnsi="Arial" w:cs="Arial"/>
                <w:b/>
                <w:bCs/>
                <w:sz w:val="24"/>
                <w:szCs w:val="24"/>
                <w:lang w:eastAsia="en-GB"/>
              </w:rPr>
              <w:t>Learning focus and activity</w:t>
            </w:r>
          </w:p>
        </w:tc>
        <w:tc>
          <w:tcPr>
            <w:tcW w:w="2577" w:type="dxa"/>
            <w:shd w:val="clear" w:color="auto" w:fill="BFBFBF" w:themeFill="background1" w:themeFillShade="BF"/>
          </w:tcPr>
          <w:p w14:paraId="331D7EC4" w14:textId="7FB7FA40" w:rsidR="00C133C6" w:rsidRPr="00ED7AC7" w:rsidRDefault="00C133C6" w:rsidP="006021B3">
            <w:pPr>
              <w:rPr>
                <w:rFonts w:ascii="Arial" w:hAnsi="Arial" w:cs="Arial"/>
                <w:b/>
                <w:bCs/>
                <w:sz w:val="24"/>
                <w:szCs w:val="24"/>
                <w:lang w:eastAsia="en-GB"/>
              </w:rPr>
            </w:pPr>
            <w:r w:rsidRPr="00ED7AC7">
              <w:rPr>
                <w:rFonts w:ascii="Arial" w:hAnsi="Arial" w:cs="Arial"/>
                <w:b/>
                <w:bCs/>
                <w:sz w:val="24"/>
                <w:szCs w:val="24"/>
                <w:lang w:eastAsia="en-GB"/>
              </w:rPr>
              <w:t>Outputs/artefacts</w:t>
            </w:r>
          </w:p>
        </w:tc>
        <w:tc>
          <w:tcPr>
            <w:tcW w:w="2089" w:type="dxa"/>
            <w:shd w:val="clear" w:color="auto" w:fill="BFBFBF" w:themeFill="background1" w:themeFillShade="BF"/>
          </w:tcPr>
          <w:p w14:paraId="0D94EF03" w14:textId="18DA0B7E" w:rsidR="00C133C6" w:rsidRPr="00ED7AC7" w:rsidRDefault="00C133C6" w:rsidP="006021B3">
            <w:pPr>
              <w:rPr>
                <w:rFonts w:ascii="Arial" w:hAnsi="Arial" w:cs="Arial"/>
                <w:b/>
                <w:bCs/>
                <w:sz w:val="24"/>
                <w:szCs w:val="24"/>
                <w:lang w:eastAsia="en-GB"/>
              </w:rPr>
            </w:pPr>
            <w:r w:rsidRPr="00ED7AC7">
              <w:rPr>
                <w:rFonts w:ascii="Arial" w:hAnsi="Arial" w:cs="Arial"/>
                <w:b/>
                <w:bCs/>
                <w:sz w:val="24"/>
                <w:szCs w:val="24"/>
                <w:lang w:eastAsia="en-GB"/>
              </w:rPr>
              <w:t>Stakeholders and evidence signals</w:t>
            </w:r>
          </w:p>
        </w:tc>
      </w:tr>
      <w:tr w:rsidR="00C133C6" w:rsidRPr="00E654A2" w14:paraId="6FFA1F22" w14:textId="77777777" w:rsidTr="00840F05">
        <w:tc>
          <w:tcPr>
            <w:tcW w:w="1386" w:type="dxa"/>
          </w:tcPr>
          <w:p w14:paraId="517466E8" w14:textId="6F6C757D" w:rsidR="00C133C6" w:rsidRPr="00E654A2" w:rsidRDefault="00C133C6" w:rsidP="00173ADC">
            <w:pPr>
              <w:rPr>
                <w:rFonts w:ascii="Arial" w:hAnsi="Arial" w:cs="Arial"/>
                <w:sz w:val="24"/>
                <w:szCs w:val="24"/>
                <w:lang w:eastAsia="en-GB"/>
              </w:rPr>
            </w:pPr>
            <w:r w:rsidRPr="00E654A2">
              <w:rPr>
                <w:rFonts w:ascii="Arial" w:hAnsi="Arial" w:cs="Arial"/>
                <w:sz w:val="24"/>
                <w:szCs w:val="24"/>
                <w:lang w:eastAsia="en-GB"/>
              </w:rPr>
              <w:t>Year 1 (Foundation and design)</w:t>
            </w:r>
          </w:p>
        </w:tc>
        <w:tc>
          <w:tcPr>
            <w:tcW w:w="2578" w:type="dxa"/>
          </w:tcPr>
          <w:p w14:paraId="799CC36B" w14:textId="59E576DA" w:rsidR="00C133C6" w:rsidRPr="00E654A2" w:rsidRDefault="00C133C6" w:rsidP="00173ADC">
            <w:pPr>
              <w:rPr>
                <w:rFonts w:ascii="Arial" w:hAnsi="Arial" w:cs="Arial"/>
                <w:sz w:val="24"/>
                <w:szCs w:val="24"/>
                <w:lang w:eastAsia="en-GB"/>
              </w:rPr>
            </w:pPr>
            <w:r w:rsidRPr="00E654A2">
              <w:rPr>
                <w:rFonts w:ascii="Arial" w:hAnsi="Arial" w:cs="Arial"/>
                <w:sz w:val="24"/>
                <w:szCs w:val="24"/>
                <w:lang w:eastAsia="en-GB"/>
              </w:rPr>
              <w:t xml:space="preserve">Build foundations in information governance and records management, DPIA practice and AI RISK.  Run horizon scanning and stakeholder mapping then use co-design </w:t>
            </w:r>
            <w:proofErr w:type="spellStart"/>
            <w:r w:rsidRPr="00E654A2">
              <w:rPr>
                <w:rFonts w:ascii="Arial" w:hAnsi="Arial" w:cs="Arial"/>
                <w:sz w:val="24"/>
                <w:szCs w:val="24"/>
                <w:lang w:eastAsia="en-GB"/>
              </w:rPr>
              <w:t>workships</w:t>
            </w:r>
            <w:proofErr w:type="spellEnd"/>
            <w:r w:rsidRPr="00E654A2">
              <w:rPr>
                <w:rFonts w:ascii="Arial" w:hAnsi="Arial" w:cs="Arial"/>
                <w:sz w:val="24"/>
                <w:szCs w:val="24"/>
                <w:lang w:eastAsia="en-GB"/>
              </w:rPr>
              <w:t xml:space="preserve"> to det decision rights, escalation thresholds </w:t>
            </w:r>
            <w:r w:rsidRPr="00E654A2">
              <w:rPr>
                <w:rFonts w:ascii="Arial" w:hAnsi="Arial" w:cs="Arial"/>
                <w:sz w:val="24"/>
                <w:szCs w:val="24"/>
                <w:lang w:eastAsia="en-GB"/>
              </w:rPr>
              <w:lastRenderedPageBreak/>
              <w:t>and transparency requirements.</w:t>
            </w:r>
          </w:p>
        </w:tc>
        <w:tc>
          <w:tcPr>
            <w:tcW w:w="2577" w:type="dxa"/>
          </w:tcPr>
          <w:p w14:paraId="0E01EAB7" w14:textId="59B574CA" w:rsidR="00C133C6" w:rsidRPr="00E654A2" w:rsidRDefault="00C133C6" w:rsidP="00173ADC">
            <w:pPr>
              <w:rPr>
                <w:rFonts w:ascii="Arial" w:hAnsi="Arial" w:cs="Arial"/>
                <w:sz w:val="24"/>
                <w:szCs w:val="24"/>
                <w:lang w:eastAsia="en-GB"/>
              </w:rPr>
            </w:pPr>
            <w:r w:rsidRPr="00E654A2">
              <w:rPr>
                <w:rFonts w:ascii="Arial" w:hAnsi="Arial" w:cs="Arial"/>
                <w:sz w:val="24"/>
                <w:szCs w:val="24"/>
                <w:lang w:eastAsia="en-GB"/>
              </w:rPr>
              <w:lastRenderedPageBreak/>
              <w:t>Literature review plus baselines assessment and process maps.  Draft control</w:t>
            </w:r>
            <w:r w:rsidR="00840F05" w:rsidRPr="00E654A2">
              <w:rPr>
                <w:rFonts w:ascii="Arial" w:hAnsi="Arial" w:cs="Arial"/>
                <w:sz w:val="24"/>
                <w:szCs w:val="24"/>
                <w:lang w:eastAsia="en-GB"/>
              </w:rPr>
              <w:t>s</w:t>
            </w:r>
            <w:r w:rsidRPr="00E654A2">
              <w:rPr>
                <w:rFonts w:ascii="Arial" w:hAnsi="Arial" w:cs="Arial"/>
                <w:sz w:val="24"/>
                <w:szCs w:val="24"/>
                <w:lang w:eastAsia="en-GB"/>
              </w:rPr>
              <w:t xml:space="preserve"> objectives and ethics/data management plan.  Governance framework/SOP version 1 with RACI, decision log/rationale </w:t>
            </w:r>
            <w:r w:rsidRPr="00E654A2">
              <w:rPr>
                <w:rFonts w:ascii="Arial" w:hAnsi="Arial" w:cs="Arial"/>
                <w:sz w:val="24"/>
                <w:szCs w:val="24"/>
                <w:lang w:eastAsia="en-GB"/>
              </w:rPr>
              <w:lastRenderedPageBreak/>
              <w:t xml:space="preserve">and a DPIA </w:t>
            </w:r>
            <w:r w:rsidR="00840F05" w:rsidRPr="00E654A2">
              <w:rPr>
                <w:rFonts w:ascii="Arial" w:hAnsi="Arial" w:cs="Arial"/>
                <w:sz w:val="24"/>
                <w:szCs w:val="24"/>
                <w:lang w:eastAsia="en-GB"/>
              </w:rPr>
              <w:t>template for AI DMS use.</w:t>
            </w:r>
          </w:p>
        </w:tc>
        <w:tc>
          <w:tcPr>
            <w:tcW w:w="2089" w:type="dxa"/>
          </w:tcPr>
          <w:p w14:paraId="7A963848" w14:textId="0F0D059B" w:rsidR="00C133C6" w:rsidRPr="00E654A2" w:rsidRDefault="00840F05" w:rsidP="00173ADC">
            <w:pPr>
              <w:rPr>
                <w:rFonts w:ascii="Arial" w:hAnsi="Arial" w:cs="Arial"/>
                <w:sz w:val="24"/>
                <w:szCs w:val="24"/>
                <w:lang w:eastAsia="en-GB"/>
              </w:rPr>
            </w:pPr>
            <w:r w:rsidRPr="00E654A2">
              <w:rPr>
                <w:rFonts w:ascii="Arial" w:hAnsi="Arial" w:cs="Arial"/>
                <w:sz w:val="24"/>
                <w:szCs w:val="24"/>
                <w:lang w:eastAsia="en-GB"/>
              </w:rPr>
              <w:lastRenderedPageBreak/>
              <w:t xml:space="preserve">Agree scope, pilot use cases and success criteria with </w:t>
            </w:r>
            <w:r w:rsidR="001D710E" w:rsidRPr="00E654A2">
              <w:rPr>
                <w:rFonts w:ascii="Arial" w:hAnsi="Arial" w:cs="Arial"/>
                <w:sz w:val="24"/>
                <w:szCs w:val="24"/>
                <w:lang w:eastAsia="en-GB"/>
              </w:rPr>
              <w:t xml:space="preserve">information governance and relevant governance forums.  Assemble a baseline evidence pack (current controls </w:t>
            </w:r>
            <w:r w:rsidR="001D710E" w:rsidRPr="00E654A2">
              <w:rPr>
                <w:rFonts w:ascii="Arial" w:hAnsi="Arial" w:cs="Arial"/>
                <w:sz w:val="24"/>
                <w:szCs w:val="24"/>
                <w:lang w:eastAsia="en-GB"/>
              </w:rPr>
              <w:lastRenderedPageBreak/>
              <w:t xml:space="preserve">and known issues) and </w:t>
            </w:r>
            <w:r w:rsidR="004F4DE9" w:rsidRPr="00E654A2">
              <w:rPr>
                <w:rFonts w:ascii="Arial" w:hAnsi="Arial" w:cs="Arial"/>
                <w:sz w:val="24"/>
                <w:szCs w:val="24"/>
                <w:lang w:eastAsia="en-GB"/>
              </w:rPr>
              <w:t>obtain peer review of the draft artefacts.</w:t>
            </w:r>
          </w:p>
        </w:tc>
      </w:tr>
      <w:tr w:rsidR="00C133C6" w:rsidRPr="00E654A2" w14:paraId="49D06767" w14:textId="77777777" w:rsidTr="00840F05">
        <w:tc>
          <w:tcPr>
            <w:tcW w:w="1386" w:type="dxa"/>
          </w:tcPr>
          <w:p w14:paraId="69895AA7" w14:textId="182A0C8F" w:rsidR="00C133C6" w:rsidRPr="00E654A2" w:rsidRDefault="004F4DE9" w:rsidP="003C5832">
            <w:pPr>
              <w:jc w:val="both"/>
              <w:rPr>
                <w:rFonts w:ascii="Arial" w:hAnsi="Arial" w:cs="Arial"/>
                <w:sz w:val="24"/>
                <w:szCs w:val="24"/>
                <w:lang w:eastAsia="en-GB"/>
              </w:rPr>
            </w:pPr>
            <w:r w:rsidRPr="00E654A2">
              <w:rPr>
                <w:rFonts w:ascii="Arial" w:hAnsi="Arial" w:cs="Arial"/>
                <w:sz w:val="24"/>
                <w:szCs w:val="24"/>
                <w:lang w:eastAsia="en-GB"/>
              </w:rPr>
              <w:lastRenderedPageBreak/>
              <w:t>Year 2 (Pilo</w:t>
            </w:r>
            <w:r w:rsidR="00D87B0A" w:rsidRPr="00E654A2">
              <w:rPr>
                <w:rFonts w:ascii="Arial" w:hAnsi="Arial" w:cs="Arial"/>
                <w:sz w:val="24"/>
                <w:szCs w:val="24"/>
                <w:lang w:eastAsia="en-GB"/>
              </w:rPr>
              <w:t>t and assurance)</w:t>
            </w:r>
          </w:p>
        </w:tc>
        <w:tc>
          <w:tcPr>
            <w:tcW w:w="2578" w:type="dxa"/>
          </w:tcPr>
          <w:p w14:paraId="5567A9E2" w14:textId="373E9E74" w:rsidR="00C133C6" w:rsidRPr="00E654A2" w:rsidRDefault="00D87B0A" w:rsidP="00173ADC">
            <w:pPr>
              <w:rPr>
                <w:rFonts w:ascii="Arial" w:hAnsi="Arial" w:cs="Arial"/>
                <w:sz w:val="24"/>
                <w:szCs w:val="24"/>
                <w:lang w:eastAsia="en-GB"/>
              </w:rPr>
            </w:pPr>
            <w:r w:rsidRPr="00E654A2">
              <w:rPr>
                <w:rFonts w:ascii="Arial" w:hAnsi="Arial" w:cs="Arial"/>
                <w:sz w:val="24"/>
                <w:szCs w:val="24"/>
                <w:lang w:eastAsia="en-GB"/>
              </w:rPr>
              <w:t>Pilot the framework and artefacts in a small number of workflows.  Capture critical incidents and stakeholder feed</w:t>
            </w:r>
            <w:r w:rsidR="00A81CA6" w:rsidRPr="00E654A2">
              <w:rPr>
                <w:rFonts w:ascii="Arial" w:hAnsi="Arial" w:cs="Arial"/>
                <w:sz w:val="24"/>
                <w:szCs w:val="24"/>
                <w:lang w:eastAsia="en-GB"/>
              </w:rPr>
              <w:t>b</w:t>
            </w:r>
            <w:r w:rsidRPr="00E654A2">
              <w:rPr>
                <w:rFonts w:ascii="Arial" w:hAnsi="Arial" w:cs="Arial"/>
                <w:sz w:val="24"/>
                <w:szCs w:val="24"/>
                <w:lang w:eastAsia="en-GB"/>
              </w:rPr>
              <w:t>ack</w:t>
            </w:r>
            <w:r w:rsidR="00A81CA6" w:rsidRPr="00E654A2">
              <w:rPr>
                <w:rFonts w:ascii="Arial" w:hAnsi="Arial" w:cs="Arial"/>
                <w:sz w:val="24"/>
                <w:szCs w:val="24"/>
                <w:lang w:eastAsia="en-GB"/>
              </w:rPr>
              <w:t>, refine controls, and extend to additional use cases where justified.  Develop briefing/training and assurance routines, then stress-tests controls through short scenario workshops</w:t>
            </w:r>
          </w:p>
        </w:tc>
        <w:tc>
          <w:tcPr>
            <w:tcW w:w="2577" w:type="dxa"/>
          </w:tcPr>
          <w:p w14:paraId="04ED2E8D" w14:textId="01BED062" w:rsidR="00C133C6" w:rsidRPr="00E654A2" w:rsidRDefault="00675380" w:rsidP="00173ADC">
            <w:pPr>
              <w:rPr>
                <w:rFonts w:ascii="Arial" w:hAnsi="Arial" w:cs="Arial"/>
                <w:sz w:val="24"/>
                <w:szCs w:val="24"/>
                <w:lang w:eastAsia="en-GB"/>
              </w:rPr>
            </w:pPr>
            <w:r w:rsidRPr="00E654A2">
              <w:rPr>
                <w:rFonts w:ascii="Arial" w:hAnsi="Arial" w:cs="Arial"/>
                <w:sz w:val="24"/>
                <w:szCs w:val="24"/>
                <w:lang w:eastAsia="en-GB"/>
              </w:rPr>
              <w:t xml:space="preserve">Framework/SOP version 2 and updated control library (with recorded rationale) Training and briefing materials, issues and an </w:t>
            </w:r>
            <w:r w:rsidR="00173ADC" w:rsidRPr="00E654A2">
              <w:rPr>
                <w:rFonts w:ascii="Arial" w:hAnsi="Arial" w:cs="Arial"/>
                <w:sz w:val="24"/>
                <w:szCs w:val="24"/>
                <w:lang w:eastAsia="en-GB"/>
              </w:rPr>
              <w:t>assurance reporting</w:t>
            </w:r>
            <w:r w:rsidR="00251C1D" w:rsidRPr="00E654A2">
              <w:rPr>
                <w:rFonts w:ascii="Arial" w:hAnsi="Arial" w:cs="Arial"/>
                <w:sz w:val="24"/>
                <w:szCs w:val="24"/>
                <w:lang w:eastAsia="en-GB"/>
              </w:rPr>
              <w:t xml:space="preserve"> pack.  Interim evaluation against agreed </w:t>
            </w:r>
            <w:r w:rsidR="00173ADC" w:rsidRPr="00E654A2">
              <w:rPr>
                <w:rFonts w:ascii="Arial" w:hAnsi="Arial" w:cs="Arial"/>
                <w:sz w:val="24"/>
                <w:szCs w:val="24"/>
                <w:lang w:eastAsia="en-GB"/>
              </w:rPr>
              <w:t>indicators</w:t>
            </w:r>
            <w:r w:rsidR="00251C1D" w:rsidRPr="00E654A2">
              <w:rPr>
                <w:rFonts w:ascii="Arial" w:hAnsi="Arial" w:cs="Arial"/>
                <w:sz w:val="24"/>
                <w:szCs w:val="24"/>
                <w:lang w:eastAsia="en-GB"/>
              </w:rPr>
              <w:t>, with updated decision log guidance based on what the pilot shows.</w:t>
            </w:r>
          </w:p>
        </w:tc>
        <w:tc>
          <w:tcPr>
            <w:tcW w:w="2089" w:type="dxa"/>
          </w:tcPr>
          <w:p w14:paraId="1A1F9CD5" w14:textId="32B39EED" w:rsidR="00C133C6" w:rsidRPr="00E654A2" w:rsidRDefault="00251C1D" w:rsidP="00173ADC">
            <w:pPr>
              <w:rPr>
                <w:rFonts w:ascii="Arial" w:hAnsi="Arial" w:cs="Arial"/>
                <w:sz w:val="24"/>
                <w:szCs w:val="24"/>
                <w:lang w:eastAsia="en-GB"/>
              </w:rPr>
            </w:pPr>
            <w:r w:rsidRPr="00E654A2">
              <w:rPr>
                <w:rFonts w:ascii="Arial" w:hAnsi="Arial" w:cs="Arial"/>
                <w:sz w:val="24"/>
                <w:szCs w:val="24"/>
                <w:lang w:eastAsia="en-GB"/>
              </w:rPr>
              <w:t xml:space="preserve">Evidence signals include adoption (decision log use), </w:t>
            </w:r>
            <w:r w:rsidR="004B1B7F" w:rsidRPr="00E654A2">
              <w:rPr>
                <w:rFonts w:ascii="Arial" w:hAnsi="Arial" w:cs="Arial"/>
                <w:sz w:val="24"/>
                <w:szCs w:val="24"/>
                <w:lang w:eastAsia="en-GB"/>
              </w:rPr>
              <w:t>quality checks on rationale completeness, DPIA reviews and compliance with review triggers, plus audit and assurance feedback.  Results to be taken to governance forums</w:t>
            </w:r>
            <w:r w:rsidR="007903D2" w:rsidRPr="00E654A2">
              <w:rPr>
                <w:rFonts w:ascii="Arial" w:hAnsi="Arial" w:cs="Arial"/>
                <w:sz w:val="24"/>
                <w:szCs w:val="24"/>
                <w:lang w:eastAsia="en-GB"/>
              </w:rPr>
              <w:t xml:space="preserve"> to decide whether and how to scale.</w:t>
            </w:r>
          </w:p>
        </w:tc>
      </w:tr>
      <w:tr w:rsidR="00C133C6" w:rsidRPr="00E654A2" w14:paraId="6635A91A" w14:textId="77777777" w:rsidTr="00840F05">
        <w:tc>
          <w:tcPr>
            <w:tcW w:w="1386" w:type="dxa"/>
          </w:tcPr>
          <w:p w14:paraId="5B1BB3F5" w14:textId="63B218F3" w:rsidR="00C133C6" w:rsidRPr="00E654A2" w:rsidRDefault="007903D2" w:rsidP="003C5832">
            <w:pPr>
              <w:jc w:val="both"/>
              <w:rPr>
                <w:rFonts w:ascii="Arial" w:hAnsi="Arial" w:cs="Arial"/>
                <w:sz w:val="24"/>
                <w:szCs w:val="24"/>
                <w:lang w:eastAsia="en-GB"/>
              </w:rPr>
            </w:pPr>
            <w:r w:rsidRPr="00E654A2">
              <w:rPr>
                <w:rFonts w:ascii="Arial" w:hAnsi="Arial" w:cs="Arial"/>
                <w:sz w:val="24"/>
                <w:szCs w:val="24"/>
                <w:lang w:eastAsia="en-GB"/>
              </w:rPr>
              <w:t>Year 3 (Embedding, sustainability and dissemination)</w:t>
            </w:r>
          </w:p>
        </w:tc>
        <w:tc>
          <w:tcPr>
            <w:tcW w:w="2578" w:type="dxa"/>
          </w:tcPr>
          <w:p w14:paraId="50D39A2A" w14:textId="543C55BB" w:rsidR="00C133C6" w:rsidRPr="00E654A2" w:rsidRDefault="00BA61FF" w:rsidP="00FA5FC9">
            <w:pPr>
              <w:rPr>
                <w:rFonts w:ascii="Arial" w:hAnsi="Arial" w:cs="Arial"/>
                <w:sz w:val="24"/>
                <w:szCs w:val="24"/>
                <w:lang w:eastAsia="en-GB"/>
              </w:rPr>
            </w:pPr>
            <w:r w:rsidRPr="00E654A2">
              <w:rPr>
                <w:rFonts w:ascii="Arial" w:hAnsi="Arial" w:cs="Arial"/>
                <w:sz w:val="24"/>
                <w:szCs w:val="24"/>
                <w:lang w:eastAsia="en-GB"/>
              </w:rPr>
              <w:t xml:space="preserve">Embed the framework into </w:t>
            </w:r>
            <w:r w:rsidR="00697663" w:rsidRPr="00E654A2">
              <w:rPr>
                <w:rFonts w:ascii="Arial" w:hAnsi="Arial" w:cs="Arial"/>
                <w:sz w:val="24"/>
                <w:szCs w:val="24"/>
                <w:lang w:eastAsia="en-GB"/>
              </w:rPr>
              <w:t>business-as-usual</w:t>
            </w:r>
            <w:r w:rsidRPr="00E654A2">
              <w:rPr>
                <w:rFonts w:ascii="Arial" w:hAnsi="Arial" w:cs="Arial"/>
                <w:sz w:val="24"/>
                <w:szCs w:val="24"/>
                <w:lang w:eastAsia="en-GB"/>
              </w:rPr>
              <w:t xml:space="preserve"> governance (terms of reference, reporting cadence, training and onboarding).  Strengthen monitoring and continuous improvement, consolidate</w:t>
            </w:r>
            <w:r w:rsidR="00A70300" w:rsidRPr="00E654A2">
              <w:rPr>
                <w:rFonts w:ascii="Arial" w:hAnsi="Arial" w:cs="Arial"/>
                <w:sz w:val="24"/>
                <w:szCs w:val="24"/>
                <w:lang w:eastAsia="en-GB"/>
              </w:rPr>
              <w:t xml:space="preserve"> evaluation results</w:t>
            </w:r>
            <w:r w:rsidR="00826A06" w:rsidRPr="00E654A2">
              <w:rPr>
                <w:rFonts w:ascii="Arial" w:hAnsi="Arial" w:cs="Arial"/>
                <w:sz w:val="24"/>
                <w:szCs w:val="24"/>
                <w:lang w:eastAsia="en-GB"/>
              </w:rPr>
              <w:t xml:space="preserve"> and document boundary </w:t>
            </w:r>
            <w:r w:rsidR="00826A06" w:rsidRPr="00E654A2">
              <w:rPr>
                <w:rFonts w:ascii="Arial" w:hAnsi="Arial" w:cs="Arial"/>
                <w:sz w:val="24"/>
                <w:szCs w:val="24"/>
                <w:lang w:eastAsia="en-GB"/>
              </w:rPr>
              <w:lastRenderedPageBreak/>
              <w:t>conditions</w:t>
            </w:r>
            <w:r w:rsidR="00697663" w:rsidRPr="00E654A2">
              <w:rPr>
                <w:rFonts w:ascii="Arial" w:hAnsi="Arial" w:cs="Arial"/>
                <w:sz w:val="24"/>
                <w:szCs w:val="24"/>
                <w:lang w:eastAsia="en-GB"/>
              </w:rPr>
              <w:t xml:space="preserve"> and transferability.  Prepare dissemination for organisational and academic audiences.</w:t>
            </w:r>
          </w:p>
        </w:tc>
        <w:tc>
          <w:tcPr>
            <w:tcW w:w="2577" w:type="dxa"/>
          </w:tcPr>
          <w:p w14:paraId="60CE2721" w14:textId="425074AB" w:rsidR="00C133C6" w:rsidRPr="00E654A2" w:rsidRDefault="00697663" w:rsidP="00173ADC">
            <w:pPr>
              <w:rPr>
                <w:rFonts w:ascii="Arial" w:hAnsi="Arial" w:cs="Arial"/>
                <w:sz w:val="24"/>
                <w:szCs w:val="24"/>
                <w:lang w:eastAsia="en-GB"/>
              </w:rPr>
            </w:pPr>
            <w:r w:rsidRPr="00E654A2">
              <w:rPr>
                <w:rFonts w:ascii="Arial" w:hAnsi="Arial" w:cs="Arial"/>
                <w:sz w:val="24"/>
                <w:szCs w:val="24"/>
                <w:lang w:eastAsia="en-GB"/>
              </w:rPr>
              <w:lastRenderedPageBreak/>
              <w:t xml:space="preserve">Framework/SOP version 3 (practice validated) and board-facing assurance summary.  Sustained metrics pack, implementation guidance and lessons learned.  Final methodological account and </w:t>
            </w:r>
            <w:r w:rsidR="00EC4F1B" w:rsidRPr="00E654A2">
              <w:rPr>
                <w:rFonts w:ascii="Arial" w:hAnsi="Arial" w:cs="Arial"/>
                <w:sz w:val="24"/>
                <w:szCs w:val="24"/>
                <w:lang w:eastAsia="en-GB"/>
              </w:rPr>
              <w:t xml:space="preserve">findings </w:t>
            </w:r>
            <w:r w:rsidR="00EC4F1B" w:rsidRPr="00E654A2">
              <w:rPr>
                <w:rFonts w:ascii="Arial" w:hAnsi="Arial" w:cs="Arial"/>
                <w:sz w:val="24"/>
                <w:szCs w:val="24"/>
                <w:lang w:eastAsia="en-GB"/>
              </w:rPr>
              <w:lastRenderedPageBreak/>
              <w:t>narrative for doctoral portfolio.</w:t>
            </w:r>
          </w:p>
        </w:tc>
        <w:tc>
          <w:tcPr>
            <w:tcW w:w="2089" w:type="dxa"/>
          </w:tcPr>
          <w:p w14:paraId="5FC01014" w14:textId="425C16D1" w:rsidR="00C133C6" w:rsidRPr="00E654A2" w:rsidRDefault="00EC4F1B" w:rsidP="00173ADC">
            <w:pPr>
              <w:rPr>
                <w:rFonts w:ascii="Arial" w:hAnsi="Arial" w:cs="Arial"/>
                <w:sz w:val="24"/>
                <w:szCs w:val="24"/>
                <w:lang w:eastAsia="en-GB"/>
              </w:rPr>
            </w:pPr>
            <w:r w:rsidRPr="00E654A2">
              <w:rPr>
                <w:rFonts w:ascii="Arial" w:hAnsi="Arial" w:cs="Arial"/>
                <w:sz w:val="24"/>
                <w:szCs w:val="24"/>
                <w:lang w:eastAsia="en-GB"/>
              </w:rPr>
              <w:lastRenderedPageBreak/>
              <w:t xml:space="preserve">Look for sustained use and improvement against agreed indicators, backed by formal endorsement in governance forums.  Evidence also needs to include integration into assurance and </w:t>
            </w:r>
            <w:r w:rsidRPr="00E654A2">
              <w:rPr>
                <w:rFonts w:ascii="Arial" w:hAnsi="Arial" w:cs="Arial"/>
                <w:sz w:val="24"/>
                <w:szCs w:val="24"/>
                <w:lang w:eastAsia="en-GB"/>
              </w:rPr>
              <w:lastRenderedPageBreak/>
              <w:t xml:space="preserve">audit cycles, stakeholder evaluation and a documented set of next </w:t>
            </w:r>
            <w:r w:rsidR="00173ADC" w:rsidRPr="00E654A2">
              <w:rPr>
                <w:rFonts w:ascii="Arial" w:hAnsi="Arial" w:cs="Arial"/>
                <w:sz w:val="24"/>
                <w:szCs w:val="24"/>
                <w:lang w:eastAsia="en-GB"/>
              </w:rPr>
              <w:t>cycle</w:t>
            </w:r>
            <w:r w:rsidRPr="00E654A2">
              <w:rPr>
                <w:rFonts w:ascii="Arial" w:hAnsi="Arial" w:cs="Arial"/>
                <w:sz w:val="24"/>
                <w:szCs w:val="24"/>
                <w:lang w:eastAsia="en-GB"/>
              </w:rPr>
              <w:t xml:space="preserve"> priorities.</w:t>
            </w:r>
          </w:p>
        </w:tc>
      </w:tr>
    </w:tbl>
    <w:p w14:paraId="475064C1" w14:textId="77777777" w:rsidR="00C133C6" w:rsidRPr="00E654A2" w:rsidRDefault="00C133C6" w:rsidP="003C5832">
      <w:pPr>
        <w:jc w:val="both"/>
        <w:rPr>
          <w:rFonts w:ascii="Arial" w:hAnsi="Arial" w:cs="Arial"/>
          <w:sz w:val="24"/>
          <w:szCs w:val="24"/>
          <w:lang w:eastAsia="en-GB"/>
        </w:rPr>
      </w:pPr>
    </w:p>
    <w:p w14:paraId="3529E486" w14:textId="77777777" w:rsidR="003C5832" w:rsidRPr="00E654A2" w:rsidRDefault="003C5832" w:rsidP="003C5832">
      <w:pPr>
        <w:pStyle w:val="Heading3"/>
        <w:spacing w:before="360"/>
        <w:jc w:val="both"/>
        <w:rPr>
          <w:rFonts w:ascii="Arial" w:hAnsi="Arial" w:cs="Arial"/>
          <w:color w:val="auto"/>
          <w:sz w:val="24"/>
          <w:szCs w:val="24"/>
          <w:lang w:eastAsia="en-GB"/>
        </w:rPr>
      </w:pPr>
      <w:r w:rsidRPr="00E654A2">
        <w:rPr>
          <w:rFonts w:ascii="Arial" w:hAnsi="Arial" w:cs="Arial"/>
          <w:b/>
          <w:bCs/>
          <w:color w:val="auto"/>
          <w:sz w:val="24"/>
          <w:szCs w:val="24"/>
        </w:rPr>
        <w:t>Conclusion</w:t>
      </w:r>
    </w:p>
    <w:p w14:paraId="00E62A4B" w14:textId="61D93662" w:rsidR="008A42AC" w:rsidRPr="00E654A2" w:rsidRDefault="008A42AC" w:rsidP="005077F9">
      <w:pPr>
        <w:jc w:val="both"/>
        <w:rPr>
          <w:rFonts w:ascii="Arial" w:hAnsi="Arial" w:cs="Arial"/>
          <w:lang w:eastAsia="en-GB"/>
        </w:rPr>
      </w:pPr>
      <w:r w:rsidRPr="00E654A2">
        <w:rPr>
          <w:rFonts w:ascii="Arial" w:hAnsi="Arial" w:cs="Arial"/>
          <w:sz w:val="24"/>
          <w:szCs w:val="24"/>
        </w:rPr>
        <w:t xml:space="preserve">Overall, this </w:t>
      </w:r>
      <w:r w:rsidR="009E54BA" w:rsidRPr="00E654A2">
        <w:rPr>
          <w:rFonts w:ascii="Arial" w:hAnsi="Arial" w:cs="Arial"/>
          <w:sz w:val="24"/>
          <w:szCs w:val="24"/>
        </w:rPr>
        <w:t>P</w:t>
      </w:r>
      <w:r w:rsidRPr="00E654A2">
        <w:rPr>
          <w:rFonts w:ascii="Arial" w:hAnsi="Arial" w:cs="Arial"/>
          <w:sz w:val="24"/>
          <w:szCs w:val="24"/>
        </w:rPr>
        <w:t>lan is built from the Part 1 evidence (what competent judgement looks like under constraint) and the Part 2 model (how formal knowledge and experience are integrated through tacit judgement). The practical outputs</w:t>
      </w:r>
      <w:r w:rsidR="00B4478B" w:rsidRPr="00E654A2">
        <w:rPr>
          <w:rFonts w:ascii="Arial" w:hAnsi="Arial" w:cs="Arial"/>
          <w:sz w:val="24"/>
          <w:szCs w:val="24"/>
        </w:rPr>
        <w:t xml:space="preserve"> which are </w:t>
      </w:r>
      <w:r w:rsidRPr="00E654A2">
        <w:rPr>
          <w:rFonts w:ascii="Arial" w:hAnsi="Arial" w:cs="Arial"/>
          <w:sz w:val="24"/>
          <w:szCs w:val="24"/>
        </w:rPr>
        <w:t>decision rights, decision logs, DPIAs and assurance reporting</w:t>
      </w:r>
      <w:r w:rsidR="00B4478B" w:rsidRPr="00E654A2">
        <w:rPr>
          <w:rFonts w:ascii="Arial" w:hAnsi="Arial" w:cs="Arial"/>
          <w:sz w:val="24"/>
          <w:szCs w:val="24"/>
        </w:rPr>
        <w:t xml:space="preserve"> </w:t>
      </w:r>
      <w:r w:rsidRPr="00E654A2">
        <w:rPr>
          <w:rFonts w:ascii="Arial" w:hAnsi="Arial" w:cs="Arial"/>
          <w:sz w:val="24"/>
          <w:szCs w:val="24"/>
        </w:rPr>
        <w:t>are then tested and refined through action</w:t>
      </w:r>
      <w:r w:rsidRPr="00E654A2">
        <w:rPr>
          <w:rFonts w:ascii="Arial" w:hAnsi="Arial" w:cs="Arial"/>
          <w:sz w:val="24"/>
          <w:szCs w:val="24"/>
        </w:rPr>
        <w:noBreakHyphen/>
        <w:t xml:space="preserve">research cycles, with progress judged on demonstrable impact rather than activity completion. </w:t>
      </w:r>
      <w:r w:rsidR="005077F9" w:rsidRPr="00E654A2">
        <w:rPr>
          <w:rFonts w:ascii="Arial" w:hAnsi="Arial" w:cs="Arial"/>
          <w:color w:val="000000"/>
          <w:sz w:val="24"/>
        </w:rPr>
        <w:t>The goal is to offer a governance framework for an AI-enhanced DMS that stands up to scrutiny and can be used effectively in daily team decisions.</w:t>
      </w:r>
    </w:p>
    <w:p w14:paraId="0711743F" w14:textId="43D4250D" w:rsidR="00DF4160" w:rsidRPr="00E654A2" w:rsidRDefault="00DF4160">
      <w:pPr>
        <w:jc w:val="both"/>
        <w:rPr>
          <w:rFonts w:ascii="Arial" w:hAnsi="Arial" w:cs="Arial"/>
          <w:lang w:eastAsia="en-GB"/>
        </w:rPr>
      </w:pPr>
      <w:r w:rsidRPr="00E654A2">
        <w:rPr>
          <w:rFonts w:ascii="Arial" w:hAnsi="Arial" w:cs="Arial"/>
          <w:sz w:val="24"/>
          <w:szCs w:val="24"/>
        </w:rPr>
        <w:t xml:space="preserve">The following section sets out the methodological choices and safeguards that make this </w:t>
      </w:r>
      <w:r w:rsidR="009E54BA" w:rsidRPr="00E654A2">
        <w:rPr>
          <w:rFonts w:ascii="Arial" w:hAnsi="Arial" w:cs="Arial"/>
          <w:sz w:val="24"/>
          <w:szCs w:val="24"/>
        </w:rPr>
        <w:t>P</w:t>
      </w:r>
      <w:r w:rsidRPr="00E654A2">
        <w:rPr>
          <w:rFonts w:ascii="Arial" w:hAnsi="Arial" w:cs="Arial"/>
          <w:sz w:val="24"/>
          <w:szCs w:val="24"/>
        </w:rPr>
        <w:t>lan credible as doctoral research.</w:t>
      </w:r>
    </w:p>
    <w:p w14:paraId="1F756792" w14:textId="77777777" w:rsidR="003C5832" w:rsidRPr="00E654A2" w:rsidRDefault="003C5832" w:rsidP="003C5832">
      <w:pPr>
        <w:pStyle w:val="Heading3"/>
        <w:spacing w:before="360"/>
        <w:jc w:val="both"/>
        <w:rPr>
          <w:rFonts w:ascii="Arial" w:hAnsi="Arial" w:cs="Arial"/>
          <w:color w:val="auto"/>
          <w:sz w:val="24"/>
          <w:szCs w:val="24"/>
          <w:lang w:eastAsia="en-GB"/>
        </w:rPr>
      </w:pPr>
      <w:r w:rsidRPr="00E654A2">
        <w:rPr>
          <w:rFonts w:ascii="Arial" w:hAnsi="Arial" w:cs="Arial"/>
          <w:b/>
          <w:bCs/>
          <w:color w:val="auto"/>
          <w:sz w:val="24"/>
          <w:szCs w:val="24"/>
        </w:rPr>
        <w:t>Methodological considerations and rigour safeguards</w:t>
      </w:r>
    </w:p>
    <w:p w14:paraId="0EC13DB1" w14:textId="77777777" w:rsidR="000A0BFA" w:rsidRPr="00E654A2" w:rsidRDefault="000A0BFA">
      <w:pPr>
        <w:jc w:val="both"/>
        <w:rPr>
          <w:rFonts w:ascii="Arial" w:hAnsi="Arial" w:cs="Arial"/>
          <w:sz w:val="24"/>
          <w:szCs w:val="24"/>
        </w:rPr>
      </w:pPr>
      <w:r w:rsidRPr="00E654A2">
        <w:rPr>
          <w:rFonts w:ascii="Arial" w:hAnsi="Arial" w:cs="Arial"/>
          <w:sz w:val="24"/>
          <w:szCs w:val="24"/>
        </w:rPr>
        <w:t>This Plan uses action research because the governance framework for an AI</w:t>
      </w:r>
      <w:r w:rsidRPr="00E654A2">
        <w:rPr>
          <w:rFonts w:ascii="Arial" w:hAnsi="Arial" w:cs="Arial"/>
          <w:sz w:val="24"/>
          <w:szCs w:val="24"/>
        </w:rPr>
        <w:noBreakHyphen/>
        <w:t xml:space="preserve">enhanced DMS </w:t>
      </w:r>
      <w:proofErr w:type="gramStart"/>
      <w:r w:rsidRPr="00E654A2">
        <w:rPr>
          <w:rFonts w:ascii="Arial" w:hAnsi="Arial" w:cs="Arial"/>
          <w:sz w:val="24"/>
          <w:szCs w:val="24"/>
        </w:rPr>
        <w:t>has to</w:t>
      </w:r>
      <w:proofErr w:type="gramEnd"/>
      <w:r w:rsidRPr="00E654A2">
        <w:rPr>
          <w:rFonts w:ascii="Arial" w:hAnsi="Arial" w:cs="Arial"/>
          <w:sz w:val="24"/>
          <w:szCs w:val="24"/>
        </w:rPr>
        <w:t xml:space="preserve"> be built with stakeholders and tested in live workflows (Kemmis, McTaggart and Nixon, 2014; Coghlan, 2019). The main credibility risks are predictable. They include role duality (practitioner and researcher), power dynamics in workshops, and drifting into confirmation bias once a preferred solution emerges. Each cycle will keep a simple evidence trail that records what changed, why it changed, and the basis for the change. Draft artefacts will also be taken back to stakeholders for explicit challenge, for example by asking what would make a control unworkable before a version is signed off.</w:t>
      </w:r>
    </w:p>
    <w:p w14:paraId="2816A71E" w14:textId="77777777" w:rsidR="00922BE6" w:rsidRPr="00E654A2" w:rsidRDefault="00922BE6">
      <w:pPr>
        <w:jc w:val="both"/>
        <w:rPr>
          <w:rFonts w:ascii="Arial" w:hAnsi="Arial" w:cs="Arial"/>
          <w:lang w:eastAsia="en-GB"/>
        </w:rPr>
      </w:pPr>
    </w:p>
    <w:p w14:paraId="536B0AE8" w14:textId="77777777" w:rsidR="003C5832" w:rsidRPr="00E654A2" w:rsidRDefault="003C5832" w:rsidP="003C5832">
      <w:pPr>
        <w:jc w:val="both"/>
        <w:rPr>
          <w:rFonts w:ascii="Arial" w:hAnsi="Arial" w:cs="Arial"/>
          <w:sz w:val="24"/>
          <w:szCs w:val="24"/>
        </w:rPr>
      </w:pPr>
      <w:r w:rsidRPr="00E654A2">
        <w:rPr>
          <w:rFonts w:ascii="Arial" w:hAnsi="Arial" w:cs="Arial"/>
          <w:sz w:val="24"/>
          <w:szCs w:val="24"/>
        </w:rPr>
        <w:t>Key features (and the associated mechanisms for rigour) include:</w:t>
      </w:r>
    </w:p>
    <w:p w14:paraId="5E82BFC2" w14:textId="254FD90D" w:rsidR="00692147" w:rsidRPr="00E654A2" w:rsidRDefault="00FF1F46" w:rsidP="00FF1F46">
      <w:pPr>
        <w:pStyle w:val="ListParagraph"/>
        <w:numPr>
          <w:ilvl w:val="0"/>
          <w:numId w:val="5"/>
        </w:numPr>
        <w:jc w:val="both"/>
        <w:rPr>
          <w:rFonts w:ascii="Arial" w:hAnsi="Arial" w:cs="Arial"/>
          <w:lang w:eastAsia="en-GB"/>
        </w:rPr>
      </w:pPr>
      <w:r w:rsidRPr="00E654A2">
        <w:rPr>
          <w:rFonts w:ascii="Arial" w:hAnsi="Arial" w:cs="Arial"/>
          <w:b/>
          <w:color w:val="000000"/>
          <w:sz w:val="24"/>
        </w:rPr>
        <w:t>Action research cycles</w:t>
      </w:r>
      <w:r w:rsidRPr="00E654A2">
        <w:rPr>
          <w:rFonts w:ascii="Arial" w:hAnsi="Arial" w:cs="Arial"/>
          <w:color w:val="000000"/>
          <w:sz w:val="24"/>
          <w:lang w:eastAsia="en-GB"/>
        </w:rPr>
        <w:t xml:space="preserve"> are conducted using defined evaluation criteria, including specific questions, success metrics, and a documented rationale for revision. As a result, each iteration generates a transparent record of learning that clearly distinguishes the outcomes before and after implementation.</w:t>
      </w:r>
    </w:p>
    <w:p w14:paraId="4E8D745B" w14:textId="77777777" w:rsidR="0015467A" w:rsidRPr="00E654A2" w:rsidRDefault="0015467A" w:rsidP="00830F31">
      <w:pPr>
        <w:pStyle w:val="ListParagraph"/>
        <w:jc w:val="both"/>
        <w:rPr>
          <w:rFonts w:ascii="Arial" w:hAnsi="Arial" w:cs="Arial"/>
          <w:lang w:eastAsia="en-GB"/>
        </w:rPr>
      </w:pPr>
    </w:p>
    <w:p w14:paraId="58E49AE0" w14:textId="03E3EE65" w:rsidR="00692147" w:rsidRPr="00E654A2" w:rsidRDefault="0015467A" w:rsidP="00830F31">
      <w:pPr>
        <w:pStyle w:val="ListParagraph"/>
        <w:numPr>
          <w:ilvl w:val="0"/>
          <w:numId w:val="5"/>
        </w:numPr>
        <w:jc w:val="both"/>
        <w:rPr>
          <w:rFonts w:ascii="Arial" w:hAnsi="Arial" w:cs="Arial"/>
          <w:lang w:eastAsia="en-GB"/>
        </w:rPr>
      </w:pPr>
      <w:r w:rsidRPr="00E654A2">
        <w:rPr>
          <w:rFonts w:ascii="Arial" w:hAnsi="Arial" w:cs="Arial"/>
          <w:b/>
          <w:color w:val="000000"/>
          <w:sz w:val="24"/>
        </w:rPr>
        <w:lastRenderedPageBreak/>
        <w:t xml:space="preserve">Positionality is considered a real </w:t>
      </w:r>
      <w:r w:rsidR="004E0F96" w:rsidRPr="00E654A2">
        <w:rPr>
          <w:rFonts w:ascii="Arial" w:hAnsi="Arial" w:cs="Arial"/>
          <w:b/>
          <w:color w:val="000000"/>
          <w:sz w:val="24"/>
        </w:rPr>
        <w:t>risk,</w:t>
      </w:r>
      <w:r w:rsidR="00EA1964" w:rsidRPr="00E654A2">
        <w:rPr>
          <w:rFonts w:ascii="Arial" w:hAnsi="Arial" w:cs="Arial"/>
          <w:color w:val="000000"/>
          <w:sz w:val="24"/>
          <w:lang w:eastAsia="en-GB"/>
        </w:rPr>
        <w:t xml:space="preserve"> and</w:t>
      </w:r>
      <w:r w:rsidRPr="00E654A2">
        <w:rPr>
          <w:rFonts w:ascii="Arial" w:hAnsi="Arial" w:cs="Arial"/>
          <w:color w:val="000000"/>
          <w:sz w:val="24"/>
          <w:lang w:eastAsia="en-GB"/>
        </w:rPr>
        <w:t xml:space="preserve"> workshops use methods like written prompts and round</w:t>
      </w:r>
      <w:r w:rsidR="00EA7FE3" w:rsidRPr="00E654A2">
        <w:rPr>
          <w:rFonts w:ascii="Arial" w:hAnsi="Arial" w:cs="Arial"/>
          <w:color w:val="000000"/>
          <w:sz w:val="24"/>
          <w:lang w:eastAsia="en-GB"/>
        </w:rPr>
        <w:t xml:space="preserve"> </w:t>
      </w:r>
      <w:r w:rsidRPr="00E654A2">
        <w:rPr>
          <w:rFonts w:ascii="Arial" w:hAnsi="Arial" w:cs="Arial"/>
          <w:color w:val="000000"/>
          <w:sz w:val="24"/>
          <w:lang w:eastAsia="en-GB"/>
        </w:rPr>
        <w:t>robin questions to ensure quieter participants are heard, without just following the most vocal opinions.</w:t>
      </w:r>
    </w:p>
    <w:p w14:paraId="67ECC27A" w14:textId="77777777" w:rsidR="00830F31" w:rsidRPr="00E654A2" w:rsidRDefault="00830F31" w:rsidP="00830F31">
      <w:pPr>
        <w:pStyle w:val="ListParagraph"/>
        <w:jc w:val="both"/>
        <w:rPr>
          <w:rFonts w:ascii="Arial" w:hAnsi="Arial" w:cs="Arial"/>
          <w:b/>
          <w:color w:val="000000"/>
          <w:sz w:val="24"/>
        </w:rPr>
      </w:pPr>
    </w:p>
    <w:p w14:paraId="740543A2" w14:textId="18295BA8" w:rsidR="000A0BFA" w:rsidRPr="00E654A2" w:rsidRDefault="00830F31" w:rsidP="00830F31">
      <w:pPr>
        <w:pStyle w:val="ListParagraph"/>
        <w:numPr>
          <w:ilvl w:val="0"/>
          <w:numId w:val="5"/>
        </w:numPr>
        <w:jc w:val="both"/>
        <w:rPr>
          <w:rFonts w:ascii="Arial" w:hAnsi="Arial" w:cs="Arial"/>
          <w:lang w:eastAsia="en-GB"/>
        </w:rPr>
      </w:pPr>
      <w:r w:rsidRPr="00E654A2">
        <w:rPr>
          <w:rFonts w:ascii="Arial" w:hAnsi="Arial" w:cs="Arial"/>
          <w:b/>
          <w:color w:val="000000"/>
          <w:sz w:val="24"/>
        </w:rPr>
        <w:t>Design Challenge and triangulation</w:t>
      </w:r>
      <w:r w:rsidRPr="00E654A2">
        <w:rPr>
          <w:rFonts w:ascii="Arial" w:hAnsi="Arial" w:cs="Arial"/>
          <w:color w:val="000000"/>
          <w:sz w:val="24"/>
          <w:lang w:eastAsia="en-GB"/>
        </w:rPr>
        <w:t xml:space="preserve"> are integrated from the outset. Artefacts, interviews, workshop results, and assurance feedback are cross-checked, with initial conclusions reviewed by stakeholders for accuracy.</w:t>
      </w:r>
    </w:p>
    <w:p w14:paraId="5FADB486" w14:textId="77777777" w:rsidR="00692147" w:rsidRPr="00E654A2" w:rsidRDefault="00692147" w:rsidP="00692147">
      <w:pPr>
        <w:numPr>
          <w:ilvl w:val="0"/>
          <w:numId w:val="5"/>
        </w:numPr>
        <w:jc w:val="both"/>
        <w:rPr>
          <w:rFonts w:ascii="Arial" w:hAnsi="Arial" w:cs="Arial"/>
          <w:lang w:eastAsia="en-GB"/>
        </w:rPr>
      </w:pPr>
      <w:r w:rsidRPr="00E654A2">
        <w:rPr>
          <w:rFonts w:ascii="Arial" w:hAnsi="Arial" w:cs="Arial"/>
          <w:b/>
          <w:bCs/>
          <w:sz w:val="24"/>
          <w:szCs w:val="24"/>
        </w:rPr>
        <w:t>Ethics is handled as control work, not a section of text.</w:t>
      </w:r>
      <w:r w:rsidRPr="00E654A2">
        <w:rPr>
          <w:rFonts w:ascii="Arial" w:hAnsi="Arial" w:cs="Arial"/>
          <w:sz w:val="24"/>
          <w:szCs w:val="24"/>
        </w:rPr>
        <w:t xml:space="preserve"> Each cycle re-checks consent, confidentiality and data minimisation, and records the trade-offs alongside the decision rationale.</w:t>
      </w:r>
    </w:p>
    <w:p w14:paraId="0B78C39F" w14:textId="77777777" w:rsidR="00692147" w:rsidRPr="00E654A2" w:rsidRDefault="00692147" w:rsidP="00692147">
      <w:pPr>
        <w:numPr>
          <w:ilvl w:val="0"/>
          <w:numId w:val="5"/>
        </w:numPr>
        <w:jc w:val="both"/>
        <w:rPr>
          <w:rFonts w:ascii="Arial" w:hAnsi="Arial" w:cs="Arial"/>
          <w:lang w:eastAsia="en-GB"/>
        </w:rPr>
      </w:pPr>
      <w:r w:rsidRPr="00E654A2">
        <w:rPr>
          <w:rFonts w:ascii="Arial" w:hAnsi="Arial" w:cs="Arial"/>
          <w:b/>
          <w:bCs/>
          <w:sz w:val="24"/>
          <w:szCs w:val="24"/>
        </w:rPr>
        <w:t>Foresight and robustness testing</w:t>
      </w:r>
      <w:r w:rsidRPr="00E654A2">
        <w:rPr>
          <w:rFonts w:ascii="Arial" w:hAnsi="Arial" w:cs="Arial"/>
          <w:sz w:val="24"/>
          <w:szCs w:val="24"/>
        </w:rPr>
        <w:t xml:space="preserve"> keep the design from being “right for today only”: horizon scans and short scenarios are used to stress</w:t>
      </w:r>
      <w:r w:rsidRPr="00E654A2">
        <w:rPr>
          <w:rFonts w:ascii="Arial" w:hAnsi="Arial" w:cs="Arial"/>
          <w:sz w:val="24"/>
          <w:szCs w:val="24"/>
        </w:rPr>
        <w:noBreakHyphen/>
        <w:t>test controls (for example, a new regulator expectation or a change in model capability).</w:t>
      </w:r>
    </w:p>
    <w:p w14:paraId="678CEDD2" w14:textId="77777777" w:rsidR="00692147" w:rsidRPr="00E654A2" w:rsidRDefault="00692147" w:rsidP="00692147">
      <w:pPr>
        <w:numPr>
          <w:ilvl w:val="0"/>
          <w:numId w:val="5"/>
        </w:numPr>
        <w:jc w:val="both"/>
        <w:rPr>
          <w:rFonts w:ascii="Arial" w:hAnsi="Arial" w:cs="Arial"/>
          <w:lang w:eastAsia="en-GB"/>
        </w:rPr>
      </w:pPr>
      <w:r w:rsidRPr="00E654A2">
        <w:rPr>
          <w:rFonts w:ascii="Arial" w:hAnsi="Arial" w:cs="Arial"/>
          <w:b/>
          <w:bCs/>
          <w:sz w:val="24"/>
          <w:szCs w:val="24"/>
        </w:rPr>
        <w:t>Structured critical reflection</w:t>
      </w:r>
      <w:r w:rsidRPr="00E654A2">
        <w:rPr>
          <w:rFonts w:ascii="Arial" w:hAnsi="Arial" w:cs="Arial"/>
          <w:sz w:val="24"/>
          <w:szCs w:val="24"/>
        </w:rPr>
        <w:t xml:space="preserve"> is focused on the moments that matter (critical incidents where judgement, escalation and accountability are visible), not on general diary writing.</w:t>
      </w:r>
    </w:p>
    <w:p w14:paraId="75BFF8F7" w14:textId="77777777" w:rsidR="00692147" w:rsidRPr="00E654A2" w:rsidRDefault="00692147" w:rsidP="00692147">
      <w:pPr>
        <w:numPr>
          <w:ilvl w:val="0"/>
          <w:numId w:val="5"/>
        </w:numPr>
        <w:jc w:val="both"/>
        <w:rPr>
          <w:rFonts w:ascii="Arial" w:hAnsi="Arial" w:cs="Arial"/>
          <w:lang w:eastAsia="en-GB"/>
        </w:rPr>
      </w:pPr>
      <w:r w:rsidRPr="00E654A2">
        <w:rPr>
          <w:rFonts w:ascii="Arial" w:hAnsi="Arial" w:cs="Arial"/>
          <w:b/>
          <w:bCs/>
          <w:sz w:val="24"/>
          <w:szCs w:val="24"/>
        </w:rPr>
        <w:t>Limits are stated plainly.</w:t>
      </w:r>
      <w:r w:rsidRPr="00E654A2">
        <w:rPr>
          <w:rFonts w:ascii="Arial" w:hAnsi="Arial" w:cs="Arial"/>
          <w:sz w:val="24"/>
          <w:szCs w:val="24"/>
        </w:rPr>
        <w:t xml:space="preserve"> Boundary conditions (context, constraints, and what could not be observed) are recorded so readers can judge what is transferable to other organisations and what is not.</w:t>
      </w:r>
    </w:p>
    <w:p w14:paraId="78470C4D" w14:textId="77777777" w:rsidR="003227EF" w:rsidRPr="00E654A2" w:rsidRDefault="003227EF">
      <w:pPr>
        <w:jc w:val="both"/>
        <w:rPr>
          <w:rFonts w:ascii="Arial" w:hAnsi="Arial" w:cs="Arial"/>
          <w:lang w:eastAsia="en-GB"/>
        </w:rPr>
      </w:pPr>
      <w:bookmarkStart w:id="0" w:name="_Int_6K5rhq14"/>
      <w:r w:rsidRPr="00E654A2">
        <w:rPr>
          <w:rFonts w:ascii="Arial" w:hAnsi="Arial" w:cs="Arial"/>
          <w:sz w:val="24"/>
          <w:szCs w:val="24"/>
        </w:rPr>
        <w:t>The study will be careful about what it can and cannot claim. Findings will reflect the organisation’s context, the specific DMS configuration, records/data maturity, and the time and access available during the doctorate. The aim is therefore not statistical generalisation, but a transparent account of boundary conditions and a traceable line from evidence to interpretation and design choices, so readers can judge what is transferable.</w:t>
      </w:r>
    </w:p>
    <w:bookmarkEnd w:id="0"/>
    <w:p w14:paraId="0793BCD6" w14:textId="77777777" w:rsidR="00231FCF" w:rsidRPr="00E654A2" w:rsidRDefault="00231FCF">
      <w:pPr>
        <w:jc w:val="both"/>
        <w:rPr>
          <w:rFonts w:ascii="Arial" w:hAnsi="Arial" w:cs="Arial"/>
          <w:lang w:eastAsia="en-GB"/>
        </w:rPr>
      </w:pPr>
      <w:r w:rsidRPr="00E654A2">
        <w:rPr>
          <w:rFonts w:ascii="Arial" w:hAnsi="Arial" w:cs="Arial"/>
          <w:sz w:val="24"/>
          <w:szCs w:val="24"/>
        </w:rPr>
        <w:t>The result should be a defensible learning trail: what was changed, what evidence supported the change, and what trade-offs were accepted. That trail supports the doctoral contribution and makes the governance framework easier to challenge, improve and sustain. Any claims about impact will be tied back to traceable artefacts (controls, decision logs, assurance outputs) and stakeholder evaluation across cycles.</w:t>
      </w:r>
    </w:p>
    <w:p w14:paraId="68077EC6" w14:textId="77777777" w:rsidR="003C5832" w:rsidRPr="00E654A2" w:rsidRDefault="003C5832" w:rsidP="003C5832">
      <w:pPr>
        <w:pStyle w:val="Heading3"/>
        <w:spacing w:before="360"/>
        <w:jc w:val="both"/>
        <w:rPr>
          <w:rFonts w:ascii="Arial" w:hAnsi="Arial" w:cs="Arial"/>
          <w:lang w:eastAsia="en-GB"/>
        </w:rPr>
      </w:pPr>
      <w:r w:rsidRPr="00E654A2">
        <w:rPr>
          <w:rFonts w:ascii="Arial" w:hAnsi="Arial" w:cs="Arial"/>
          <w:b/>
          <w:bCs/>
          <w:color w:val="auto"/>
          <w:sz w:val="24"/>
          <w:szCs w:val="24"/>
        </w:rPr>
        <w:t>References</w:t>
      </w:r>
    </w:p>
    <w:p w14:paraId="02976027" w14:textId="729AA7FA" w:rsidR="003C5832" w:rsidRPr="00E654A2" w:rsidRDefault="003C5832" w:rsidP="003C5832">
      <w:pPr>
        <w:jc w:val="both"/>
        <w:rPr>
          <w:rFonts w:ascii="Arial" w:hAnsi="Arial" w:cs="Arial"/>
          <w:lang w:eastAsia="en-GB"/>
        </w:rPr>
      </w:pPr>
      <w:r w:rsidRPr="00E654A2">
        <w:rPr>
          <w:rFonts w:ascii="Arial" w:hAnsi="Arial" w:cs="Arial"/>
          <w:sz w:val="24"/>
          <w:szCs w:val="24"/>
        </w:rPr>
        <w:t xml:space="preserve">Beckett, D. and Hager, P. (2002) </w:t>
      </w:r>
      <w:r w:rsidRPr="00E654A2">
        <w:rPr>
          <w:rFonts w:ascii="Arial" w:hAnsi="Arial" w:cs="Arial"/>
          <w:i/>
          <w:iCs/>
          <w:sz w:val="24"/>
          <w:szCs w:val="24"/>
        </w:rPr>
        <w:t>Life, Work and Learning: Practice in Postmodernity</w:t>
      </w:r>
      <w:r w:rsidRPr="00E654A2">
        <w:rPr>
          <w:rFonts w:ascii="Arial" w:hAnsi="Arial" w:cs="Arial"/>
          <w:sz w:val="24"/>
          <w:szCs w:val="24"/>
        </w:rPr>
        <w:t xml:space="preserve">. London: Routledge. Available at: </w:t>
      </w:r>
      <w:hyperlink r:id="rId9" w:history="1">
        <w:r w:rsidR="00971162" w:rsidRPr="00E654A2">
          <w:rPr>
            <w:rStyle w:val="Hyperlink"/>
            <w:rFonts w:ascii="Arial" w:hAnsi="Arial" w:cs="Arial"/>
            <w:sz w:val="24"/>
            <w:szCs w:val="24"/>
          </w:rPr>
          <w:t>https://doi.org/10.4324/9780203994450</w:t>
        </w:r>
      </w:hyperlink>
      <w:r w:rsidR="00971162" w:rsidRPr="00E654A2">
        <w:rPr>
          <w:rFonts w:ascii="Arial" w:hAnsi="Arial" w:cs="Arial"/>
          <w:sz w:val="24"/>
          <w:szCs w:val="24"/>
        </w:rPr>
        <w:t xml:space="preserve"> </w:t>
      </w:r>
      <w:r w:rsidRPr="00E654A2">
        <w:rPr>
          <w:rFonts w:ascii="Arial" w:hAnsi="Arial" w:cs="Arial"/>
          <w:sz w:val="24"/>
          <w:szCs w:val="24"/>
        </w:rPr>
        <w:t>(Accessed: 21 April 2026).</w:t>
      </w:r>
    </w:p>
    <w:p w14:paraId="04507311" w14:textId="77777777" w:rsidR="003C5832" w:rsidRPr="00E654A2" w:rsidRDefault="003C5832" w:rsidP="003C5832">
      <w:pPr>
        <w:jc w:val="both"/>
        <w:rPr>
          <w:rFonts w:ascii="Arial" w:hAnsi="Arial" w:cs="Arial"/>
          <w:lang w:eastAsia="en-GB"/>
        </w:rPr>
      </w:pPr>
      <w:r w:rsidRPr="00E654A2">
        <w:rPr>
          <w:rFonts w:ascii="Arial" w:hAnsi="Arial" w:cs="Arial"/>
          <w:sz w:val="24"/>
          <w:szCs w:val="24"/>
        </w:rPr>
        <w:lastRenderedPageBreak/>
        <w:t xml:space="preserve">Brookfield, S. D. (2017) </w:t>
      </w:r>
      <w:r w:rsidRPr="00E654A2">
        <w:rPr>
          <w:rFonts w:ascii="Arial" w:hAnsi="Arial" w:cs="Arial"/>
          <w:i/>
          <w:iCs/>
          <w:sz w:val="24"/>
          <w:szCs w:val="24"/>
        </w:rPr>
        <w:t>Becoming a Critically Reflective Teacher</w:t>
      </w:r>
      <w:r w:rsidRPr="00E654A2">
        <w:rPr>
          <w:rFonts w:ascii="Arial" w:hAnsi="Arial" w:cs="Arial"/>
          <w:sz w:val="24"/>
          <w:szCs w:val="24"/>
        </w:rPr>
        <w:t xml:space="preserve">. 2nd </w:t>
      </w:r>
      <w:proofErr w:type="spellStart"/>
      <w:r w:rsidRPr="00E654A2">
        <w:rPr>
          <w:rFonts w:ascii="Arial" w:hAnsi="Arial" w:cs="Arial"/>
          <w:sz w:val="24"/>
          <w:szCs w:val="24"/>
        </w:rPr>
        <w:t>edn</w:t>
      </w:r>
      <w:proofErr w:type="spellEnd"/>
      <w:r w:rsidRPr="00E654A2">
        <w:rPr>
          <w:rFonts w:ascii="Arial" w:hAnsi="Arial" w:cs="Arial"/>
          <w:sz w:val="24"/>
          <w:szCs w:val="24"/>
        </w:rPr>
        <w:t>. San Francisco: Jossey-Bass.</w:t>
      </w:r>
    </w:p>
    <w:p w14:paraId="1D5AFDD1" w14:textId="131C050A" w:rsidR="003C5832" w:rsidRPr="00E654A2" w:rsidRDefault="003C5832" w:rsidP="003C5832">
      <w:pPr>
        <w:jc w:val="both"/>
        <w:rPr>
          <w:rFonts w:ascii="Arial" w:hAnsi="Arial" w:cs="Arial"/>
          <w:lang w:eastAsia="en-GB"/>
        </w:rPr>
      </w:pPr>
      <w:r w:rsidRPr="00E654A2">
        <w:rPr>
          <w:rFonts w:ascii="Arial" w:hAnsi="Arial" w:cs="Arial"/>
          <w:sz w:val="24"/>
          <w:szCs w:val="24"/>
        </w:rPr>
        <w:t xml:space="preserve">Chartered Governance Institute UK &amp; Ireland (CGI) (no date) </w:t>
      </w:r>
      <w:r w:rsidRPr="00E654A2">
        <w:rPr>
          <w:rFonts w:ascii="Arial" w:hAnsi="Arial" w:cs="Arial"/>
          <w:i/>
          <w:iCs/>
          <w:sz w:val="24"/>
          <w:szCs w:val="24"/>
        </w:rPr>
        <w:t>The Competency Framework</w:t>
      </w:r>
      <w:r w:rsidRPr="00E654A2">
        <w:rPr>
          <w:rFonts w:ascii="Arial" w:hAnsi="Arial" w:cs="Arial"/>
          <w:sz w:val="24"/>
          <w:szCs w:val="24"/>
        </w:rPr>
        <w:t xml:space="preserve">. Available at: </w:t>
      </w:r>
      <w:hyperlink r:id="rId10" w:history="1">
        <w:r w:rsidR="00971162" w:rsidRPr="00E654A2">
          <w:rPr>
            <w:rStyle w:val="Hyperlink"/>
            <w:rFonts w:ascii="Arial" w:hAnsi="Arial" w:cs="Arial"/>
            <w:sz w:val="24"/>
            <w:szCs w:val="24"/>
          </w:rPr>
          <w:t>https://www.cgi.org.uk/qualifications-training/competency-framework/</w:t>
        </w:r>
      </w:hyperlink>
      <w:r w:rsidR="00971162" w:rsidRPr="00E654A2">
        <w:rPr>
          <w:rFonts w:ascii="Arial" w:hAnsi="Arial" w:cs="Arial"/>
          <w:sz w:val="24"/>
          <w:szCs w:val="24"/>
        </w:rPr>
        <w:t xml:space="preserve"> </w:t>
      </w:r>
      <w:r w:rsidRPr="00E654A2">
        <w:rPr>
          <w:rFonts w:ascii="Arial" w:hAnsi="Arial" w:cs="Arial"/>
          <w:sz w:val="24"/>
          <w:szCs w:val="24"/>
        </w:rPr>
        <w:t xml:space="preserve">(Accessed: </w:t>
      </w:r>
      <w:r w:rsidR="005F174E">
        <w:rPr>
          <w:rFonts w:ascii="Arial" w:hAnsi="Arial" w:cs="Arial"/>
          <w:sz w:val="24"/>
          <w:szCs w:val="24"/>
        </w:rPr>
        <w:t>18 March</w:t>
      </w:r>
      <w:r w:rsidRPr="00E654A2">
        <w:rPr>
          <w:rFonts w:ascii="Arial" w:hAnsi="Arial" w:cs="Arial"/>
          <w:sz w:val="24"/>
          <w:szCs w:val="24"/>
        </w:rPr>
        <w:t xml:space="preserve"> 2026).</w:t>
      </w:r>
    </w:p>
    <w:p w14:paraId="46C7EC98" w14:textId="77777777" w:rsidR="003C5832" w:rsidRPr="00E654A2" w:rsidRDefault="003C5832" w:rsidP="003C5832">
      <w:pPr>
        <w:jc w:val="both"/>
        <w:rPr>
          <w:rFonts w:ascii="Arial" w:hAnsi="Arial" w:cs="Arial"/>
          <w:lang w:eastAsia="en-GB"/>
        </w:rPr>
      </w:pPr>
      <w:r w:rsidRPr="00E654A2">
        <w:rPr>
          <w:rFonts w:ascii="Arial" w:hAnsi="Arial" w:cs="Arial"/>
          <w:sz w:val="24"/>
          <w:szCs w:val="24"/>
        </w:rPr>
        <w:t xml:space="preserve">Coghlan, D. (2019) </w:t>
      </w:r>
      <w:r w:rsidRPr="00E654A2">
        <w:rPr>
          <w:rFonts w:ascii="Arial" w:hAnsi="Arial" w:cs="Arial"/>
          <w:i/>
          <w:iCs/>
          <w:sz w:val="24"/>
          <w:szCs w:val="24"/>
        </w:rPr>
        <w:t>Doing Action Research in Your Own Organization</w:t>
      </w:r>
      <w:r w:rsidRPr="00E654A2">
        <w:rPr>
          <w:rFonts w:ascii="Arial" w:hAnsi="Arial" w:cs="Arial"/>
          <w:sz w:val="24"/>
          <w:szCs w:val="24"/>
        </w:rPr>
        <w:t xml:space="preserve">. 5th </w:t>
      </w:r>
      <w:proofErr w:type="spellStart"/>
      <w:r w:rsidRPr="00E654A2">
        <w:rPr>
          <w:rFonts w:ascii="Arial" w:hAnsi="Arial" w:cs="Arial"/>
          <w:sz w:val="24"/>
          <w:szCs w:val="24"/>
        </w:rPr>
        <w:t>edn</w:t>
      </w:r>
      <w:proofErr w:type="spellEnd"/>
      <w:r w:rsidRPr="00E654A2">
        <w:rPr>
          <w:rFonts w:ascii="Arial" w:hAnsi="Arial" w:cs="Arial"/>
          <w:sz w:val="24"/>
          <w:szCs w:val="24"/>
        </w:rPr>
        <w:t>. London: SAGE.</w:t>
      </w:r>
    </w:p>
    <w:p w14:paraId="7ECC5E37" w14:textId="28FFE939" w:rsidR="003C5832" w:rsidRPr="00E654A2" w:rsidRDefault="003C5832" w:rsidP="003C5832">
      <w:pPr>
        <w:jc w:val="both"/>
        <w:rPr>
          <w:rFonts w:ascii="Arial" w:hAnsi="Arial" w:cs="Arial"/>
          <w:lang w:eastAsia="en-GB"/>
        </w:rPr>
      </w:pPr>
      <w:r w:rsidRPr="00E654A2">
        <w:rPr>
          <w:rFonts w:ascii="Arial" w:hAnsi="Arial" w:cs="Arial"/>
          <w:sz w:val="24"/>
          <w:szCs w:val="24"/>
        </w:rPr>
        <w:t xml:space="preserve">Companies Act 2006 (c. 46). London: The Stationery Office. Available at: </w:t>
      </w:r>
      <w:hyperlink r:id="rId11" w:history="1">
        <w:r w:rsidR="00971162" w:rsidRPr="00E654A2">
          <w:rPr>
            <w:rStyle w:val="Hyperlink"/>
            <w:rFonts w:ascii="Arial" w:hAnsi="Arial" w:cs="Arial"/>
            <w:sz w:val="24"/>
            <w:szCs w:val="24"/>
          </w:rPr>
          <w:t>https://www.legislation.gov.uk/ukpga/2006/46/contents</w:t>
        </w:r>
      </w:hyperlink>
      <w:r w:rsidR="00971162" w:rsidRPr="00E654A2">
        <w:rPr>
          <w:rFonts w:ascii="Arial" w:hAnsi="Arial" w:cs="Arial"/>
          <w:sz w:val="24"/>
          <w:szCs w:val="24"/>
        </w:rPr>
        <w:t xml:space="preserve"> </w:t>
      </w:r>
      <w:r w:rsidRPr="00E654A2">
        <w:rPr>
          <w:rFonts w:ascii="Arial" w:hAnsi="Arial" w:cs="Arial"/>
          <w:sz w:val="24"/>
          <w:szCs w:val="24"/>
        </w:rPr>
        <w:t xml:space="preserve">(Accessed: </w:t>
      </w:r>
      <w:r w:rsidR="007B4AA2">
        <w:rPr>
          <w:rFonts w:ascii="Arial" w:hAnsi="Arial" w:cs="Arial"/>
          <w:sz w:val="24"/>
          <w:szCs w:val="24"/>
        </w:rPr>
        <w:t>3</w:t>
      </w:r>
      <w:r w:rsidRPr="00E654A2">
        <w:rPr>
          <w:rFonts w:ascii="Arial" w:hAnsi="Arial" w:cs="Arial"/>
          <w:sz w:val="24"/>
          <w:szCs w:val="24"/>
        </w:rPr>
        <w:t xml:space="preserve"> April 2026).</w:t>
      </w:r>
    </w:p>
    <w:p w14:paraId="01476828" w14:textId="39F0D186" w:rsidR="003C5832" w:rsidRPr="00E654A2" w:rsidRDefault="003C5832" w:rsidP="003C5832">
      <w:pPr>
        <w:jc w:val="both"/>
        <w:rPr>
          <w:rFonts w:ascii="Arial" w:hAnsi="Arial" w:cs="Arial"/>
          <w:lang w:eastAsia="en-GB"/>
        </w:rPr>
      </w:pPr>
      <w:r w:rsidRPr="00E654A2">
        <w:rPr>
          <w:rFonts w:ascii="Arial" w:hAnsi="Arial" w:cs="Arial"/>
          <w:sz w:val="24"/>
          <w:szCs w:val="24"/>
        </w:rPr>
        <w:t xml:space="preserve">Data Protection Act 2018 (c. 12). London: The Stationery Office. Available at: </w:t>
      </w:r>
      <w:hyperlink r:id="rId12" w:history="1">
        <w:r w:rsidR="00971162" w:rsidRPr="00E654A2">
          <w:rPr>
            <w:rStyle w:val="Hyperlink"/>
            <w:rFonts w:ascii="Arial" w:hAnsi="Arial" w:cs="Arial"/>
            <w:sz w:val="24"/>
            <w:szCs w:val="24"/>
          </w:rPr>
          <w:t>https://www.legislation.gov.uk/ukpga/2018/12/contents</w:t>
        </w:r>
      </w:hyperlink>
      <w:r w:rsidR="00971162" w:rsidRPr="00E654A2">
        <w:rPr>
          <w:rFonts w:ascii="Arial" w:hAnsi="Arial" w:cs="Arial"/>
          <w:sz w:val="24"/>
          <w:szCs w:val="24"/>
        </w:rPr>
        <w:t xml:space="preserve"> </w:t>
      </w:r>
      <w:r w:rsidRPr="00E654A2">
        <w:rPr>
          <w:rFonts w:ascii="Arial" w:hAnsi="Arial" w:cs="Arial"/>
          <w:sz w:val="24"/>
          <w:szCs w:val="24"/>
        </w:rPr>
        <w:t xml:space="preserve">(Accessed: </w:t>
      </w:r>
      <w:r w:rsidR="00275579">
        <w:rPr>
          <w:rFonts w:ascii="Arial" w:hAnsi="Arial" w:cs="Arial"/>
          <w:sz w:val="24"/>
          <w:szCs w:val="24"/>
        </w:rPr>
        <w:t>1</w:t>
      </w:r>
      <w:r w:rsidRPr="00E654A2">
        <w:rPr>
          <w:rFonts w:ascii="Arial" w:hAnsi="Arial" w:cs="Arial"/>
          <w:sz w:val="24"/>
          <w:szCs w:val="24"/>
        </w:rPr>
        <w:t>1 April 2026).</w:t>
      </w:r>
    </w:p>
    <w:p w14:paraId="2B7389E5" w14:textId="7E0EE302" w:rsidR="003C5832" w:rsidRPr="00E654A2" w:rsidRDefault="003C5832" w:rsidP="00B33D23">
      <w:pPr>
        <w:rPr>
          <w:rFonts w:ascii="Arial" w:hAnsi="Arial" w:cs="Arial"/>
          <w:lang w:eastAsia="en-GB"/>
        </w:rPr>
      </w:pPr>
      <w:r w:rsidRPr="00E654A2">
        <w:rPr>
          <w:rFonts w:ascii="Arial" w:hAnsi="Arial" w:cs="Arial"/>
          <w:sz w:val="24"/>
          <w:szCs w:val="24"/>
        </w:rPr>
        <w:t xml:space="preserve">Department for Science, Innovation and Technology (DSIT) (2025) </w:t>
      </w:r>
      <w:r w:rsidRPr="00E654A2">
        <w:rPr>
          <w:rFonts w:ascii="Arial" w:hAnsi="Arial" w:cs="Arial"/>
          <w:i/>
          <w:iCs/>
          <w:sz w:val="24"/>
          <w:szCs w:val="24"/>
        </w:rPr>
        <w:t>AI Cyber Security Code of Practice</w:t>
      </w:r>
      <w:r w:rsidRPr="00E654A2">
        <w:rPr>
          <w:rFonts w:ascii="Arial" w:hAnsi="Arial" w:cs="Arial"/>
          <w:sz w:val="24"/>
          <w:szCs w:val="24"/>
        </w:rPr>
        <w:t>. London: Department for Science, Innovation and Technology. Available at:</w:t>
      </w:r>
      <w:r w:rsidR="00B33D23">
        <w:rPr>
          <w:rFonts w:ascii="Arial" w:hAnsi="Arial" w:cs="Arial"/>
          <w:sz w:val="24"/>
          <w:szCs w:val="24"/>
        </w:rPr>
        <w:t xml:space="preserve"> </w:t>
      </w:r>
      <w:hyperlink r:id="rId13" w:history="1">
        <w:r w:rsidR="00B33D23" w:rsidRPr="00FC6C19">
          <w:rPr>
            <w:rStyle w:val="Hyperlink"/>
            <w:rFonts w:ascii="Arial" w:hAnsi="Arial" w:cs="Arial"/>
            <w:sz w:val="24"/>
            <w:szCs w:val="24"/>
          </w:rPr>
          <w:t>https://www.gov.uk/government/publications/ai-cyber-security-code-of-practice</w:t>
        </w:r>
      </w:hyperlink>
      <w:r w:rsidR="00971162" w:rsidRPr="00E654A2">
        <w:rPr>
          <w:rFonts w:ascii="Arial" w:hAnsi="Arial" w:cs="Arial"/>
          <w:sz w:val="24"/>
          <w:szCs w:val="24"/>
        </w:rPr>
        <w:t xml:space="preserve"> </w:t>
      </w:r>
      <w:r w:rsidRPr="00E654A2">
        <w:rPr>
          <w:rFonts w:ascii="Arial" w:hAnsi="Arial" w:cs="Arial"/>
          <w:sz w:val="24"/>
          <w:szCs w:val="24"/>
        </w:rPr>
        <w:t xml:space="preserve">(Accessed: </w:t>
      </w:r>
      <w:r w:rsidR="00275579">
        <w:rPr>
          <w:rFonts w:ascii="Arial" w:hAnsi="Arial" w:cs="Arial"/>
          <w:sz w:val="24"/>
          <w:szCs w:val="24"/>
        </w:rPr>
        <w:t>11</w:t>
      </w:r>
      <w:r w:rsidRPr="00E654A2">
        <w:rPr>
          <w:rFonts w:ascii="Arial" w:hAnsi="Arial" w:cs="Arial"/>
          <w:sz w:val="24"/>
          <w:szCs w:val="24"/>
        </w:rPr>
        <w:t xml:space="preserve"> April 2026).</w:t>
      </w:r>
    </w:p>
    <w:p w14:paraId="0558DA03" w14:textId="6B95A202" w:rsidR="00B46A9D" w:rsidRPr="00E654A2" w:rsidRDefault="00B46A9D">
      <w:pPr>
        <w:jc w:val="both"/>
        <w:rPr>
          <w:rFonts w:ascii="Arial" w:hAnsi="Arial" w:cs="Arial"/>
          <w:lang w:eastAsia="en-GB"/>
        </w:rPr>
      </w:pPr>
      <w:r w:rsidRPr="00E654A2">
        <w:rPr>
          <w:rFonts w:ascii="Arial" w:hAnsi="Arial" w:cs="Arial"/>
          <w:sz w:val="24"/>
          <w:szCs w:val="24"/>
        </w:rPr>
        <w:t xml:space="preserve">Economic Crime and Corporate Transparency Act 2023 (c. 56). London: The Stationery Office. Available at: </w:t>
      </w:r>
      <w:hyperlink r:id="rId14" w:history="1">
        <w:r w:rsidR="00971162" w:rsidRPr="00E654A2">
          <w:rPr>
            <w:rStyle w:val="Hyperlink"/>
            <w:rFonts w:ascii="Arial" w:hAnsi="Arial" w:cs="Arial"/>
            <w:sz w:val="24"/>
            <w:szCs w:val="24"/>
          </w:rPr>
          <w:t>https://www.legislation.gov.uk/ukpga/2023/56/contents</w:t>
        </w:r>
      </w:hyperlink>
      <w:r w:rsidR="00971162" w:rsidRPr="00E654A2">
        <w:rPr>
          <w:rFonts w:ascii="Arial" w:hAnsi="Arial" w:cs="Arial"/>
          <w:sz w:val="24"/>
          <w:szCs w:val="24"/>
        </w:rPr>
        <w:t xml:space="preserve"> </w:t>
      </w:r>
      <w:r w:rsidRPr="00E654A2">
        <w:rPr>
          <w:rFonts w:ascii="Arial" w:hAnsi="Arial" w:cs="Arial"/>
          <w:sz w:val="24"/>
          <w:szCs w:val="24"/>
        </w:rPr>
        <w:t xml:space="preserve">(Accessed: </w:t>
      </w:r>
      <w:r w:rsidR="007B4AA2">
        <w:rPr>
          <w:rFonts w:ascii="Arial" w:hAnsi="Arial" w:cs="Arial"/>
          <w:sz w:val="24"/>
          <w:szCs w:val="24"/>
        </w:rPr>
        <w:t>3</w:t>
      </w:r>
      <w:r w:rsidRPr="00E654A2">
        <w:rPr>
          <w:rFonts w:ascii="Arial" w:hAnsi="Arial" w:cs="Arial"/>
          <w:sz w:val="24"/>
          <w:szCs w:val="24"/>
        </w:rPr>
        <w:t xml:space="preserve"> April 2026).</w:t>
      </w:r>
    </w:p>
    <w:p w14:paraId="18608EC5" w14:textId="77777777" w:rsidR="003C5832" w:rsidRDefault="003C5832" w:rsidP="003C5832">
      <w:pPr>
        <w:jc w:val="both"/>
        <w:rPr>
          <w:rFonts w:ascii="Arial" w:hAnsi="Arial" w:cs="Arial"/>
          <w:sz w:val="24"/>
          <w:szCs w:val="24"/>
        </w:rPr>
      </w:pPr>
      <w:r w:rsidRPr="00E654A2">
        <w:rPr>
          <w:rFonts w:ascii="Arial" w:hAnsi="Arial" w:cs="Arial"/>
          <w:sz w:val="24"/>
          <w:szCs w:val="24"/>
        </w:rPr>
        <w:t xml:space="preserve">Eraut, M. (1994) </w:t>
      </w:r>
      <w:r w:rsidRPr="00E654A2">
        <w:rPr>
          <w:rFonts w:ascii="Arial" w:hAnsi="Arial" w:cs="Arial"/>
          <w:i/>
          <w:iCs/>
          <w:sz w:val="24"/>
          <w:szCs w:val="24"/>
        </w:rPr>
        <w:t>Developing Professional Knowledge and Competence</w:t>
      </w:r>
      <w:r w:rsidRPr="00E654A2">
        <w:rPr>
          <w:rFonts w:ascii="Arial" w:hAnsi="Arial" w:cs="Arial"/>
          <w:sz w:val="24"/>
          <w:szCs w:val="24"/>
        </w:rPr>
        <w:t>. London: Routledge.</w:t>
      </w:r>
    </w:p>
    <w:p w14:paraId="15E7AB2E" w14:textId="3605901D" w:rsidR="006622C9" w:rsidRPr="00E654A2" w:rsidRDefault="006622C9" w:rsidP="003C5832">
      <w:pPr>
        <w:jc w:val="both"/>
        <w:rPr>
          <w:rFonts w:ascii="Arial" w:hAnsi="Arial" w:cs="Arial"/>
          <w:lang w:eastAsia="en-GB"/>
        </w:rPr>
      </w:pPr>
      <w:r>
        <w:rPr>
          <w:rFonts w:ascii="Arial" w:hAnsi="Arial" w:cs="Arial"/>
          <w:sz w:val="24"/>
          <w:szCs w:val="24"/>
        </w:rPr>
        <w:t>Eraut, M. (2000) ‘</w:t>
      </w:r>
      <w:r w:rsidR="00746B88">
        <w:rPr>
          <w:rFonts w:ascii="Arial" w:hAnsi="Arial" w:cs="Arial"/>
          <w:sz w:val="24"/>
          <w:szCs w:val="24"/>
        </w:rPr>
        <w:t>Non</w:t>
      </w:r>
      <w:r w:rsidR="001A6B20">
        <w:rPr>
          <w:rFonts w:ascii="Arial" w:hAnsi="Arial" w:cs="Arial"/>
          <w:sz w:val="24"/>
          <w:szCs w:val="24"/>
        </w:rPr>
        <w:t>-formal learning and tacit knowledge in professional work’, British Journal of Educational Psychology. 70, pp</w:t>
      </w:r>
      <w:r w:rsidR="00AB574A">
        <w:rPr>
          <w:rFonts w:ascii="Arial" w:hAnsi="Arial" w:cs="Arial"/>
          <w:sz w:val="24"/>
          <w:szCs w:val="24"/>
        </w:rPr>
        <w:t>.113-136.</w:t>
      </w:r>
    </w:p>
    <w:p w14:paraId="62FDE248" w14:textId="307746E5" w:rsidR="00B46A9D" w:rsidRPr="00E654A2" w:rsidRDefault="00B46A9D">
      <w:pPr>
        <w:jc w:val="both"/>
        <w:rPr>
          <w:rFonts w:ascii="Arial" w:hAnsi="Arial" w:cs="Arial"/>
          <w:lang w:eastAsia="en-GB"/>
        </w:rPr>
      </w:pPr>
      <w:r w:rsidRPr="00E654A2">
        <w:rPr>
          <w:rFonts w:ascii="Arial" w:hAnsi="Arial" w:cs="Arial"/>
          <w:sz w:val="24"/>
          <w:szCs w:val="24"/>
        </w:rPr>
        <w:t xml:space="preserve">Eraut, M. (2004) ‘Informal Learning in the Workplace’, </w:t>
      </w:r>
      <w:r w:rsidRPr="00E654A2">
        <w:rPr>
          <w:rFonts w:ascii="Arial" w:hAnsi="Arial" w:cs="Arial"/>
          <w:i/>
          <w:iCs/>
          <w:sz w:val="24"/>
          <w:szCs w:val="24"/>
        </w:rPr>
        <w:t>Studies in Continuing Education</w:t>
      </w:r>
      <w:r w:rsidRPr="00E654A2">
        <w:rPr>
          <w:rFonts w:ascii="Arial" w:hAnsi="Arial" w:cs="Arial"/>
          <w:sz w:val="24"/>
          <w:szCs w:val="24"/>
        </w:rPr>
        <w:t xml:space="preserve">, 26(2), pp. 247–273. Available at: </w:t>
      </w:r>
      <w:hyperlink r:id="rId15" w:history="1">
        <w:r w:rsidR="00971162" w:rsidRPr="00E654A2">
          <w:rPr>
            <w:rStyle w:val="Hyperlink"/>
            <w:rFonts w:ascii="Arial" w:hAnsi="Arial" w:cs="Arial"/>
            <w:sz w:val="24"/>
            <w:szCs w:val="24"/>
          </w:rPr>
          <w:t>https://doi.org/10.1080/158037042000225245</w:t>
        </w:r>
      </w:hyperlink>
      <w:r w:rsidR="00971162" w:rsidRPr="00E654A2">
        <w:rPr>
          <w:rFonts w:ascii="Arial" w:hAnsi="Arial" w:cs="Arial"/>
          <w:sz w:val="24"/>
          <w:szCs w:val="24"/>
        </w:rPr>
        <w:t xml:space="preserve"> </w:t>
      </w:r>
      <w:r w:rsidRPr="00E654A2">
        <w:rPr>
          <w:rFonts w:ascii="Arial" w:hAnsi="Arial" w:cs="Arial"/>
          <w:sz w:val="24"/>
          <w:szCs w:val="24"/>
        </w:rPr>
        <w:t xml:space="preserve">(Accessed: </w:t>
      </w:r>
      <w:r w:rsidR="0046317D">
        <w:rPr>
          <w:rFonts w:ascii="Arial" w:hAnsi="Arial" w:cs="Arial"/>
          <w:sz w:val="24"/>
          <w:szCs w:val="24"/>
        </w:rPr>
        <w:t>16</w:t>
      </w:r>
      <w:r w:rsidRPr="00E654A2">
        <w:rPr>
          <w:rFonts w:ascii="Arial" w:hAnsi="Arial" w:cs="Arial"/>
          <w:sz w:val="24"/>
          <w:szCs w:val="24"/>
        </w:rPr>
        <w:t xml:space="preserve"> April 2026).</w:t>
      </w:r>
    </w:p>
    <w:p w14:paraId="1D5C90C7" w14:textId="620655A0" w:rsidR="003C5832" w:rsidRPr="00E654A2" w:rsidRDefault="003C5832" w:rsidP="003C5832">
      <w:pPr>
        <w:jc w:val="both"/>
        <w:rPr>
          <w:rFonts w:ascii="Arial" w:hAnsi="Arial" w:cs="Arial"/>
          <w:lang w:eastAsia="en-GB"/>
        </w:rPr>
      </w:pPr>
      <w:r w:rsidRPr="00E654A2">
        <w:rPr>
          <w:rFonts w:ascii="Arial" w:hAnsi="Arial" w:cs="Arial"/>
          <w:sz w:val="24"/>
          <w:szCs w:val="24"/>
        </w:rPr>
        <w:t xml:space="preserve">European Parliament and Council (2016) Regulation (EU) 2016/679 of the European Parliament and of the Council of 27 April 2016 on the protection of natural persons </w:t>
      </w:r>
      <w:proofErr w:type="gramStart"/>
      <w:r w:rsidRPr="00E654A2">
        <w:rPr>
          <w:rFonts w:ascii="Arial" w:hAnsi="Arial" w:cs="Arial"/>
          <w:sz w:val="24"/>
          <w:szCs w:val="24"/>
        </w:rPr>
        <w:t>with regard to</w:t>
      </w:r>
      <w:proofErr w:type="gramEnd"/>
      <w:r w:rsidRPr="00E654A2">
        <w:rPr>
          <w:rFonts w:ascii="Arial" w:hAnsi="Arial" w:cs="Arial"/>
          <w:sz w:val="24"/>
          <w:szCs w:val="24"/>
        </w:rPr>
        <w:t xml:space="preserve"> the processing of personal data and on the free movement of such data (General Data Protection Regulation). </w:t>
      </w:r>
      <w:r w:rsidRPr="00E654A2">
        <w:rPr>
          <w:rFonts w:ascii="Arial" w:hAnsi="Arial" w:cs="Arial"/>
          <w:i/>
          <w:iCs/>
          <w:sz w:val="24"/>
          <w:szCs w:val="24"/>
        </w:rPr>
        <w:t>Official Journal of the European Union</w:t>
      </w:r>
      <w:r w:rsidRPr="00E654A2">
        <w:rPr>
          <w:rFonts w:ascii="Arial" w:hAnsi="Arial" w:cs="Arial"/>
          <w:sz w:val="24"/>
          <w:szCs w:val="24"/>
        </w:rPr>
        <w:t xml:space="preserve">, L 119, pp. 1–88. Luxembourg: Publications Office of the European Union. Available at: </w:t>
      </w:r>
      <w:hyperlink r:id="rId16" w:history="1">
        <w:r w:rsidR="00971162" w:rsidRPr="00E654A2">
          <w:rPr>
            <w:rStyle w:val="Hyperlink"/>
            <w:rFonts w:ascii="Arial" w:hAnsi="Arial" w:cs="Arial"/>
            <w:sz w:val="24"/>
            <w:szCs w:val="24"/>
          </w:rPr>
          <w:t>https://eur-lex.europa.eu/eli/reg/2016/679/oj/eng</w:t>
        </w:r>
      </w:hyperlink>
      <w:r w:rsidR="00971162" w:rsidRPr="00E654A2">
        <w:rPr>
          <w:rFonts w:ascii="Arial" w:hAnsi="Arial" w:cs="Arial"/>
          <w:sz w:val="24"/>
          <w:szCs w:val="24"/>
        </w:rPr>
        <w:t xml:space="preserve"> </w:t>
      </w:r>
      <w:r w:rsidRPr="00E654A2">
        <w:rPr>
          <w:rFonts w:ascii="Arial" w:hAnsi="Arial" w:cs="Arial"/>
          <w:sz w:val="24"/>
          <w:szCs w:val="24"/>
        </w:rPr>
        <w:t>(Accessed: 21 April 2026).</w:t>
      </w:r>
    </w:p>
    <w:p w14:paraId="032AE030" w14:textId="1E414DCC" w:rsidR="003C5832" w:rsidRPr="00E654A2" w:rsidRDefault="003C5832" w:rsidP="003C5832">
      <w:pPr>
        <w:jc w:val="both"/>
        <w:rPr>
          <w:rFonts w:ascii="Arial" w:hAnsi="Arial" w:cs="Arial"/>
          <w:lang w:eastAsia="en-GB"/>
        </w:rPr>
      </w:pPr>
      <w:r w:rsidRPr="00E654A2">
        <w:rPr>
          <w:rFonts w:ascii="Arial" w:hAnsi="Arial" w:cs="Arial"/>
          <w:sz w:val="24"/>
          <w:szCs w:val="24"/>
        </w:rPr>
        <w:lastRenderedPageBreak/>
        <w:t xml:space="preserve">Financial Reporting Council (2018) </w:t>
      </w:r>
      <w:r w:rsidRPr="00E654A2">
        <w:rPr>
          <w:rFonts w:ascii="Arial" w:hAnsi="Arial" w:cs="Arial"/>
          <w:i/>
          <w:iCs/>
          <w:sz w:val="24"/>
          <w:szCs w:val="24"/>
        </w:rPr>
        <w:t>The Wates Corporate Governance Principles for Large Private Companies</w:t>
      </w:r>
      <w:r w:rsidRPr="00E654A2">
        <w:rPr>
          <w:rFonts w:ascii="Arial" w:hAnsi="Arial" w:cs="Arial"/>
          <w:sz w:val="24"/>
          <w:szCs w:val="24"/>
        </w:rPr>
        <w:t xml:space="preserve">. London: Financial Reporting Council. Available at: </w:t>
      </w:r>
      <w:hyperlink r:id="rId17" w:history="1">
        <w:r w:rsidR="00971162" w:rsidRPr="00E654A2">
          <w:rPr>
            <w:rStyle w:val="Hyperlink"/>
            <w:rFonts w:ascii="Arial" w:hAnsi="Arial" w:cs="Arial"/>
            <w:sz w:val="24"/>
            <w:szCs w:val="24"/>
          </w:rPr>
          <w:t>https://www.frc.org.uk/library/standards-codes-policy/corporate-governance/the-wates-corporate-governance-principles-for-large-private-companies/</w:t>
        </w:r>
      </w:hyperlink>
      <w:r w:rsidR="00971162" w:rsidRPr="00E654A2">
        <w:rPr>
          <w:rFonts w:ascii="Arial" w:hAnsi="Arial" w:cs="Arial"/>
          <w:sz w:val="24"/>
          <w:szCs w:val="24"/>
        </w:rPr>
        <w:t xml:space="preserve"> </w:t>
      </w:r>
      <w:r w:rsidRPr="00E654A2">
        <w:rPr>
          <w:rFonts w:ascii="Arial" w:hAnsi="Arial" w:cs="Arial"/>
          <w:sz w:val="24"/>
          <w:szCs w:val="24"/>
        </w:rPr>
        <w:t xml:space="preserve">(Accessed: </w:t>
      </w:r>
      <w:r w:rsidR="001A3BD7">
        <w:rPr>
          <w:rFonts w:ascii="Arial" w:hAnsi="Arial" w:cs="Arial"/>
          <w:sz w:val="24"/>
          <w:szCs w:val="24"/>
        </w:rPr>
        <w:t>3</w:t>
      </w:r>
      <w:r w:rsidRPr="00E654A2">
        <w:rPr>
          <w:rFonts w:ascii="Arial" w:hAnsi="Arial" w:cs="Arial"/>
          <w:sz w:val="24"/>
          <w:szCs w:val="24"/>
        </w:rPr>
        <w:t xml:space="preserve"> April 2026).</w:t>
      </w:r>
    </w:p>
    <w:p w14:paraId="1EE74644" w14:textId="2B9C438C" w:rsidR="003C5832" w:rsidRPr="00E654A2" w:rsidRDefault="003C5832" w:rsidP="003C5832">
      <w:pPr>
        <w:jc w:val="both"/>
        <w:rPr>
          <w:rFonts w:ascii="Arial" w:hAnsi="Arial" w:cs="Arial"/>
          <w:lang w:eastAsia="en-GB"/>
        </w:rPr>
      </w:pPr>
      <w:r w:rsidRPr="00E654A2">
        <w:rPr>
          <w:rFonts w:ascii="Arial" w:hAnsi="Arial" w:cs="Arial"/>
          <w:sz w:val="24"/>
          <w:szCs w:val="24"/>
        </w:rPr>
        <w:t xml:space="preserve">Financial Reporting Council (2024) </w:t>
      </w:r>
      <w:r w:rsidRPr="00E654A2">
        <w:rPr>
          <w:rFonts w:ascii="Arial" w:hAnsi="Arial" w:cs="Arial"/>
          <w:i/>
          <w:iCs/>
          <w:sz w:val="24"/>
          <w:szCs w:val="24"/>
        </w:rPr>
        <w:t>UK Corporate Governance Code 2024</w:t>
      </w:r>
      <w:r w:rsidRPr="00E654A2">
        <w:rPr>
          <w:rFonts w:ascii="Arial" w:hAnsi="Arial" w:cs="Arial"/>
          <w:sz w:val="24"/>
          <w:szCs w:val="24"/>
        </w:rPr>
        <w:t xml:space="preserve">. London: Financial Reporting Council. Available at: </w:t>
      </w:r>
      <w:hyperlink r:id="rId18" w:history="1">
        <w:r w:rsidR="00971162" w:rsidRPr="00E654A2">
          <w:rPr>
            <w:rStyle w:val="Hyperlink"/>
            <w:rFonts w:ascii="Arial" w:hAnsi="Arial" w:cs="Arial"/>
            <w:sz w:val="24"/>
            <w:szCs w:val="24"/>
          </w:rPr>
          <w:t>https://www.frc.org.uk/library/standards-codes-policy/corporate-governance/uk-corporate-governance-code/</w:t>
        </w:r>
      </w:hyperlink>
      <w:r w:rsidR="00971162" w:rsidRPr="00E654A2">
        <w:rPr>
          <w:rFonts w:ascii="Arial" w:hAnsi="Arial" w:cs="Arial"/>
          <w:sz w:val="24"/>
          <w:szCs w:val="24"/>
        </w:rPr>
        <w:t xml:space="preserve"> </w:t>
      </w:r>
      <w:r w:rsidRPr="00E654A2">
        <w:rPr>
          <w:rFonts w:ascii="Arial" w:hAnsi="Arial" w:cs="Arial"/>
          <w:sz w:val="24"/>
          <w:szCs w:val="24"/>
        </w:rPr>
        <w:t xml:space="preserve">(Accessed: </w:t>
      </w:r>
      <w:r w:rsidR="001A3BD7">
        <w:rPr>
          <w:rFonts w:ascii="Arial" w:hAnsi="Arial" w:cs="Arial"/>
          <w:sz w:val="24"/>
          <w:szCs w:val="24"/>
        </w:rPr>
        <w:t>3</w:t>
      </w:r>
      <w:r w:rsidRPr="00E654A2">
        <w:rPr>
          <w:rFonts w:ascii="Arial" w:hAnsi="Arial" w:cs="Arial"/>
          <w:sz w:val="24"/>
          <w:szCs w:val="24"/>
        </w:rPr>
        <w:t xml:space="preserve"> April 2026).</w:t>
      </w:r>
    </w:p>
    <w:p w14:paraId="297F545B" w14:textId="77777777" w:rsidR="003C5832" w:rsidRPr="00E654A2" w:rsidRDefault="003C5832" w:rsidP="003C5832">
      <w:pPr>
        <w:jc w:val="both"/>
        <w:rPr>
          <w:rFonts w:ascii="Arial" w:hAnsi="Arial" w:cs="Arial"/>
          <w:lang w:eastAsia="en-GB"/>
        </w:rPr>
      </w:pPr>
      <w:r w:rsidRPr="00E654A2">
        <w:rPr>
          <w:rFonts w:ascii="Arial" w:hAnsi="Arial" w:cs="Arial"/>
          <w:sz w:val="24"/>
          <w:szCs w:val="24"/>
        </w:rPr>
        <w:t xml:space="preserve">Gibbs, G. (1988) </w:t>
      </w:r>
      <w:r w:rsidRPr="00E654A2">
        <w:rPr>
          <w:rFonts w:ascii="Arial" w:hAnsi="Arial" w:cs="Arial"/>
          <w:i/>
          <w:iCs/>
          <w:sz w:val="24"/>
          <w:szCs w:val="24"/>
        </w:rPr>
        <w:t>Learning by Doing: A Guide to Teaching and Learning Methods</w:t>
      </w:r>
      <w:r w:rsidRPr="00E654A2">
        <w:rPr>
          <w:rFonts w:ascii="Arial" w:hAnsi="Arial" w:cs="Arial"/>
          <w:sz w:val="24"/>
          <w:szCs w:val="24"/>
        </w:rPr>
        <w:t>. Oxford: Further Education Unit.</w:t>
      </w:r>
    </w:p>
    <w:p w14:paraId="14D3F3A3" w14:textId="6F0D4E92" w:rsidR="003C5832" w:rsidRPr="00E654A2" w:rsidRDefault="003C5832" w:rsidP="003C5832">
      <w:pPr>
        <w:jc w:val="both"/>
        <w:rPr>
          <w:rFonts w:ascii="Arial" w:hAnsi="Arial" w:cs="Arial"/>
          <w:lang w:eastAsia="en-GB"/>
        </w:rPr>
      </w:pPr>
      <w:r w:rsidRPr="00E654A2">
        <w:rPr>
          <w:rFonts w:ascii="Arial" w:hAnsi="Arial" w:cs="Arial"/>
          <w:sz w:val="24"/>
          <w:szCs w:val="24"/>
        </w:rPr>
        <w:t xml:space="preserve">Information Commissioner’s Office (ICO) (2023) </w:t>
      </w:r>
      <w:r w:rsidRPr="00E654A2">
        <w:rPr>
          <w:rFonts w:ascii="Arial" w:hAnsi="Arial" w:cs="Arial"/>
          <w:i/>
          <w:iCs/>
          <w:sz w:val="24"/>
          <w:szCs w:val="24"/>
        </w:rPr>
        <w:t>Guidance on AI and data protection</w:t>
      </w:r>
      <w:r w:rsidRPr="00E654A2">
        <w:rPr>
          <w:rFonts w:ascii="Arial" w:hAnsi="Arial" w:cs="Arial"/>
          <w:sz w:val="24"/>
          <w:szCs w:val="24"/>
        </w:rPr>
        <w:t xml:space="preserve">. Wilmslow: Information Commissioner’s Office. Available at: </w:t>
      </w:r>
      <w:hyperlink r:id="rId19" w:history="1">
        <w:r w:rsidR="00971162" w:rsidRPr="00E654A2">
          <w:rPr>
            <w:rStyle w:val="Hyperlink"/>
            <w:rFonts w:ascii="Arial" w:hAnsi="Arial" w:cs="Arial"/>
            <w:sz w:val="24"/>
            <w:szCs w:val="24"/>
          </w:rPr>
          <w:t>https://ico.org.uk/for-organisations/uk-gdpr-guidance-and-resources/artificial-intelligence/guidance-on-ai-and-data-protection/</w:t>
        </w:r>
      </w:hyperlink>
      <w:r w:rsidR="00971162" w:rsidRPr="00E654A2">
        <w:rPr>
          <w:rFonts w:ascii="Arial" w:hAnsi="Arial" w:cs="Arial"/>
          <w:sz w:val="24"/>
          <w:szCs w:val="24"/>
        </w:rPr>
        <w:t xml:space="preserve"> </w:t>
      </w:r>
      <w:r w:rsidRPr="00E654A2">
        <w:rPr>
          <w:rFonts w:ascii="Arial" w:hAnsi="Arial" w:cs="Arial"/>
          <w:sz w:val="24"/>
          <w:szCs w:val="24"/>
        </w:rPr>
        <w:t>(Accessed: 21 April 2026).</w:t>
      </w:r>
    </w:p>
    <w:p w14:paraId="67101023" w14:textId="7D054580" w:rsidR="004E78A4" w:rsidRPr="00E654A2" w:rsidRDefault="004E78A4">
      <w:pPr>
        <w:jc w:val="both"/>
        <w:rPr>
          <w:rFonts w:ascii="Arial" w:hAnsi="Arial" w:cs="Arial"/>
          <w:lang w:eastAsia="en-GB"/>
        </w:rPr>
      </w:pPr>
      <w:r w:rsidRPr="00E654A2">
        <w:rPr>
          <w:rFonts w:ascii="Arial" w:hAnsi="Arial" w:cs="Arial"/>
          <w:sz w:val="24"/>
          <w:szCs w:val="24"/>
        </w:rPr>
        <w:t xml:space="preserve">Information Commissioner’s Office (ICO) (no date) </w:t>
      </w:r>
      <w:r w:rsidRPr="00E654A2">
        <w:rPr>
          <w:rFonts w:ascii="Arial" w:hAnsi="Arial" w:cs="Arial"/>
          <w:i/>
          <w:iCs/>
          <w:sz w:val="24"/>
          <w:szCs w:val="24"/>
        </w:rPr>
        <w:t>UK GDPR: Principles</w:t>
      </w:r>
      <w:r w:rsidRPr="00E654A2">
        <w:rPr>
          <w:rFonts w:ascii="Arial" w:hAnsi="Arial" w:cs="Arial"/>
          <w:sz w:val="24"/>
          <w:szCs w:val="24"/>
        </w:rPr>
        <w:t xml:space="preserve">. Wilmslow: Information Commissioner’s Office. Available at: </w:t>
      </w:r>
      <w:hyperlink r:id="rId20" w:history="1">
        <w:r w:rsidR="00971162" w:rsidRPr="00E654A2">
          <w:rPr>
            <w:rStyle w:val="Hyperlink"/>
            <w:rFonts w:ascii="Arial" w:hAnsi="Arial" w:cs="Arial"/>
            <w:sz w:val="24"/>
            <w:szCs w:val="24"/>
          </w:rPr>
          <w:t>https://ico.org.uk/for-organisations/uk-gdpr-guidance-and-resources/principles/</w:t>
        </w:r>
      </w:hyperlink>
      <w:r w:rsidR="00971162" w:rsidRPr="00E654A2">
        <w:rPr>
          <w:rFonts w:ascii="Arial" w:hAnsi="Arial" w:cs="Arial"/>
          <w:sz w:val="24"/>
          <w:szCs w:val="24"/>
        </w:rPr>
        <w:t xml:space="preserve"> </w:t>
      </w:r>
      <w:r w:rsidRPr="00E654A2">
        <w:rPr>
          <w:rFonts w:ascii="Arial" w:hAnsi="Arial" w:cs="Arial"/>
          <w:sz w:val="24"/>
          <w:szCs w:val="24"/>
        </w:rPr>
        <w:t>(Accessed: 21 April 2026).</w:t>
      </w:r>
    </w:p>
    <w:p w14:paraId="2236801F" w14:textId="32250276" w:rsidR="003C5832" w:rsidRPr="00E654A2" w:rsidRDefault="003C5832" w:rsidP="003C5832">
      <w:pPr>
        <w:jc w:val="both"/>
        <w:rPr>
          <w:rFonts w:ascii="Arial" w:hAnsi="Arial" w:cs="Arial"/>
          <w:lang w:eastAsia="en-GB"/>
        </w:rPr>
      </w:pPr>
      <w:r w:rsidRPr="00E654A2">
        <w:rPr>
          <w:rFonts w:ascii="Arial" w:hAnsi="Arial" w:cs="Arial"/>
          <w:sz w:val="24"/>
          <w:szCs w:val="24"/>
        </w:rPr>
        <w:t xml:space="preserve">Information Commissioner’s Office (ICO) (2026) </w:t>
      </w:r>
      <w:r w:rsidRPr="00E654A2">
        <w:rPr>
          <w:rFonts w:ascii="Arial" w:hAnsi="Arial" w:cs="Arial"/>
          <w:i/>
          <w:iCs/>
          <w:sz w:val="24"/>
          <w:szCs w:val="24"/>
        </w:rPr>
        <w:t>Data protection impact assessments (DPIAs)</w:t>
      </w:r>
      <w:r w:rsidRPr="00E654A2">
        <w:rPr>
          <w:rFonts w:ascii="Arial" w:hAnsi="Arial" w:cs="Arial"/>
          <w:sz w:val="24"/>
          <w:szCs w:val="24"/>
        </w:rPr>
        <w:t xml:space="preserve">. Wilmslow: Information Commissioner’s Office. Available at: </w:t>
      </w:r>
      <w:hyperlink r:id="rId21" w:history="1">
        <w:r w:rsidR="00971162" w:rsidRPr="00E654A2">
          <w:rPr>
            <w:rStyle w:val="Hyperlink"/>
            <w:rFonts w:ascii="Arial" w:hAnsi="Arial" w:cs="Arial"/>
            <w:sz w:val="24"/>
            <w:szCs w:val="24"/>
          </w:rPr>
          <w:t>https://ico.org.uk/for-organisations/uk-gdpr-guidance-and-resources/accountability-and-governance/data-protection-impact-assessments-dpias/</w:t>
        </w:r>
      </w:hyperlink>
      <w:r w:rsidR="00971162" w:rsidRPr="00E654A2">
        <w:rPr>
          <w:rFonts w:ascii="Arial" w:hAnsi="Arial" w:cs="Arial"/>
          <w:sz w:val="24"/>
          <w:szCs w:val="24"/>
        </w:rPr>
        <w:t xml:space="preserve"> </w:t>
      </w:r>
      <w:r w:rsidRPr="00E654A2">
        <w:rPr>
          <w:rFonts w:ascii="Arial" w:hAnsi="Arial" w:cs="Arial"/>
          <w:sz w:val="24"/>
          <w:szCs w:val="24"/>
        </w:rPr>
        <w:t>(Accessed: 21 April 2026).</w:t>
      </w:r>
    </w:p>
    <w:p w14:paraId="1FDDD8D1" w14:textId="2D6DD0EE" w:rsidR="003C5832" w:rsidRPr="00E654A2" w:rsidRDefault="003C5832" w:rsidP="003C5832">
      <w:pPr>
        <w:jc w:val="both"/>
        <w:rPr>
          <w:rFonts w:ascii="Arial" w:hAnsi="Arial" w:cs="Arial"/>
          <w:lang w:eastAsia="en-GB"/>
        </w:rPr>
      </w:pPr>
      <w:r w:rsidRPr="00E654A2">
        <w:rPr>
          <w:rFonts w:ascii="Arial" w:hAnsi="Arial" w:cs="Arial"/>
          <w:sz w:val="24"/>
          <w:szCs w:val="24"/>
        </w:rPr>
        <w:t xml:space="preserve">ISO (2016) </w:t>
      </w:r>
      <w:r w:rsidRPr="00E654A2">
        <w:rPr>
          <w:rFonts w:ascii="Arial" w:hAnsi="Arial" w:cs="Arial"/>
          <w:i/>
          <w:iCs/>
          <w:sz w:val="24"/>
          <w:szCs w:val="24"/>
        </w:rPr>
        <w:t>ISO 15489-1:2016 Information and documentation</w:t>
      </w:r>
      <w:r w:rsidR="0046317D">
        <w:rPr>
          <w:rFonts w:ascii="Arial" w:hAnsi="Arial" w:cs="Arial"/>
          <w:i/>
          <w:iCs/>
          <w:sz w:val="24"/>
          <w:szCs w:val="24"/>
        </w:rPr>
        <w:t xml:space="preserve"> - </w:t>
      </w:r>
      <w:r w:rsidRPr="00E654A2">
        <w:rPr>
          <w:rFonts w:ascii="Arial" w:hAnsi="Arial" w:cs="Arial"/>
          <w:i/>
          <w:iCs/>
          <w:sz w:val="24"/>
          <w:szCs w:val="24"/>
        </w:rPr>
        <w:t>Records management</w:t>
      </w:r>
      <w:r w:rsidR="0046317D">
        <w:rPr>
          <w:rFonts w:ascii="Arial" w:hAnsi="Arial" w:cs="Arial"/>
          <w:i/>
          <w:iCs/>
          <w:sz w:val="24"/>
          <w:szCs w:val="24"/>
        </w:rPr>
        <w:t xml:space="preserve"> </w:t>
      </w:r>
      <w:proofErr w:type="gramStart"/>
      <w:r w:rsidR="0046317D">
        <w:rPr>
          <w:rFonts w:ascii="Arial" w:hAnsi="Arial" w:cs="Arial"/>
          <w:i/>
          <w:iCs/>
          <w:sz w:val="24"/>
          <w:szCs w:val="24"/>
        </w:rPr>
        <w:t xml:space="preserve">- </w:t>
      </w:r>
      <w:r w:rsidRPr="00E654A2">
        <w:rPr>
          <w:rFonts w:ascii="Arial" w:hAnsi="Arial" w:cs="Arial"/>
          <w:i/>
          <w:iCs/>
          <w:sz w:val="24"/>
          <w:szCs w:val="24"/>
        </w:rPr>
        <w:t xml:space="preserve"> Part</w:t>
      </w:r>
      <w:proofErr w:type="gramEnd"/>
      <w:r w:rsidRPr="00E654A2">
        <w:rPr>
          <w:rFonts w:ascii="Arial" w:hAnsi="Arial" w:cs="Arial"/>
          <w:i/>
          <w:iCs/>
          <w:sz w:val="24"/>
          <w:szCs w:val="24"/>
        </w:rPr>
        <w:t xml:space="preserve"> 1: Concepts and principles</w:t>
      </w:r>
      <w:r w:rsidRPr="00E654A2">
        <w:rPr>
          <w:rFonts w:ascii="Arial" w:hAnsi="Arial" w:cs="Arial"/>
          <w:sz w:val="24"/>
          <w:szCs w:val="24"/>
        </w:rPr>
        <w:t xml:space="preserve">. Geneva, Switzerland: International Organization for Standardization. Available at: </w:t>
      </w:r>
      <w:hyperlink r:id="rId22" w:history="1">
        <w:r w:rsidR="00971162" w:rsidRPr="00E654A2">
          <w:rPr>
            <w:rStyle w:val="Hyperlink"/>
            <w:rFonts w:ascii="Arial" w:hAnsi="Arial" w:cs="Arial"/>
            <w:sz w:val="24"/>
            <w:szCs w:val="24"/>
          </w:rPr>
          <w:t>https://www.iso.org/standard/62542.html</w:t>
        </w:r>
      </w:hyperlink>
      <w:r w:rsidR="00971162" w:rsidRPr="00E654A2">
        <w:rPr>
          <w:rFonts w:ascii="Arial" w:hAnsi="Arial" w:cs="Arial"/>
          <w:sz w:val="24"/>
          <w:szCs w:val="24"/>
        </w:rPr>
        <w:t xml:space="preserve"> </w:t>
      </w:r>
      <w:r w:rsidRPr="00E654A2">
        <w:rPr>
          <w:rFonts w:ascii="Arial" w:hAnsi="Arial" w:cs="Arial"/>
          <w:sz w:val="24"/>
          <w:szCs w:val="24"/>
        </w:rPr>
        <w:t xml:space="preserve">(Accessed: </w:t>
      </w:r>
      <w:r w:rsidR="00E54E56">
        <w:rPr>
          <w:rFonts w:ascii="Arial" w:hAnsi="Arial" w:cs="Arial"/>
          <w:sz w:val="24"/>
          <w:szCs w:val="24"/>
        </w:rPr>
        <w:t>25 March</w:t>
      </w:r>
      <w:r w:rsidRPr="00E654A2">
        <w:rPr>
          <w:rFonts w:ascii="Arial" w:hAnsi="Arial" w:cs="Arial"/>
          <w:sz w:val="24"/>
          <w:szCs w:val="24"/>
        </w:rPr>
        <w:t xml:space="preserve"> 2026).</w:t>
      </w:r>
    </w:p>
    <w:p w14:paraId="1CD37C35" w14:textId="7377FB18" w:rsidR="003C5832" w:rsidRPr="00E654A2" w:rsidRDefault="003C5832" w:rsidP="003C5832">
      <w:pPr>
        <w:jc w:val="both"/>
        <w:rPr>
          <w:rFonts w:ascii="Arial" w:hAnsi="Arial" w:cs="Arial"/>
          <w:lang w:eastAsia="en-GB"/>
        </w:rPr>
      </w:pPr>
      <w:r w:rsidRPr="00E654A2">
        <w:rPr>
          <w:rFonts w:ascii="Arial" w:hAnsi="Arial" w:cs="Arial"/>
          <w:sz w:val="24"/>
          <w:szCs w:val="24"/>
        </w:rPr>
        <w:t xml:space="preserve">ISO/IEC (2023a) </w:t>
      </w:r>
      <w:r w:rsidRPr="00E654A2">
        <w:rPr>
          <w:rFonts w:ascii="Arial" w:hAnsi="Arial" w:cs="Arial"/>
          <w:i/>
          <w:iCs/>
          <w:sz w:val="24"/>
          <w:szCs w:val="24"/>
        </w:rPr>
        <w:t xml:space="preserve">ISO/IEC 23894:2023 Information technology </w:t>
      </w:r>
      <w:r w:rsidR="005A06B5">
        <w:rPr>
          <w:rFonts w:ascii="Arial" w:hAnsi="Arial" w:cs="Arial"/>
          <w:i/>
          <w:iCs/>
          <w:sz w:val="24"/>
          <w:szCs w:val="24"/>
        </w:rPr>
        <w:t>-</w:t>
      </w:r>
      <w:r w:rsidRPr="00E654A2">
        <w:rPr>
          <w:rFonts w:ascii="Arial" w:hAnsi="Arial" w:cs="Arial"/>
          <w:i/>
          <w:iCs/>
          <w:sz w:val="24"/>
          <w:szCs w:val="24"/>
        </w:rPr>
        <w:t xml:space="preserve"> Artificial intelligence </w:t>
      </w:r>
      <w:r w:rsidR="005A06B5">
        <w:rPr>
          <w:rFonts w:ascii="Arial" w:hAnsi="Arial" w:cs="Arial"/>
          <w:i/>
          <w:iCs/>
          <w:sz w:val="24"/>
          <w:szCs w:val="24"/>
        </w:rPr>
        <w:t>-</w:t>
      </w:r>
      <w:r w:rsidRPr="00E654A2">
        <w:rPr>
          <w:rFonts w:ascii="Arial" w:hAnsi="Arial" w:cs="Arial"/>
          <w:i/>
          <w:iCs/>
          <w:sz w:val="24"/>
          <w:szCs w:val="24"/>
        </w:rPr>
        <w:t>Guidance on risk management</w:t>
      </w:r>
      <w:r w:rsidRPr="00E654A2">
        <w:rPr>
          <w:rFonts w:ascii="Arial" w:hAnsi="Arial" w:cs="Arial"/>
          <w:sz w:val="24"/>
          <w:szCs w:val="24"/>
        </w:rPr>
        <w:t xml:space="preserve">. Geneva, Switzerland: International Organization for Standardization. Available at: </w:t>
      </w:r>
      <w:hyperlink r:id="rId23" w:history="1">
        <w:r w:rsidR="00971162" w:rsidRPr="00E654A2">
          <w:rPr>
            <w:rStyle w:val="Hyperlink"/>
            <w:rFonts w:ascii="Arial" w:hAnsi="Arial" w:cs="Arial"/>
            <w:sz w:val="24"/>
            <w:szCs w:val="24"/>
          </w:rPr>
          <w:t>https://www.iso.org/standard/77304.html</w:t>
        </w:r>
      </w:hyperlink>
      <w:r w:rsidR="00971162" w:rsidRPr="00E654A2">
        <w:rPr>
          <w:rFonts w:ascii="Arial" w:hAnsi="Arial" w:cs="Arial"/>
          <w:sz w:val="24"/>
          <w:szCs w:val="24"/>
        </w:rPr>
        <w:t xml:space="preserve"> </w:t>
      </w:r>
      <w:r w:rsidRPr="00E654A2">
        <w:rPr>
          <w:rFonts w:ascii="Arial" w:hAnsi="Arial" w:cs="Arial"/>
          <w:sz w:val="24"/>
          <w:szCs w:val="24"/>
        </w:rPr>
        <w:t>(Accessed: 2</w:t>
      </w:r>
      <w:r w:rsidR="0046317D">
        <w:rPr>
          <w:rFonts w:ascii="Arial" w:hAnsi="Arial" w:cs="Arial"/>
          <w:sz w:val="24"/>
          <w:szCs w:val="24"/>
        </w:rPr>
        <w:t>5 March</w:t>
      </w:r>
      <w:r w:rsidRPr="00E654A2">
        <w:rPr>
          <w:rFonts w:ascii="Arial" w:hAnsi="Arial" w:cs="Arial"/>
          <w:sz w:val="24"/>
          <w:szCs w:val="24"/>
        </w:rPr>
        <w:t xml:space="preserve"> 2026).</w:t>
      </w:r>
    </w:p>
    <w:p w14:paraId="0F368DBB" w14:textId="05A4D5C9" w:rsidR="00B46A9D" w:rsidRPr="00E654A2" w:rsidRDefault="00B46A9D">
      <w:pPr>
        <w:jc w:val="both"/>
        <w:rPr>
          <w:rFonts w:ascii="Arial" w:hAnsi="Arial" w:cs="Arial"/>
          <w:sz w:val="24"/>
          <w:szCs w:val="24"/>
        </w:rPr>
      </w:pPr>
      <w:r w:rsidRPr="00E654A2">
        <w:rPr>
          <w:rFonts w:ascii="Arial" w:hAnsi="Arial" w:cs="Arial"/>
          <w:sz w:val="24"/>
          <w:szCs w:val="24"/>
        </w:rPr>
        <w:t xml:space="preserve">ISO/IEC (2023b) </w:t>
      </w:r>
      <w:r w:rsidRPr="00E654A2">
        <w:rPr>
          <w:rFonts w:ascii="Arial" w:hAnsi="Arial" w:cs="Arial"/>
          <w:i/>
          <w:iCs/>
          <w:sz w:val="24"/>
          <w:szCs w:val="24"/>
        </w:rPr>
        <w:t xml:space="preserve">ISO/IEC 42001:2023 Information technology </w:t>
      </w:r>
      <w:r w:rsidR="005A06B5">
        <w:rPr>
          <w:rFonts w:ascii="Arial" w:hAnsi="Arial" w:cs="Arial"/>
          <w:i/>
          <w:iCs/>
          <w:sz w:val="24"/>
          <w:szCs w:val="24"/>
        </w:rPr>
        <w:t>-</w:t>
      </w:r>
      <w:r w:rsidRPr="00E654A2">
        <w:rPr>
          <w:rFonts w:ascii="Arial" w:hAnsi="Arial" w:cs="Arial"/>
          <w:i/>
          <w:iCs/>
          <w:sz w:val="24"/>
          <w:szCs w:val="24"/>
        </w:rPr>
        <w:t xml:space="preserve"> Artificial intelligence </w:t>
      </w:r>
      <w:r w:rsidR="005A06B5">
        <w:rPr>
          <w:rFonts w:ascii="Arial" w:hAnsi="Arial" w:cs="Arial"/>
          <w:i/>
          <w:iCs/>
          <w:sz w:val="24"/>
          <w:szCs w:val="24"/>
        </w:rPr>
        <w:t>-</w:t>
      </w:r>
      <w:r w:rsidRPr="00E654A2">
        <w:rPr>
          <w:rFonts w:ascii="Arial" w:hAnsi="Arial" w:cs="Arial"/>
          <w:i/>
          <w:iCs/>
          <w:sz w:val="24"/>
          <w:szCs w:val="24"/>
        </w:rPr>
        <w:t xml:space="preserve"> Management system</w:t>
      </w:r>
      <w:r w:rsidRPr="00E654A2">
        <w:rPr>
          <w:rFonts w:ascii="Arial" w:hAnsi="Arial" w:cs="Arial"/>
          <w:sz w:val="24"/>
          <w:szCs w:val="24"/>
        </w:rPr>
        <w:t xml:space="preserve">. Geneva, Switzerland: International Organization for Standardization. Available at: </w:t>
      </w:r>
      <w:hyperlink r:id="rId24" w:history="1">
        <w:r w:rsidR="00971162" w:rsidRPr="00E654A2">
          <w:rPr>
            <w:rStyle w:val="Hyperlink"/>
            <w:rFonts w:ascii="Arial" w:hAnsi="Arial" w:cs="Arial"/>
            <w:sz w:val="24"/>
            <w:szCs w:val="24"/>
          </w:rPr>
          <w:t>https://www.iso.org/standard/81230.html</w:t>
        </w:r>
      </w:hyperlink>
      <w:r w:rsidR="00971162" w:rsidRPr="00E654A2">
        <w:rPr>
          <w:rFonts w:ascii="Arial" w:hAnsi="Arial" w:cs="Arial"/>
          <w:sz w:val="24"/>
          <w:szCs w:val="24"/>
        </w:rPr>
        <w:t xml:space="preserve"> </w:t>
      </w:r>
      <w:r w:rsidRPr="00E654A2">
        <w:rPr>
          <w:rFonts w:ascii="Arial" w:hAnsi="Arial" w:cs="Arial"/>
          <w:sz w:val="24"/>
          <w:szCs w:val="24"/>
        </w:rPr>
        <w:t>(Accessed: 2</w:t>
      </w:r>
      <w:r w:rsidR="0046317D">
        <w:rPr>
          <w:rFonts w:ascii="Arial" w:hAnsi="Arial" w:cs="Arial"/>
          <w:sz w:val="24"/>
          <w:szCs w:val="24"/>
        </w:rPr>
        <w:t>5 March</w:t>
      </w:r>
      <w:r w:rsidRPr="00E654A2">
        <w:rPr>
          <w:rFonts w:ascii="Arial" w:hAnsi="Arial" w:cs="Arial"/>
          <w:sz w:val="24"/>
          <w:szCs w:val="24"/>
        </w:rPr>
        <w:t xml:space="preserve"> 2026).</w:t>
      </w:r>
    </w:p>
    <w:p w14:paraId="16C14B89" w14:textId="2EAAB379" w:rsidR="0090544E" w:rsidRPr="00E654A2" w:rsidRDefault="0090544E">
      <w:pPr>
        <w:jc w:val="both"/>
        <w:rPr>
          <w:rFonts w:ascii="Arial" w:hAnsi="Arial" w:cs="Arial"/>
          <w:lang w:eastAsia="en-GB"/>
        </w:rPr>
      </w:pPr>
      <w:r w:rsidRPr="00E654A2">
        <w:rPr>
          <w:rFonts w:ascii="Arial" w:hAnsi="Arial" w:cs="Arial"/>
          <w:sz w:val="24"/>
          <w:szCs w:val="24"/>
        </w:rPr>
        <w:lastRenderedPageBreak/>
        <w:t xml:space="preserve">Kemmis, S., McTaggart, R. and Nixon, R. (2014) </w:t>
      </w:r>
      <w:r w:rsidRPr="00E654A2">
        <w:rPr>
          <w:rFonts w:ascii="Arial" w:hAnsi="Arial" w:cs="Arial"/>
          <w:i/>
          <w:iCs/>
          <w:sz w:val="24"/>
          <w:szCs w:val="24"/>
        </w:rPr>
        <w:t>The action research planner: doing critical participatory action research</w:t>
      </w:r>
      <w:r w:rsidRPr="00E654A2">
        <w:rPr>
          <w:rFonts w:ascii="Arial" w:hAnsi="Arial" w:cs="Arial"/>
          <w:sz w:val="24"/>
          <w:szCs w:val="24"/>
        </w:rPr>
        <w:t xml:space="preserve">. Singapore: Springer. Available at: </w:t>
      </w:r>
      <w:hyperlink r:id="rId25" w:history="1">
        <w:r w:rsidR="00971162" w:rsidRPr="00E654A2">
          <w:rPr>
            <w:rStyle w:val="Hyperlink"/>
            <w:rFonts w:ascii="Arial" w:hAnsi="Arial" w:cs="Arial"/>
            <w:sz w:val="24"/>
            <w:szCs w:val="24"/>
          </w:rPr>
          <w:t>https://doi.org/10.1007/978-981-4560-67-2</w:t>
        </w:r>
      </w:hyperlink>
      <w:r w:rsidR="00971162" w:rsidRPr="00E654A2">
        <w:rPr>
          <w:rFonts w:ascii="Arial" w:hAnsi="Arial" w:cs="Arial"/>
          <w:sz w:val="24"/>
          <w:szCs w:val="24"/>
        </w:rPr>
        <w:t xml:space="preserve"> </w:t>
      </w:r>
      <w:r w:rsidRPr="00E654A2">
        <w:rPr>
          <w:rFonts w:ascii="Arial" w:hAnsi="Arial" w:cs="Arial"/>
          <w:sz w:val="24"/>
          <w:szCs w:val="24"/>
        </w:rPr>
        <w:t xml:space="preserve">(Accessed: </w:t>
      </w:r>
      <w:r w:rsidR="00932A6E">
        <w:rPr>
          <w:rFonts w:ascii="Arial" w:hAnsi="Arial" w:cs="Arial"/>
          <w:sz w:val="24"/>
          <w:szCs w:val="24"/>
        </w:rPr>
        <w:t>17</w:t>
      </w:r>
      <w:r w:rsidR="00E54E56">
        <w:rPr>
          <w:rFonts w:ascii="Arial" w:hAnsi="Arial" w:cs="Arial"/>
          <w:sz w:val="24"/>
          <w:szCs w:val="24"/>
        </w:rPr>
        <w:t xml:space="preserve"> March</w:t>
      </w:r>
      <w:r w:rsidRPr="00E654A2">
        <w:rPr>
          <w:rFonts w:ascii="Arial" w:hAnsi="Arial" w:cs="Arial"/>
          <w:sz w:val="24"/>
          <w:szCs w:val="24"/>
        </w:rPr>
        <w:t xml:space="preserve"> 2026).</w:t>
      </w:r>
    </w:p>
    <w:p w14:paraId="1B672372" w14:textId="77777777" w:rsidR="003C5832" w:rsidRPr="00E654A2" w:rsidRDefault="003C5832" w:rsidP="003C5832">
      <w:pPr>
        <w:jc w:val="both"/>
        <w:rPr>
          <w:rFonts w:ascii="Arial" w:hAnsi="Arial" w:cs="Arial"/>
          <w:lang w:eastAsia="en-GB"/>
        </w:rPr>
      </w:pPr>
      <w:proofErr w:type="spellStart"/>
      <w:r w:rsidRPr="00E654A2">
        <w:rPr>
          <w:rFonts w:ascii="Arial" w:hAnsi="Arial" w:cs="Arial"/>
          <w:sz w:val="24"/>
          <w:szCs w:val="24"/>
        </w:rPr>
        <w:t>Marsick</w:t>
      </w:r>
      <w:proofErr w:type="spellEnd"/>
      <w:r w:rsidRPr="00E654A2">
        <w:rPr>
          <w:rFonts w:ascii="Arial" w:hAnsi="Arial" w:cs="Arial"/>
          <w:sz w:val="24"/>
          <w:szCs w:val="24"/>
        </w:rPr>
        <w:t xml:space="preserve">, V. J. and Watkins, K. E. (1990) </w:t>
      </w:r>
      <w:r w:rsidRPr="00E654A2">
        <w:rPr>
          <w:rFonts w:ascii="Arial" w:hAnsi="Arial" w:cs="Arial"/>
          <w:i/>
          <w:iCs/>
          <w:sz w:val="24"/>
          <w:szCs w:val="24"/>
        </w:rPr>
        <w:t>Informal and Incidental Learning in the Workplace</w:t>
      </w:r>
      <w:r w:rsidRPr="00E654A2">
        <w:rPr>
          <w:rFonts w:ascii="Arial" w:hAnsi="Arial" w:cs="Arial"/>
          <w:sz w:val="24"/>
          <w:szCs w:val="24"/>
        </w:rPr>
        <w:t>. London: Routledge.</w:t>
      </w:r>
    </w:p>
    <w:p w14:paraId="5EC78AC1" w14:textId="79CB06A5" w:rsidR="003C5832" w:rsidRPr="00E654A2" w:rsidRDefault="003C5832" w:rsidP="003C5832">
      <w:pPr>
        <w:jc w:val="both"/>
        <w:rPr>
          <w:rFonts w:ascii="Arial" w:hAnsi="Arial" w:cs="Arial"/>
          <w:lang w:eastAsia="en-GB"/>
        </w:rPr>
      </w:pPr>
      <w:proofErr w:type="spellStart"/>
      <w:r w:rsidRPr="00E654A2">
        <w:rPr>
          <w:rFonts w:ascii="Arial" w:hAnsi="Arial" w:cs="Arial"/>
          <w:sz w:val="24"/>
          <w:szCs w:val="24"/>
        </w:rPr>
        <w:t>Marsick</w:t>
      </w:r>
      <w:proofErr w:type="spellEnd"/>
      <w:r w:rsidRPr="00E654A2">
        <w:rPr>
          <w:rFonts w:ascii="Arial" w:hAnsi="Arial" w:cs="Arial"/>
          <w:sz w:val="24"/>
          <w:szCs w:val="24"/>
        </w:rPr>
        <w:t xml:space="preserve">, V. J. and Watkins, K. E. (2001) ‘Informal and Incidental Learning’, </w:t>
      </w:r>
      <w:r w:rsidRPr="00E654A2">
        <w:rPr>
          <w:rFonts w:ascii="Arial" w:hAnsi="Arial" w:cs="Arial"/>
          <w:i/>
          <w:iCs/>
          <w:sz w:val="24"/>
          <w:szCs w:val="24"/>
        </w:rPr>
        <w:t>New Directions for Adult and Continuing Education</w:t>
      </w:r>
      <w:r w:rsidRPr="00E654A2">
        <w:rPr>
          <w:rFonts w:ascii="Arial" w:hAnsi="Arial" w:cs="Arial"/>
          <w:sz w:val="24"/>
          <w:szCs w:val="24"/>
        </w:rPr>
        <w:t xml:space="preserve">, 2001(89), pp. 25–34. Available at: </w:t>
      </w:r>
      <w:hyperlink r:id="rId26" w:history="1">
        <w:r w:rsidR="00971162" w:rsidRPr="00E654A2">
          <w:rPr>
            <w:rStyle w:val="Hyperlink"/>
            <w:rFonts w:ascii="Arial" w:hAnsi="Arial" w:cs="Arial"/>
            <w:sz w:val="24"/>
            <w:szCs w:val="24"/>
          </w:rPr>
          <w:t>https://doi.org/10.1002/ace.5</w:t>
        </w:r>
      </w:hyperlink>
      <w:r w:rsidR="00971162" w:rsidRPr="00E654A2">
        <w:rPr>
          <w:rFonts w:ascii="Arial" w:hAnsi="Arial" w:cs="Arial"/>
          <w:sz w:val="24"/>
          <w:szCs w:val="24"/>
        </w:rPr>
        <w:t xml:space="preserve"> </w:t>
      </w:r>
      <w:r w:rsidRPr="00E654A2">
        <w:rPr>
          <w:rFonts w:ascii="Arial" w:hAnsi="Arial" w:cs="Arial"/>
          <w:sz w:val="24"/>
          <w:szCs w:val="24"/>
        </w:rPr>
        <w:t>(Accessed:</w:t>
      </w:r>
      <w:r w:rsidR="00932A6E">
        <w:rPr>
          <w:rFonts w:ascii="Arial" w:hAnsi="Arial" w:cs="Arial"/>
          <w:sz w:val="24"/>
          <w:szCs w:val="24"/>
        </w:rPr>
        <w:t xml:space="preserve"> 17 March </w:t>
      </w:r>
      <w:r w:rsidRPr="00E654A2">
        <w:rPr>
          <w:rFonts w:ascii="Arial" w:hAnsi="Arial" w:cs="Arial"/>
          <w:sz w:val="24"/>
          <w:szCs w:val="24"/>
        </w:rPr>
        <w:t>2026).</w:t>
      </w:r>
    </w:p>
    <w:p w14:paraId="2822ECC0" w14:textId="77777777" w:rsidR="003C5832" w:rsidRPr="00E654A2" w:rsidRDefault="003C5832" w:rsidP="003C5832">
      <w:pPr>
        <w:jc w:val="both"/>
        <w:rPr>
          <w:rFonts w:ascii="Arial" w:hAnsi="Arial" w:cs="Arial"/>
          <w:lang w:eastAsia="en-GB"/>
        </w:rPr>
      </w:pPr>
      <w:r w:rsidRPr="00E654A2">
        <w:rPr>
          <w:rFonts w:ascii="Arial" w:hAnsi="Arial" w:cs="Arial"/>
          <w:sz w:val="24"/>
          <w:szCs w:val="24"/>
        </w:rPr>
        <w:t xml:space="preserve">Nicolescu, B. (2002) </w:t>
      </w:r>
      <w:r w:rsidRPr="00E654A2">
        <w:rPr>
          <w:rFonts w:ascii="Arial" w:hAnsi="Arial" w:cs="Arial"/>
          <w:i/>
          <w:iCs/>
          <w:sz w:val="24"/>
          <w:szCs w:val="24"/>
        </w:rPr>
        <w:t xml:space="preserve">Manifesto of </w:t>
      </w:r>
      <w:proofErr w:type="spellStart"/>
      <w:r w:rsidRPr="00E654A2">
        <w:rPr>
          <w:rFonts w:ascii="Arial" w:hAnsi="Arial" w:cs="Arial"/>
          <w:i/>
          <w:iCs/>
          <w:sz w:val="24"/>
          <w:szCs w:val="24"/>
        </w:rPr>
        <w:t>Transdisciplinarity</w:t>
      </w:r>
      <w:proofErr w:type="spellEnd"/>
      <w:r w:rsidRPr="00E654A2">
        <w:rPr>
          <w:rFonts w:ascii="Arial" w:hAnsi="Arial" w:cs="Arial"/>
          <w:sz w:val="24"/>
          <w:szCs w:val="24"/>
        </w:rPr>
        <w:t>. Albany, NY: State University of New York Press.</w:t>
      </w:r>
    </w:p>
    <w:p w14:paraId="5EE14509" w14:textId="77777777" w:rsidR="003C5832" w:rsidRPr="00E654A2" w:rsidRDefault="003C5832" w:rsidP="003C5832">
      <w:pPr>
        <w:jc w:val="both"/>
        <w:rPr>
          <w:rFonts w:ascii="Arial" w:hAnsi="Arial" w:cs="Arial"/>
          <w:lang w:eastAsia="en-GB"/>
        </w:rPr>
      </w:pPr>
      <w:r w:rsidRPr="00E654A2">
        <w:rPr>
          <w:rFonts w:ascii="Arial" w:hAnsi="Arial" w:cs="Arial"/>
          <w:sz w:val="24"/>
          <w:szCs w:val="24"/>
        </w:rPr>
        <w:t xml:space="preserve">Nonaka, I. and Takeuchi, H. (1995) </w:t>
      </w:r>
      <w:r w:rsidRPr="00E654A2">
        <w:rPr>
          <w:rFonts w:ascii="Arial" w:hAnsi="Arial" w:cs="Arial"/>
          <w:i/>
          <w:iCs/>
          <w:sz w:val="24"/>
          <w:szCs w:val="24"/>
        </w:rPr>
        <w:t>The Knowledge-Creating Company</w:t>
      </w:r>
      <w:r w:rsidRPr="00E654A2">
        <w:rPr>
          <w:rFonts w:ascii="Arial" w:hAnsi="Arial" w:cs="Arial"/>
          <w:sz w:val="24"/>
          <w:szCs w:val="24"/>
        </w:rPr>
        <w:t>. New York: Oxford University Press.</w:t>
      </w:r>
    </w:p>
    <w:p w14:paraId="03224875" w14:textId="1AA043D4" w:rsidR="003C5832" w:rsidRPr="00E654A2" w:rsidRDefault="003C5832" w:rsidP="003C5832">
      <w:pPr>
        <w:jc w:val="both"/>
        <w:rPr>
          <w:rFonts w:ascii="Arial" w:hAnsi="Arial" w:cs="Arial"/>
          <w:lang w:eastAsia="en-GB"/>
        </w:rPr>
      </w:pPr>
      <w:r w:rsidRPr="00E654A2">
        <w:rPr>
          <w:rFonts w:ascii="Arial" w:hAnsi="Arial" w:cs="Arial"/>
          <w:sz w:val="24"/>
          <w:szCs w:val="24"/>
        </w:rPr>
        <w:t xml:space="preserve">OECD (2019) </w:t>
      </w:r>
      <w:r w:rsidRPr="00E654A2">
        <w:rPr>
          <w:rFonts w:ascii="Arial" w:hAnsi="Arial" w:cs="Arial"/>
          <w:i/>
          <w:iCs/>
          <w:sz w:val="24"/>
          <w:szCs w:val="24"/>
        </w:rPr>
        <w:t>Recommendation of the Council on Artificial Intelligence</w:t>
      </w:r>
      <w:r w:rsidRPr="00E654A2">
        <w:rPr>
          <w:rFonts w:ascii="Arial" w:hAnsi="Arial" w:cs="Arial"/>
          <w:sz w:val="24"/>
          <w:szCs w:val="24"/>
        </w:rPr>
        <w:t xml:space="preserve"> (OECD/LEGAL/0449). Paris: OECD. Available at: </w:t>
      </w:r>
      <w:hyperlink r:id="rId27" w:history="1">
        <w:r w:rsidR="00971162" w:rsidRPr="00E654A2">
          <w:rPr>
            <w:rStyle w:val="Hyperlink"/>
            <w:rFonts w:ascii="Arial" w:hAnsi="Arial" w:cs="Arial"/>
            <w:sz w:val="24"/>
            <w:szCs w:val="24"/>
          </w:rPr>
          <w:t>https://legalinstruments.oecd.org/en/instruments/OECD-LEGAL-0449</w:t>
        </w:r>
      </w:hyperlink>
      <w:r w:rsidR="00971162" w:rsidRPr="00E654A2">
        <w:rPr>
          <w:rFonts w:ascii="Arial" w:hAnsi="Arial" w:cs="Arial"/>
          <w:sz w:val="24"/>
          <w:szCs w:val="24"/>
        </w:rPr>
        <w:t xml:space="preserve"> </w:t>
      </w:r>
      <w:r w:rsidRPr="00E654A2">
        <w:rPr>
          <w:rFonts w:ascii="Arial" w:hAnsi="Arial" w:cs="Arial"/>
          <w:sz w:val="24"/>
          <w:szCs w:val="24"/>
        </w:rPr>
        <w:t xml:space="preserve">(Accessed: 1 </w:t>
      </w:r>
      <w:r w:rsidR="00F94405">
        <w:rPr>
          <w:rFonts w:ascii="Arial" w:hAnsi="Arial" w:cs="Arial"/>
          <w:sz w:val="24"/>
          <w:szCs w:val="24"/>
        </w:rPr>
        <w:t>May</w:t>
      </w:r>
      <w:r w:rsidRPr="00E654A2">
        <w:rPr>
          <w:rFonts w:ascii="Arial" w:hAnsi="Arial" w:cs="Arial"/>
          <w:sz w:val="24"/>
          <w:szCs w:val="24"/>
        </w:rPr>
        <w:t xml:space="preserve"> 2026).</w:t>
      </w:r>
    </w:p>
    <w:p w14:paraId="55427058" w14:textId="77777777" w:rsidR="003C5832" w:rsidRPr="00E654A2" w:rsidRDefault="003C5832" w:rsidP="003C5832">
      <w:pPr>
        <w:jc w:val="both"/>
        <w:rPr>
          <w:rFonts w:ascii="Arial" w:hAnsi="Arial" w:cs="Arial"/>
          <w:lang w:eastAsia="en-GB"/>
        </w:rPr>
      </w:pPr>
      <w:r w:rsidRPr="00E654A2">
        <w:rPr>
          <w:rFonts w:ascii="Arial" w:hAnsi="Arial" w:cs="Arial"/>
          <w:sz w:val="24"/>
          <w:szCs w:val="24"/>
        </w:rPr>
        <w:t xml:space="preserve">Polanyi, M. (1966) </w:t>
      </w:r>
      <w:r w:rsidRPr="00E654A2">
        <w:rPr>
          <w:rFonts w:ascii="Arial" w:hAnsi="Arial" w:cs="Arial"/>
          <w:i/>
          <w:iCs/>
          <w:sz w:val="24"/>
          <w:szCs w:val="24"/>
        </w:rPr>
        <w:t>The Tacit Dimension</w:t>
      </w:r>
      <w:r w:rsidRPr="00E654A2">
        <w:rPr>
          <w:rFonts w:ascii="Arial" w:hAnsi="Arial" w:cs="Arial"/>
          <w:sz w:val="24"/>
          <w:szCs w:val="24"/>
        </w:rPr>
        <w:t>. London: Routledge &amp; Kegan Paul.</w:t>
      </w:r>
    </w:p>
    <w:p w14:paraId="70DCB084" w14:textId="2845CF7B" w:rsidR="003C5832" w:rsidRPr="00E654A2" w:rsidRDefault="003C5832" w:rsidP="003C5832">
      <w:pPr>
        <w:jc w:val="both"/>
        <w:rPr>
          <w:rFonts w:ascii="Arial" w:hAnsi="Arial" w:cs="Arial"/>
          <w:lang w:eastAsia="en-GB"/>
        </w:rPr>
      </w:pPr>
      <w:r w:rsidRPr="00E654A2">
        <w:rPr>
          <w:rFonts w:ascii="Arial" w:hAnsi="Arial" w:cs="Arial"/>
          <w:sz w:val="24"/>
          <w:szCs w:val="24"/>
        </w:rPr>
        <w:t xml:space="preserve">Rittel, H. W. J. and Webber, M. M. (1973) ‘Dilemmas in a General Theory of Planning’, </w:t>
      </w:r>
      <w:r w:rsidRPr="00E654A2">
        <w:rPr>
          <w:rFonts w:ascii="Arial" w:hAnsi="Arial" w:cs="Arial"/>
          <w:i/>
          <w:iCs/>
          <w:sz w:val="24"/>
          <w:szCs w:val="24"/>
        </w:rPr>
        <w:t>Policy Sciences</w:t>
      </w:r>
      <w:r w:rsidRPr="00E654A2">
        <w:rPr>
          <w:rFonts w:ascii="Arial" w:hAnsi="Arial" w:cs="Arial"/>
          <w:sz w:val="24"/>
          <w:szCs w:val="24"/>
        </w:rPr>
        <w:t xml:space="preserve">, 4(2), pp. 155–169. Available at: </w:t>
      </w:r>
      <w:hyperlink r:id="rId28" w:history="1">
        <w:r w:rsidR="00971162" w:rsidRPr="00E654A2">
          <w:rPr>
            <w:rStyle w:val="Hyperlink"/>
            <w:rFonts w:ascii="Arial" w:hAnsi="Arial" w:cs="Arial"/>
            <w:sz w:val="24"/>
            <w:szCs w:val="24"/>
          </w:rPr>
          <w:t>https://doi.org/10.1007/BF01405730</w:t>
        </w:r>
      </w:hyperlink>
      <w:r w:rsidR="00971162" w:rsidRPr="00E654A2">
        <w:rPr>
          <w:rFonts w:ascii="Arial" w:hAnsi="Arial" w:cs="Arial"/>
          <w:sz w:val="24"/>
          <w:szCs w:val="24"/>
        </w:rPr>
        <w:t xml:space="preserve"> </w:t>
      </w:r>
      <w:r w:rsidRPr="00E654A2">
        <w:rPr>
          <w:rFonts w:ascii="Arial" w:hAnsi="Arial" w:cs="Arial"/>
          <w:sz w:val="24"/>
          <w:szCs w:val="24"/>
        </w:rPr>
        <w:t xml:space="preserve">(Accessed: </w:t>
      </w:r>
      <w:r w:rsidR="004862DA">
        <w:rPr>
          <w:rFonts w:ascii="Arial" w:hAnsi="Arial" w:cs="Arial"/>
          <w:sz w:val="24"/>
          <w:szCs w:val="24"/>
        </w:rPr>
        <w:t>17 March</w:t>
      </w:r>
      <w:r w:rsidRPr="00E654A2">
        <w:rPr>
          <w:rFonts w:ascii="Arial" w:hAnsi="Arial" w:cs="Arial"/>
          <w:sz w:val="24"/>
          <w:szCs w:val="24"/>
        </w:rPr>
        <w:t>).</w:t>
      </w:r>
    </w:p>
    <w:p w14:paraId="5D6CB2E9" w14:textId="77777777" w:rsidR="003C5832" w:rsidRPr="00E654A2" w:rsidRDefault="003C5832" w:rsidP="003C5832">
      <w:pPr>
        <w:jc w:val="both"/>
        <w:rPr>
          <w:rFonts w:ascii="Arial" w:hAnsi="Arial" w:cs="Arial"/>
          <w:lang w:eastAsia="en-GB"/>
        </w:rPr>
      </w:pPr>
      <w:r w:rsidRPr="00E654A2">
        <w:rPr>
          <w:rFonts w:ascii="Arial" w:hAnsi="Arial" w:cs="Arial"/>
          <w:sz w:val="24"/>
          <w:szCs w:val="24"/>
        </w:rPr>
        <w:t xml:space="preserve">Schön, D. A. (1983) </w:t>
      </w:r>
      <w:r w:rsidRPr="00E654A2">
        <w:rPr>
          <w:rFonts w:ascii="Arial" w:hAnsi="Arial" w:cs="Arial"/>
          <w:i/>
          <w:iCs/>
          <w:sz w:val="24"/>
          <w:szCs w:val="24"/>
        </w:rPr>
        <w:t>The Reflective Practitioner: How Professionals Think in Action</w:t>
      </w:r>
      <w:r w:rsidRPr="00E654A2">
        <w:rPr>
          <w:rFonts w:ascii="Arial" w:hAnsi="Arial" w:cs="Arial"/>
          <w:sz w:val="24"/>
          <w:szCs w:val="24"/>
        </w:rPr>
        <w:t>. New York: Basic Books.</w:t>
      </w:r>
    </w:p>
    <w:p w14:paraId="2E187155" w14:textId="1FB86AFE" w:rsidR="003C5832" w:rsidRPr="00E654A2" w:rsidRDefault="003C5832" w:rsidP="003C5832">
      <w:pPr>
        <w:jc w:val="both"/>
        <w:rPr>
          <w:rFonts w:ascii="Arial" w:hAnsi="Arial" w:cs="Arial"/>
          <w:lang w:eastAsia="en-GB"/>
        </w:rPr>
      </w:pPr>
      <w:r w:rsidRPr="00E654A2">
        <w:rPr>
          <w:rFonts w:ascii="Arial" w:hAnsi="Arial" w:cs="Arial"/>
          <w:sz w:val="24"/>
          <w:szCs w:val="24"/>
        </w:rPr>
        <w:t xml:space="preserve">Snowden, D. J. and Boone, M. E. (2007) ‘A Leader’s Framework for Decision Making’, </w:t>
      </w:r>
      <w:r w:rsidRPr="00E654A2">
        <w:rPr>
          <w:rFonts w:ascii="Arial" w:hAnsi="Arial" w:cs="Arial"/>
          <w:i/>
          <w:iCs/>
          <w:sz w:val="24"/>
          <w:szCs w:val="24"/>
        </w:rPr>
        <w:t>Harvard Business Review</w:t>
      </w:r>
      <w:r w:rsidRPr="00E654A2">
        <w:rPr>
          <w:rFonts w:ascii="Arial" w:hAnsi="Arial" w:cs="Arial"/>
          <w:sz w:val="24"/>
          <w:szCs w:val="24"/>
        </w:rPr>
        <w:t xml:space="preserve">, 85(11), pp. 68–76. Available at: </w:t>
      </w:r>
      <w:hyperlink r:id="rId29" w:history="1">
        <w:r w:rsidR="00971162" w:rsidRPr="00E654A2">
          <w:rPr>
            <w:rStyle w:val="Hyperlink"/>
            <w:rFonts w:ascii="Arial" w:hAnsi="Arial" w:cs="Arial"/>
            <w:sz w:val="24"/>
            <w:szCs w:val="24"/>
          </w:rPr>
          <w:t>https://hbr.org/2007/11/a-leaders-framework-for-decision-making</w:t>
        </w:r>
      </w:hyperlink>
      <w:r w:rsidR="00971162" w:rsidRPr="00E654A2">
        <w:rPr>
          <w:rFonts w:ascii="Arial" w:hAnsi="Arial" w:cs="Arial"/>
          <w:sz w:val="24"/>
          <w:szCs w:val="24"/>
        </w:rPr>
        <w:t xml:space="preserve"> </w:t>
      </w:r>
      <w:r w:rsidRPr="00E654A2">
        <w:rPr>
          <w:rFonts w:ascii="Arial" w:hAnsi="Arial" w:cs="Arial"/>
          <w:sz w:val="24"/>
          <w:szCs w:val="24"/>
        </w:rPr>
        <w:t>(Accessed: 1 April 2026).</w:t>
      </w:r>
    </w:p>
    <w:p w14:paraId="31AE608D" w14:textId="7881FC92" w:rsidR="00C118EB" w:rsidRDefault="003C5832" w:rsidP="00D0381D">
      <w:pPr>
        <w:jc w:val="both"/>
        <w:rPr>
          <w:rFonts w:ascii="Arial" w:hAnsi="Arial" w:cs="Arial"/>
          <w:sz w:val="24"/>
          <w:szCs w:val="24"/>
        </w:rPr>
      </w:pPr>
      <w:r w:rsidRPr="00E654A2">
        <w:rPr>
          <w:rFonts w:ascii="Arial" w:hAnsi="Arial" w:cs="Arial"/>
          <w:sz w:val="24"/>
          <w:szCs w:val="24"/>
        </w:rPr>
        <w:t xml:space="preserve">Tabassi, E. (2023) </w:t>
      </w:r>
      <w:r w:rsidRPr="00E654A2">
        <w:rPr>
          <w:rFonts w:ascii="Arial" w:hAnsi="Arial" w:cs="Arial"/>
          <w:i/>
          <w:iCs/>
          <w:sz w:val="24"/>
          <w:szCs w:val="24"/>
        </w:rPr>
        <w:t>Artificial Intelligence Risk Management Framework (AI RMF 1.0)</w:t>
      </w:r>
      <w:r w:rsidRPr="00E654A2">
        <w:rPr>
          <w:rFonts w:ascii="Arial" w:hAnsi="Arial" w:cs="Arial"/>
          <w:sz w:val="24"/>
          <w:szCs w:val="24"/>
        </w:rPr>
        <w:t xml:space="preserve"> (NIST AI 100-1). Gaithersburg, MD: National Institute of Standards and Technology. Available at: </w:t>
      </w:r>
      <w:hyperlink r:id="rId30" w:history="1">
        <w:r w:rsidR="00971162" w:rsidRPr="00E654A2">
          <w:rPr>
            <w:rStyle w:val="Hyperlink"/>
            <w:rFonts w:ascii="Arial" w:hAnsi="Arial" w:cs="Arial"/>
            <w:sz w:val="24"/>
            <w:szCs w:val="24"/>
          </w:rPr>
          <w:t>https://doi.org/10.6028/NIST.AI.100-1</w:t>
        </w:r>
      </w:hyperlink>
      <w:r w:rsidR="00971162" w:rsidRPr="00E654A2">
        <w:rPr>
          <w:rFonts w:ascii="Arial" w:hAnsi="Arial" w:cs="Arial"/>
          <w:sz w:val="24"/>
          <w:szCs w:val="24"/>
        </w:rPr>
        <w:t xml:space="preserve"> </w:t>
      </w:r>
      <w:r w:rsidRPr="00E654A2">
        <w:rPr>
          <w:rFonts w:ascii="Arial" w:hAnsi="Arial" w:cs="Arial"/>
          <w:sz w:val="24"/>
          <w:szCs w:val="24"/>
        </w:rPr>
        <w:t xml:space="preserve">(Accessed: </w:t>
      </w:r>
      <w:r w:rsidR="003A2983">
        <w:rPr>
          <w:rFonts w:ascii="Arial" w:hAnsi="Arial" w:cs="Arial"/>
          <w:sz w:val="24"/>
          <w:szCs w:val="24"/>
        </w:rPr>
        <w:t>1 May</w:t>
      </w:r>
      <w:r w:rsidRPr="00E654A2">
        <w:rPr>
          <w:rFonts w:ascii="Arial" w:hAnsi="Arial" w:cs="Arial"/>
          <w:sz w:val="24"/>
          <w:szCs w:val="24"/>
        </w:rPr>
        <w:t xml:space="preserve"> 2026)</w:t>
      </w:r>
      <w:r w:rsidR="00D0381D">
        <w:rPr>
          <w:rFonts w:ascii="Arial" w:hAnsi="Arial" w:cs="Arial"/>
          <w:sz w:val="24"/>
          <w:szCs w:val="24"/>
        </w:rPr>
        <w:t>.</w:t>
      </w:r>
    </w:p>
    <w:sectPr w:rsidR="00C118EB" w:rsidSect="00DD4C49">
      <w:headerReference w:type="default" r:id="rId31"/>
      <w:footerReference w:type="even" r:id="rId32"/>
      <w:footerReference w:type="default" r:id="rId33"/>
      <w:footerReference w:type="firs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C0FB44" w14:textId="77777777" w:rsidR="00001A06" w:rsidRDefault="00001A06" w:rsidP="00467A2B">
      <w:pPr>
        <w:spacing w:after="0" w:line="240" w:lineRule="auto"/>
      </w:pPr>
      <w:r>
        <w:separator/>
      </w:r>
    </w:p>
  </w:endnote>
  <w:endnote w:type="continuationSeparator" w:id="0">
    <w:p w14:paraId="626B942F" w14:textId="77777777" w:rsidR="00001A06" w:rsidRDefault="00001A06" w:rsidP="00467A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BAFADF" w14:textId="6908CDA1" w:rsidR="003314CD" w:rsidRPr="00867F54" w:rsidRDefault="00467A2B">
    <w:pPr>
      <w:pStyle w:val="Footer"/>
    </w:pPr>
    <w:r>
      <w:rPr>
        <w:noProof/>
        <w14:ligatures w14:val="standardContextual"/>
      </w:rPr>
      <mc:AlternateContent>
        <mc:Choice Requires="wps">
          <w:drawing>
            <wp:anchor distT="0" distB="0" distL="0" distR="0" simplePos="0" relativeHeight="251657216" behindDoc="0" locked="0" layoutInCell="1" allowOverlap="1" wp14:anchorId="11C590ED" wp14:editId="13C2047B">
              <wp:simplePos x="635" y="635"/>
              <wp:positionH relativeFrom="page">
                <wp:align>left</wp:align>
              </wp:positionH>
              <wp:positionV relativeFrom="page">
                <wp:align>bottom</wp:align>
              </wp:positionV>
              <wp:extent cx="1564640" cy="368935"/>
              <wp:effectExtent l="0" t="0" r="16510" b="0"/>
              <wp:wrapNone/>
              <wp:docPr id="1491233752" name="Text Box 2" descr="HIGHLY CONFIDENT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564640" cy="368935"/>
                      </a:xfrm>
                      <a:prstGeom prst="rect">
                        <a:avLst/>
                      </a:prstGeom>
                      <a:noFill/>
                      <a:ln>
                        <a:noFill/>
                      </a:ln>
                    </wps:spPr>
                    <wps:txbx>
                      <w:txbxContent>
                        <w:p w14:paraId="665280A3" w14:textId="061DDC56" w:rsidR="00467A2B" w:rsidRPr="00467A2B" w:rsidRDefault="00467A2B" w:rsidP="00467A2B">
                          <w:pPr>
                            <w:spacing w:after="0"/>
                            <w:rPr>
                              <w:rFonts w:ascii="Aptos" w:eastAsia="Aptos" w:hAnsi="Aptos" w:cs="Aptos"/>
                              <w:noProof/>
                              <w:color w:val="000000"/>
                              <w:sz w:val="20"/>
                              <w:szCs w:val="20"/>
                            </w:rPr>
                          </w:pPr>
                          <w:r w:rsidRPr="00467A2B">
                            <w:rPr>
                              <w:rFonts w:ascii="Aptos" w:eastAsia="Aptos" w:hAnsi="Aptos" w:cs="Aptos"/>
                              <w:noProof/>
                              <w:color w:val="000000"/>
                              <w:sz w:val="20"/>
                              <w:szCs w:val="20"/>
                            </w:rPr>
                            <w:t>HIGHLY CONFIDENTIAL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1C590ED" id="_x0000_t202" coordsize="21600,21600" o:spt="202" path="m,l,21600r21600,l21600,xe">
              <v:stroke joinstyle="miter"/>
              <v:path gradientshapeok="t" o:connecttype="rect"/>
            </v:shapetype>
            <v:shape id="Text Box 2" o:spid="_x0000_s1026" type="#_x0000_t202" alt="HIGHLY CONFIDENTIAL" style="position:absolute;margin-left:0;margin-top:0;width:123.2pt;height:29.05pt;z-index:251657216;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" filled="f" stroked="f">
              <v:textbox style="mso-fit-shape-to-text:t" inset="20pt,0,0,15pt">
                <w:txbxContent>
                  <w:p w14:paraId="665280A3" w14:textId="061DDC56" w:rsidR="00467A2B" w:rsidRPr="00467A2B" w:rsidRDefault="00467A2B" w:rsidP="00467A2B">
                    <w:pPr>
                      <w:spacing w:after="0"/>
                      <w:rPr>
                        <w:rFonts w:ascii="Aptos" w:eastAsia="Aptos" w:hAnsi="Aptos" w:cs="Aptos"/>
                        <w:noProof/>
                        <w:color w:val="000000"/>
                        <w:sz w:val="20"/>
                        <w:szCs w:val="20"/>
                      </w:rPr>
                    </w:pPr>
                    <w:r w:rsidRPr="00467A2B">
                      <w:rPr>
                        <w:rFonts w:ascii="Aptos" w:eastAsia="Aptos" w:hAnsi="Aptos" w:cs="Aptos"/>
                        <w:noProof/>
                        <w:color w:val="000000"/>
                        <w:sz w:val="20"/>
                        <w:szCs w:val="20"/>
                      </w:rPr>
                      <w:t>HIGHLY CONFIDENTIAL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9A3035" w14:textId="53A5B2D0" w:rsidR="003314CD" w:rsidRPr="00867F54" w:rsidRDefault="00467A2B">
    <w:pPr>
      <w:pStyle w:val="Footer"/>
    </w:pPr>
    <w:r>
      <w:rPr>
        <w:noProof/>
        <w14:ligatures w14:val="standardContextual"/>
      </w:rPr>
      <mc:AlternateContent>
        <mc:Choice Requires="wps">
          <w:drawing>
            <wp:anchor distT="0" distB="0" distL="0" distR="0" simplePos="0" relativeHeight="251660288" behindDoc="0" locked="0" layoutInCell="1" allowOverlap="1" wp14:anchorId="16C9AD88" wp14:editId="5FA6D541">
              <wp:simplePos x="1143000" y="9433560"/>
              <wp:positionH relativeFrom="page">
                <wp:align>left</wp:align>
              </wp:positionH>
              <wp:positionV relativeFrom="page">
                <wp:align>bottom</wp:align>
              </wp:positionV>
              <wp:extent cx="1564640" cy="368935"/>
              <wp:effectExtent l="0" t="0" r="16510" b="0"/>
              <wp:wrapNone/>
              <wp:docPr id="243042207" name="Text Box 3" descr="HIGHLY CONFIDENT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564640" cy="368935"/>
                      </a:xfrm>
                      <a:prstGeom prst="rect">
                        <a:avLst/>
                      </a:prstGeom>
                      <a:noFill/>
                      <a:ln>
                        <a:noFill/>
                      </a:ln>
                    </wps:spPr>
                    <wps:txbx>
                      <w:txbxContent>
                        <w:p w14:paraId="3CA6F87B" w14:textId="6C974B8A" w:rsidR="00467A2B" w:rsidRPr="00467A2B" w:rsidRDefault="00467A2B" w:rsidP="00467A2B">
                          <w:pPr>
                            <w:spacing w:after="0"/>
                            <w:rPr>
                              <w:rFonts w:ascii="Aptos" w:eastAsia="Aptos" w:hAnsi="Aptos" w:cs="Aptos"/>
                              <w:noProof/>
                              <w:color w:val="000000"/>
                              <w:sz w:val="20"/>
                              <w:szCs w:val="20"/>
                            </w:rPr>
                          </w:pPr>
                          <w:r w:rsidRPr="00467A2B">
                            <w:rPr>
                              <w:rFonts w:ascii="Aptos" w:eastAsia="Aptos" w:hAnsi="Aptos" w:cs="Aptos"/>
                              <w:noProof/>
                              <w:color w:val="000000"/>
                              <w:sz w:val="20"/>
                              <w:szCs w:val="20"/>
                            </w:rPr>
                            <w:t>HIGHLY CONFIDENTIAL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6C9AD88" id="_x0000_t202" coordsize="21600,21600" o:spt="202" path="m,l,21600r21600,l21600,xe">
              <v:stroke joinstyle="miter"/>
              <v:path gradientshapeok="t" o:connecttype="rect"/>
            </v:shapetype>
            <v:shape id="Text Box 3" o:spid="_x0000_s1027" type="#_x0000_t202" alt="HIGHLY CONFIDENTIAL" style="position:absolute;margin-left:0;margin-top:0;width:123.2pt;height:29.0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" filled="f" stroked="f">
              <v:textbox style="mso-fit-shape-to-text:t" inset="20pt,0,0,15pt">
                <w:txbxContent>
                  <w:p w14:paraId="3CA6F87B" w14:textId="6C974B8A" w:rsidR="00467A2B" w:rsidRPr="00467A2B" w:rsidRDefault="00467A2B" w:rsidP="00467A2B">
                    <w:pPr>
                      <w:spacing w:after="0"/>
                      <w:rPr>
                        <w:rFonts w:ascii="Aptos" w:eastAsia="Aptos" w:hAnsi="Aptos" w:cs="Aptos"/>
                        <w:noProof/>
                        <w:color w:val="000000"/>
                        <w:sz w:val="20"/>
                        <w:szCs w:val="20"/>
                      </w:rPr>
                    </w:pPr>
                    <w:r w:rsidRPr="00467A2B">
                      <w:rPr>
                        <w:rFonts w:ascii="Aptos" w:eastAsia="Aptos" w:hAnsi="Aptos" w:cs="Aptos"/>
                        <w:noProof/>
                        <w:color w:val="000000"/>
                        <w:sz w:val="20"/>
                        <w:szCs w:val="20"/>
                      </w:rPr>
                      <w:t>HIGHLY CONFIDENTIAL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9C2C46" w14:textId="5F898AF1" w:rsidR="003314CD" w:rsidRPr="00867F54" w:rsidRDefault="00467A2B">
    <w:pPr>
      <w:pStyle w:val="Footer"/>
    </w:pPr>
    <w:r>
      <w:rPr>
        <w:noProof/>
        <w14:ligatures w14:val="standardContextual"/>
      </w:rPr>
      <mc:AlternateContent>
        <mc:Choice Requires="wps">
          <w:drawing>
            <wp:anchor distT="0" distB="0" distL="0" distR="0" simplePos="0" relativeHeight="251655168" behindDoc="0" locked="0" layoutInCell="1" allowOverlap="1" wp14:anchorId="3AA41665" wp14:editId="798C9160">
              <wp:simplePos x="635" y="635"/>
              <wp:positionH relativeFrom="page">
                <wp:align>left</wp:align>
              </wp:positionH>
              <wp:positionV relativeFrom="page">
                <wp:align>bottom</wp:align>
              </wp:positionV>
              <wp:extent cx="1564640" cy="368935"/>
              <wp:effectExtent l="0" t="0" r="16510" b="0"/>
              <wp:wrapNone/>
              <wp:docPr id="1552330835" name="Text Box 1" descr="HIGHLY CONFIDENT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564640" cy="368935"/>
                      </a:xfrm>
                      <a:prstGeom prst="rect">
                        <a:avLst/>
                      </a:prstGeom>
                      <a:noFill/>
                      <a:ln>
                        <a:noFill/>
                      </a:ln>
                    </wps:spPr>
                    <wps:txbx>
                      <w:txbxContent>
                        <w:p w14:paraId="3206C4C4" w14:textId="48B75271" w:rsidR="00467A2B" w:rsidRPr="00467A2B" w:rsidRDefault="00467A2B" w:rsidP="00467A2B">
                          <w:pPr>
                            <w:spacing w:after="0"/>
                            <w:rPr>
                              <w:rFonts w:ascii="Aptos" w:eastAsia="Aptos" w:hAnsi="Aptos" w:cs="Aptos"/>
                              <w:noProof/>
                              <w:color w:val="000000"/>
                              <w:sz w:val="20"/>
                              <w:szCs w:val="20"/>
                            </w:rPr>
                          </w:pPr>
                          <w:r w:rsidRPr="00467A2B">
                            <w:rPr>
                              <w:rFonts w:ascii="Aptos" w:eastAsia="Aptos" w:hAnsi="Aptos" w:cs="Aptos"/>
                              <w:noProof/>
                              <w:color w:val="000000"/>
                              <w:sz w:val="20"/>
                              <w:szCs w:val="20"/>
                            </w:rPr>
                            <w:t>HIGHLY CONFIDENTIAL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AA41665" id="_x0000_t202" coordsize="21600,21600" o:spt="202" path="m,l,21600r21600,l21600,xe">
              <v:stroke joinstyle="miter"/>
              <v:path gradientshapeok="t" o:connecttype="rect"/>
            </v:shapetype>
            <v:shape id="Text Box 1" o:spid="_x0000_s1028" type="#_x0000_t202" alt="HIGHLY CONFIDENTIAL" style="position:absolute;margin-left:0;margin-top:0;width:123.2pt;height:29.05pt;z-index:25165516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" filled="f" stroked="f">
              <v:textbox style="mso-fit-shape-to-text:t" inset="20pt,0,0,15pt">
                <w:txbxContent>
                  <w:p w14:paraId="3206C4C4" w14:textId="48B75271" w:rsidR="00467A2B" w:rsidRPr="00467A2B" w:rsidRDefault="00467A2B" w:rsidP="00467A2B">
                    <w:pPr>
                      <w:spacing w:after="0"/>
                      <w:rPr>
                        <w:rFonts w:ascii="Aptos" w:eastAsia="Aptos" w:hAnsi="Aptos" w:cs="Aptos"/>
                        <w:noProof/>
                        <w:color w:val="000000"/>
                        <w:sz w:val="20"/>
                        <w:szCs w:val="20"/>
                      </w:rPr>
                    </w:pPr>
                    <w:r w:rsidRPr="00467A2B">
                      <w:rPr>
                        <w:rFonts w:ascii="Aptos" w:eastAsia="Aptos" w:hAnsi="Aptos" w:cs="Aptos"/>
                        <w:noProof/>
                        <w:color w:val="000000"/>
                        <w:sz w:val="20"/>
                        <w:szCs w:val="20"/>
                      </w:rPr>
                      <w:t>HIGHLY CONFIDENTIAL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12F528" w14:textId="77777777" w:rsidR="00001A06" w:rsidRDefault="00001A06" w:rsidP="00467A2B">
      <w:pPr>
        <w:spacing w:after="0" w:line="240" w:lineRule="auto"/>
      </w:pPr>
      <w:r>
        <w:separator/>
      </w:r>
    </w:p>
  </w:footnote>
  <w:footnote w:type="continuationSeparator" w:id="0">
    <w:p w14:paraId="68F2DACB" w14:textId="77777777" w:rsidR="00001A06" w:rsidRDefault="00001A06" w:rsidP="00467A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ED3FA2" w14:textId="77777777" w:rsidR="003314CD" w:rsidRDefault="00000000" w:rsidP="006905FF">
    <w:pPr>
      <w:spacing w:after="0"/>
      <w:rPr>
        <w:rFonts w:ascii="Arial" w:hAnsi="Arial" w:cs="Arial"/>
        <w:bCs/>
      </w:rPr>
    </w:pPr>
    <w:r w:rsidRPr="006905FF">
      <w:rPr>
        <w:rFonts w:ascii="Arial" w:hAnsi="Arial" w:cs="Arial"/>
        <w:bCs/>
      </w:rPr>
      <w:t>Doctorate in Professional Practice (</w:t>
    </w:r>
    <w:proofErr w:type="spellStart"/>
    <w:r w:rsidRPr="006905FF">
      <w:rPr>
        <w:rFonts w:ascii="Arial" w:hAnsi="Arial" w:cs="Arial"/>
        <w:bCs/>
      </w:rPr>
      <w:t>DProf</w:t>
    </w:r>
    <w:proofErr w:type="spellEnd"/>
    <w:r w:rsidRPr="006905FF">
      <w:rPr>
        <w:rFonts w:ascii="Arial" w:hAnsi="Arial" w:cs="Arial"/>
        <w:bCs/>
      </w:rPr>
      <w:t>)</w:t>
    </w:r>
  </w:p>
  <w:p w14:paraId="37AF0198" w14:textId="77777777" w:rsidR="003314CD" w:rsidRDefault="00000000" w:rsidP="006905FF">
    <w:pPr>
      <w:spacing w:after="0"/>
    </w:pPr>
    <w:r>
      <w:t>Module Code: BMDP7010</w:t>
    </w:r>
  </w:p>
  <w:p w14:paraId="4FDCF298" w14:textId="77777777" w:rsidR="003314CD" w:rsidRDefault="00000000" w:rsidP="006905FF">
    <w:pPr>
      <w:pStyle w:val="Header"/>
    </w:pPr>
    <w:r>
      <w:t>Student No. 2507831</w:t>
    </w:r>
  </w:p>
  <w:p w14:paraId="6A538AE8" w14:textId="77777777" w:rsidR="003314CD" w:rsidRDefault="003314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636C1"/>
    <w:multiLevelType w:val="multilevel"/>
    <w:tmpl w:val="87D80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521F25"/>
    <w:multiLevelType w:val="multilevel"/>
    <w:tmpl w:val="09AC8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077F0D"/>
    <w:multiLevelType w:val="multilevel"/>
    <w:tmpl w:val="E182E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A46626"/>
    <w:multiLevelType w:val="multilevel"/>
    <w:tmpl w:val="107A7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DF1FE1"/>
    <w:multiLevelType w:val="multilevel"/>
    <w:tmpl w:val="5C3CC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933C19"/>
    <w:multiLevelType w:val="multilevel"/>
    <w:tmpl w:val="BAAE1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8F0962"/>
    <w:multiLevelType w:val="multilevel"/>
    <w:tmpl w:val="51521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043110"/>
    <w:multiLevelType w:val="multilevel"/>
    <w:tmpl w:val="BFDA8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AC51DA"/>
    <w:multiLevelType w:val="multilevel"/>
    <w:tmpl w:val="A94693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BD91B33"/>
    <w:multiLevelType w:val="multilevel"/>
    <w:tmpl w:val="3208B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E368E4"/>
    <w:multiLevelType w:val="multilevel"/>
    <w:tmpl w:val="9CEA6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6E1508"/>
    <w:multiLevelType w:val="multilevel"/>
    <w:tmpl w:val="11F64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DF624B"/>
    <w:multiLevelType w:val="multilevel"/>
    <w:tmpl w:val="5A862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C31D14"/>
    <w:multiLevelType w:val="multilevel"/>
    <w:tmpl w:val="9EF6E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EF13C2"/>
    <w:multiLevelType w:val="multilevel"/>
    <w:tmpl w:val="6D1EA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0C0077"/>
    <w:multiLevelType w:val="multilevel"/>
    <w:tmpl w:val="16E81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7C3D8C"/>
    <w:multiLevelType w:val="multilevel"/>
    <w:tmpl w:val="DB944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E2129E"/>
    <w:multiLevelType w:val="multilevel"/>
    <w:tmpl w:val="B77E1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C1942F5"/>
    <w:multiLevelType w:val="multilevel"/>
    <w:tmpl w:val="F6D04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C51369A"/>
    <w:multiLevelType w:val="multilevel"/>
    <w:tmpl w:val="D4EA9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645B5B"/>
    <w:multiLevelType w:val="multilevel"/>
    <w:tmpl w:val="029C7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4D57B0"/>
    <w:multiLevelType w:val="multilevel"/>
    <w:tmpl w:val="6A1E6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F5C6BF9"/>
    <w:multiLevelType w:val="multilevel"/>
    <w:tmpl w:val="19986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24D4000"/>
    <w:multiLevelType w:val="multilevel"/>
    <w:tmpl w:val="1096C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DD090E"/>
    <w:multiLevelType w:val="multilevel"/>
    <w:tmpl w:val="F7F87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241D35"/>
    <w:multiLevelType w:val="multilevel"/>
    <w:tmpl w:val="85B4E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FF64862"/>
    <w:multiLevelType w:val="multilevel"/>
    <w:tmpl w:val="4A7E3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359391F"/>
    <w:multiLevelType w:val="multilevel"/>
    <w:tmpl w:val="2AF69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459220B"/>
    <w:multiLevelType w:val="multilevel"/>
    <w:tmpl w:val="8646D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BDE2C07"/>
    <w:multiLevelType w:val="multilevel"/>
    <w:tmpl w:val="A3022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CEC0A4D"/>
    <w:multiLevelType w:val="multilevel"/>
    <w:tmpl w:val="D1E03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1606688"/>
    <w:multiLevelType w:val="multilevel"/>
    <w:tmpl w:val="92DED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5855B82"/>
    <w:multiLevelType w:val="multilevel"/>
    <w:tmpl w:val="A7587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5AF300F"/>
    <w:multiLevelType w:val="multilevel"/>
    <w:tmpl w:val="E90C1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78C2A88"/>
    <w:multiLevelType w:val="multilevel"/>
    <w:tmpl w:val="D38A0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B08555D"/>
    <w:multiLevelType w:val="multilevel"/>
    <w:tmpl w:val="48B4B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C426B73"/>
    <w:multiLevelType w:val="multilevel"/>
    <w:tmpl w:val="C1B84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DEB233E"/>
    <w:multiLevelType w:val="multilevel"/>
    <w:tmpl w:val="7682E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DF77BF6"/>
    <w:multiLevelType w:val="multilevel"/>
    <w:tmpl w:val="A34AF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3030B79"/>
    <w:multiLevelType w:val="multilevel"/>
    <w:tmpl w:val="C1069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622448A"/>
    <w:multiLevelType w:val="multilevel"/>
    <w:tmpl w:val="5DF28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80D5699"/>
    <w:multiLevelType w:val="multilevel"/>
    <w:tmpl w:val="FF949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9975DE4"/>
    <w:multiLevelType w:val="multilevel"/>
    <w:tmpl w:val="824AE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C5A567A"/>
    <w:multiLevelType w:val="multilevel"/>
    <w:tmpl w:val="7A2EB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E5C5A6B"/>
    <w:multiLevelType w:val="multilevel"/>
    <w:tmpl w:val="00B46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ECF2806"/>
    <w:multiLevelType w:val="multilevel"/>
    <w:tmpl w:val="60062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F192CFA"/>
    <w:multiLevelType w:val="multilevel"/>
    <w:tmpl w:val="5A34E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F203E89"/>
    <w:multiLevelType w:val="multilevel"/>
    <w:tmpl w:val="953E0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3918601">
    <w:abstractNumId w:val="8"/>
  </w:num>
  <w:num w:numId="2" w16cid:durableId="870802736">
    <w:abstractNumId w:val="35"/>
  </w:num>
  <w:num w:numId="3" w16cid:durableId="2125415808">
    <w:abstractNumId w:val="21"/>
  </w:num>
  <w:num w:numId="4" w16cid:durableId="1858888491">
    <w:abstractNumId w:val="25"/>
  </w:num>
  <w:num w:numId="5" w16cid:durableId="1819616672">
    <w:abstractNumId w:val="44"/>
  </w:num>
  <w:num w:numId="6" w16cid:durableId="1795367569">
    <w:abstractNumId w:val="7"/>
  </w:num>
  <w:num w:numId="7" w16cid:durableId="1504081530">
    <w:abstractNumId w:val="36"/>
  </w:num>
  <w:num w:numId="8" w16cid:durableId="572737606">
    <w:abstractNumId w:val="13"/>
  </w:num>
  <w:num w:numId="9" w16cid:durableId="133760411">
    <w:abstractNumId w:val="26"/>
  </w:num>
  <w:num w:numId="10" w16cid:durableId="1117140531">
    <w:abstractNumId w:val="6"/>
  </w:num>
  <w:num w:numId="11" w16cid:durableId="1655599068">
    <w:abstractNumId w:val="15"/>
  </w:num>
  <w:num w:numId="12" w16cid:durableId="374548932">
    <w:abstractNumId w:val="41"/>
  </w:num>
  <w:num w:numId="13" w16cid:durableId="1617371682">
    <w:abstractNumId w:val="17"/>
  </w:num>
  <w:num w:numId="14" w16cid:durableId="823277275">
    <w:abstractNumId w:val="12"/>
  </w:num>
  <w:num w:numId="15" w16cid:durableId="1493378061">
    <w:abstractNumId w:val="31"/>
  </w:num>
  <w:num w:numId="16" w16cid:durableId="428701798">
    <w:abstractNumId w:val="30"/>
  </w:num>
  <w:num w:numId="17" w16cid:durableId="13116924">
    <w:abstractNumId w:val="42"/>
  </w:num>
  <w:num w:numId="18" w16cid:durableId="135726058">
    <w:abstractNumId w:val="9"/>
  </w:num>
  <w:num w:numId="19" w16cid:durableId="1092167002">
    <w:abstractNumId w:val="16"/>
  </w:num>
  <w:num w:numId="20" w16cid:durableId="1849832624">
    <w:abstractNumId w:val="14"/>
  </w:num>
  <w:num w:numId="21" w16cid:durableId="1308047222">
    <w:abstractNumId w:val="37"/>
  </w:num>
  <w:num w:numId="22" w16cid:durableId="924798865">
    <w:abstractNumId w:val="46"/>
  </w:num>
  <w:num w:numId="23" w16cid:durableId="1059941083">
    <w:abstractNumId w:val="32"/>
  </w:num>
  <w:num w:numId="24" w16cid:durableId="885751218">
    <w:abstractNumId w:val="45"/>
  </w:num>
  <w:num w:numId="25" w16cid:durableId="680351461">
    <w:abstractNumId w:val="28"/>
  </w:num>
  <w:num w:numId="26" w16cid:durableId="2091077652">
    <w:abstractNumId w:val="1"/>
  </w:num>
  <w:num w:numId="27" w16cid:durableId="1870144027">
    <w:abstractNumId w:val="23"/>
  </w:num>
  <w:num w:numId="28" w16cid:durableId="1791894031">
    <w:abstractNumId w:val="29"/>
  </w:num>
  <w:num w:numId="29" w16cid:durableId="1416393225">
    <w:abstractNumId w:val="19"/>
  </w:num>
  <w:num w:numId="30" w16cid:durableId="337854241">
    <w:abstractNumId w:val="18"/>
  </w:num>
  <w:num w:numId="31" w16cid:durableId="1064178109">
    <w:abstractNumId w:val="0"/>
  </w:num>
  <w:num w:numId="32" w16cid:durableId="269241078">
    <w:abstractNumId w:val="11"/>
  </w:num>
  <w:num w:numId="33" w16cid:durableId="1798523804">
    <w:abstractNumId w:val="4"/>
  </w:num>
  <w:num w:numId="34" w16cid:durableId="115098693">
    <w:abstractNumId w:val="34"/>
  </w:num>
  <w:num w:numId="35" w16cid:durableId="1524509977">
    <w:abstractNumId w:val="40"/>
  </w:num>
  <w:num w:numId="36" w16cid:durableId="803811247">
    <w:abstractNumId w:val="10"/>
  </w:num>
  <w:num w:numId="37" w16cid:durableId="1907377932">
    <w:abstractNumId w:val="20"/>
  </w:num>
  <w:num w:numId="38" w16cid:durableId="1715807561">
    <w:abstractNumId w:val="43"/>
  </w:num>
  <w:num w:numId="39" w16cid:durableId="1663898422">
    <w:abstractNumId w:val="38"/>
  </w:num>
  <w:num w:numId="40" w16cid:durableId="385110004">
    <w:abstractNumId w:val="33"/>
  </w:num>
  <w:num w:numId="41" w16cid:durableId="1575967741">
    <w:abstractNumId w:val="2"/>
  </w:num>
  <w:num w:numId="42" w16cid:durableId="2078622536">
    <w:abstractNumId w:val="5"/>
  </w:num>
  <w:num w:numId="43" w16cid:durableId="571621960">
    <w:abstractNumId w:val="3"/>
  </w:num>
  <w:num w:numId="44" w16cid:durableId="1367171319">
    <w:abstractNumId w:val="22"/>
  </w:num>
  <w:num w:numId="45" w16cid:durableId="3098723">
    <w:abstractNumId w:val="47"/>
  </w:num>
  <w:num w:numId="46" w16cid:durableId="1227495273">
    <w:abstractNumId w:val="39"/>
  </w:num>
  <w:num w:numId="47" w16cid:durableId="681470429">
    <w:abstractNumId w:val="27"/>
  </w:num>
  <w:num w:numId="48" w16cid:durableId="75466879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ocumentProtection w:edit="comments"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832"/>
    <w:rsid w:val="00001A06"/>
    <w:rsid w:val="00005CC7"/>
    <w:rsid w:val="000154CD"/>
    <w:rsid w:val="00022467"/>
    <w:rsid w:val="00024371"/>
    <w:rsid w:val="00025061"/>
    <w:rsid w:val="00051D5A"/>
    <w:rsid w:val="000A0BFA"/>
    <w:rsid w:val="000A123B"/>
    <w:rsid w:val="000A1DC5"/>
    <w:rsid w:val="000A7F81"/>
    <w:rsid w:val="000B62EA"/>
    <w:rsid w:val="000B7636"/>
    <w:rsid w:val="00102758"/>
    <w:rsid w:val="001121B1"/>
    <w:rsid w:val="001127AC"/>
    <w:rsid w:val="00114FDC"/>
    <w:rsid w:val="001302AA"/>
    <w:rsid w:val="0014463F"/>
    <w:rsid w:val="00146409"/>
    <w:rsid w:val="00146B4A"/>
    <w:rsid w:val="0015301A"/>
    <w:rsid w:val="0015467A"/>
    <w:rsid w:val="00155B65"/>
    <w:rsid w:val="00161972"/>
    <w:rsid w:val="00161C31"/>
    <w:rsid w:val="00173ADC"/>
    <w:rsid w:val="00182297"/>
    <w:rsid w:val="001947CA"/>
    <w:rsid w:val="0019520E"/>
    <w:rsid w:val="001A3BD7"/>
    <w:rsid w:val="001A59C7"/>
    <w:rsid w:val="001A6B20"/>
    <w:rsid w:val="001B5D60"/>
    <w:rsid w:val="001D022D"/>
    <w:rsid w:val="001D4063"/>
    <w:rsid w:val="001D710E"/>
    <w:rsid w:val="001F1EBF"/>
    <w:rsid w:val="001F443E"/>
    <w:rsid w:val="001F7E60"/>
    <w:rsid w:val="002044C9"/>
    <w:rsid w:val="00214B4A"/>
    <w:rsid w:val="00231C55"/>
    <w:rsid w:val="00231FCF"/>
    <w:rsid w:val="00233CE9"/>
    <w:rsid w:val="00237CF8"/>
    <w:rsid w:val="00246495"/>
    <w:rsid w:val="00251C1D"/>
    <w:rsid w:val="00264797"/>
    <w:rsid w:val="00264C42"/>
    <w:rsid w:val="00273A67"/>
    <w:rsid w:val="00275579"/>
    <w:rsid w:val="002A6268"/>
    <w:rsid w:val="002B13ED"/>
    <w:rsid w:val="002B6C59"/>
    <w:rsid w:val="002D315B"/>
    <w:rsid w:val="002D4EF3"/>
    <w:rsid w:val="002D5D6C"/>
    <w:rsid w:val="002E6069"/>
    <w:rsid w:val="002F0A73"/>
    <w:rsid w:val="002F5A5E"/>
    <w:rsid w:val="002F5D15"/>
    <w:rsid w:val="003021C9"/>
    <w:rsid w:val="00311B88"/>
    <w:rsid w:val="003227EF"/>
    <w:rsid w:val="003314CD"/>
    <w:rsid w:val="003375EF"/>
    <w:rsid w:val="00340889"/>
    <w:rsid w:val="00352222"/>
    <w:rsid w:val="0036508E"/>
    <w:rsid w:val="00374B47"/>
    <w:rsid w:val="00375938"/>
    <w:rsid w:val="003827E9"/>
    <w:rsid w:val="00382EED"/>
    <w:rsid w:val="003849C1"/>
    <w:rsid w:val="003A2983"/>
    <w:rsid w:val="003A3282"/>
    <w:rsid w:val="003A7A89"/>
    <w:rsid w:val="003B2A26"/>
    <w:rsid w:val="003B4314"/>
    <w:rsid w:val="003C3CAE"/>
    <w:rsid w:val="003C5832"/>
    <w:rsid w:val="003C5944"/>
    <w:rsid w:val="003C73A9"/>
    <w:rsid w:val="003D36CE"/>
    <w:rsid w:val="003D574D"/>
    <w:rsid w:val="003E5DBD"/>
    <w:rsid w:val="004022C8"/>
    <w:rsid w:val="00411609"/>
    <w:rsid w:val="0046317D"/>
    <w:rsid w:val="00466A5B"/>
    <w:rsid w:val="00467A2B"/>
    <w:rsid w:val="00470240"/>
    <w:rsid w:val="00473225"/>
    <w:rsid w:val="004828A0"/>
    <w:rsid w:val="00484D8C"/>
    <w:rsid w:val="004862DA"/>
    <w:rsid w:val="0049484B"/>
    <w:rsid w:val="00497B6E"/>
    <w:rsid w:val="004A1D3B"/>
    <w:rsid w:val="004A3702"/>
    <w:rsid w:val="004B0E0C"/>
    <w:rsid w:val="004B1B7F"/>
    <w:rsid w:val="004C1FB3"/>
    <w:rsid w:val="004C71FE"/>
    <w:rsid w:val="004E0F96"/>
    <w:rsid w:val="004E267E"/>
    <w:rsid w:val="004E78A4"/>
    <w:rsid w:val="004F4DE9"/>
    <w:rsid w:val="004F51CC"/>
    <w:rsid w:val="00501A89"/>
    <w:rsid w:val="005077F9"/>
    <w:rsid w:val="005252A0"/>
    <w:rsid w:val="00527695"/>
    <w:rsid w:val="00531BD1"/>
    <w:rsid w:val="00532C02"/>
    <w:rsid w:val="0054105C"/>
    <w:rsid w:val="005453CA"/>
    <w:rsid w:val="0055279A"/>
    <w:rsid w:val="00555FE7"/>
    <w:rsid w:val="00556D85"/>
    <w:rsid w:val="00562DA8"/>
    <w:rsid w:val="0057072C"/>
    <w:rsid w:val="0057309C"/>
    <w:rsid w:val="0057712F"/>
    <w:rsid w:val="00587510"/>
    <w:rsid w:val="00597136"/>
    <w:rsid w:val="005A06B5"/>
    <w:rsid w:val="005A40A0"/>
    <w:rsid w:val="005C327D"/>
    <w:rsid w:val="005D3F5D"/>
    <w:rsid w:val="005D4FE1"/>
    <w:rsid w:val="005E0174"/>
    <w:rsid w:val="005F174E"/>
    <w:rsid w:val="005F1F61"/>
    <w:rsid w:val="006021B3"/>
    <w:rsid w:val="00603B49"/>
    <w:rsid w:val="00606AB7"/>
    <w:rsid w:val="006141C3"/>
    <w:rsid w:val="00646418"/>
    <w:rsid w:val="00647122"/>
    <w:rsid w:val="00653233"/>
    <w:rsid w:val="006622C9"/>
    <w:rsid w:val="00674761"/>
    <w:rsid w:val="00675380"/>
    <w:rsid w:val="00681D7A"/>
    <w:rsid w:val="00686408"/>
    <w:rsid w:val="00692147"/>
    <w:rsid w:val="006938CD"/>
    <w:rsid w:val="00697663"/>
    <w:rsid w:val="006979BF"/>
    <w:rsid w:val="006A5642"/>
    <w:rsid w:val="006B0F5D"/>
    <w:rsid w:val="006C12F7"/>
    <w:rsid w:val="006C6F11"/>
    <w:rsid w:val="006D0612"/>
    <w:rsid w:val="006E2383"/>
    <w:rsid w:val="00716A7D"/>
    <w:rsid w:val="0072051F"/>
    <w:rsid w:val="00734296"/>
    <w:rsid w:val="00740C9B"/>
    <w:rsid w:val="007419F2"/>
    <w:rsid w:val="00746B88"/>
    <w:rsid w:val="0077156C"/>
    <w:rsid w:val="00772DC9"/>
    <w:rsid w:val="00773733"/>
    <w:rsid w:val="00773EE5"/>
    <w:rsid w:val="0077761F"/>
    <w:rsid w:val="00777F71"/>
    <w:rsid w:val="007903D2"/>
    <w:rsid w:val="00792B1C"/>
    <w:rsid w:val="0079669E"/>
    <w:rsid w:val="007B02B6"/>
    <w:rsid w:val="007B4AA2"/>
    <w:rsid w:val="007C7222"/>
    <w:rsid w:val="007E62C3"/>
    <w:rsid w:val="007F3062"/>
    <w:rsid w:val="007F3C1B"/>
    <w:rsid w:val="0080418F"/>
    <w:rsid w:val="00814C85"/>
    <w:rsid w:val="00824056"/>
    <w:rsid w:val="00826A06"/>
    <w:rsid w:val="00830F31"/>
    <w:rsid w:val="00837EDC"/>
    <w:rsid w:val="00840F05"/>
    <w:rsid w:val="00856C06"/>
    <w:rsid w:val="00862FCA"/>
    <w:rsid w:val="00865883"/>
    <w:rsid w:val="00880236"/>
    <w:rsid w:val="008832DF"/>
    <w:rsid w:val="008A42AC"/>
    <w:rsid w:val="008C3C71"/>
    <w:rsid w:val="008C56C2"/>
    <w:rsid w:val="008C6895"/>
    <w:rsid w:val="008D2EBA"/>
    <w:rsid w:val="008F1F62"/>
    <w:rsid w:val="00902AE3"/>
    <w:rsid w:val="0090544E"/>
    <w:rsid w:val="00922BE6"/>
    <w:rsid w:val="00924DC7"/>
    <w:rsid w:val="00932A6E"/>
    <w:rsid w:val="0093395B"/>
    <w:rsid w:val="00934836"/>
    <w:rsid w:val="0095034C"/>
    <w:rsid w:val="0095367D"/>
    <w:rsid w:val="009654CB"/>
    <w:rsid w:val="00971162"/>
    <w:rsid w:val="00975E6E"/>
    <w:rsid w:val="00977D28"/>
    <w:rsid w:val="00983163"/>
    <w:rsid w:val="009B0FC1"/>
    <w:rsid w:val="009B547A"/>
    <w:rsid w:val="009C6B41"/>
    <w:rsid w:val="009D025B"/>
    <w:rsid w:val="009D75AA"/>
    <w:rsid w:val="009E4496"/>
    <w:rsid w:val="009E54BA"/>
    <w:rsid w:val="009E7936"/>
    <w:rsid w:val="00A11220"/>
    <w:rsid w:val="00A30FB1"/>
    <w:rsid w:val="00A317A0"/>
    <w:rsid w:val="00A34C6B"/>
    <w:rsid w:val="00A442C7"/>
    <w:rsid w:val="00A5219F"/>
    <w:rsid w:val="00A677D4"/>
    <w:rsid w:val="00A70300"/>
    <w:rsid w:val="00A76A74"/>
    <w:rsid w:val="00A81CA6"/>
    <w:rsid w:val="00A82A01"/>
    <w:rsid w:val="00A858E1"/>
    <w:rsid w:val="00AA4FA5"/>
    <w:rsid w:val="00AA63BD"/>
    <w:rsid w:val="00AB3C9F"/>
    <w:rsid w:val="00AB574A"/>
    <w:rsid w:val="00AC49B3"/>
    <w:rsid w:val="00AC54CA"/>
    <w:rsid w:val="00AD1390"/>
    <w:rsid w:val="00AD5CFF"/>
    <w:rsid w:val="00B0627D"/>
    <w:rsid w:val="00B15E40"/>
    <w:rsid w:val="00B22206"/>
    <w:rsid w:val="00B32AED"/>
    <w:rsid w:val="00B33D23"/>
    <w:rsid w:val="00B3779C"/>
    <w:rsid w:val="00B4478B"/>
    <w:rsid w:val="00B46A9D"/>
    <w:rsid w:val="00B508AD"/>
    <w:rsid w:val="00B529CB"/>
    <w:rsid w:val="00B553D0"/>
    <w:rsid w:val="00B714E7"/>
    <w:rsid w:val="00B91DED"/>
    <w:rsid w:val="00BA26BB"/>
    <w:rsid w:val="00BA61FF"/>
    <w:rsid w:val="00BA735F"/>
    <w:rsid w:val="00BC3B7A"/>
    <w:rsid w:val="00BC7424"/>
    <w:rsid w:val="00BE5D00"/>
    <w:rsid w:val="00BF3383"/>
    <w:rsid w:val="00C118EB"/>
    <w:rsid w:val="00C133C6"/>
    <w:rsid w:val="00C144B1"/>
    <w:rsid w:val="00C20CD3"/>
    <w:rsid w:val="00C24DD1"/>
    <w:rsid w:val="00C30812"/>
    <w:rsid w:val="00C41341"/>
    <w:rsid w:val="00C41E9E"/>
    <w:rsid w:val="00C52BB5"/>
    <w:rsid w:val="00C53770"/>
    <w:rsid w:val="00C542CB"/>
    <w:rsid w:val="00C6406A"/>
    <w:rsid w:val="00C679FF"/>
    <w:rsid w:val="00C72875"/>
    <w:rsid w:val="00C844A6"/>
    <w:rsid w:val="00CA3149"/>
    <w:rsid w:val="00CB3345"/>
    <w:rsid w:val="00CB361E"/>
    <w:rsid w:val="00CC258F"/>
    <w:rsid w:val="00CE4158"/>
    <w:rsid w:val="00CF3701"/>
    <w:rsid w:val="00CF59A9"/>
    <w:rsid w:val="00CF6B3C"/>
    <w:rsid w:val="00D02209"/>
    <w:rsid w:val="00D02AC0"/>
    <w:rsid w:val="00D0381D"/>
    <w:rsid w:val="00D04B38"/>
    <w:rsid w:val="00D11698"/>
    <w:rsid w:val="00D16375"/>
    <w:rsid w:val="00D22B57"/>
    <w:rsid w:val="00D264CE"/>
    <w:rsid w:val="00D36A48"/>
    <w:rsid w:val="00D409E0"/>
    <w:rsid w:val="00D43EA9"/>
    <w:rsid w:val="00D51E18"/>
    <w:rsid w:val="00D55CDD"/>
    <w:rsid w:val="00D57DD8"/>
    <w:rsid w:val="00D6532E"/>
    <w:rsid w:val="00D66129"/>
    <w:rsid w:val="00D71BE8"/>
    <w:rsid w:val="00D86791"/>
    <w:rsid w:val="00D87B0A"/>
    <w:rsid w:val="00DA4BE5"/>
    <w:rsid w:val="00DA564A"/>
    <w:rsid w:val="00DD0120"/>
    <w:rsid w:val="00DD1243"/>
    <w:rsid w:val="00DD4173"/>
    <w:rsid w:val="00DD4C49"/>
    <w:rsid w:val="00DE13CA"/>
    <w:rsid w:val="00DE1B6A"/>
    <w:rsid w:val="00DE3BE1"/>
    <w:rsid w:val="00DE4733"/>
    <w:rsid w:val="00DF4160"/>
    <w:rsid w:val="00DF70A0"/>
    <w:rsid w:val="00E0714D"/>
    <w:rsid w:val="00E12FBD"/>
    <w:rsid w:val="00E15AF3"/>
    <w:rsid w:val="00E15B19"/>
    <w:rsid w:val="00E236DC"/>
    <w:rsid w:val="00E54E56"/>
    <w:rsid w:val="00E654A2"/>
    <w:rsid w:val="00E72507"/>
    <w:rsid w:val="00E732D7"/>
    <w:rsid w:val="00E8017E"/>
    <w:rsid w:val="00E84255"/>
    <w:rsid w:val="00E8757A"/>
    <w:rsid w:val="00EA1964"/>
    <w:rsid w:val="00EA61B3"/>
    <w:rsid w:val="00EA7FE3"/>
    <w:rsid w:val="00EB532A"/>
    <w:rsid w:val="00EB7BE1"/>
    <w:rsid w:val="00EC3DF0"/>
    <w:rsid w:val="00EC4F1B"/>
    <w:rsid w:val="00EC74F1"/>
    <w:rsid w:val="00EC7C2E"/>
    <w:rsid w:val="00ED7AC7"/>
    <w:rsid w:val="00EE09F1"/>
    <w:rsid w:val="00EE17CD"/>
    <w:rsid w:val="00EE6AAD"/>
    <w:rsid w:val="00EF065B"/>
    <w:rsid w:val="00EF29EF"/>
    <w:rsid w:val="00F0004E"/>
    <w:rsid w:val="00F00DD6"/>
    <w:rsid w:val="00F0439E"/>
    <w:rsid w:val="00F05FB7"/>
    <w:rsid w:val="00F247B3"/>
    <w:rsid w:val="00F515A2"/>
    <w:rsid w:val="00F533C9"/>
    <w:rsid w:val="00F66BD5"/>
    <w:rsid w:val="00F7352F"/>
    <w:rsid w:val="00F828B7"/>
    <w:rsid w:val="00F94405"/>
    <w:rsid w:val="00F97EF1"/>
    <w:rsid w:val="00FA5FC9"/>
    <w:rsid w:val="00FA60B7"/>
    <w:rsid w:val="00FA735B"/>
    <w:rsid w:val="00FA78FA"/>
    <w:rsid w:val="00FD6E69"/>
    <w:rsid w:val="00FE18F0"/>
    <w:rsid w:val="00FF1F46"/>
    <w:rsid w:val="00FF5E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F0759"/>
  <w15:chartTrackingRefBased/>
  <w15:docId w15:val="{4EC5F357-AB32-442D-8D43-35EAAB67C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5832"/>
    <w:pPr>
      <w:spacing w:after="200" w:line="276" w:lineRule="auto"/>
    </w:pPr>
    <w:rPr>
      <w:rFonts w:eastAsiaTheme="minorEastAsia"/>
      <w:kern w:val="0"/>
      <w:sz w:val="22"/>
      <w:szCs w:val="22"/>
      <w14:ligatures w14:val="none"/>
    </w:rPr>
  </w:style>
  <w:style w:type="paragraph" w:styleId="Heading1">
    <w:name w:val="heading 1"/>
    <w:basedOn w:val="Normal"/>
    <w:next w:val="Normal"/>
    <w:link w:val="Heading1Char"/>
    <w:uiPriority w:val="9"/>
    <w:qFormat/>
    <w:rsid w:val="003C58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C58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C58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C58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58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58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58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58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58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58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58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C58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58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58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58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58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58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5832"/>
    <w:rPr>
      <w:rFonts w:eastAsiaTheme="majorEastAsia" w:cstheme="majorBidi"/>
      <w:color w:val="272727" w:themeColor="text1" w:themeTint="D8"/>
    </w:rPr>
  </w:style>
  <w:style w:type="paragraph" w:styleId="Title">
    <w:name w:val="Title"/>
    <w:basedOn w:val="Normal"/>
    <w:next w:val="Normal"/>
    <w:link w:val="TitleChar"/>
    <w:uiPriority w:val="10"/>
    <w:qFormat/>
    <w:rsid w:val="003C58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58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58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58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5832"/>
    <w:pPr>
      <w:spacing w:before="160"/>
      <w:jc w:val="center"/>
    </w:pPr>
    <w:rPr>
      <w:i/>
      <w:iCs/>
      <w:color w:val="404040" w:themeColor="text1" w:themeTint="BF"/>
    </w:rPr>
  </w:style>
  <w:style w:type="character" w:customStyle="1" w:styleId="QuoteChar">
    <w:name w:val="Quote Char"/>
    <w:basedOn w:val="DefaultParagraphFont"/>
    <w:link w:val="Quote"/>
    <w:uiPriority w:val="29"/>
    <w:rsid w:val="003C5832"/>
    <w:rPr>
      <w:i/>
      <w:iCs/>
      <w:color w:val="404040" w:themeColor="text1" w:themeTint="BF"/>
    </w:rPr>
  </w:style>
  <w:style w:type="paragraph" w:styleId="ListParagraph">
    <w:name w:val="List Paragraph"/>
    <w:basedOn w:val="Normal"/>
    <w:uiPriority w:val="34"/>
    <w:qFormat/>
    <w:rsid w:val="003C5832"/>
    <w:pPr>
      <w:ind w:left="720"/>
      <w:contextualSpacing/>
    </w:pPr>
  </w:style>
  <w:style w:type="character" w:styleId="IntenseEmphasis">
    <w:name w:val="Intense Emphasis"/>
    <w:basedOn w:val="DefaultParagraphFont"/>
    <w:uiPriority w:val="21"/>
    <w:qFormat/>
    <w:rsid w:val="003C5832"/>
    <w:rPr>
      <w:i/>
      <w:iCs/>
      <w:color w:val="0F4761" w:themeColor="accent1" w:themeShade="BF"/>
    </w:rPr>
  </w:style>
  <w:style w:type="paragraph" w:styleId="IntenseQuote">
    <w:name w:val="Intense Quote"/>
    <w:basedOn w:val="Normal"/>
    <w:next w:val="Normal"/>
    <w:link w:val="IntenseQuoteChar"/>
    <w:uiPriority w:val="30"/>
    <w:qFormat/>
    <w:rsid w:val="003C58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5832"/>
    <w:rPr>
      <w:i/>
      <w:iCs/>
      <w:color w:val="0F4761" w:themeColor="accent1" w:themeShade="BF"/>
    </w:rPr>
  </w:style>
  <w:style w:type="character" w:styleId="IntenseReference">
    <w:name w:val="Intense Reference"/>
    <w:basedOn w:val="DefaultParagraphFont"/>
    <w:uiPriority w:val="32"/>
    <w:qFormat/>
    <w:rsid w:val="003C5832"/>
    <w:rPr>
      <w:b/>
      <w:bCs/>
      <w:smallCaps/>
      <w:color w:val="0F4761" w:themeColor="accent1" w:themeShade="BF"/>
      <w:spacing w:val="5"/>
    </w:rPr>
  </w:style>
  <w:style w:type="paragraph" w:styleId="Footer">
    <w:name w:val="footer"/>
    <w:basedOn w:val="Normal"/>
    <w:link w:val="FooterChar"/>
    <w:uiPriority w:val="99"/>
    <w:unhideWhenUsed/>
    <w:rsid w:val="003C58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5832"/>
    <w:rPr>
      <w:rFonts w:eastAsiaTheme="minorEastAsia"/>
      <w:kern w:val="0"/>
      <w:sz w:val="22"/>
      <w:szCs w:val="22"/>
      <w14:ligatures w14:val="none"/>
    </w:rPr>
  </w:style>
  <w:style w:type="character" w:styleId="FootnoteReference">
    <w:name w:val="footnote reference"/>
    <w:basedOn w:val="DefaultParagraphFont"/>
    <w:uiPriority w:val="99"/>
    <w:semiHidden/>
    <w:unhideWhenUsed/>
    <w:rsid w:val="003C5832"/>
    <w:rPr>
      <w:vertAlign w:val="superscript"/>
    </w:rPr>
  </w:style>
  <w:style w:type="paragraph" w:styleId="Header">
    <w:name w:val="header"/>
    <w:basedOn w:val="Normal"/>
    <w:link w:val="HeaderChar"/>
    <w:uiPriority w:val="99"/>
    <w:unhideWhenUsed/>
    <w:rsid w:val="003C5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5832"/>
    <w:rPr>
      <w:rFonts w:eastAsiaTheme="minorEastAsia"/>
      <w:kern w:val="0"/>
      <w:sz w:val="22"/>
      <w:szCs w:val="22"/>
      <w14:ligatures w14:val="none"/>
    </w:rPr>
  </w:style>
  <w:style w:type="character" w:styleId="Hyperlink">
    <w:name w:val="Hyperlink"/>
    <w:basedOn w:val="DefaultParagraphFont"/>
    <w:uiPriority w:val="99"/>
    <w:unhideWhenUsed/>
    <w:rsid w:val="00B46A9D"/>
    <w:rPr>
      <w:color w:val="467886" w:themeColor="hyperlink"/>
      <w:u w:val="single"/>
    </w:rPr>
  </w:style>
  <w:style w:type="character" w:styleId="UnresolvedMention">
    <w:name w:val="Unresolved Mention"/>
    <w:basedOn w:val="DefaultParagraphFont"/>
    <w:uiPriority w:val="99"/>
    <w:semiHidden/>
    <w:unhideWhenUsed/>
    <w:rsid w:val="00B46A9D"/>
    <w:rPr>
      <w:color w:val="605E5C"/>
      <w:shd w:val="clear" w:color="auto" w:fill="E1DFDD"/>
    </w:rPr>
  </w:style>
  <w:style w:type="character" w:styleId="FollowedHyperlink">
    <w:name w:val="FollowedHyperlink"/>
    <w:basedOn w:val="DefaultParagraphFont"/>
    <w:uiPriority w:val="99"/>
    <w:semiHidden/>
    <w:unhideWhenUsed/>
    <w:rsid w:val="006A5642"/>
    <w:rPr>
      <w:color w:val="96607D" w:themeColor="followedHyperlink"/>
      <w:u w:val="single"/>
    </w:rPr>
  </w:style>
  <w:style w:type="table" w:styleId="TableGrid">
    <w:name w:val="Table Grid"/>
    <w:basedOn w:val="TableNormal"/>
    <w:uiPriority w:val="39"/>
    <w:rsid w:val="00C133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8832DF"/>
    <w:pPr>
      <w:spacing w:after="0" w:line="240" w:lineRule="auto"/>
    </w:pPr>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ai-cyber-security-code-of-practice" TargetMode="External"/><Relationship Id="rId18" Type="http://schemas.openxmlformats.org/officeDocument/2006/relationships/hyperlink" Target="https://www.frc.org.uk/library/standards-codes-policy/corporate-governance/uk-corporate-governance-code/" TargetMode="External"/><Relationship Id="rId26" Type="http://schemas.openxmlformats.org/officeDocument/2006/relationships/hyperlink" Target="https://doi.org/10.1002/ace.5" TargetMode="External"/><Relationship Id="rId3" Type="http://schemas.openxmlformats.org/officeDocument/2006/relationships/settings" Target="settings.xml"/><Relationship Id="rId21" Type="http://schemas.openxmlformats.org/officeDocument/2006/relationships/hyperlink" Target="https://ico.org.uk/for-organisations/uk-gdpr-guidance-and-resources/accountability-and-governance/data-protection-impact-assessments-dpias/" TargetMode="External"/><Relationship Id="rId34"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hyperlink" Target="https://www.legislation.gov.uk/ukpga/2018/12/contents" TargetMode="External"/><Relationship Id="rId17" Type="http://schemas.openxmlformats.org/officeDocument/2006/relationships/hyperlink" Target="https://www.frc.org.uk/library/standards-codes-policy/corporate-governance/the-wates-corporate-governance-principles-for-large-private-companies/" TargetMode="External"/><Relationship Id="rId25" Type="http://schemas.openxmlformats.org/officeDocument/2006/relationships/hyperlink" Target="https://doi.org/10.1007/978-981-4560-67-2"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eur-lex.europa.eu/eli/reg/2016/679/oj/eng" TargetMode="External"/><Relationship Id="rId20" Type="http://schemas.openxmlformats.org/officeDocument/2006/relationships/hyperlink" Target="https://ico.org.uk/for-organisations/uk-gdpr-guidance-and-resources/principles/" TargetMode="External"/><Relationship Id="rId29" Type="http://schemas.openxmlformats.org/officeDocument/2006/relationships/hyperlink" Target="https://hbr.org/2007/11/a-leaders-framework-for-decision-mak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06/46/contents" TargetMode="External"/><Relationship Id="rId24" Type="http://schemas.openxmlformats.org/officeDocument/2006/relationships/hyperlink" Target="https://www.iso.org/standard/81230.html"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080/158037042000225245" TargetMode="External"/><Relationship Id="rId23" Type="http://schemas.openxmlformats.org/officeDocument/2006/relationships/hyperlink" Target="https://www.iso.org/standard/77304.html" TargetMode="External"/><Relationship Id="rId28" Type="http://schemas.openxmlformats.org/officeDocument/2006/relationships/hyperlink" Target="https://doi.org/10.1007/BF01405730" TargetMode="External"/><Relationship Id="rId36" Type="http://schemas.openxmlformats.org/officeDocument/2006/relationships/theme" Target="theme/theme1.xml"/><Relationship Id="rId10" Type="http://schemas.openxmlformats.org/officeDocument/2006/relationships/hyperlink" Target="https://www.cgi.org.uk/qualifications-training/competency-framework/" TargetMode="External"/><Relationship Id="rId19" Type="http://schemas.openxmlformats.org/officeDocument/2006/relationships/hyperlink" Target="https://ico.org.uk/for-organisations/uk-gdpr-guidance-and-resources/artificial-intelligence/guidance-on-ai-and-data-protection/"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4324/9780203994450" TargetMode="External"/><Relationship Id="rId14" Type="http://schemas.openxmlformats.org/officeDocument/2006/relationships/hyperlink" Target="https://www.legislation.gov.uk/ukpga/2023/56/contents" TargetMode="External"/><Relationship Id="rId22" Type="http://schemas.openxmlformats.org/officeDocument/2006/relationships/hyperlink" Target="https://www.iso.org/standard/62542.html" TargetMode="External"/><Relationship Id="rId27" Type="http://schemas.openxmlformats.org/officeDocument/2006/relationships/hyperlink" Target="https://legalinstruments.oecd.org/en/instruments/OECD-LEGAL-0449" TargetMode="External"/><Relationship Id="rId30" Type="http://schemas.openxmlformats.org/officeDocument/2006/relationships/hyperlink" Target="https://doi.org/10.6028/NIST.AI.100-1" TargetMode="External"/><Relationship Id="rId35" Type="http://schemas.openxmlformats.org/officeDocument/2006/relationships/fontTable" Target="fontTable.xml"/><Relationship Id="rId8"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e1a043d6-2440-42e2-9bca-0683b3b9e916}" enabled="1" method="Privileged" siteId="{87c38de1-7677-4ae8-b543-17ff79c50890}" removed="0"/>
</clbl:labelList>
</file>

<file path=docProps/app.xml><?xml version="1.0" encoding="utf-8"?>
<Properties xmlns="http://schemas.openxmlformats.org/officeDocument/2006/extended-properties" xmlns:vt="http://schemas.openxmlformats.org/officeDocument/2006/docPropsVTypes">
  <Template>Normal</Template>
  <TotalTime>1</TotalTime>
  <Pages>24</Pages>
  <Words>9380</Words>
  <Characters>46155</Characters>
  <Application>Microsoft Office Word</Application>
  <DocSecurity>0</DocSecurity>
  <Lines>2197</Lines>
  <Paragraphs>1682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McCulloch</dc:creator>
  <cp:keywords/>
  <dc:description/>
  <cp:lastModifiedBy>Emma McCulloch</cp:lastModifiedBy>
  <cp:revision>3</cp:revision>
  <dcterms:created xsi:type="dcterms:W3CDTF">2026-05-20T15:37:00Z</dcterms:created>
  <dcterms:modified xsi:type="dcterms:W3CDTF">2026-05-20T15:37:00Z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5c86b053,58e26bd8,e7c879f</vt:lpwstr>
  </property>
  <property fmtid="{D5CDD505-2E9C-101B-9397-08002B2CF9AE}" pid="3" name="ClassificationContentMarkingFooterFontProps">
    <vt:lpwstr>#000000,10,Aptos</vt:lpwstr>
  </property>
  <property fmtid="{D5CDD505-2E9C-101B-9397-08002B2CF9AE}" pid="4" name="ClassificationContentMarkingFooterText">
    <vt:lpwstr>HIGHLY CONFIDENTIAL</vt:lpwstr>
  </property>
</Properties>
</file>