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FC222E" w14:textId="77777777" w:rsidR="00B84936" w:rsidRDefault="001D1521">
      <w:pPr>
        <w:tabs>
          <w:tab w:val="left" w:pos="8190"/>
        </w:tabs>
        <w:jc w:val="center"/>
        <w:rPr>
          <w:rFonts w:ascii="Times New Roman" w:eastAsia="Times New Roman" w:hAnsi="Times New Roman" w:cs="Times New Roman"/>
          <w:sz w:val="20"/>
          <w:szCs w:val="20"/>
        </w:rPr>
      </w:pPr>
      <w:r>
        <w:rPr>
          <w:rFonts w:ascii="Times New Roman" w:eastAsia="Times New Roman" w:hAnsi="Times New Roman" w:cs="Times New Roman"/>
          <w:b/>
          <w:color w:val="000000"/>
        </w:rPr>
        <w:t> </w:t>
      </w:r>
    </w:p>
    <w:p w14:paraId="5FB80691" w14:textId="77777777" w:rsidR="00B84936" w:rsidRDefault="00B84936">
      <w:pPr>
        <w:jc w:val="center"/>
        <w:rPr>
          <w:rFonts w:ascii="Times New Roman" w:eastAsia="Times New Roman" w:hAnsi="Times New Roman" w:cs="Times New Roman"/>
          <w:b/>
          <w:color w:val="000000"/>
        </w:rPr>
      </w:pPr>
    </w:p>
    <w:p w14:paraId="31E0C9EF"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b/>
          <w:color w:val="000000"/>
        </w:rPr>
        <w:t> </w:t>
      </w:r>
      <w:r>
        <w:rPr>
          <w:rFonts w:ascii="Times New Roman" w:eastAsia="Times New Roman" w:hAnsi="Times New Roman" w:cs="Times New Roman"/>
          <w:b/>
          <w:noProof/>
          <w:color w:val="000000"/>
        </w:rPr>
        <w:drawing>
          <wp:inline distT="0" distB="0" distL="0" distR="0" wp14:anchorId="4D159691" wp14:editId="503E136A">
            <wp:extent cx="1999288" cy="659184"/>
            <wp:effectExtent l="0" t="0" r="0" b="0"/>
            <wp:docPr id="12" name="image10.png" descr="https://lh4.googleusercontent.com/X9X-w0IaFB2AfZ9DH3vT72vxAJQ92LEtXQPJsQhrmZc8VffEr9GVRPpS43PnZucmqJdrP_H6DUgH9S8NHNKMFyT4MOcmEwhZhGSpxxgltOK34fMSMYZxje4xENb4XOUVk-EqTF0B"/>
            <wp:cNvGraphicFramePr/>
            <a:graphic xmlns:a="http://schemas.openxmlformats.org/drawingml/2006/main">
              <a:graphicData uri="http://schemas.openxmlformats.org/drawingml/2006/picture">
                <pic:pic xmlns:pic="http://schemas.openxmlformats.org/drawingml/2006/picture">
                  <pic:nvPicPr>
                    <pic:cNvPr id="0" name="image10.png" descr="https://lh4.googleusercontent.com/X9X-w0IaFB2AfZ9DH3vT72vxAJQ92LEtXQPJsQhrmZc8VffEr9GVRPpS43PnZucmqJdrP_H6DUgH9S8NHNKMFyT4MOcmEwhZhGSpxxgltOK34fMSMYZxje4xENb4XOUVk-EqTF0B"/>
                    <pic:cNvPicPr preferRelativeResize="0"/>
                  </pic:nvPicPr>
                  <pic:blipFill>
                    <a:blip r:embed="rId10"/>
                    <a:srcRect/>
                    <a:stretch>
                      <a:fillRect/>
                    </a:stretch>
                  </pic:blipFill>
                  <pic:spPr>
                    <a:xfrm>
                      <a:off x="0" y="0"/>
                      <a:ext cx="1999288" cy="659184"/>
                    </a:xfrm>
                    <a:prstGeom prst="rect">
                      <a:avLst/>
                    </a:prstGeom>
                    <a:ln/>
                  </pic:spPr>
                </pic:pic>
              </a:graphicData>
            </a:graphic>
          </wp:inline>
        </w:drawing>
      </w:r>
    </w:p>
    <w:p w14:paraId="17AFA6D3" w14:textId="77777777" w:rsidR="00B84936" w:rsidRDefault="001D1521">
      <w:p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p>
    <w:p w14:paraId="489FADB1" w14:textId="77777777" w:rsidR="00B84936" w:rsidRDefault="00B84936">
      <w:pPr>
        <w:spacing w:after="240"/>
        <w:rPr>
          <w:rFonts w:ascii="Times New Roman" w:eastAsia="Times New Roman" w:hAnsi="Times New Roman" w:cs="Times New Roman"/>
          <w:sz w:val="20"/>
          <w:szCs w:val="20"/>
        </w:rPr>
      </w:pPr>
    </w:p>
    <w:p w14:paraId="30D72C41" w14:textId="77777777" w:rsidR="00B84936" w:rsidRDefault="00B84936">
      <w:pPr>
        <w:spacing w:after="240"/>
        <w:rPr>
          <w:rFonts w:ascii="Times New Roman" w:eastAsia="Times New Roman" w:hAnsi="Times New Roman" w:cs="Times New Roman"/>
          <w:sz w:val="20"/>
          <w:szCs w:val="20"/>
        </w:rPr>
      </w:pPr>
    </w:p>
    <w:p w14:paraId="49C981FE" w14:textId="77777777" w:rsidR="00B84936" w:rsidRDefault="00B84936">
      <w:pPr>
        <w:jc w:val="center"/>
        <w:rPr>
          <w:rFonts w:ascii="Times New Roman" w:eastAsia="Times New Roman" w:hAnsi="Times New Roman" w:cs="Times New Roman"/>
          <w:b/>
          <w:color w:val="000000"/>
          <w:sz w:val="40"/>
          <w:szCs w:val="40"/>
        </w:rPr>
      </w:pPr>
    </w:p>
    <w:p w14:paraId="528CD8F2" w14:textId="77777777" w:rsidR="00B84936" w:rsidRDefault="001D1521">
      <w:pPr>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 xml:space="preserve">SBMA7123D: Dissertation </w:t>
      </w:r>
    </w:p>
    <w:p w14:paraId="006B966F"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b/>
          <w:color w:val="000000"/>
          <w:sz w:val="40"/>
          <w:szCs w:val="40"/>
        </w:rPr>
        <w:t>Master of Business Administration (MBA)</w:t>
      </w:r>
    </w:p>
    <w:p w14:paraId="3A76BD9F"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b/>
          <w:color w:val="000000"/>
        </w:rPr>
        <w:t>March 2020</w:t>
      </w:r>
    </w:p>
    <w:p w14:paraId="7855576C"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b/>
          <w:color w:val="000000"/>
        </w:rPr>
        <w:t> </w:t>
      </w:r>
    </w:p>
    <w:p w14:paraId="7D07CDA8" w14:textId="77777777" w:rsidR="00B84936" w:rsidRDefault="00B84936">
      <w:pPr>
        <w:rPr>
          <w:rFonts w:ascii="Times New Roman" w:eastAsia="Times New Roman" w:hAnsi="Times New Roman" w:cs="Times New Roman"/>
          <w:sz w:val="20"/>
          <w:szCs w:val="20"/>
        </w:rPr>
      </w:pPr>
    </w:p>
    <w:p w14:paraId="2F6996F3"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b/>
          <w:color w:val="000000"/>
        </w:rPr>
        <w:t> </w:t>
      </w:r>
    </w:p>
    <w:p w14:paraId="00D0B7EE"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8"/>
          <w:szCs w:val="28"/>
        </w:rPr>
        <w:t> </w:t>
      </w:r>
    </w:p>
    <w:p w14:paraId="622CDC28" w14:textId="77777777" w:rsidR="00B84936" w:rsidRDefault="001D1521">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b/>
          <w:color w:val="000000"/>
          <w:sz w:val="28"/>
          <w:szCs w:val="28"/>
        </w:rPr>
        <w:t>Intersectionality</w:t>
      </w:r>
      <w:proofErr w:type="spellEnd"/>
      <w:r>
        <w:rPr>
          <w:rFonts w:ascii="Times New Roman" w:eastAsia="Times New Roman" w:hAnsi="Times New Roman" w:cs="Times New Roman"/>
          <w:b/>
          <w:color w:val="000000"/>
          <w:sz w:val="28"/>
          <w:szCs w:val="28"/>
        </w:rPr>
        <w:t xml:space="preserve"> in the New Gilded Age: Diversity &amp; Inclusion, Guaranteed Jobs, and Workplace Democracy</w:t>
      </w:r>
    </w:p>
    <w:p w14:paraId="6E06DB4C"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 </w:t>
      </w:r>
    </w:p>
    <w:p w14:paraId="1817E614"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 </w:t>
      </w:r>
    </w:p>
    <w:p w14:paraId="67E23D4B"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 </w:t>
      </w:r>
    </w:p>
    <w:p w14:paraId="6D5650A4"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 </w:t>
      </w:r>
    </w:p>
    <w:p w14:paraId="2360A116"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 </w:t>
      </w:r>
    </w:p>
    <w:p w14:paraId="4D10860F" w14:textId="77777777" w:rsidR="00B84936" w:rsidRDefault="00B84936">
      <w:pPr>
        <w:rPr>
          <w:rFonts w:ascii="Times New Roman" w:eastAsia="Times New Roman" w:hAnsi="Times New Roman" w:cs="Times New Roman"/>
          <w:sz w:val="20"/>
          <w:szCs w:val="20"/>
        </w:rPr>
      </w:pPr>
    </w:p>
    <w:p w14:paraId="0DF3C8B7"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Justin Fernando (Student ID Number: 1705758)</w:t>
      </w:r>
    </w:p>
    <w:p w14:paraId="5C67D119" w14:textId="77777777" w:rsidR="00B84936" w:rsidRDefault="001D1521">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Supervisor: Dr. Alex Bell</w:t>
      </w:r>
    </w:p>
    <w:p w14:paraId="15CD83E7" w14:textId="77777777" w:rsidR="00B84936" w:rsidRDefault="001D1521">
      <w:p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p>
    <w:p w14:paraId="0849E3E7" w14:textId="77777777" w:rsidR="00B84936" w:rsidRDefault="00B84936">
      <w:pPr>
        <w:spacing w:after="240"/>
        <w:rPr>
          <w:rFonts w:ascii="Times New Roman" w:eastAsia="Times New Roman" w:hAnsi="Times New Roman" w:cs="Times New Roman"/>
          <w:sz w:val="20"/>
          <w:szCs w:val="20"/>
        </w:rPr>
      </w:pPr>
    </w:p>
    <w:p w14:paraId="15B8C420" w14:textId="77777777" w:rsidR="00B84936" w:rsidRDefault="001D1521">
      <w:pPr>
        <w:spacing w:after="240"/>
        <w:rPr>
          <w:rFonts w:ascii="Times New Roman" w:eastAsia="Times New Roman" w:hAnsi="Times New Roman" w:cs="Times New Roman"/>
          <w:sz w:val="20"/>
          <w:szCs w:val="20"/>
        </w:rPr>
      </w:pPr>
      <w:bookmarkStart w:id="0" w:name="_heading=h.gjdgxs" w:colFirst="0" w:colLast="0"/>
      <w:bookmarkEnd w:id="0"/>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r>
      <w:r>
        <w:rPr>
          <w:rFonts w:ascii="Times New Roman" w:eastAsia="Times New Roman" w:hAnsi="Times New Roman" w:cs="Times New Roman"/>
        </w:rPr>
        <w:br/>
      </w:r>
      <w:r>
        <w:rPr>
          <w:rFonts w:ascii="Times New Roman" w:eastAsia="Times New Roman" w:hAnsi="Times New Roman" w:cs="Times New Roman"/>
        </w:rPr>
        <w:br/>
      </w:r>
    </w:p>
    <w:p w14:paraId="6C48C3BC" w14:textId="77777777" w:rsidR="00B84936" w:rsidRDefault="001D1521">
      <w:pPr>
        <w:rPr>
          <w:rFonts w:ascii="Times New Roman" w:eastAsia="Times New Roman" w:hAnsi="Times New Roman" w:cs="Times New Roman"/>
          <w:b/>
        </w:rPr>
      </w:pPr>
      <w:r>
        <w:rPr>
          <w:rFonts w:ascii="Times New Roman" w:eastAsia="Times New Roman" w:hAnsi="Times New Roman" w:cs="Times New Roman"/>
          <w:b/>
        </w:rPr>
        <w:lastRenderedPageBreak/>
        <w:t>DECLARATION</w:t>
      </w:r>
    </w:p>
    <w:p w14:paraId="3E89E168" w14:textId="77777777" w:rsidR="00B84936" w:rsidRDefault="001D1521">
      <w:pPr>
        <w:ind w:left="720" w:hanging="630"/>
        <w:jc w:val="both"/>
        <w:rPr>
          <w:rFonts w:ascii="Times New Roman" w:eastAsia="Times New Roman" w:hAnsi="Times New Roman" w:cs="Times New Roman"/>
        </w:rPr>
      </w:pPr>
      <w:r>
        <w:rPr>
          <w:rFonts w:ascii="Times New Roman" w:eastAsia="Times New Roman" w:hAnsi="Times New Roman" w:cs="Times New Roman"/>
        </w:rPr>
        <w:tab/>
      </w:r>
    </w:p>
    <w:p w14:paraId="4A993204" w14:textId="77777777" w:rsidR="00B84936" w:rsidRDefault="001D1521">
      <w:pPr>
        <w:rPr>
          <w:rFonts w:ascii="Times New Roman" w:eastAsia="Times New Roman" w:hAnsi="Times New Roman" w:cs="Times New Roman"/>
        </w:rPr>
      </w:pPr>
      <w:r>
        <w:rPr>
          <w:rFonts w:ascii="Times New Roman" w:eastAsia="Times New Roman" w:hAnsi="Times New Roman" w:cs="Times New Roman"/>
        </w:rPr>
        <w:t>This work has not previously been accepted in substance for any degree and is not being concurrently submitted in candidature for any degree.</w:t>
      </w:r>
      <w:r>
        <w:rPr>
          <w:rFonts w:ascii="Times New Roman" w:eastAsia="Times New Roman" w:hAnsi="Times New Roman" w:cs="Times New Roman"/>
        </w:rPr>
        <w:tab/>
      </w:r>
    </w:p>
    <w:p w14:paraId="7220981F" w14:textId="77777777" w:rsidR="00B84936" w:rsidRDefault="00B84936">
      <w:pPr>
        <w:rPr>
          <w:rFonts w:ascii="Times New Roman" w:eastAsia="Times New Roman" w:hAnsi="Times New Roman" w:cs="Times New Roman"/>
        </w:rPr>
      </w:pPr>
    </w:p>
    <w:p w14:paraId="6778C0D7" w14:textId="77777777" w:rsidR="00B84936" w:rsidRDefault="001D1521">
      <w:pPr>
        <w:rPr>
          <w:rFonts w:ascii="Times New Roman" w:eastAsia="Times New Roman" w:hAnsi="Times New Roman" w:cs="Times New Roman"/>
        </w:rPr>
      </w:pPr>
      <w:r>
        <w:rPr>
          <w:rFonts w:ascii="Times New Roman" w:eastAsia="Times New Roman" w:hAnsi="Times New Roman" w:cs="Times New Roman"/>
        </w:rPr>
        <w:t xml:space="preserve">Signed </w:t>
      </w:r>
      <w:r>
        <w:rPr>
          <w:rFonts w:ascii="Times New Roman" w:eastAsia="Times New Roman" w:hAnsi="Times New Roman" w:cs="Times New Roman"/>
          <w:b/>
          <w:i/>
        </w:rPr>
        <w:t>Justin Fernando</w:t>
      </w:r>
      <w:r>
        <w:rPr>
          <w:rFonts w:ascii="Times New Roman" w:eastAsia="Times New Roman" w:hAnsi="Times New Roman" w:cs="Times New Roman"/>
        </w:rPr>
        <w:t xml:space="preserve"> (candidate)</w:t>
      </w:r>
      <w:r>
        <w:rPr>
          <w:rFonts w:ascii="Times New Roman" w:eastAsia="Times New Roman" w:hAnsi="Times New Roman" w:cs="Times New Roman"/>
        </w:rPr>
        <w:tab/>
      </w:r>
      <w:r>
        <w:rPr>
          <w:rFonts w:ascii="Times New Roman" w:eastAsia="Times New Roman" w:hAnsi="Times New Roman" w:cs="Times New Roman"/>
        </w:rPr>
        <w:br/>
        <w:t>Date ........................................................................</w:t>
      </w:r>
      <w:r>
        <w:rPr>
          <w:rFonts w:ascii="Times New Roman" w:eastAsia="Times New Roman" w:hAnsi="Times New Roman" w:cs="Times New Roman"/>
        </w:rPr>
        <w:tab/>
      </w:r>
    </w:p>
    <w:p w14:paraId="1E8AE162" w14:textId="77777777" w:rsidR="00B84936" w:rsidRDefault="00B84936">
      <w:pPr>
        <w:ind w:left="720"/>
        <w:jc w:val="both"/>
        <w:rPr>
          <w:rFonts w:ascii="Times New Roman" w:eastAsia="Times New Roman" w:hAnsi="Times New Roman" w:cs="Times New Roman"/>
        </w:rPr>
      </w:pPr>
    </w:p>
    <w:p w14:paraId="50F527F2" w14:textId="77777777" w:rsidR="00B84936" w:rsidRDefault="00B84936">
      <w:pPr>
        <w:ind w:left="720"/>
        <w:jc w:val="both"/>
        <w:rPr>
          <w:rFonts w:ascii="Times New Roman" w:eastAsia="Times New Roman" w:hAnsi="Times New Roman" w:cs="Times New Roman"/>
        </w:rPr>
      </w:pPr>
    </w:p>
    <w:p w14:paraId="680A435B"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STATEMENT 1</w:t>
      </w:r>
      <w:r>
        <w:rPr>
          <w:rFonts w:ascii="Times New Roman" w:eastAsia="Times New Roman" w:hAnsi="Times New Roman" w:cs="Times New Roman"/>
        </w:rPr>
        <w:tab/>
      </w:r>
    </w:p>
    <w:p w14:paraId="6CC6EF18" w14:textId="77777777" w:rsidR="00B84936" w:rsidRDefault="00B84936">
      <w:pPr>
        <w:jc w:val="both"/>
        <w:rPr>
          <w:rFonts w:ascii="Times New Roman" w:eastAsia="Times New Roman" w:hAnsi="Times New Roman" w:cs="Times New Roman"/>
        </w:rPr>
      </w:pPr>
    </w:p>
    <w:p w14:paraId="26CF6148"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 xml:space="preserve">This work is the result of my own investigations, except where otherwise stated. </w:t>
      </w:r>
    </w:p>
    <w:p w14:paraId="7CD3E0D8" w14:textId="77777777" w:rsidR="00B84936" w:rsidRDefault="00B84936">
      <w:pPr>
        <w:jc w:val="both"/>
        <w:rPr>
          <w:rFonts w:ascii="Times New Roman" w:eastAsia="Times New Roman" w:hAnsi="Times New Roman" w:cs="Times New Roman"/>
        </w:rPr>
      </w:pPr>
    </w:p>
    <w:p w14:paraId="6765A891"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Other sources are acknowledged by footnotes giving explicit references.  A bibliography is appended.</w:t>
      </w:r>
    </w:p>
    <w:p w14:paraId="4200A44F" w14:textId="77777777" w:rsidR="00B84936" w:rsidRDefault="00B84936">
      <w:pPr>
        <w:jc w:val="both"/>
        <w:rPr>
          <w:rFonts w:ascii="Times New Roman" w:eastAsia="Times New Roman" w:hAnsi="Times New Roman" w:cs="Times New Roman"/>
        </w:rPr>
      </w:pPr>
    </w:p>
    <w:p w14:paraId="2DAC382D"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 xml:space="preserve">Signed </w:t>
      </w:r>
      <w:r>
        <w:rPr>
          <w:rFonts w:ascii="Times New Roman" w:eastAsia="Times New Roman" w:hAnsi="Times New Roman" w:cs="Times New Roman"/>
          <w:b/>
          <w:i/>
        </w:rPr>
        <w:t>Justin Fernando</w:t>
      </w:r>
      <w:r>
        <w:rPr>
          <w:rFonts w:ascii="Times New Roman" w:eastAsia="Times New Roman" w:hAnsi="Times New Roman" w:cs="Times New Roman"/>
        </w:rPr>
        <w:t xml:space="preserve"> (candidate)</w:t>
      </w:r>
      <w:r>
        <w:rPr>
          <w:rFonts w:ascii="Times New Roman" w:eastAsia="Times New Roman" w:hAnsi="Times New Roman" w:cs="Times New Roman"/>
        </w:rPr>
        <w:tab/>
      </w:r>
    </w:p>
    <w:p w14:paraId="42F3E925"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Date ........................................................................</w:t>
      </w:r>
      <w:r>
        <w:rPr>
          <w:rFonts w:ascii="Times New Roman" w:eastAsia="Times New Roman" w:hAnsi="Times New Roman" w:cs="Times New Roman"/>
        </w:rPr>
        <w:tab/>
      </w:r>
    </w:p>
    <w:p w14:paraId="2243FF45" w14:textId="77777777" w:rsidR="00B84936" w:rsidRDefault="00B84936">
      <w:pPr>
        <w:jc w:val="both"/>
        <w:rPr>
          <w:rFonts w:ascii="Times New Roman" w:eastAsia="Times New Roman" w:hAnsi="Times New Roman" w:cs="Times New Roman"/>
        </w:rPr>
      </w:pPr>
    </w:p>
    <w:p w14:paraId="25A4B0D7" w14:textId="77777777" w:rsidR="00B84936" w:rsidRDefault="00B84936">
      <w:pPr>
        <w:jc w:val="both"/>
        <w:rPr>
          <w:rFonts w:ascii="Times New Roman" w:eastAsia="Times New Roman" w:hAnsi="Times New Roman" w:cs="Times New Roman"/>
        </w:rPr>
      </w:pPr>
    </w:p>
    <w:p w14:paraId="3A20F97A"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STATEMENT 2</w:t>
      </w:r>
      <w:r>
        <w:rPr>
          <w:rFonts w:ascii="Times New Roman" w:eastAsia="Times New Roman" w:hAnsi="Times New Roman" w:cs="Times New Roman"/>
        </w:rPr>
        <w:tab/>
      </w:r>
    </w:p>
    <w:p w14:paraId="1E0FA134" w14:textId="77777777" w:rsidR="00B84936" w:rsidRDefault="00B84936">
      <w:pPr>
        <w:jc w:val="both"/>
        <w:rPr>
          <w:rFonts w:ascii="Times New Roman" w:eastAsia="Times New Roman" w:hAnsi="Times New Roman" w:cs="Times New Roman"/>
        </w:rPr>
      </w:pPr>
    </w:p>
    <w:p w14:paraId="58A8003C"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 xml:space="preserve">I hereby give consent for my work, if accepted, to be available for photocopying and for inter-library loan, and for the title and summary to be made available to outside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w:t>
      </w:r>
      <w:r>
        <w:rPr>
          <w:rFonts w:ascii="Times New Roman" w:eastAsia="Times New Roman" w:hAnsi="Times New Roman" w:cs="Times New Roman"/>
        </w:rPr>
        <w:tab/>
      </w:r>
    </w:p>
    <w:p w14:paraId="401DEE6A" w14:textId="77777777" w:rsidR="00B84936" w:rsidRDefault="00B84936">
      <w:pPr>
        <w:jc w:val="both"/>
        <w:rPr>
          <w:rFonts w:ascii="Times New Roman" w:eastAsia="Times New Roman" w:hAnsi="Times New Roman" w:cs="Times New Roman"/>
        </w:rPr>
      </w:pPr>
    </w:p>
    <w:p w14:paraId="57503292"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 xml:space="preserve">Signed </w:t>
      </w:r>
      <w:r>
        <w:rPr>
          <w:rFonts w:ascii="Times New Roman" w:eastAsia="Times New Roman" w:hAnsi="Times New Roman" w:cs="Times New Roman"/>
          <w:b/>
          <w:i/>
        </w:rPr>
        <w:t>Justin Fernando</w:t>
      </w:r>
      <w:r>
        <w:rPr>
          <w:rFonts w:ascii="Times New Roman" w:eastAsia="Times New Roman" w:hAnsi="Times New Roman" w:cs="Times New Roman"/>
        </w:rPr>
        <w:t xml:space="preserve"> (candidate)</w:t>
      </w:r>
      <w:r>
        <w:rPr>
          <w:rFonts w:ascii="Times New Roman" w:eastAsia="Times New Roman" w:hAnsi="Times New Roman" w:cs="Times New Roman"/>
        </w:rPr>
        <w:tab/>
      </w:r>
    </w:p>
    <w:p w14:paraId="3AB0F19E" w14:textId="77777777" w:rsidR="00B84936" w:rsidRDefault="00B84936">
      <w:pPr>
        <w:jc w:val="both"/>
        <w:rPr>
          <w:rFonts w:ascii="Times New Roman" w:eastAsia="Times New Roman" w:hAnsi="Times New Roman" w:cs="Times New Roman"/>
        </w:rPr>
      </w:pPr>
    </w:p>
    <w:p w14:paraId="3132076D"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Date ........................................................................</w:t>
      </w:r>
    </w:p>
    <w:p w14:paraId="6753AFF2" w14:textId="77777777" w:rsidR="00B84936" w:rsidRDefault="00B84936">
      <w:pPr>
        <w:jc w:val="both"/>
        <w:rPr>
          <w:rFonts w:ascii="Times New Roman" w:eastAsia="Times New Roman" w:hAnsi="Times New Roman" w:cs="Times New Roman"/>
        </w:rPr>
      </w:pPr>
    </w:p>
    <w:p w14:paraId="1091BE78" w14:textId="77777777" w:rsidR="00B84936" w:rsidRDefault="00B84936">
      <w:pPr>
        <w:tabs>
          <w:tab w:val="left" w:pos="-720"/>
        </w:tabs>
        <w:jc w:val="both"/>
        <w:rPr>
          <w:rFonts w:ascii="Times New Roman" w:eastAsia="Times New Roman" w:hAnsi="Times New Roman" w:cs="Times New Roman"/>
        </w:rPr>
      </w:pPr>
    </w:p>
    <w:p w14:paraId="4244B61E" w14:textId="77777777" w:rsidR="00B84936" w:rsidRDefault="001D1521">
      <w:pPr>
        <w:ind w:hanging="720"/>
        <w:jc w:val="both"/>
        <w:rPr>
          <w:rFonts w:ascii="Times New Roman" w:eastAsia="Times New Roman" w:hAnsi="Times New Roman" w:cs="Times New Roman"/>
        </w:rPr>
      </w:pPr>
      <w:r>
        <w:rPr>
          <w:rFonts w:ascii="Times New Roman" w:eastAsia="Times New Roman" w:hAnsi="Times New Roman" w:cs="Times New Roman"/>
          <w:b/>
        </w:rPr>
        <w:t>NB</w:t>
      </w:r>
      <w:proofErr w:type="gramStart"/>
      <w:r>
        <w:rPr>
          <w:rFonts w:ascii="Times New Roman" w:eastAsia="Times New Roman" w:hAnsi="Times New Roman" w:cs="Times New Roman"/>
          <w:b/>
        </w:rPr>
        <w:t>:</w:t>
      </w:r>
      <w:r>
        <w:rPr>
          <w:rFonts w:ascii="Times New Roman" w:eastAsia="Times New Roman" w:hAnsi="Times New Roman" w:cs="Times New Roman"/>
          <w:i/>
        </w:rPr>
        <w:tab/>
        <w:t>Candidates on whose behalf a bar on access has been approved by the University</w:t>
      </w:r>
      <w:proofErr w:type="gramEnd"/>
      <w:r>
        <w:rPr>
          <w:rFonts w:ascii="Times New Roman" w:eastAsia="Times New Roman" w:hAnsi="Times New Roman" w:cs="Times New Roman"/>
          <w:i/>
        </w:rPr>
        <w:t xml:space="preserve"> (see Note 1), should use the following version of Statement 2:</w:t>
      </w:r>
      <w:r>
        <w:rPr>
          <w:rFonts w:ascii="Times New Roman" w:eastAsia="Times New Roman" w:hAnsi="Times New Roman" w:cs="Times New Roman"/>
        </w:rPr>
        <w:tab/>
      </w:r>
    </w:p>
    <w:p w14:paraId="610B8366" w14:textId="77777777" w:rsidR="00B84936" w:rsidRDefault="00B84936">
      <w:pPr>
        <w:jc w:val="both"/>
        <w:rPr>
          <w:rFonts w:ascii="Times New Roman" w:eastAsia="Times New Roman" w:hAnsi="Times New Roman" w:cs="Times New Roman"/>
        </w:rPr>
      </w:pPr>
    </w:p>
    <w:p w14:paraId="11BCCC7B" w14:textId="77777777" w:rsidR="00B84936" w:rsidRDefault="001D1521">
      <w:pPr>
        <w:jc w:val="both"/>
        <w:rPr>
          <w:rFonts w:ascii="Times New Roman" w:eastAsia="Times New Roman" w:hAnsi="Times New Roman" w:cs="Times New Roman"/>
          <w:b/>
        </w:rPr>
      </w:pPr>
      <w:r>
        <w:rPr>
          <w:rFonts w:ascii="Times New Roman" w:eastAsia="Times New Roman" w:hAnsi="Times New Roman" w:cs="Times New Roman"/>
        </w:rPr>
        <w:t xml:space="preserve">I hereby give consent for my work, if accepted, to be available for photocopying and for inter-library loans </w:t>
      </w:r>
      <w:r>
        <w:rPr>
          <w:rFonts w:ascii="Times New Roman" w:eastAsia="Times New Roman" w:hAnsi="Times New Roman" w:cs="Times New Roman"/>
          <w:b/>
        </w:rPr>
        <w:t>after expiry of a bar on access approved by the University.</w:t>
      </w:r>
    </w:p>
    <w:p w14:paraId="12FD37CB" w14:textId="77777777" w:rsidR="00B84936" w:rsidRDefault="00B84936">
      <w:pPr>
        <w:jc w:val="both"/>
        <w:rPr>
          <w:rFonts w:ascii="Times New Roman" w:eastAsia="Times New Roman" w:hAnsi="Times New Roman" w:cs="Times New Roman"/>
          <w:b/>
        </w:rPr>
      </w:pPr>
    </w:p>
    <w:p w14:paraId="17522790" w14:textId="77777777" w:rsidR="00B84936" w:rsidRDefault="001D1521">
      <w:pPr>
        <w:jc w:val="both"/>
        <w:rPr>
          <w:rFonts w:ascii="Times New Roman" w:eastAsia="Times New Roman" w:hAnsi="Times New Roman" w:cs="Times New Roman"/>
        </w:rPr>
      </w:pPr>
      <w:r>
        <w:rPr>
          <w:rFonts w:ascii="Times New Roman" w:eastAsia="Times New Roman" w:hAnsi="Times New Roman" w:cs="Times New Roman"/>
        </w:rPr>
        <w:t xml:space="preserve">Signed </w:t>
      </w:r>
      <w:r>
        <w:rPr>
          <w:rFonts w:ascii="Times New Roman" w:eastAsia="Times New Roman" w:hAnsi="Times New Roman" w:cs="Times New Roman"/>
          <w:b/>
          <w:i/>
        </w:rPr>
        <w:t>Justin Fernando</w:t>
      </w:r>
      <w:r>
        <w:rPr>
          <w:rFonts w:ascii="Times New Roman" w:eastAsia="Times New Roman" w:hAnsi="Times New Roman" w:cs="Times New Roman"/>
        </w:rPr>
        <w:t xml:space="preserve"> (candidate)</w:t>
      </w:r>
    </w:p>
    <w:p w14:paraId="45C4775C" w14:textId="77777777" w:rsidR="00B84936" w:rsidRDefault="001D1521">
      <w:pPr>
        <w:tabs>
          <w:tab w:val="left" w:pos="-720"/>
        </w:tabs>
        <w:jc w:val="both"/>
        <w:rPr>
          <w:rFonts w:ascii="Times New Roman" w:eastAsia="Times New Roman" w:hAnsi="Times New Roman" w:cs="Times New Roman"/>
        </w:rPr>
      </w:pPr>
      <w:r>
        <w:rPr>
          <w:rFonts w:ascii="Times New Roman" w:eastAsia="Times New Roman" w:hAnsi="Times New Roman" w:cs="Times New Roman"/>
        </w:rPr>
        <w:t>Date ........................................................................</w:t>
      </w:r>
    </w:p>
    <w:p w14:paraId="1D23D92B" w14:textId="77777777" w:rsidR="00B84936" w:rsidRDefault="00B84936">
      <w:pPr>
        <w:tabs>
          <w:tab w:val="left" w:pos="-720"/>
        </w:tabs>
        <w:jc w:val="both"/>
        <w:rPr>
          <w:rFonts w:ascii="Times New Roman" w:eastAsia="Times New Roman" w:hAnsi="Times New Roman" w:cs="Times New Roman"/>
        </w:rPr>
      </w:pPr>
    </w:p>
    <w:p w14:paraId="034F0ACF" w14:textId="77777777" w:rsidR="00B84936" w:rsidRDefault="00B84936">
      <w:pPr>
        <w:tabs>
          <w:tab w:val="left" w:pos="-720"/>
        </w:tabs>
        <w:jc w:val="both"/>
        <w:rPr>
          <w:rFonts w:ascii="Times New Roman" w:eastAsia="Times New Roman" w:hAnsi="Times New Roman" w:cs="Times New Roman"/>
        </w:rPr>
      </w:pPr>
    </w:p>
    <w:p w14:paraId="0A5E65EB" w14:textId="77777777" w:rsidR="00B84936" w:rsidRDefault="00B84936">
      <w:pPr>
        <w:tabs>
          <w:tab w:val="left" w:pos="-720"/>
        </w:tabs>
        <w:jc w:val="both"/>
        <w:rPr>
          <w:rFonts w:ascii="Times New Roman" w:eastAsia="Times New Roman" w:hAnsi="Times New Roman" w:cs="Times New Roman"/>
        </w:rPr>
      </w:pPr>
    </w:p>
    <w:p w14:paraId="62789D1F" w14:textId="77777777" w:rsidR="00B84936" w:rsidRDefault="001D1521">
      <w:pPr>
        <w:tabs>
          <w:tab w:val="left" w:pos="-720"/>
        </w:tabs>
        <w:jc w:val="both"/>
        <w:rPr>
          <w:rFonts w:ascii="Times New Roman" w:eastAsia="Times New Roman" w:hAnsi="Times New Roman" w:cs="Times New Roman"/>
        </w:rPr>
      </w:pPr>
      <w:r>
        <w:rPr>
          <w:rFonts w:ascii="Times New Roman" w:eastAsia="Times New Roman" w:hAnsi="Times New Roman" w:cs="Times New Roman"/>
        </w:rPr>
        <w:t xml:space="preserve">Candidate’s </w:t>
      </w:r>
      <w:proofErr w:type="gramStart"/>
      <w:r>
        <w:rPr>
          <w:rFonts w:ascii="Times New Roman" w:eastAsia="Times New Roman" w:hAnsi="Times New Roman" w:cs="Times New Roman"/>
        </w:rPr>
        <w:t xml:space="preserve">signature  </w:t>
      </w:r>
      <w:r>
        <w:rPr>
          <w:rFonts w:ascii="Times New Roman" w:eastAsia="Times New Roman" w:hAnsi="Times New Roman" w:cs="Times New Roman"/>
          <w:b/>
          <w:i/>
        </w:rPr>
        <w:t>Justin</w:t>
      </w:r>
      <w:proofErr w:type="gramEnd"/>
      <w:r>
        <w:rPr>
          <w:rFonts w:ascii="Times New Roman" w:eastAsia="Times New Roman" w:hAnsi="Times New Roman" w:cs="Times New Roman"/>
          <w:b/>
          <w:i/>
        </w:rPr>
        <w:t xml:space="preserve"> Fernando</w:t>
      </w:r>
      <w:r>
        <w:rPr>
          <w:rFonts w:ascii="Times New Roman" w:eastAsia="Times New Roman" w:hAnsi="Times New Roman" w:cs="Times New Roman"/>
          <w:b/>
          <w:i/>
        </w:rPr>
        <w:tab/>
      </w:r>
      <w:r>
        <w:rPr>
          <w:rFonts w:ascii="Times New Roman" w:eastAsia="Times New Roman" w:hAnsi="Times New Roman" w:cs="Times New Roman"/>
          <w:b/>
          <w:i/>
        </w:rPr>
        <w:tab/>
      </w:r>
      <w:r>
        <w:rPr>
          <w:rFonts w:ascii="Times New Roman" w:eastAsia="Times New Roman" w:hAnsi="Times New Roman" w:cs="Times New Roman"/>
        </w:rPr>
        <w:t xml:space="preserve">   Date…………………..</w:t>
      </w:r>
    </w:p>
    <w:p w14:paraId="48309A4C" w14:textId="77777777" w:rsidR="00B84936" w:rsidRDefault="00B84936">
      <w:pPr>
        <w:tabs>
          <w:tab w:val="left" w:pos="-720"/>
        </w:tabs>
        <w:jc w:val="both"/>
        <w:rPr>
          <w:rFonts w:ascii="Times New Roman" w:eastAsia="Times New Roman" w:hAnsi="Times New Roman" w:cs="Times New Roman"/>
        </w:rPr>
      </w:pPr>
    </w:p>
    <w:p w14:paraId="0B9C43AF" w14:textId="77777777" w:rsidR="00B84936" w:rsidRDefault="00B84936">
      <w:pPr>
        <w:rPr>
          <w:rFonts w:ascii="Times New Roman" w:eastAsia="Times New Roman" w:hAnsi="Times New Roman" w:cs="Times New Roman"/>
          <w:b/>
        </w:rPr>
      </w:pPr>
    </w:p>
    <w:p w14:paraId="04DD3D89" w14:textId="77777777" w:rsidR="00B84936" w:rsidRDefault="001D1521">
      <w:pPr>
        <w:rPr>
          <w:rFonts w:ascii="Times New Roman" w:eastAsia="Times New Roman" w:hAnsi="Times New Roman" w:cs="Times New Roman"/>
        </w:rPr>
      </w:pPr>
      <w:r>
        <w:br w:type="page"/>
      </w:r>
    </w:p>
    <w:sdt>
      <w:sdtPr>
        <w:rPr>
          <w:rFonts w:ascii="Times New Roman" w:hAnsi="Times New Roman" w:cs="Times New Roman"/>
          <w:color w:val="auto"/>
          <w:sz w:val="24"/>
          <w:szCs w:val="24"/>
        </w:rPr>
        <w:id w:val="817227010"/>
        <w:docPartObj>
          <w:docPartGallery w:val="Table of Contents"/>
          <w:docPartUnique/>
        </w:docPartObj>
      </w:sdtPr>
      <w:sdtEndPr>
        <w:rPr>
          <w:rFonts w:ascii="Cambria" w:eastAsia="Cambria" w:hAnsi="Cambria" w:cs="Cambria"/>
          <w:noProof/>
        </w:rPr>
      </w:sdtEndPr>
      <w:sdtContent>
        <w:p w14:paraId="368E63A6" w14:textId="77777777" w:rsidR="00F562F3" w:rsidRPr="00276C14" w:rsidRDefault="00F562F3" w:rsidP="00A64106">
          <w:pPr>
            <w:pStyle w:val="TOCHeading"/>
            <w:jc w:val="center"/>
            <w:rPr>
              <w:rFonts w:ascii="Times New Roman" w:hAnsi="Times New Roman" w:cs="Times New Roman"/>
              <w:color w:val="auto"/>
              <w:sz w:val="24"/>
              <w:szCs w:val="24"/>
            </w:rPr>
          </w:pPr>
          <w:r w:rsidRPr="00276C14">
            <w:rPr>
              <w:rFonts w:ascii="Times New Roman" w:hAnsi="Times New Roman" w:cs="Times New Roman"/>
              <w:color w:val="auto"/>
              <w:sz w:val="24"/>
              <w:szCs w:val="24"/>
            </w:rPr>
            <w:t>Table of Contents</w:t>
          </w:r>
        </w:p>
        <w:p w14:paraId="5D618DBF" w14:textId="77777777" w:rsidR="00A64106" w:rsidRPr="00A64106" w:rsidRDefault="00A64106" w:rsidP="00A64106"/>
        <w:p w14:paraId="0F919799" w14:textId="77777777" w:rsidR="00F562F3" w:rsidRPr="00276C14" w:rsidRDefault="00F562F3" w:rsidP="00276C14">
          <w:pPr>
            <w:pStyle w:val="TOC1"/>
            <w:rPr>
              <w:rFonts w:eastAsiaTheme="minorEastAsia" w:cstheme="minorBidi"/>
              <w:noProof/>
              <w:lang w:eastAsia="ja-JP"/>
            </w:rPr>
          </w:pPr>
          <w:r w:rsidRPr="00276C14">
            <w:rPr>
              <w:rFonts w:ascii="Times New Roman" w:hAnsi="Times New Roman" w:cs="Times New Roman"/>
            </w:rPr>
            <w:fldChar w:fldCharType="begin"/>
          </w:r>
          <w:r w:rsidRPr="00276C14">
            <w:rPr>
              <w:rFonts w:ascii="Times New Roman" w:hAnsi="Times New Roman" w:cs="Times New Roman"/>
            </w:rPr>
            <w:instrText xml:space="preserve"> TOC \o "1-3" \h \z \u </w:instrText>
          </w:r>
          <w:r w:rsidRPr="00276C14">
            <w:rPr>
              <w:rFonts w:ascii="Times New Roman" w:hAnsi="Times New Roman" w:cs="Times New Roman"/>
            </w:rPr>
            <w:fldChar w:fldCharType="separate"/>
          </w:r>
          <w:r w:rsidRPr="00276C14">
            <w:rPr>
              <w:rFonts w:ascii="Times New Roman" w:hAnsi="Times New Roman" w:cs="Times New Roman"/>
              <w:noProof/>
            </w:rPr>
            <w:t>Chapter</w:t>
          </w:r>
          <w:r w:rsidRPr="00276C14">
            <w:rPr>
              <w:noProof/>
            </w:rPr>
            <w:t xml:space="preserve"> 1 – Introduction and Methodology</w:t>
          </w:r>
          <w:r w:rsidRPr="00276C14">
            <w:rPr>
              <w:noProof/>
            </w:rPr>
            <w:tab/>
          </w:r>
          <w:r w:rsidRPr="00276C14">
            <w:rPr>
              <w:noProof/>
            </w:rPr>
            <w:fldChar w:fldCharType="begin"/>
          </w:r>
          <w:r w:rsidRPr="00276C14">
            <w:rPr>
              <w:noProof/>
            </w:rPr>
            <w:instrText xml:space="preserve"> PAGEREF _Toc446789103 \h </w:instrText>
          </w:r>
          <w:r w:rsidRPr="00276C14">
            <w:rPr>
              <w:noProof/>
            </w:rPr>
          </w:r>
          <w:r w:rsidRPr="00276C14">
            <w:rPr>
              <w:noProof/>
            </w:rPr>
            <w:fldChar w:fldCharType="separate"/>
          </w:r>
          <w:r w:rsidRPr="00276C14">
            <w:rPr>
              <w:noProof/>
            </w:rPr>
            <w:t>3</w:t>
          </w:r>
          <w:r w:rsidRPr="00276C14">
            <w:rPr>
              <w:noProof/>
            </w:rPr>
            <w:fldChar w:fldCharType="end"/>
          </w:r>
        </w:p>
        <w:p w14:paraId="5F717636"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Introduction</w:t>
          </w:r>
          <w:r w:rsidRPr="00276C14">
            <w:rPr>
              <w:b w:val="0"/>
              <w:noProof/>
            </w:rPr>
            <w:tab/>
          </w:r>
          <w:r w:rsidRPr="00276C14">
            <w:rPr>
              <w:b w:val="0"/>
              <w:noProof/>
            </w:rPr>
            <w:fldChar w:fldCharType="begin"/>
          </w:r>
          <w:r w:rsidRPr="00276C14">
            <w:rPr>
              <w:b w:val="0"/>
              <w:noProof/>
            </w:rPr>
            <w:instrText xml:space="preserve"> PAGEREF _Toc446789104 \h </w:instrText>
          </w:r>
          <w:r w:rsidRPr="00276C14">
            <w:rPr>
              <w:b w:val="0"/>
              <w:noProof/>
            </w:rPr>
          </w:r>
          <w:r w:rsidRPr="00276C14">
            <w:rPr>
              <w:b w:val="0"/>
              <w:noProof/>
            </w:rPr>
            <w:fldChar w:fldCharType="separate"/>
          </w:r>
          <w:r w:rsidRPr="00276C14">
            <w:rPr>
              <w:b w:val="0"/>
              <w:noProof/>
            </w:rPr>
            <w:t>4</w:t>
          </w:r>
          <w:r w:rsidRPr="00276C14">
            <w:rPr>
              <w:b w:val="0"/>
              <w:noProof/>
            </w:rPr>
            <w:fldChar w:fldCharType="end"/>
          </w:r>
        </w:p>
        <w:p w14:paraId="1ED0E736"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Research Aims, Objectives, and Questions</w:t>
          </w:r>
          <w:r w:rsidRPr="00276C14">
            <w:rPr>
              <w:b w:val="0"/>
              <w:noProof/>
            </w:rPr>
            <w:tab/>
          </w:r>
          <w:r w:rsidRPr="00276C14">
            <w:rPr>
              <w:b w:val="0"/>
              <w:noProof/>
            </w:rPr>
            <w:fldChar w:fldCharType="begin"/>
          </w:r>
          <w:r w:rsidRPr="00276C14">
            <w:rPr>
              <w:b w:val="0"/>
              <w:noProof/>
            </w:rPr>
            <w:instrText xml:space="preserve"> PAGEREF _Toc446789105 \h </w:instrText>
          </w:r>
          <w:r w:rsidRPr="00276C14">
            <w:rPr>
              <w:b w:val="0"/>
              <w:noProof/>
            </w:rPr>
          </w:r>
          <w:r w:rsidRPr="00276C14">
            <w:rPr>
              <w:b w:val="0"/>
              <w:noProof/>
            </w:rPr>
            <w:fldChar w:fldCharType="separate"/>
          </w:r>
          <w:r w:rsidRPr="00276C14">
            <w:rPr>
              <w:b w:val="0"/>
              <w:noProof/>
            </w:rPr>
            <w:t>4</w:t>
          </w:r>
          <w:r w:rsidRPr="00276C14">
            <w:rPr>
              <w:b w:val="0"/>
              <w:noProof/>
            </w:rPr>
            <w:fldChar w:fldCharType="end"/>
          </w:r>
        </w:p>
        <w:p w14:paraId="4F42C42E"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Data Analysis</w:t>
          </w:r>
          <w:r w:rsidRPr="00276C14">
            <w:rPr>
              <w:b w:val="0"/>
              <w:noProof/>
            </w:rPr>
            <w:tab/>
          </w:r>
          <w:r w:rsidRPr="00276C14">
            <w:rPr>
              <w:b w:val="0"/>
              <w:noProof/>
            </w:rPr>
            <w:fldChar w:fldCharType="begin"/>
          </w:r>
          <w:r w:rsidRPr="00276C14">
            <w:rPr>
              <w:b w:val="0"/>
              <w:noProof/>
            </w:rPr>
            <w:instrText xml:space="preserve"> PAGEREF _Toc446789106 \h </w:instrText>
          </w:r>
          <w:r w:rsidRPr="00276C14">
            <w:rPr>
              <w:b w:val="0"/>
              <w:noProof/>
            </w:rPr>
          </w:r>
          <w:r w:rsidRPr="00276C14">
            <w:rPr>
              <w:b w:val="0"/>
              <w:noProof/>
            </w:rPr>
            <w:fldChar w:fldCharType="separate"/>
          </w:r>
          <w:r w:rsidRPr="00276C14">
            <w:rPr>
              <w:b w:val="0"/>
              <w:noProof/>
            </w:rPr>
            <w:t>5</w:t>
          </w:r>
          <w:r w:rsidRPr="00276C14">
            <w:rPr>
              <w:b w:val="0"/>
              <w:noProof/>
            </w:rPr>
            <w:fldChar w:fldCharType="end"/>
          </w:r>
        </w:p>
        <w:p w14:paraId="4F6CF014"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Data Collection</w:t>
          </w:r>
          <w:r w:rsidRPr="00276C14">
            <w:rPr>
              <w:b w:val="0"/>
              <w:noProof/>
            </w:rPr>
            <w:tab/>
          </w:r>
          <w:r w:rsidRPr="00276C14">
            <w:rPr>
              <w:b w:val="0"/>
              <w:noProof/>
            </w:rPr>
            <w:fldChar w:fldCharType="begin"/>
          </w:r>
          <w:r w:rsidRPr="00276C14">
            <w:rPr>
              <w:b w:val="0"/>
              <w:noProof/>
            </w:rPr>
            <w:instrText xml:space="preserve"> PAGEREF _Toc446789107 \h </w:instrText>
          </w:r>
          <w:r w:rsidRPr="00276C14">
            <w:rPr>
              <w:b w:val="0"/>
              <w:noProof/>
            </w:rPr>
          </w:r>
          <w:r w:rsidRPr="00276C14">
            <w:rPr>
              <w:b w:val="0"/>
              <w:noProof/>
            </w:rPr>
            <w:fldChar w:fldCharType="separate"/>
          </w:r>
          <w:r w:rsidRPr="00276C14">
            <w:rPr>
              <w:b w:val="0"/>
              <w:noProof/>
            </w:rPr>
            <w:t>8</w:t>
          </w:r>
          <w:r w:rsidRPr="00276C14">
            <w:rPr>
              <w:b w:val="0"/>
              <w:noProof/>
            </w:rPr>
            <w:fldChar w:fldCharType="end"/>
          </w:r>
        </w:p>
        <w:p w14:paraId="2143012A"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Ethics, Dependability, and Rigor</w:t>
          </w:r>
          <w:r w:rsidRPr="00276C14">
            <w:rPr>
              <w:b w:val="0"/>
              <w:noProof/>
            </w:rPr>
            <w:tab/>
          </w:r>
          <w:r w:rsidRPr="00276C14">
            <w:rPr>
              <w:b w:val="0"/>
              <w:noProof/>
            </w:rPr>
            <w:fldChar w:fldCharType="begin"/>
          </w:r>
          <w:r w:rsidRPr="00276C14">
            <w:rPr>
              <w:b w:val="0"/>
              <w:noProof/>
            </w:rPr>
            <w:instrText xml:space="preserve"> PAGEREF _Toc446789108 \h </w:instrText>
          </w:r>
          <w:r w:rsidRPr="00276C14">
            <w:rPr>
              <w:b w:val="0"/>
              <w:noProof/>
            </w:rPr>
          </w:r>
          <w:r w:rsidRPr="00276C14">
            <w:rPr>
              <w:b w:val="0"/>
              <w:noProof/>
            </w:rPr>
            <w:fldChar w:fldCharType="separate"/>
          </w:r>
          <w:r w:rsidRPr="00276C14">
            <w:rPr>
              <w:b w:val="0"/>
              <w:noProof/>
            </w:rPr>
            <w:t>8</w:t>
          </w:r>
          <w:r w:rsidRPr="00276C14">
            <w:rPr>
              <w:b w:val="0"/>
              <w:noProof/>
            </w:rPr>
            <w:fldChar w:fldCharType="end"/>
          </w:r>
        </w:p>
        <w:p w14:paraId="22907031"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Conclusion</w:t>
          </w:r>
          <w:r w:rsidRPr="00276C14">
            <w:rPr>
              <w:b w:val="0"/>
              <w:noProof/>
            </w:rPr>
            <w:tab/>
          </w:r>
          <w:r w:rsidRPr="00276C14">
            <w:rPr>
              <w:b w:val="0"/>
              <w:noProof/>
            </w:rPr>
            <w:fldChar w:fldCharType="begin"/>
          </w:r>
          <w:r w:rsidRPr="00276C14">
            <w:rPr>
              <w:b w:val="0"/>
              <w:noProof/>
            </w:rPr>
            <w:instrText xml:space="preserve"> PAGEREF _Toc446789109 \h </w:instrText>
          </w:r>
          <w:r w:rsidRPr="00276C14">
            <w:rPr>
              <w:b w:val="0"/>
              <w:noProof/>
            </w:rPr>
          </w:r>
          <w:r w:rsidRPr="00276C14">
            <w:rPr>
              <w:b w:val="0"/>
              <w:noProof/>
            </w:rPr>
            <w:fldChar w:fldCharType="separate"/>
          </w:r>
          <w:r w:rsidRPr="00276C14">
            <w:rPr>
              <w:b w:val="0"/>
              <w:noProof/>
            </w:rPr>
            <w:t>10</w:t>
          </w:r>
          <w:r w:rsidRPr="00276C14">
            <w:rPr>
              <w:b w:val="0"/>
              <w:noProof/>
            </w:rPr>
            <w:fldChar w:fldCharType="end"/>
          </w:r>
        </w:p>
        <w:p w14:paraId="1A2CC9AA" w14:textId="77777777" w:rsidR="00F562F3" w:rsidRPr="00276C14" w:rsidRDefault="00F562F3" w:rsidP="00276C14">
          <w:pPr>
            <w:pStyle w:val="TOC1"/>
            <w:rPr>
              <w:rFonts w:eastAsiaTheme="minorEastAsia" w:cstheme="minorBidi"/>
              <w:noProof/>
              <w:lang w:eastAsia="ja-JP"/>
            </w:rPr>
          </w:pPr>
          <w:r w:rsidRPr="00276C14">
            <w:rPr>
              <w:noProof/>
            </w:rPr>
            <w:t>Chapter 2 - Literature Review</w:t>
          </w:r>
          <w:r w:rsidRPr="00276C14">
            <w:rPr>
              <w:noProof/>
            </w:rPr>
            <w:tab/>
          </w:r>
          <w:r w:rsidRPr="00276C14">
            <w:rPr>
              <w:noProof/>
            </w:rPr>
            <w:fldChar w:fldCharType="begin"/>
          </w:r>
          <w:r w:rsidRPr="00276C14">
            <w:rPr>
              <w:noProof/>
            </w:rPr>
            <w:instrText xml:space="preserve"> PAGEREF _Toc446789110 \h </w:instrText>
          </w:r>
          <w:r w:rsidRPr="00276C14">
            <w:rPr>
              <w:noProof/>
            </w:rPr>
          </w:r>
          <w:r w:rsidRPr="00276C14">
            <w:rPr>
              <w:noProof/>
            </w:rPr>
            <w:fldChar w:fldCharType="separate"/>
          </w:r>
          <w:r w:rsidRPr="00276C14">
            <w:rPr>
              <w:noProof/>
            </w:rPr>
            <w:t>10</w:t>
          </w:r>
          <w:r w:rsidRPr="00276C14">
            <w:rPr>
              <w:noProof/>
            </w:rPr>
            <w:fldChar w:fldCharType="end"/>
          </w:r>
        </w:p>
        <w:p w14:paraId="43414BA2"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Introduction: From the Gilded Age and Back</w:t>
          </w:r>
          <w:r w:rsidRPr="00276C14">
            <w:rPr>
              <w:b w:val="0"/>
              <w:noProof/>
            </w:rPr>
            <w:tab/>
          </w:r>
          <w:r w:rsidRPr="00276C14">
            <w:rPr>
              <w:b w:val="0"/>
              <w:noProof/>
            </w:rPr>
            <w:fldChar w:fldCharType="begin"/>
          </w:r>
          <w:r w:rsidRPr="00276C14">
            <w:rPr>
              <w:b w:val="0"/>
              <w:noProof/>
            </w:rPr>
            <w:instrText xml:space="preserve"> PAGEREF _Toc446789111 \h </w:instrText>
          </w:r>
          <w:r w:rsidRPr="00276C14">
            <w:rPr>
              <w:b w:val="0"/>
              <w:noProof/>
            </w:rPr>
          </w:r>
          <w:r w:rsidRPr="00276C14">
            <w:rPr>
              <w:b w:val="0"/>
              <w:noProof/>
            </w:rPr>
            <w:fldChar w:fldCharType="separate"/>
          </w:r>
          <w:r w:rsidRPr="00276C14">
            <w:rPr>
              <w:b w:val="0"/>
              <w:noProof/>
            </w:rPr>
            <w:t>11</w:t>
          </w:r>
          <w:r w:rsidRPr="00276C14">
            <w:rPr>
              <w:b w:val="0"/>
              <w:noProof/>
            </w:rPr>
            <w:fldChar w:fldCharType="end"/>
          </w:r>
        </w:p>
        <w:p w14:paraId="3AFF6DA1"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Financial Deregulation and the Abandonment of the Working Class</w:t>
          </w:r>
          <w:r w:rsidRPr="00276C14">
            <w:rPr>
              <w:b w:val="0"/>
              <w:noProof/>
            </w:rPr>
            <w:tab/>
          </w:r>
          <w:r w:rsidRPr="00276C14">
            <w:rPr>
              <w:b w:val="0"/>
              <w:noProof/>
            </w:rPr>
            <w:fldChar w:fldCharType="begin"/>
          </w:r>
          <w:r w:rsidRPr="00276C14">
            <w:rPr>
              <w:b w:val="0"/>
              <w:noProof/>
            </w:rPr>
            <w:instrText xml:space="preserve"> PAGEREF _Toc446789112 \h </w:instrText>
          </w:r>
          <w:r w:rsidRPr="00276C14">
            <w:rPr>
              <w:b w:val="0"/>
              <w:noProof/>
            </w:rPr>
          </w:r>
          <w:r w:rsidRPr="00276C14">
            <w:rPr>
              <w:b w:val="0"/>
              <w:noProof/>
            </w:rPr>
            <w:fldChar w:fldCharType="separate"/>
          </w:r>
          <w:r w:rsidRPr="00276C14">
            <w:rPr>
              <w:b w:val="0"/>
              <w:noProof/>
            </w:rPr>
            <w:t>13</w:t>
          </w:r>
          <w:r w:rsidRPr="00276C14">
            <w:rPr>
              <w:b w:val="0"/>
              <w:noProof/>
            </w:rPr>
            <w:fldChar w:fldCharType="end"/>
          </w:r>
        </w:p>
        <w:p w14:paraId="741D82EA"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New Gilded Age as Disposability</w:t>
          </w:r>
          <w:r w:rsidRPr="00276C14">
            <w:rPr>
              <w:b w:val="0"/>
              <w:noProof/>
            </w:rPr>
            <w:tab/>
          </w:r>
          <w:r w:rsidRPr="00276C14">
            <w:rPr>
              <w:b w:val="0"/>
              <w:noProof/>
            </w:rPr>
            <w:fldChar w:fldCharType="begin"/>
          </w:r>
          <w:r w:rsidRPr="00276C14">
            <w:rPr>
              <w:b w:val="0"/>
              <w:noProof/>
            </w:rPr>
            <w:instrText xml:space="preserve"> PAGEREF _Toc446789113 \h </w:instrText>
          </w:r>
          <w:r w:rsidRPr="00276C14">
            <w:rPr>
              <w:b w:val="0"/>
              <w:noProof/>
            </w:rPr>
          </w:r>
          <w:r w:rsidRPr="00276C14">
            <w:rPr>
              <w:b w:val="0"/>
              <w:noProof/>
            </w:rPr>
            <w:fldChar w:fldCharType="separate"/>
          </w:r>
          <w:r w:rsidRPr="00276C14">
            <w:rPr>
              <w:b w:val="0"/>
              <w:noProof/>
            </w:rPr>
            <w:t>14</w:t>
          </w:r>
          <w:r w:rsidRPr="00276C14">
            <w:rPr>
              <w:b w:val="0"/>
              <w:noProof/>
            </w:rPr>
            <w:fldChar w:fldCharType="end"/>
          </w:r>
        </w:p>
        <w:p w14:paraId="2B344B83"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New Gilded Age and American Democracy</w:t>
          </w:r>
          <w:r w:rsidRPr="00276C14">
            <w:rPr>
              <w:b w:val="0"/>
              <w:noProof/>
            </w:rPr>
            <w:tab/>
          </w:r>
          <w:r w:rsidRPr="00276C14">
            <w:rPr>
              <w:b w:val="0"/>
              <w:noProof/>
            </w:rPr>
            <w:fldChar w:fldCharType="begin"/>
          </w:r>
          <w:r w:rsidRPr="00276C14">
            <w:rPr>
              <w:b w:val="0"/>
              <w:noProof/>
            </w:rPr>
            <w:instrText xml:space="preserve"> PAGEREF _Toc446789114 \h </w:instrText>
          </w:r>
          <w:r w:rsidRPr="00276C14">
            <w:rPr>
              <w:b w:val="0"/>
              <w:noProof/>
            </w:rPr>
          </w:r>
          <w:r w:rsidRPr="00276C14">
            <w:rPr>
              <w:b w:val="0"/>
              <w:noProof/>
            </w:rPr>
            <w:fldChar w:fldCharType="separate"/>
          </w:r>
          <w:r w:rsidRPr="00276C14">
            <w:rPr>
              <w:b w:val="0"/>
              <w:noProof/>
            </w:rPr>
            <w:t>16</w:t>
          </w:r>
          <w:r w:rsidRPr="00276C14">
            <w:rPr>
              <w:b w:val="0"/>
              <w:noProof/>
            </w:rPr>
            <w:fldChar w:fldCharType="end"/>
          </w:r>
        </w:p>
        <w:p w14:paraId="1041A7DA"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Centrality of Corporate Power in the New Gilded Age</w:t>
          </w:r>
          <w:r w:rsidRPr="00276C14">
            <w:rPr>
              <w:b w:val="0"/>
              <w:noProof/>
            </w:rPr>
            <w:tab/>
          </w:r>
          <w:r w:rsidRPr="00276C14">
            <w:rPr>
              <w:b w:val="0"/>
              <w:noProof/>
            </w:rPr>
            <w:fldChar w:fldCharType="begin"/>
          </w:r>
          <w:r w:rsidRPr="00276C14">
            <w:rPr>
              <w:b w:val="0"/>
              <w:noProof/>
            </w:rPr>
            <w:instrText xml:space="preserve"> PAGEREF _Toc446789115 \h </w:instrText>
          </w:r>
          <w:r w:rsidRPr="00276C14">
            <w:rPr>
              <w:b w:val="0"/>
              <w:noProof/>
            </w:rPr>
          </w:r>
          <w:r w:rsidRPr="00276C14">
            <w:rPr>
              <w:b w:val="0"/>
              <w:noProof/>
            </w:rPr>
            <w:fldChar w:fldCharType="separate"/>
          </w:r>
          <w:r w:rsidRPr="00276C14">
            <w:rPr>
              <w:b w:val="0"/>
              <w:noProof/>
            </w:rPr>
            <w:t>19</w:t>
          </w:r>
          <w:r w:rsidRPr="00276C14">
            <w:rPr>
              <w:b w:val="0"/>
              <w:noProof/>
            </w:rPr>
            <w:fldChar w:fldCharType="end"/>
          </w:r>
        </w:p>
        <w:p w14:paraId="41D0FFB5"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Intersectionality as Coalitions: Organizational and Societal Transformation</w:t>
          </w:r>
          <w:r w:rsidRPr="00276C14">
            <w:rPr>
              <w:b w:val="0"/>
              <w:noProof/>
            </w:rPr>
            <w:tab/>
          </w:r>
          <w:r w:rsidRPr="00276C14">
            <w:rPr>
              <w:b w:val="0"/>
              <w:noProof/>
            </w:rPr>
            <w:fldChar w:fldCharType="begin"/>
          </w:r>
          <w:r w:rsidRPr="00276C14">
            <w:rPr>
              <w:b w:val="0"/>
              <w:noProof/>
            </w:rPr>
            <w:instrText xml:space="preserve"> PAGEREF _Toc446789116 \h </w:instrText>
          </w:r>
          <w:r w:rsidRPr="00276C14">
            <w:rPr>
              <w:b w:val="0"/>
              <w:noProof/>
            </w:rPr>
          </w:r>
          <w:r w:rsidRPr="00276C14">
            <w:rPr>
              <w:b w:val="0"/>
              <w:noProof/>
            </w:rPr>
            <w:fldChar w:fldCharType="separate"/>
          </w:r>
          <w:r w:rsidRPr="00276C14">
            <w:rPr>
              <w:b w:val="0"/>
              <w:noProof/>
            </w:rPr>
            <w:t>20</w:t>
          </w:r>
          <w:r w:rsidRPr="00276C14">
            <w:rPr>
              <w:b w:val="0"/>
              <w:noProof/>
            </w:rPr>
            <w:fldChar w:fldCharType="end"/>
          </w:r>
        </w:p>
        <w:p w14:paraId="09EE8E5C"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Intersectionality’s Anti-Racist and Feminist Political Commitments</w:t>
          </w:r>
          <w:r w:rsidRPr="00276C14">
            <w:rPr>
              <w:b w:val="0"/>
              <w:noProof/>
            </w:rPr>
            <w:tab/>
          </w:r>
          <w:r w:rsidRPr="00276C14">
            <w:rPr>
              <w:b w:val="0"/>
              <w:noProof/>
            </w:rPr>
            <w:fldChar w:fldCharType="begin"/>
          </w:r>
          <w:r w:rsidRPr="00276C14">
            <w:rPr>
              <w:b w:val="0"/>
              <w:noProof/>
            </w:rPr>
            <w:instrText xml:space="preserve"> PAGEREF _Toc446789117 \h </w:instrText>
          </w:r>
          <w:r w:rsidRPr="00276C14">
            <w:rPr>
              <w:b w:val="0"/>
              <w:noProof/>
            </w:rPr>
          </w:r>
          <w:r w:rsidRPr="00276C14">
            <w:rPr>
              <w:b w:val="0"/>
              <w:noProof/>
            </w:rPr>
            <w:fldChar w:fldCharType="separate"/>
          </w:r>
          <w:r w:rsidRPr="00276C14">
            <w:rPr>
              <w:b w:val="0"/>
              <w:noProof/>
            </w:rPr>
            <w:t>21</w:t>
          </w:r>
          <w:r w:rsidRPr="00276C14">
            <w:rPr>
              <w:b w:val="0"/>
              <w:noProof/>
            </w:rPr>
            <w:fldChar w:fldCharType="end"/>
          </w:r>
        </w:p>
        <w:p w14:paraId="1FD81D77"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Unearthing Disparities</w:t>
          </w:r>
          <w:r w:rsidRPr="00276C14">
            <w:rPr>
              <w:b w:val="0"/>
              <w:noProof/>
            </w:rPr>
            <w:tab/>
          </w:r>
          <w:r w:rsidRPr="00276C14">
            <w:rPr>
              <w:b w:val="0"/>
              <w:noProof/>
            </w:rPr>
            <w:fldChar w:fldCharType="begin"/>
          </w:r>
          <w:r w:rsidRPr="00276C14">
            <w:rPr>
              <w:b w:val="0"/>
              <w:noProof/>
            </w:rPr>
            <w:instrText xml:space="preserve"> PAGEREF _Toc446789118 \h </w:instrText>
          </w:r>
          <w:r w:rsidRPr="00276C14">
            <w:rPr>
              <w:b w:val="0"/>
              <w:noProof/>
            </w:rPr>
          </w:r>
          <w:r w:rsidRPr="00276C14">
            <w:rPr>
              <w:b w:val="0"/>
              <w:noProof/>
            </w:rPr>
            <w:fldChar w:fldCharType="separate"/>
          </w:r>
          <w:r w:rsidRPr="00276C14">
            <w:rPr>
              <w:b w:val="0"/>
              <w:noProof/>
            </w:rPr>
            <w:t>22</w:t>
          </w:r>
          <w:r w:rsidRPr="00276C14">
            <w:rPr>
              <w:b w:val="0"/>
              <w:noProof/>
            </w:rPr>
            <w:fldChar w:fldCharType="end"/>
          </w:r>
        </w:p>
        <w:p w14:paraId="40EF20FE"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Intersectional Analysis Exemplified</w:t>
          </w:r>
          <w:r w:rsidRPr="00276C14">
            <w:rPr>
              <w:b w:val="0"/>
              <w:noProof/>
            </w:rPr>
            <w:tab/>
          </w:r>
          <w:r w:rsidRPr="00276C14">
            <w:rPr>
              <w:b w:val="0"/>
              <w:noProof/>
            </w:rPr>
            <w:fldChar w:fldCharType="begin"/>
          </w:r>
          <w:r w:rsidRPr="00276C14">
            <w:rPr>
              <w:b w:val="0"/>
              <w:noProof/>
            </w:rPr>
            <w:instrText xml:space="preserve"> PAGEREF _Toc446789119 \h </w:instrText>
          </w:r>
          <w:r w:rsidRPr="00276C14">
            <w:rPr>
              <w:b w:val="0"/>
              <w:noProof/>
            </w:rPr>
          </w:r>
          <w:r w:rsidRPr="00276C14">
            <w:rPr>
              <w:b w:val="0"/>
              <w:noProof/>
            </w:rPr>
            <w:fldChar w:fldCharType="separate"/>
          </w:r>
          <w:r w:rsidRPr="00276C14">
            <w:rPr>
              <w:b w:val="0"/>
              <w:noProof/>
            </w:rPr>
            <w:t>23</w:t>
          </w:r>
          <w:r w:rsidRPr="00276C14">
            <w:rPr>
              <w:b w:val="0"/>
              <w:noProof/>
            </w:rPr>
            <w:fldChar w:fldCharType="end"/>
          </w:r>
        </w:p>
        <w:p w14:paraId="30D1840B"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Conclusion</w:t>
          </w:r>
          <w:r w:rsidRPr="00276C14">
            <w:rPr>
              <w:b w:val="0"/>
              <w:noProof/>
            </w:rPr>
            <w:tab/>
          </w:r>
          <w:r w:rsidRPr="00276C14">
            <w:rPr>
              <w:b w:val="0"/>
              <w:noProof/>
            </w:rPr>
            <w:fldChar w:fldCharType="begin"/>
          </w:r>
          <w:r w:rsidRPr="00276C14">
            <w:rPr>
              <w:b w:val="0"/>
              <w:noProof/>
            </w:rPr>
            <w:instrText xml:space="preserve"> PAGEREF _Toc446789120 \h </w:instrText>
          </w:r>
          <w:r w:rsidRPr="00276C14">
            <w:rPr>
              <w:b w:val="0"/>
              <w:noProof/>
            </w:rPr>
          </w:r>
          <w:r w:rsidRPr="00276C14">
            <w:rPr>
              <w:b w:val="0"/>
              <w:noProof/>
            </w:rPr>
            <w:fldChar w:fldCharType="separate"/>
          </w:r>
          <w:r w:rsidRPr="00276C14">
            <w:rPr>
              <w:b w:val="0"/>
              <w:noProof/>
            </w:rPr>
            <w:t>24</w:t>
          </w:r>
          <w:r w:rsidRPr="00276C14">
            <w:rPr>
              <w:b w:val="0"/>
              <w:noProof/>
            </w:rPr>
            <w:fldChar w:fldCharType="end"/>
          </w:r>
        </w:p>
        <w:p w14:paraId="70C376AE" w14:textId="77777777" w:rsidR="00F562F3" w:rsidRPr="00276C14" w:rsidRDefault="00F562F3" w:rsidP="00276C14">
          <w:pPr>
            <w:pStyle w:val="TOC1"/>
            <w:rPr>
              <w:rFonts w:eastAsiaTheme="minorEastAsia" w:cstheme="minorBidi"/>
              <w:noProof/>
              <w:lang w:eastAsia="ja-JP"/>
            </w:rPr>
          </w:pPr>
          <w:r w:rsidRPr="00276C14">
            <w:rPr>
              <w:noProof/>
            </w:rPr>
            <w:t>Chapter 3 - Mass Incarceration, Access to Employment, and the Federal Jobs Guarantee</w:t>
          </w:r>
          <w:r w:rsidRPr="00276C14">
            <w:rPr>
              <w:noProof/>
            </w:rPr>
            <w:tab/>
          </w:r>
          <w:r w:rsidRPr="00276C14">
            <w:rPr>
              <w:noProof/>
            </w:rPr>
            <w:fldChar w:fldCharType="begin"/>
          </w:r>
          <w:r w:rsidRPr="00276C14">
            <w:rPr>
              <w:noProof/>
            </w:rPr>
            <w:instrText xml:space="preserve"> PAGEREF _Toc446789121 \h </w:instrText>
          </w:r>
          <w:r w:rsidRPr="00276C14">
            <w:rPr>
              <w:noProof/>
            </w:rPr>
          </w:r>
          <w:r w:rsidRPr="00276C14">
            <w:rPr>
              <w:noProof/>
            </w:rPr>
            <w:fldChar w:fldCharType="separate"/>
          </w:r>
          <w:r w:rsidRPr="00276C14">
            <w:rPr>
              <w:noProof/>
            </w:rPr>
            <w:t>26</w:t>
          </w:r>
          <w:r w:rsidRPr="00276C14">
            <w:rPr>
              <w:noProof/>
            </w:rPr>
            <w:fldChar w:fldCharType="end"/>
          </w:r>
        </w:p>
        <w:p w14:paraId="15ACE581"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Introduction</w:t>
          </w:r>
          <w:r w:rsidRPr="00276C14">
            <w:rPr>
              <w:b w:val="0"/>
              <w:noProof/>
            </w:rPr>
            <w:tab/>
          </w:r>
          <w:r w:rsidRPr="00276C14">
            <w:rPr>
              <w:b w:val="0"/>
              <w:noProof/>
            </w:rPr>
            <w:fldChar w:fldCharType="begin"/>
          </w:r>
          <w:r w:rsidRPr="00276C14">
            <w:rPr>
              <w:b w:val="0"/>
              <w:noProof/>
            </w:rPr>
            <w:instrText xml:space="preserve"> PAGEREF _Toc446789122 \h </w:instrText>
          </w:r>
          <w:r w:rsidRPr="00276C14">
            <w:rPr>
              <w:b w:val="0"/>
              <w:noProof/>
            </w:rPr>
          </w:r>
          <w:r w:rsidRPr="00276C14">
            <w:rPr>
              <w:b w:val="0"/>
              <w:noProof/>
            </w:rPr>
            <w:fldChar w:fldCharType="separate"/>
          </w:r>
          <w:r w:rsidRPr="00276C14">
            <w:rPr>
              <w:b w:val="0"/>
              <w:noProof/>
            </w:rPr>
            <w:t>26</w:t>
          </w:r>
          <w:r w:rsidRPr="00276C14">
            <w:rPr>
              <w:b w:val="0"/>
              <w:noProof/>
            </w:rPr>
            <w:fldChar w:fldCharType="end"/>
          </w:r>
        </w:p>
        <w:p w14:paraId="24ED35BF"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Socio-Ecological Model</w:t>
          </w:r>
          <w:r w:rsidRPr="00276C14">
            <w:rPr>
              <w:b w:val="0"/>
              <w:noProof/>
            </w:rPr>
            <w:tab/>
          </w:r>
          <w:r w:rsidRPr="00276C14">
            <w:rPr>
              <w:b w:val="0"/>
              <w:noProof/>
            </w:rPr>
            <w:fldChar w:fldCharType="begin"/>
          </w:r>
          <w:r w:rsidRPr="00276C14">
            <w:rPr>
              <w:b w:val="0"/>
              <w:noProof/>
            </w:rPr>
            <w:instrText xml:space="preserve"> PAGEREF _Toc446789123 \h </w:instrText>
          </w:r>
          <w:r w:rsidRPr="00276C14">
            <w:rPr>
              <w:b w:val="0"/>
              <w:noProof/>
            </w:rPr>
          </w:r>
          <w:r w:rsidRPr="00276C14">
            <w:rPr>
              <w:b w:val="0"/>
              <w:noProof/>
            </w:rPr>
            <w:fldChar w:fldCharType="separate"/>
          </w:r>
          <w:r w:rsidRPr="00276C14">
            <w:rPr>
              <w:b w:val="0"/>
              <w:noProof/>
            </w:rPr>
            <w:t>26</w:t>
          </w:r>
          <w:r w:rsidRPr="00276C14">
            <w:rPr>
              <w:b w:val="0"/>
              <w:noProof/>
            </w:rPr>
            <w:fldChar w:fldCharType="end"/>
          </w:r>
        </w:p>
        <w:p w14:paraId="3B33967C"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Problem of Mass Incarceration</w:t>
          </w:r>
          <w:r w:rsidRPr="00276C14">
            <w:rPr>
              <w:b w:val="0"/>
              <w:noProof/>
            </w:rPr>
            <w:tab/>
          </w:r>
          <w:r w:rsidRPr="00276C14">
            <w:rPr>
              <w:b w:val="0"/>
              <w:noProof/>
            </w:rPr>
            <w:fldChar w:fldCharType="begin"/>
          </w:r>
          <w:r w:rsidRPr="00276C14">
            <w:rPr>
              <w:b w:val="0"/>
              <w:noProof/>
            </w:rPr>
            <w:instrText xml:space="preserve"> PAGEREF _Toc446789124 \h </w:instrText>
          </w:r>
          <w:r w:rsidRPr="00276C14">
            <w:rPr>
              <w:b w:val="0"/>
              <w:noProof/>
            </w:rPr>
          </w:r>
          <w:r w:rsidRPr="00276C14">
            <w:rPr>
              <w:b w:val="0"/>
              <w:noProof/>
            </w:rPr>
            <w:fldChar w:fldCharType="separate"/>
          </w:r>
          <w:r w:rsidRPr="00276C14">
            <w:rPr>
              <w:b w:val="0"/>
              <w:noProof/>
            </w:rPr>
            <w:t>27</w:t>
          </w:r>
          <w:r w:rsidRPr="00276C14">
            <w:rPr>
              <w:b w:val="0"/>
              <w:noProof/>
            </w:rPr>
            <w:fldChar w:fldCharType="end"/>
          </w:r>
        </w:p>
        <w:p w14:paraId="4520F26E"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Intersectional Cultural Analysis of Mass Incarceration</w:t>
          </w:r>
          <w:r w:rsidRPr="00276C14">
            <w:rPr>
              <w:b w:val="0"/>
              <w:noProof/>
            </w:rPr>
            <w:tab/>
          </w:r>
          <w:r w:rsidRPr="00276C14">
            <w:rPr>
              <w:b w:val="0"/>
              <w:noProof/>
            </w:rPr>
            <w:fldChar w:fldCharType="begin"/>
          </w:r>
          <w:r w:rsidRPr="00276C14">
            <w:rPr>
              <w:b w:val="0"/>
              <w:noProof/>
            </w:rPr>
            <w:instrText xml:space="preserve"> PAGEREF _Toc446789125 \h </w:instrText>
          </w:r>
          <w:r w:rsidRPr="00276C14">
            <w:rPr>
              <w:b w:val="0"/>
              <w:noProof/>
            </w:rPr>
          </w:r>
          <w:r w:rsidRPr="00276C14">
            <w:rPr>
              <w:b w:val="0"/>
              <w:noProof/>
            </w:rPr>
            <w:fldChar w:fldCharType="separate"/>
          </w:r>
          <w:r w:rsidRPr="00276C14">
            <w:rPr>
              <w:b w:val="0"/>
              <w:noProof/>
            </w:rPr>
            <w:t>29</w:t>
          </w:r>
          <w:r w:rsidRPr="00276C14">
            <w:rPr>
              <w:b w:val="0"/>
              <w:noProof/>
            </w:rPr>
            <w:fldChar w:fldCharType="end"/>
          </w:r>
        </w:p>
        <w:p w14:paraId="1C014892"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Impact of Mass Incarceration and Criminal Records on Access to Employment</w:t>
          </w:r>
          <w:r w:rsidRPr="00276C14">
            <w:rPr>
              <w:b w:val="0"/>
              <w:noProof/>
            </w:rPr>
            <w:tab/>
          </w:r>
          <w:r w:rsidRPr="00276C14">
            <w:rPr>
              <w:b w:val="0"/>
              <w:noProof/>
            </w:rPr>
            <w:fldChar w:fldCharType="begin"/>
          </w:r>
          <w:r w:rsidRPr="00276C14">
            <w:rPr>
              <w:b w:val="0"/>
              <w:noProof/>
            </w:rPr>
            <w:instrText xml:space="preserve"> PAGEREF _Toc446789126 \h </w:instrText>
          </w:r>
          <w:r w:rsidRPr="00276C14">
            <w:rPr>
              <w:b w:val="0"/>
              <w:noProof/>
            </w:rPr>
          </w:r>
          <w:r w:rsidRPr="00276C14">
            <w:rPr>
              <w:b w:val="0"/>
              <w:noProof/>
            </w:rPr>
            <w:fldChar w:fldCharType="separate"/>
          </w:r>
          <w:r w:rsidRPr="00276C14">
            <w:rPr>
              <w:b w:val="0"/>
              <w:noProof/>
            </w:rPr>
            <w:t>31</w:t>
          </w:r>
          <w:r w:rsidRPr="00276C14">
            <w:rPr>
              <w:b w:val="0"/>
              <w:noProof/>
            </w:rPr>
            <w:fldChar w:fldCharType="end"/>
          </w:r>
        </w:p>
        <w:p w14:paraId="7849BE03"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Fostering Access to Employment: Fair-Chance Policies</w:t>
          </w:r>
          <w:r w:rsidRPr="00276C14">
            <w:rPr>
              <w:b w:val="0"/>
              <w:noProof/>
            </w:rPr>
            <w:tab/>
          </w:r>
          <w:r w:rsidRPr="00276C14">
            <w:rPr>
              <w:b w:val="0"/>
              <w:noProof/>
            </w:rPr>
            <w:fldChar w:fldCharType="begin"/>
          </w:r>
          <w:r w:rsidRPr="00276C14">
            <w:rPr>
              <w:b w:val="0"/>
              <w:noProof/>
            </w:rPr>
            <w:instrText xml:space="preserve"> PAGEREF _Toc446789127 \h </w:instrText>
          </w:r>
          <w:r w:rsidRPr="00276C14">
            <w:rPr>
              <w:b w:val="0"/>
              <w:noProof/>
            </w:rPr>
          </w:r>
          <w:r w:rsidRPr="00276C14">
            <w:rPr>
              <w:b w:val="0"/>
              <w:noProof/>
            </w:rPr>
            <w:fldChar w:fldCharType="separate"/>
          </w:r>
          <w:r w:rsidRPr="00276C14">
            <w:rPr>
              <w:b w:val="0"/>
              <w:noProof/>
            </w:rPr>
            <w:t>32</w:t>
          </w:r>
          <w:r w:rsidRPr="00276C14">
            <w:rPr>
              <w:b w:val="0"/>
              <w:noProof/>
            </w:rPr>
            <w:fldChar w:fldCharType="end"/>
          </w:r>
        </w:p>
        <w:p w14:paraId="400B630A"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Organizational Incentives and their Limitations</w:t>
          </w:r>
          <w:r w:rsidRPr="00276C14">
            <w:rPr>
              <w:b w:val="0"/>
              <w:noProof/>
            </w:rPr>
            <w:tab/>
          </w:r>
          <w:r w:rsidRPr="00276C14">
            <w:rPr>
              <w:b w:val="0"/>
              <w:noProof/>
            </w:rPr>
            <w:fldChar w:fldCharType="begin"/>
          </w:r>
          <w:r w:rsidRPr="00276C14">
            <w:rPr>
              <w:b w:val="0"/>
              <w:noProof/>
            </w:rPr>
            <w:instrText xml:space="preserve"> PAGEREF _Toc446789128 \h </w:instrText>
          </w:r>
          <w:r w:rsidRPr="00276C14">
            <w:rPr>
              <w:b w:val="0"/>
              <w:noProof/>
            </w:rPr>
          </w:r>
          <w:r w:rsidRPr="00276C14">
            <w:rPr>
              <w:b w:val="0"/>
              <w:noProof/>
            </w:rPr>
            <w:fldChar w:fldCharType="separate"/>
          </w:r>
          <w:r w:rsidRPr="00276C14">
            <w:rPr>
              <w:b w:val="0"/>
              <w:noProof/>
            </w:rPr>
            <w:t>32</w:t>
          </w:r>
          <w:r w:rsidRPr="00276C14">
            <w:rPr>
              <w:b w:val="0"/>
              <w:noProof/>
            </w:rPr>
            <w:fldChar w:fldCharType="end"/>
          </w:r>
        </w:p>
        <w:p w14:paraId="0FE34A7B"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Diversity Talent Pools and Enrichment Pipeline Programs</w:t>
          </w:r>
          <w:r w:rsidRPr="00276C14">
            <w:rPr>
              <w:b w:val="0"/>
              <w:noProof/>
            </w:rPr>
            <w:tab/>
          </w:r>
          <w:r w:rsidRPr="00276C14">
            <w:rPr>
              <w:b w:val="0"/>
              <w:noProof/>
            </w:rPr>
            <w:fldChar w:fldCharType="begin"/>
          </w:r>
          <w:r w:rsidRPr="00276C14">
            <w:rPr>
              <w:b w:val="0"/>
              <w:noProof/>
            </w:rPr>
            <w:instrText xml:space="preserve"> PAGEREF _Toc446789129 \h </w:instrText>
          </w:r>
          <w:r w:rsidRPr="00276C14">
            <w:rPr>
              <w:b w:val="0"/>
              <w:noProof/>
            </w:rPr>
          </w:r>
          <w:r w:rsidRPr="00276C14">
            <w:rPr>
              <w:b w:val="0"/>
              <w:noProof/>
            </w:rPr>
            <w:fldChar w:fldCharType="separate"/>
          </w:r>
          <w:r w:rsidRPr="00276C14">
            <w:rPr>
              <w:b w:val="0"/>
              <w:noProof/>
            </w:rPr>
            <w:t>33</w:t>
          </w:r>
          <w:r w:rsidRPr="00276C14">
            <w:rPr>
              <w:b w:val="0"/>
              <w:noProof/>
            </w:rPr>
            <w:fldChar w:fldCharType="end"/>
          </w:r>
        </w:p>
        <w:p w14:paraId="1DAD0DFA"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Innovative Yet Modest Organizational Social Impacts</w:t>
          </w:r>
          <w:r w:rsidRPr="00276C14">
            <w:rPr>
              <w:b w:val="0"/>
              <w:noProof/>
            </w:rPr>
            <w:tab/>
          </w:r>
          <w:r w:rsidRPr="00276C14">
            <w:rPr>
              <w:b w:val="0"/>
              <w:noProof/>
            </w:rPr>
            <w:fldChar w:fldCharType="begin"/>
          </w:r>
          <w:r w:rsidRPr="00276C14">
            <w:rPr>
              <w:b w:val="0"/>
              <w:noProof/>
            </w:rPr>
            <w:instrText xml:space="preserve"> PAGEREF _Toc446789130 \h </w:instrText>
          </w:r>
          <w:r w:rsidRPr="00276C14">
            <w:rPr>
              <w:b w:val="0"/>
              <w:noProof/>
            </w:rPr>
          </w:r>
          <w:r w:rsidRPr="00276C14">
            <w:rPr>
              <w:b w:val="0"/>
              <w:noProof/>
            </w:rPr>
            <w:fldChar w:fldCharType="separate"/>
          </w:r>
          <w:r w:rsidRPr="00276C14">
            <w:rPr>
              <w:b w:val="0"/>
              <w:noProof/>
            </w:rPr>
            <w:t>35</w:t>
          </w:r>
          <w:r w:rsidRPr="00276C14">
            <w:rPr>
              <w:b w:val="0"/>
              <w:noProof/>
            </w:rPr>
            <w:fldChar w:fldCharType="end"/>
          </w:r>
        </w:p>
        <w:p w14:paraId="12FDF9A1"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An Intersectional Public Policy Solution: Guaranteed Government Jobs</w:t>
          </w:r>
          <w:r w:rsidRPr="00276C14">
            <w:rPr>
              <w:b w:val="0"/>
              <w:noProof/>
            </w:rPr>
            <w:tab/>
          </w:r>
          <w:r w:rsidRPr="00276C14">
            <w:rPr>
              <w:b w:val="0"/>
              <w:noProof/>
            </w:rPr>
            <w:fldChar w:fldCharType="begin"/>
          </w:r>
          <w:r w:rsidRPr="00276C14">
            <w:rPr>
              <w:b w:val="0"/>
              <w:noProof/>
            </w:rPr>
            <w:instrText xml:space="preserve"> PAGEREF _Toc446789131 \h </w:instrText>
          </w:r>
          <w:r w:rsidRPr="00276C14">
            <w:rPr>
              <w:b w:val="0"/>
              <w:noProof/>
            </w:rPr>
          </w:r>
          <w:r w:rsidRPr="00276C14">
            <w:rPr>
              <w:b w:val="0"/>
              <w:noProof/>
            </w:rPr>
            <w:fldChar w:fldCharType="separate"/>
          </w:r>
          <w:r w:rsidRPr="00276C14">
            <w:rPr>
              <w:b w:val="0"/>
              <w:noProof/>
            </w:rPr>
            <w:t>36</w:t>
          </w:r>
          <w:r w:rsidRPr="00276C14">
            <w:rPr>
              <w:b w:val="0"/>
              <w:noProof/>
            </w:rPr>
            <w:fldChar w:fldCharType="end"/>
          </w:r>
        </w:p>
        <w:p w14:paraId="345E45BE"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Transforming the U.S. Economy to be Inclusive</w:t>
          </w:r>
          <w:r w:rsidRPr="00276C14">
            <w:rPr>
              <w:b w:val="0"/>
              <w:noProof/>
            </w:rPr>
            <w:tab/>
          </w:r>
          <w:r w:rsidRPr="00276C14">
            <w:rPr>
              <w:b w:val="0"/>
              <w:noProof/>
            </w:rPr>
            <w:fldChar w:fldCharType="begin"/>
          </w:r>
          <w:r w:rsidRPr="00276C14">
            <w:rPr>
              <w:b w:val="0"/>
              <w:noProof/>
            </w:rPr>
            <w:instrText xml:space="preserve"> PAGEREF _Toc446789132 \h </w:instrText>
          </w:r>
          <w:r w:rsidRPr="00276C14">
            <w:rPr>
              <w:b w:val="0"/>
              <w:noProof/>
            </w:rPr>
          </w:r>
          <w:r w:rsidRPr="00276C14">
            <w:rPr>
              <w:b w:val="0"/>
              <w:noProof/>
            </w:rPr>
            <w:fldChar w:fldCharType="separate"/>
          </w:r>
          <w:r w:rsidRPr="00276C14">
            <w:rPr>
              <w:b w:val="0"/>
              <w:noProof/>
            </w:rPr>
            <w:t>38</w:t>
          </w:r>
          <w:r w:rsidRPr="00276C14">
            <w:rPr>
              <w:b w:val="0"/>
              <w:noProof/>
            </w:rPr>
            <w:fldChar w:fldCharType="end"/>
          </w:r>
        </w:p>
        <w:p w14:paraId="1FA662F7"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Guaranteed Jobs &amp; Coalitions</w:t>
          </w:r>
          <w:r w:rsidRPr="00276C14">
            <w:rPr>
              <w:b w:val="0"/>
              <w:noProof/>
            </w:rPr>
            <w:tab/>
          </w:r>
          <w:r w:rsidRPr="00276C14">
            <w:rPr>
              <w:b w:val="0"/>
              <w:noProof/>
            </w:rPr>
            <w:fldChar w:fldCharType="begin"/>
          </w:r>
          <w:r w:rsidRPr="00276C14">
            <w:rPr>
              <w:b w:val="0"/>
              <w:noProof/>
            </w:rPr>
            <w:instrText xml:space="preserve"> PAGEREF _Toc446789133 \h </w:instrText>
          </w:r>
          <w:r w:rsidRPr="00276C14">
            <w:rPr>
              <w:b w:val="0"/>
              <w:noProof/>
            </w:rPr>
          </w:r>
          <w:r w:rsidRPr="00276C14">
            <w:rPr>
              <w:b w:val="0"/>
              <w:noProof/>
            </w:rPr>
            <w:fldChar w:fldCharType="separate"/>
          </w:r>
          <w:r w:rsidRPr="00276C14">
            <w:rPr>
              <w:b w:val="0"/>
              <w:noProof/>
            </w:rPr>
            <w:t>39</w:t>
          </w:r>
          <w:r w:rsidRPr="00276C14">
            <w:rPr>
              <w:b w:val="0"/>
              <w:noProof/>
            </w:rPr>
            <w:fldChar w:fldCharType="end"/>
          </w:r>
        </w:p>
        <w:p w14:paraId="4D2F6882"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Future Opportunities: A Supplementary Universal Basic Income</w:t>
          </w:r>
          <w:r w:rsidRPr="00276C14">
            <w:rPr>
              <w:b w:val="0"/>
              <w:noProof/>
            </w:rPr>
            <w:tab/>
          </w:r>
          <w:r w:rsidRPr="00276C14">
            <w:rPr>
              <w:b w:val="0"/>
              <w:noProof/>
            </w:rPr>
            <w:fldChar w:fldCharType="begin"/>
          </w:r>
          <w:r w:rsidRPr="00276C14">
            <w:rPr>
              <w:b w:val="0"/>
              <w:noProof/>
            </w:rPr>
            <w:instrText xml:space="preserve"> PAGEREF _Toc446789134 \h </w:instrText>
          </w:r>
          <w:r w:rsidRPr="00276C14">
            <w:rPr>
              <w:b w:val="0"/>
              <w:noProof/>
            </w:rPr>
          </w:r>
          <w:r w:rsidRPr="00276C14">
            <w:rPr>
              <w:b w:val="0"/>
              <w:noProof/>
            </w:rPr>
            <w:fldChar w:fldCharType="separate"/>
          </w:r>
          <w:r w:rsidRPr="00276C14">
            <w:rPr>
              <w:b w:val="0"/>
              <w:noProof/>
            </w:rPr>
            <w:t>41</w:t>
          </w:r>
          <w:r w:rsidRPr="00276C14">
            <w:rPr>
              <w:b w:val="0"/>
              <w:noProof/>
            </w:rPr>
            <w:fldChar w:fldCharType="end"/>
          </w:r>
        </w:p>
        <w:p w14:paraId="2EC927B5"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Conclusion: Guaranteeing Jobs to Revitalize American Democracy</w:t>
          </w:r>
          <w:r w:rsidRPr="00276C14">
            <w:rPr>
              <w:b w:val="0"/>
              <w:noProof/>
            </w:rPr>
            <w:tab/>
          </w:r>
          <w:r w:rsidRPr="00276C14">
            <w:rPr>
              <w:b w:val="0"/>
              <w:noProof/>
            </w:rPr>
            <w:fldChar w:fldCharType="begin"/>
          </w:r>
          <w:r w:rsidRPr="00276C14">
            <w:rPr>
              <w:b w:val="0"/>
              <w:noProof/>
            </w:rPr>
            <w:instrText xml:space="preserve"> PAGEREF _Toc446789135 \h </w:instrText>
          </w:r>
          <w:r w:rsidRPr="00276C14">
            <w:rPr>
              <w:b w:val="0"/>
              <w:noProof/>
            </w:rPr>
          </w:r>
          <w:r w:rsidRPr="00276C14">
            <w:rPr>
              <w:b w:val="0"/>
              <w:noProof/>
            </w:rPr>
            <w:fldChar w:fldCharType="separate"/>
          </w:r>
          <w:r w:rsidRPr="00276C14">
            <w:rPr>
              <w:b w:val="0"/>
              <w:noProof/>
            </w:rPr>
            <w:t>42</w:t>
          </w:r>
          <w:r w:rsidRPr="00276C14">
            <w:rPr>
              <w:b w:val="0"/>
              <w:noProof/>
            </w:rPr>
            <w:fldChar w:fldCharType="end"/>
          </w:r>
        </w:p>
        <w:p w14:paraId="7605147B" w14:textId="77777777" w:rsidR="00F562F3" w:rsidRPr="00276C14" w:rsidRDefault="00F562F3" w:rsidP="00276C14">
          <w:pPr>
            <w:pStyle w:val="TOC1"/>
            <w:rPr>
              <w:rFonts w:eastAsiaTheme="minorEastAsia" w:cstheme="minorBidi"/>
              <w:noProof/>
              <w:lang w:eastAsia="ja-JP"/>
            </w:rPr>
          </w:pPr>
          <w:r w:rsidRPr="00276C14">
            <w:rPr>
              <w:noProof/>
            </w:rPr>
            <w:t>Chapter 4  - Economic Inequality and Democracy in the Workplace</w:t>
          </w:r>
          <w:r w:rsidRPr="00276C14">
            <w:rPr>
              <w:noProof/>
            </w:rPr>
            <w:tab/>
          </w:r>
          <w:r w:rsidRPr="00276C14">
            <w:rPr>
              <w:noProof/>
            </w:rPr>
            <w:fldChar w:fldCharType="begin"/>
          </w:r>
          <w:r w:rsidRPr="00276C14">
            <w:rPr>
              <w:noProof/>
            </w:rPr>
            <w:instrText xml:space="preserve"> PAGEREF _Toc446789136 \h </w:instrText>
          </w:r>
          <w:r w:rsidRPr="00276C14">
            <w:rPr>
              <w:noProof/>
            </w:rPr>
          </w:r>
          <w:r w:rsidRPr="00276C14">
            <w:rPr>
              <w:noProof/>
            </w:rPr>
            <w:fldChar w:fldCharType="separate"/>
          </w:r>
          <w:r w:rsidRPr="00276C14">
            <w:rPr>
              <w:noProof/>
            </w:rPr>
            <w:t>44</w:t>
          </w:r>
          <w:r w:rsidRPr="00276C14">
            <w:rPr>
              <w:noProof/>
            </w:rPr>
            <w:fldChar w:fldCharType="end"/>
          </w:r>
        </w:p>
        <w:p w14:paraId="3BEFA8B2"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Introduction</w:t>
          </w:r>
          <w:r w:rsidRPr="00276C14">
            <w:rPr>
              <w:b w:val="0"/>
              <w:noProof/>
            </w:rPr>
            <w:tab/>
          </w:r>
          <w:r w:rsidRPr="00276C14">
            <w:rPr>
              <w:b w:val="0"/>
              <w:noProof/>
            </w:rPr>
            <w:fldChar w:fldCharType="begin"/>
          </w:r>
          <w:r w:rsidRPr="00276C14">
            <w:rPr>
              <w:b w:val="0"/>
              <w:noProof/>
            </w:rPr>
            <w:instrText xml:space="preserve"> PAGEREF _Toc446789137 \h </w:instrText>
          </w:r>
          <w:r w:rsidRPr="00276C14">
            <w:rPr>
              <w:b w:val="0"/>
              <w:noProof/>
            </w:rPr>
          </w:r>
          <w:r w:rsidRPr="00276C14">
            <w:rPr>
              <w:b w:val="0"/>
              <w:noProof/>
            </w:rPr>
            <w:fldChar w:fldCharType="separate"/>
          </w:r>
          <w:r w:rsidRPr="00276C14">
            <w:rPr>
              <w:b w:val="0"/>
              <w:noProof/>
            </w:rPr>
            <w:t>44</w:t>
          </w:r>
          <w:r w:rsidRPr="00276C14">
            <w:rPr>
              <w:b w:val="0"/>
              <w:noProof/>
            </w:rPr>
            <w:fldChar w:fldCharType="end"/>
          </w:r>
        </w:p>
        <w:p w14:paraId="742791CC"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A Return to the Gilded Age: Income and Wealth Concentration</w:t>
          </w:r>
          <w:r w:rsidRPr="00276C14">
            <w:rPr>
              <w:b w:val="0"/>
              <w:noProof/>
            </w:rPr>
            <w:tab/>
          </w:r>
          <w:r w:rsidRPr="00276C14">
            <w:rPr>
              <w:b w:val="0"/>
              <w:noProof/>
            </w:rPr>
            <w:fldChar w:fldCharType="begin"/>
          </w:r>
          <w:r w:rsidRPr="00276C14">
            <w:rPr>
              <w:b w:val="0"/>
              <w:noProof/>
            </w:rPr>
            <w:instrText xml:space="preserve"> PAGEREF _Toc446789138 \h </w:instrText>
          </w:r>
          <w:r w:rsidRPr="00276C14">
            <w:rPr>
              <w:b w:val="0"/>
              <w:noProof/>
            </w:rPr>
          </w:r>
          <w:r w:rsidRPr="00276C14">
            <w:rPr>
              <w:b w:val="0"/>
              <w:noProof/>
            </w:rPr>
            <w:fldChar w:fldCharType="separate"/>
          </w:r>
          <w:r w:rsidRPr="00276C14">
            <w:rPr>
              <w:b w:val="0"/>
              <w:noProof/>
            </w:rPr>
            <w:t>44</w:t>
          </w:r>
          <w:r w:rsidRPr="00276C14">
            <w:rPr>
              <w:b w:val="0"/>
              <w:noProof/>
            </w:rPr>
            <w:fldChar w:fldCharType="end"/>
          </w:r>
        </w:p>
        <w:p w14:paraId="2D1136D9"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Decline of Unions and Weakening of the Middle Class</w:t>
          </w:r>
          <w:r w:rsidRPr="00276C14">
            <w:rPr>
              <w:b w:val="0"/>
              <w:noProof/>
            </w:rPr>
            <w:tab/>
          </w:r>
          <w:r w:rsidRPr="00276C14">
            <w:rPr>
              <w:b w:val="0"/>
              <w:noProof/>
            </w:rPr>
            <w:fldChar w:fldCharType="begin"/>
          </w:r>
          <w:r w:rsidRPr="00276C14">
            <w:rPr>
              <w:b w:val="0"/>
              <w:noProof/>
            </w:rPr>
            <w:instrText xml:space="preserve"> PAGEREF _Toc446789139 \h </w:instrText>
          </w:r>
          <w:r w:rsidRPr="00276C14">
            <w:rPr>
              <w:b w:val="0"/>
              <w:noProof/>
            </w:rPr>
          </w:r>
          <w:r w:rsidRPr="00276C14">
            <w:rPr>
              <w:b w:val="0"/>
              <w:noProof/>
            </w:rPr>
            <w:fldChar w:fldCharType="separate"/>
          </w:r>
          <w:r w:rsidRPr="00276C14">
            <w:rPr>
              <w:b w:val="0"/>
              <w:noProof/>
            </w:rPr>
            <w:t>49</w:t>
          </w:r>
          <w:r w:rsidRPr="00276C14">
            <w:rPr>
              <w:b w:val="0"/>
              <w:noProof/>
            </w:rPr>
            <w:fldChar w:fldCharType="end"/>
          </w:r>
        </w:p>
        <w:p w14:paraId="0871E080"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Employee Resource Group Limitations</w:t>
          </w:r>
          <w:r w:rsidRPr="00276C14">
            <w:rPr>
              <w:b w:val="0"/>
              <w:noProof/>
            </w:rPr>
            <w:tab/>
          </w:r>
          <w:r w:rsidRPr="00276C14">
            <w:rPr>
              <w:b w:val="0"/>
              <w:noProof/>
            </w:rPr>
            <w:fldChar w:fldCharType="begin"/>
          </w:r>
          <w:r w:rsidRPr="00276C14">
            <w:rPr>
              <w:b w:val="0"/>
              <w:noProof/>
            </w:rPr>
            <w:instrText xml:space="preserve"> PAGEREF _Toc446789140 \h </w:instrText>
          </w:r>
          <w:r w:rsidRPr="00276C14">
            <w:rPr>
              <w:b w:val="0"/>
              <w:noProof/>
            </w:rPr>
          </w:r>
          <w:r w:rsidRPr="00276C14">
            <w:rPr>
              <w:b w:val="0"/>
              <w:noProof/>
            </w:rPr>
            <w:fldChar w:fldCharType="separate"/>
          </w:r>
          <w:r w:rsidRPr="00276C14">
            <w:rPr>
              <w:b w:val="0"/>
              <w:noProof/>
            </w:rPr>
            <w:t>52</w:t>
          </w:r>
          <w:r w:rsidRPr="00276C14">
            <w:rPr>
              <w:b w:val="0"/>
              <w:noProof/>
            </w:rPr>
            <w:fldChar w:fldCharType="end"/>
          </w:r>
        </w:p>
        <w:p w14:paraId="13BE54C9"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Diversity and Inclusion as Labor Relations Strategy</w:t>
          </w:r>
          <w:r w:rsidRPr="00276C14">
            <w:rPr>
              <w:b w:val="0"/>
              <w:noProof/>
            </w:rPr>
            <w:tab/>
          </w:r>
          <w:r w:rsidRPr="00276C14">
            <w:rPr>
              <w:b w:val="0"/>
              <w:noProof/>
            </w:rPr>
            <w:fldChar w:fldCharType="begin"/>
          </w:r>
          <w:r w:rsidRPr="00276C14">
            <w:rPr>
              <w:b w:val="0"/>
              <w:noProof/>
            </w:rPr>
            <w:instrText xml:space="preserve"> PAGEREF _Toc446789141 \h </w:instrText>
          </w:r>
          <w:r w:rsidRPr="00276C14">
            <w:rPr>
              <w:b w:val="0"/>
              <w:noProof/>
            </w:rPr>
          </w:r>
          <w:r w:rsidRPr="00276C14">
            <w:rPr>
              <w:b w:val="0"/>
              <w:noProof/>
            </w:rPr>
            <w:fldChar w:fldCharType="separate"/>
          </w:r>
          <w:r w:rsidRPr="00276C14">
            <w:rPr>
              <w:b w:val="0"/>
              <w:noProof/>
            </w:rPr>
            <w:t>52</w:t>
          </w:r>
          <w:r w:rsidRPr="00276C14">
            <w:rPr>
              <w:b w:val="0"/>
              <w:noProof/>
            </w:rPr>
            <w:fldChar w:fldCharType="end"/>
          </w:r>
        </w:p>
        <w:p w14:paraId="07C76509"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Intersectional Policy Consideration: Democracy in the Workplace</w:t>
          </w:r>
          <w:r w:rsidRPr="00276C14">
            <w:rPr>
              <w:b w:val="0"/>
              <w:noProof/>
            </w:rPr>
            <w:tab/>
          </w:r>
          <w:r w:rsidRPr="00276C14">
            <w:rPr>
              <w:b w:val="0"/>
              <w:noProof/>
            </w:rPr>
            <w:fldChar w:fldCharType="begin"/>
          </w:r>
          <w:r w:rsidRPr="00276C14">
            <w:rPr>
              <w:b w:val="0"/>
              <w:noProof/>
            </w:rPr>
            <w:instrText xml:space="preserve"> PAGEREF _Toc446789142 \h </w:instrText>
          </w:r>
          <w:r w:rsidRPr="00276C14">
            <w:rPr>
              <w:b w:val="0"/>
              <w:noProof/>
            </w:rPr>
          </w:r>
          <w:r w:rsidRPr="00276C14">
            <w:rPr>
              <w:b w:val="0"/>
              <w:noProof/>
            </w:rPr>
            <w:fldChar w:fldCharType="separate"/>
          </w:r>
          <w:r w:rsidRPr="00276C14">
            <w:rPr>
              <w:b w:val="0"/>
              <w:noProof/>
            </w:rPr>
            <w:t>53</w:t>
          </w:r>
          <w:r w:rsidRPr="00276C14">
            <w:rPr>
              <w:b w:val="0"/>
              <w:noProof/>
            </w:rPr>
            <w:fldChar w:fldCharType="end"/>
          </w:r>
        </w:p>
        <w:p w14:paraId="077BBEB9"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Unionization Process Simplified</w:t>
          </w:r>
          <w:r w:rsidRPr="00276C14">
            <w:rPr>
              <w:b w:val="0"/>
              <w:noProof/>
            </w:rPr>
            <w:tab/>
          </w:r>
          <w:r w:rsidRPr="00276C14">
            <w:rPr>
              <w:b w:val="0"/>
              <w:noProof/>
            </w:rPr>
            <w:fldChar w:fldCharType="begin"/>
          </w:r>
          <w:r w:rsidRPr="00276C14">
            <w:rPr>
              <w:b w:val="0"/>
              <w:noProof/>
            </w:rPr>
            <w:instrText xml:space="preserve"> PAGEREF _Toc446789143 \h </w:instrText>
          </w:r>
          <w:r w:rsidRPr="00276C14">
            <w:rPr>
              <w:b w:val="0"/>
              <w:noProof/>
            </w:rPr>
          </w:r>
          <w:r w:rsidRPr="00276C14">
            <w:rPr>
              <w:b w:val="0"/>
              <w:noProof/>
            </w:rPr>
            <w:fldChar w:fldCharType="separate"/>
          </w:r>
          <w:r w:rsidRPr="00276C14">
            <w:rPr>
              <w:b w:val="0"/>
              <w:noProof/>
            </w:rPr>
            <w:t>54</w:t>
          </w:r>
          <w:r w:rsidRPr="00276C14">
            <w:rPr>
              <w:b w:val="0"/>
              <w:noProof/>
            </w:rPr>
            <w:fldChar w:fldCharType="end"/>
          </w:r>
        </w:p>
        <w:p w14:paraId="31507861"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Expand Union Eligibility &amp; Protections</w:t>
          </w:r>
          <w:r w:rsidRPr="00276C14">
            <w:rPr>
              <w:b w:val="0"/>
              <w:noProof/>
            </w:rPr>
            <w:tab/>
          </w:r>
          <w:r w:rsidRPr="00276C14">
            <w:rPr>
              <w:b w:val="0"/>
              <w:noProof/>
            </w:rPr>
            <w:fldChar w:fldCharType="begin"/>
          </w:r>
          <w:r w:rsidRPr="00276C14">
            <w:rPr>
              <w:b w:val="0"/>
              <w:noProof/>
            </w:rPr>
            <w:instrText xml:space="preserve"> PAGEREF _Toc446789144 \h </w:instrText>
          </w:r>
          <w:r w:rsidRPr="00276C14">
            <w:rPr>
              <w:b w:val="0"/>
              <w:noProof/>
            </w:rPr>
          </w:r>
          <w:r w:rsidRPr="00276C14">
            <w:rPr>
              <w:b w:val="0"/>
              <w:noProof/>
            </w:rPr>
            <w:fldChar w:fldCharType="separate"/>
          </w:r>
          <w:r w:rsidRPr="00276C14">
            <w:rPr>
              <w:b w:val="0"/>
              <w:noProof/>
            </w:rPr>
            <w:t>56</w:t>
          </w:r>
          <w:r w:rsidRPr="00276C14">
            <w:rPr>
              <w:b w:val="0"/>
              <w:noProof/>
            </w:rPr>
            <w:fldChar w:fldCharType="end"/>
          </w:r>
        </w:p>
        <w:p w14:paraId="7726EB6A"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Increase Union Negotiating Power</w:t>
          </w:r>
          <w:r w:rsidRPr="00276C14">
            <w:rPr>
              <w:b w:val="0"/>
              <w:noProof/>
            </w:rPr>
            <w:tab/>
          </w:r>
          <w:r w:rsidRPr="00276C14">
            <w:rPr>
              <w:b w:val="0"/>
              <w:noProof/>
            </w:rPr>
            <w:fldChar w:fldCharType="begin"/>
          </w:r>
          <w:r w:rsidRPr="00276C14">
            <w:rPr>
              <w:b w:val="0"/>
              <w:noProof/>
            </w:rPr>
            <w:instrText xml:space="preserve"> PAGEREF _Toc446789145 \h </w:instrText>
          </w:r>
          <w:r w:rsidRPr="00276C14">
            <w:rPr>
              <w:b w:val="0"/>
              <w:noProof/>
            </w:rPr>
          </w:r>
          <w:r w:rsidRPr="00276C14">
            <w:rPr>
              <w:b w:val="0"/>
              <w:noProof/>
            </w:rPr>
            <w:fldChar w:fldCharType="separate"/>
          </w:r>
          <w:r w:rsidRPr="00276C14">
            <w:rPr>
              <w:b w:val="0"/>
              <w:noProof/>
            </w:rPr>
            <w:t>57</w:t>
          </w:r>
          <w:r w:rsidRPr="00276C14">
            <w:rPr>
              <w:b w:val="0"/>
              <w:noProof/>
            </w:rPr>
            <w:fldChar w:fldCharType="end"/>
          </w:r>
        </w:p>
        <w:p w14:paraId="2B223AF8"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Honor Existing Commitments to Workers</w:t>
          </w:r>
          <w:r w:rsidRPr="00276C14">
            <w:rPr>
              <w:b w:val="0"/>
              <w:noProof/>
            </w:rPr>
            <w:tab/>
          </w:r>
          <w:r w:rsidRPr="00276C14">
            <w:rPr>
              <w:b w:val="0"/>
              <w:noProof/>
            </w:rPr>
            <w:fldChar w:fldCharType="begin"/>
          </w:r>
          <w:r w:rsidRPr="00276C14">
            <w:rPr>
              <w:b w:val="0"/>
              <w:noProof/>
            </w:rPr>
            <w:instrText xml:space="preserve"> PAGEREF _Toc446789146 \h </w:instrText>
          </w:r>
          <w:r w:rsidRPr="00276C14">
            <w:rPr>
              <w:b w:val="0"/>
              <w:noProof/>
            </w:rPr>
          </w:r>
          <w:r w:rsidRPr="00276C14">
            <w:rPr>
              <w:b w:val="0"/>
              <w:noProof/>
            </w:rPr>
            <w:fldChar w:fldCharType="separate"/>
          </w:r>
          <w:r w:rsidRPr="00276C14">
            <w:rPr>
              <w:b w:val="0"/>
              <w:noProof/>
            </w:rPr>
            <w:t>58</w:t>
          </w:r>
          <w:r w:rsidRPr="00276C14">
            <w:rPr>
              <w:b w:val="0"/>
              <w:noProof/>
            </w:rPr>
            <w:fldChar w:fldCharType="end"/>
          </w:r>
        </w:p>
        <w:p w14:paraId="5B3D0080"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Mandate and Incentivize Good Employer Behavior</w:t>
          </w:r>
          <w:r w:rsidRPr="00276C14">
            <w:rPr>
              <w:b w:val="0"/>
              <w:noProof/>
            </w:rPr>
            <w:tab/>
          </w:r>
          <w:r w:rsidRPr="00276C14">
            <w:rPr>
              <w:b w:val="0"/>
              <w:noProof/>
            </w:rPr>
            <w:fldChar w:fldCharType="begin"/>
          </w:r>
          <w:r w:rsidRPr="00276C14">
            <w:rPr>
              <w:b w:val="0"/>
              <w:noProof/>
            </w:rPr>
            <w:instrText xml:space="preserve"> PAGEREF _Toc446789147 \h </w:instrText>
          </w:r>
          <w:r w:rsidRPr="00276C14">
            <w:rPr>
              <w:b w:val="0"/>
              <w:noProof/>
            </w:rPr>
          </w:r>
          <w:r w:rsidRPr="00276C14">
            <w:rPr>
              <w:b w:val="0"/>
              <w:noProof/>
            </w:rPr>
            <w:fldChar w:fldCharType="separate"/>
          </w:r>
          <w:r w:rsidRPr="00276C14">
            <w:rPr>
              <w:b w:val="0"/>
              <w:noProof/>
            </w:rPr>
            <w:t>59</w:t>
          </w:r>
          <w:r w:rsidRPr="00276C14">
            <w:rPr>
              <w:b w:val="0"/>
              <w:noProof/>
            </w:rPr>
            <w:fldChar w:fldCharType="end"/>
          </w:r>
        </w:p>
        <w:p w14:paraId="4E49287C"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Create Wage Boards to Set Sector-Based Wages</w:t>
          </w:r>
          <w:r w:rsidRPr="00276C14">
            <w:rPr>
              <w:b w:val="0"/>
              <w:noProof/>
            </w:rPr>
            <w:tab/>
          </w:r>
          <w:r w:rsidRPr="00276C14">
            <w:rPr>
              <w:b w:val="0"/>
              <w:noProof/>
            </w:rPr>
            <w:fldChar w:fldCharType="begin"/>
          </w:r>
          <w:r w:rsidRPr="00276C14">
            <w:rPr>
              <w:b w:val="0"/>
              <w:noProof/>
            </w:rPr>
            <w:instrText xml:space="preserve"> PAGEREF _Toc446789148 \h </w:instrText>
          </w:r>
          <w:r w:rsidRPr="00276C14">
            <w:rPr>
              <w:b w:val="0"/>
              <w:noProof/>
            </w:rPr>
          </w:r>
          <w:r w:rsidRPr="00276C14">
            <w:rPr>
              <w:b w:val="0"/>
              <w:noProof/>
            </w:rPr>
            <w:fldChar w:fldCharType="separate"/>
          </w:r>
          <w:r w:rsidRPr="00276C14">
            <w:rPr>
              <w:b w:val="0"/>
              <w:noProof/>
            </w:rPr>
            <w:t>61</w:t>
          </w:r>
          <w:r w:rsidRPr="00276C14">
            <w:rPr>
              <w:b w:val="0"/>
              <w:noProof/>
            </w:rPr>
            <w:fldChar w:fldCharType="end"/>
          </w:r>
        </w:p>
        <w:p w14:paraId="67A2EBCB"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Labor &amp; Single Payer Universal Healthcare</w:t>
          </w:r>
          <w:r w:rsidRPr="00276C14">
            <w:rPr>
              <w:b w:val="0"/>
              <w:noProof/>
            </w:rPr>
            <w:tab/>
          </w:r>
          <w:r w:rsidRPr="00276C14">
            <w:rPr>
              <w:b w:val="0"/>
              <w:noProof/>
            </w:rPr>
            <w:fldChar w:fldCharType="begin"/>
          </w:r>
          <w:r w:rsidRPr="00276C14">
            <w:rPr>
              <w:b w:val="0"/>
              <w:noProof/>
            </w:rPr>
            <w:instrText xml:space="preserve"> PAGEREF _Toc446789149 \h </w:instrText>
          </w:r>
          <w:r w:rsidRPr="00276C14">
            <w:rPr>
              <w:b w:val="0"/>
              <w:noProof/>
            </w:rPr>
          </w:r>
          <w:r w:rsidRPr="00276C14">
            <w:rPr>
              <w:b w:val="0"/>
              <w:noProof/>
            </w:rPr>
            <w:fldChar w:fldCharType="separate"/>
          </w:r>
          <w:r w:rsidRPr="00276C14">
            <w:rPr>
              <w:b w:val="0"/>
              <w:noProof/>
            </w:rPr>
            <w:t>63</w:t>
          </w:r>
          <w:r w:rsidRPr="00276C14">
            <w:rPr>
              <w:b w:val="0"/>
              <w:noProof/>
            </w:rPr>
            <w:fldChar w:fldCharType="end"/>
          </w:r>
        </w:p>
        <w:p w14:paraId="703CC746"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Future Opportunities: Full Sectoral Bargaining</w:t>
          </w:r>
          <w:r w:rsidRPr="00276C14">
            <w:rPr>
              <w:b w:val="0"/>
              <w:noProof/>
            </w:rPr>
            <w:tab/>
          </w:r>
          <w:r w:rsidRPr="00276C14">
            <w:rPr>
              <w:b w:val="0"/>
              <w:noProof/>
            </w:rPr>
            <w:fldChar w:fldCharType="begin"/>
          </w:r>
          <w:r w:rsidRPr="00276C14">
            <w:rPr>
              <w:b w:val="0"/>
              <w:noProof/>
            </w:rPr>
            <w:instrText xml:space="preserve"> PAGEREF _Toc446789150 \h </w:instrText>
          </w:r>
          <w:r w:rsidRPr="00276C14">
            <w:rPr>
              <w:b w:val="0"/>
              <w:noProof/>
            </w:rPr>
          </w:r>
          <w:r w:rsidRPr="00276C14">
            <w:rPr>
              <w:b w:val="0"/>
              <w:noProof/>
            </w:rPr>
            <w:fldChar w:fldCharType="separate"/>
          </w:r>
          <w:r w:rsidRPr="00276C14">
            <w:rPr>
              <w:b w:val="0"/>
              <w:noProof/>
            </w:rPr>
            <w:t>63</w:t>
          </w:r>
          <w:r w:rsidRPr="00276C14">
            <w:rPr>
              <w:b w:val="0"/>
              <w:noProof/>
            </w:rPr>
            <w:fldChar w:fldCharType="end"/>
          </w:r>
        </w:p>
        <w:p w14:paraId="66B5C449"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Intersectional Legacy of the Civil Rights &amp; Labor Movements</w:t>
          </w:r>
          <w:r w:rsidRPr="00276C14">
            <w:rPr>
              <w:b w:val="0"/>
              <w:noProof/>
            </w:rPr>
            <w:tab/>
          </w:r>
          <w:r w:rsidRPr="00276C14">
            <w:rPr>
              <w:b w:val="0"/>
              <w:noProof/>
            </w:rPr>
            <w:fldChar w:fldCharType="begin"/>
          </w:r>
          <w:r w:rsidRPr="00276C14">
            <w:rPr>
              <w:b w:val="0"/>
              <w:noProof/>
            </w:rPr>
            <w:instrText xml:space="preserve"> PAGEREF _Toc446789151 \h </w:instrText>
          </w:r>
          <w:r w:rsidRPr="00276C14">
            <w:rPr>
              <w:b w:val="0"/>
              <w:noProof/>
            </w:rPr>
          </w:r>
          <w:r w:rsidRPr="00276C14">
            <w:rPr>
              <w:b w:val="0"/>
              <w:noProof/>
            </w:rPr>
            <w:fldChar w:fldCharType="separate"/>
          </w:r>
          <w:r w:rsidRPr="00276C14">
            <w:rPr>
              <w:b w:val="0"/>
              <w:noProof/>
            </w:rPr>
            <w:t>65</w:t>
          </w:r>
          <w:r w:rsidRPr="00276C14">
            <w:rPr>
              <w:b w:val="0"/>
              <w:noProof/>
            </w:rPr>
            <w:fldChar w:fldCharType="end"/>
          </w:r>
        </w:p>
        <w:p w14:paraId="66380819"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The Role of Labor Unions in Bridging Racial, Gender, and Economic Disparities</w:t>
          </w:r>
          <w:r w:rsidRPr="00276C14">
            <w:rPr>
              <w:b w:val="0"/>
              <w:noProof/>
            </w:rPr>
            <w:tab/>
          </w:r>
          <w:r w:rsidRPr="00276C14">
            <w:rPr>
              <w:b w:val="0"/>
              <w:noProof/>
            </w:rPr>
            <w:fldChar w:fldCharType="begin"/>
          </w:r>
          <w:r w:rsidRPr="00276C14">
            <w:rPr>
              <w:b w:val="0"/>
              <w:noProof/>
            </w:rPr>
            <w:instrText xml:space="preserve"> PAGEREF _Toc446789152 \h </w:instrText>
          </w:r>
          <w:r w:rsidRPr="00276C14">
            <w:rPr>
              <w:b w:val="0"/>
              <w:noProof/>
            </w:rPr>
          </w:r>
          <w:r w:rsidRPr="00276C14">
            <w:rPr>
              <w:b w:val="0"/>
              <w:noProof/>
            </w:rPr>
            <w:fldChar w:fldCharType="separate"/>
          </w:r>
          <w:r w:rsidRPr="00276C14">
            <w:rPr>
              <w:b w:val="0"/>
              <w:noProof/>
            </w:rPr>
            <w:t>65</w:t>
          </w:r>
          <w:r w:rsidRPr="00276C14">
            <w:rPr>
              <w:b w:val="0"/>
              <w:noProof/>
            </w:rPr>
            <w:fldChar w:fldCharType="end"/>
          </w:r>
        </w:p>
        <w:p w14:paraId="0E9B9049"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Conclusion: Racial Justice, Interracial Working Class Solidarity, and Gender Equity</w:t>
          </w:r>
          <w:r w:rsidRPr="00276C14">
            <w:rPr>
              <w:b w:val="0"/>
              <w:noProof/>
            </w:rPr>
            <w:tab/>
          </w:r>
          <w:r w:rsidRPr="00276C14">
            <w:rPr>
              <w:b w:val="0"/>
              <w:noProof/>
            </w:rPr>
            <w:fldChar w:fldCharType="begin"/>
          </w:r>
          <w:r w:rsidRPr="00276C14">
            <w:rPr>
              <w:b w:val="0"/>
              <w:noProof/>
            </w:rPr>
            <w:instrText xml:space="preserve"> PAGEREF _Toc446789153 \h </w:instrText>
          </w:r>
          <w:r w:rsidRPr="00276C14">
            <w:rPr>
              <w:b w:val="0"/>
              <w:noProof/>
            </w:rPr>
          </w:r>
          <w:r w:rsidRPr="00276C14">
            <w:rPr>
              <w:b w:val="0"/>
              <w:noProof/>
            </w:rPr>
            <w:fldChar w:fldCharType="separate"/>
          </w:r>
          <w:r w:rsidRPr="00276C14">
            <w:rPr>
              <w:b w:val="0"/>
              <w:noProof/>
            </w:rPr>
            <w:t>67</w:t>
          </w:r>
          <w:r w:rsidRPr="00276C14">
            <w:rPr>
              <w:b w:val="0"/>
              <w:noProof/>
            </w:rPr>
            <w:fldChar w:fldCharType="end"/>
          </w:r>
        </w:p>
        <w:p w14:paraId="00FAF4E6" w14:textId="77777777" w:rsidR="00F562F3" w:rsidRDefault="00F562F3" w:rsidP="00276C14">
          <w:pPr>
            <w:pStyle w:val="TOC1"/>
            <w:rPr>
              <w:rFonts w:eastAsiaTheme="minorEastAsia" w:cstheme="minorBidi"/>
              <w:noProof/>
              <w:lang w:eastAsia="ja-JP"/>
            </w:rPr>
          </w:pPr>
          <w:r>
            <w:rPr>
              <w:noProof/>
            </w:rPr>
            <w:t>Chapter 5 - Conclusion</w:t>
          </w:r>
          <w:r>
            <w:rPr>
              <w:noProof/>
            </w:rPr>
            <w:tab/>
          </w:r>
          <w:r>
            <w:rPr>
              <w:noProof/>
            </w:rPr>
            <w:fldChar w:fldCharType="begin"/>
          </w:r>
          <w:r>
            <w:rPr>
              <w:noProof/>
            </w:rPr>
            <w:instrText xml:space="preserve"> PAGEREF _Toc446789154 \h </w:instrText>
          </w:r>
          <w:r>
            <w:rPr>
              <w:noProof/>
            </w:rPr>
          </w:r>
          <w:r>
            <w:rPr>
              <w:noProof/>
            </w:rPr>
            <w:fldChar w:fldCharType="separate"/>
          </w:r>
          <w:r>
            <w:rPr>
              <w:noProof/>
            </w:rPr>
            <w:t>70</w:t>
          </w:r>
          <w:r>
            <w:rPr>
              <w:noProof/>
            </w:rPr>
            <w:fldChar w:fldCharType="end"/>
          </w:r>
        </w:p>
        <w:p w14:paraId="3691CDC2"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Background and Research Questions</w:t>
          </w:r>
          <w:r w:rsidRPr="00276C14">
            <w:rPr>
              <w:b w:val="0"/>
              <w:noProof/>
            </w:rPr>
            <w:tab/>
          </w:r>
          <w:r w:rsidRPr="00276C14">
            <w:rPr>
              <w:b w:val="0"/>
              <w:noProof/>
            </w:rPr>
            <w:fldChar w:fldCharType="begin"/>
          </w:r>
          <w:r w:rsidRPr="00276C14">
            <w:rPr>
              <w:b w:val="0"/>
              <w:noProof/>
            </w:rPr>
            <w:instrText xml:space="preserve"> PAGEREF _Toc446789155 \h </w:instrText>
          </w:r>
          <w:r w:rsidRPr="00276C14">
            <w:rPr>
              <w:b w:val="0"/>
              <w:noProof/>
            </w:rPr>
          </w:r>
          <w:r w:rsidRPr="00276C14">
            <w:rPr>
              <w:b w:val="0"/>
              <w:noProof/>
            </w:rPr>
            <w:fldChar w:fldCharType="separate"/>
          </w:r>
          <w:r w:rsidRPr="00276C14">
            <w:rPr>
              <w:b w:val="0"/>
              <w:noProof/>
            </w:rPr>
            <w:t>70</w:t>
          </w:r>
          <w:r w:rsidRPr="00276C14">
            <w:rPr>
              <w:b w:val="0"/>
              <w:noProof/>
            </w:rPr>
            <w:fldChar w:fldCharType="end"/>
          </w:r>
        </w:p>
        <w:p w14:paraId="128F59C8"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Methodology, Theoretical Approach, and Findings</w:t>
          </w:r>
          <w:r w:rsidRPr="00276C14">
            <w:rPr>
              <w:b w:val="0"/>
              <w:noProof/>
            </w:rPr>
            <w:tab/>
          </w:r>
          <w:r w:rsidRPr="00276C14">
            <w:rPr>
              <w:b w:val="0"/>
              <w:noProof/>
            </w:rPr>
            <w:fldChar w:fldCharType="begin"/>
          </w:r>
          <w:r w:rsidRPr="00276C14">
            <w:rPr>
              <w:b w:val="0"/>
              <w:noProof/>
            </w:rPr>
            <w:instrText xml:space="preserve"> PAGEREF _Toc446789156 \h </w:instrText>
          </w:r>
          <w:r w:rsidRPr="00276C14">
            <w:rPr>
              <w:b w:val="0"/>
              <w:noProof/>
            </w:rPr>
          </w:r>
          <w:r w:rsidRPr="00276C14">
            <w:rPr>
              <w:b w:val="0"/>
              <w:noProof/>
            </w:rPr>
            <w:fldChar w:fldCharType="separate"/>
          </w:r>
          <w:r w:rsidRPr="00276C14">
            <w:rPr>
              <w:b w:val="0"/>
              <w:noProof/>
            </w:rPr>
            <w:t>70</w:t>
          </w:r>
          <w:r w:rsidRPr="00276C14">
            <w:rPr>
              <w:b w:val="0"/>
              <w:noProof/>
            </w:rPr>
            <w:fldChar w:fldCharType="end"/>
          </w:r>
        </w:p>
        <w:p w14:paraId="2074057B"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Recommendations</w:t>
          </w:r>
          <w:r w:rsidRPr="00276C14">
            <w:rPr>
              <w:b w:val="0"/>
              <w:noProof/>
            </w:rPr>
            <w:tab/>
          </w:r>
          <w:r w:rsidRPr="00276C14">
            <w:rPr>
              <w:b w:val="0"/>
              <w:noProof/>
            </w:rPr>
            <w:fldChar w:fldCharType="begin"/>
          </w:r>
          <w:r w:rsidRPr="00276C14">
            <w:rPr>
              <w:b w:val="0"/>
              <w:noProof/>
            </w:rPr>
            <w:instrText xml:space="preserve"> PAGEREF _Toc446789157 \h </w:instrText>
          </w:r>
          <w:r w:rsidRPr="00276C14">
            <w:rPr>
              <w:b w:val="0"/>
              <w:noProof/>
            </w:rPr>
          </w:r>
          <w:r w:rsidRPr="00276C14">
            <w:rPr>
              <w:b w:val="0"/>
              <w:noProof/>
            </w:rPr>
            <w:fldChar w:fldCharType="separate"/>
          </w:r>
          <w:r w:rsidRPr="00276C14">
            <w:rPr>
              <w:b w:val="0"/>
              <w:noProof/>
            </w:rPr>
            <w:t>72</w:t>
          </w:r>
          <w:r w:rsidRPr="00276C14">
            <w:rPr>
              <w:b w:val="0"/>
              <w:noProof/>
            </w:rPr>
            <w:fldChar w:fldCharType="end"/>
          </w:r>
        </w:p>
        <w:p w14:paraId="1E02FF86"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Methodological Limitations and Future Research</w:t>
          </w:r>
          <w:r w:rsidRPr="00276C14">
            <w:rPr>
              <w:b w:val="0"/>
              <w:noProof/>
            </w:rPr>
            <w:tab/>
          </w:r>
          <w:r w:rsidRPr="00276C14">
            <w:rPr>
              <w:b w:val="0"/>
              <w:noProof/>
            </w:rPr>
            <w:fldChar w:fldCharType="begin"/>
          </w:r>
          <w:r w:rsidRPr="00276C14">
            <w:rPr>
              <w:b w:val="0"/>
              <w:noProof/>
            </w:rPr>
            <w:instrText xml:space="preserve"> PAGEREF _Toc446789158 \h </w:instrText>
          </w:r>
          <w:r w:rsidRPr="00276C14">
            <w:rPr>
              <w:b w:val="0"/>
              <w:noProof/>
            </w:rPr>
          </w:r>
          <w:r w:rsidRPr="00276C14">
            <w:rPr>
              <w:b w:val="0"/>
              <w:noProof/>
            </w:rPr>
            <w:fldChar w:fldCharType="separate"/>
          </w:r>
          <w:r w:rsidRPr="00276C14">
            <w:rPr>
              <w:b w:val="0"/>
              <w:noProof/>
            </w:rPr>
            <w:t>74</w:t>
          </w:r>
          <w:r w:rsidRPr="00276C14">
            <w:rPr>
              <w:b w:val="0"/>
              <w:noProof/>
            </w:rPr>
            <w:fldChar w:fldCharType="end"/>
          </w:r>
        </w:p>
        <w:p w14:paraId="7411883A" w14:textId="77777777" w:rsidR="00F562F3" w:rsidRPr="00276C14" w:rsidRDefault="00F562F3" w:rsidP="00276C14">
          <w:pPr>
            <w:pStyle w:val="TOC2"/>
            <w:tabs>
              <w:tab w:val="right" w:leader="dot" w:pos="8630"/>
            </w:tabs>
            <w:spacing w:line="276" w:lineRule="auto"/>
            <w:rPr>
              <w:rFonts w:eastAsiaTheme="minorEastAsia" w:cstheme="minorBidi"/>
              <w:b w:val="0"/>
              <w:noProof/>
              <w:sz w:val="24"/>
              <w:szCs w:val="24"/>
              <w:lang w:eastAsia="ja-JP"/>
            </w:rPr>
          </w:pPr>
          <w:r w:rsidRPr="00276C14">
            <w:rPr>
              <w:b w:val="0"/>
              <w:noProof/>
            </w:rPr>
            <w:t>Historical Origins and Future Possibilities</w:t>
          </w:r>
          <w:r w:rsidRPr="00276C14">
            <w:rPr>
              <w:b w:val="0"/>
              <w:noProof/>
            </w:rPr>
            <w:tab/>
          </w:r>
          <w:r w:rsidRPr="00276C14">
            <w:rPr>
              <w:b w:val="0"/>
              <w:noProof/>
            </w:rPr>
            <w:fldChar w:fldCharType="begin"/>
          </w:r>
          <w:r w:rsidRPr="00276C14">
            <w:rPr>
              <w:b w:val="0"/>
              <w:noProof/>
            </w:rPr>
            <w:instrText xml:space="preserve"> PAGEREF _Toc446789159 \h </w:instrText>
          </w:r>
          <w:r w:rsidRPr="00276C14">
            <w:rPr>
              <w:b w:val="0"/>
              <w:noProof/>
            </w:rPr>
          </w:r>
          <w:r w:rsidRPr="00276C14">
            <w:rPr>
              <w:b w:val="0"/>
              <w:noProof/>
            </w:rPr>
            <w:fldChar w:fldCharType="separate"/>
          </w:r>
          <w:r w:rsidRPr="00276C14">
            <w:rPr>
              <w:b w:val="0"/>
              <w:noProof/>
            </w:rPr>
            <w:t>76</w:t>
          </w:r>
          <w:r w:rsidRPr="00276C14">
            <w:rPr>
              <w:b w:val="0"/>
              <w:noProof/>
            </w:rPr>
            <w:fldChar w:fldCharType="end"/>
          </w:r>
        </w:p>
        <w:p w14:paraId="5FA3FD06" w14:textId="77777777" w:rsidR="00F562F3" w:rsidRDefault="00F562F3" w:rsidP="00276C14">
          <w:pPr>
            <w:pStyle w:val="TOC1"/>
            <w:spacing w:line="480" w:lineRule="auto"/>
            <w:rPr>
              <w:rFonts w:eastAsiaTheme="minorEastAsia" w:cstheme="minorBidi"/>
              <w:noProof/>
              <w:lang w:eastAsia="ja-JP"/>
            </w:rPr>
          </w:pPr>
          <w:r>
            <w:rPr>
              <w:noProof/>
            </w:rPr>
            <w:t>References</w:t>
          </w:r>
          <w:r>
            <w:rPr>
              <w:noProof/>
            </w:rPr>
            <w:tab/>
          </w:r>
          <w:r>
            <w:rPr>
              <w:noProof/>
            </w:rPr>
            <w:fldChar w:fldCharType="begin"/>
          </w:r>
          <w:r>
            <w:rPr>
              <w:noProof/>
            </w:rPr>
            <w:instrText xml:space="preserve"> PAGEREF _Toc446789160 \h </w:instrText>
          </w:r>
          <w:r>
            <w:rPr>
              <w:noProof/>
            </w:rPr>
          </w:r>
          <w:r>
            <w:rPr>
              <w:noProof/>
            </w:rPr>
            <w:fldChar w:fldCharType="separate"/>
          </w:r>
          <w:r>
            <w:rPr>
              <w:noProof/>
            </w:rPr>
            <w:t>77</w:t>
          </w:r>
          <w:r>
            <w:rPr>
              <w:noProof/>
            </w:rPr>
            <w:fldChar w:fldCharType="end"/>
          </w:r>
        </w:p>
        <w:p w14:paraId="312EB502" w14:textId="77777777" w:rsidR="00F562F3" w:rsidRDefault="00F562F3" w:rsidP="00276C14">
          <w:pPr>
            <w:spacing w:line="276" w:lineRule="auto"/>
          </w:pPr>
          <w:r>
            <w:rPr>
              <w:b/>
              <w:bCs/>
              <w:noProof/>
            </w:rPr>
            <w:fldChar w:fldCharType="end"/>
          </w:r>
        </w:p>
      </w:sdtContent>
    </w:sdt>
    <w:p w14:paraId="67E2E1CB" w14:textId="77777777" w:rsidR="00B84936" w:rsidRDefault="00B84936">
      <w:pPr>
        <w:spacing w:before="400" w:after="120" w:line="360" w:lineRule="auto"/>
        <w:rPr>
          <w:rFonts w:ascii="Times New Roman" w:eastAsia="Times New Roman" w:hAnsi="Times New Roman" w:cs="Times New Roman"/>
          <w:b/>
          <w:color w:val="000000"/>
        </w:rPr>
      </w:pPr>
    </w:p>
    <w:p w14:paraId="05FD214F" w14:textId="77777777" w:rsidR="00B84936" w:rsidRDefault="00B84936">
      <w:pPr>
        <w:spacing w:before="400" w:after="120" w:line="360" w:lineRule="auto"/>
        <w:rPr>
          <w:rFonts w:ascii="Times New Roman" w:eastAsia="Times New Roman" w:hAnsi="Times New Roman" w:cs="Times New Roman"/>
          <w:b/>
          <w:color w:val="000000"/>
        </w:rPr>
      </w:pPr>
    </w:p>
    <w:p w14:paraId="5AF39124" w14:textId="77777777" w:rsidR="00B84936" w:rsidRDefault="00B84936">
      <w:pPr>
        <w:spacing w:before="400" w:after="120"/>
        <w:rPr>
          <w:rFonts w:ascii="Times New Roman" w:eastAsia="Times New Roman" w:hAnsi="Times New Roman" w:cs="Times New Roman"/>
          <w:b/>
          <w:color w:val="000000"/>
        </w:rPr>
      </w:pPr>
    </w:p>
    <w:p w14:paraId="4D13E9D2" w14:textId="77777777" w:rsidR="001D1521" w:rsidRDefault="001D1521">
      <w:pPr>
        <w:spacing w:before="400" w:after="120"/>
        <w:rPr>
          <w:rFonts w:ascii="Times New Roman" w:eastAsia="Times New Roman" w:hAnsi="Times New Roman" w:cs="Times New Roman"/>
          <w:b/>
          <w:color w:val="000000"/>
        </w:rPr>
      </w:pPr>
    </w:p>
    <w:p w14:paraId="0FFDEBAB" w14:textId="77777777" w:rsidR="00F562F3" w:rsidRDefault="00F562F3">
      <w:pPr>
        <w:spacing w:before="400" w:after="120"/>
        <w:rPr>
          <w:rFonts w:ascii="Times New Roman" w:eastAsia="Times New Roman" w:hAnsi="Times New Roman" w:cs="Times New Roman"/>
          <w:b/>
          <w:color w:val="000000"/>
        </w:rPr>
      </w:pPr>
    </w:p>
    <w:p w14:paraId="1B46B273" w14:textId="77777777" w:rsidR="001D1521" w:rsidRDefault="001D1521">
      <w:pPr>
        <w:spacing w:before="400" w:after="120"/>
        <w:rPr>
          <w:rFonts w:ascii="Times New Roman" w:eastAsia="Times New Roman" w:hAnsi="Times New Roman" w:cs="Times New Roman"/>
          <w:b/>
          <w:color w:val="000000"/>
        </w:rPr>
      </w:pPr>
    </w:p>
    <w:p w14:paraId="449B4550" w14:textId="77777777" w:rsidR="001D1521" w:rsidRDefault="001D1521">
      <w:pPr>
        <w:spacing w:before="400" w:after="120"/>
        <w:rPr>
          <w:rFonts w:ascii="Times New Roman" w:eastAsia="Times New Roman" w:hAnsi="Times New Roman" w:cs="Times New Roman"/>
          <w:b/>
          <w:color w:val="000000"/>
        </w:rPr>
      </w:pPr>
    </w:p>
    <w:p w14:paraId="729DEC6D" w14:textId="77777777" w:rsidR="009464B3" w:rsidRDefault="009464B3">
      <w:pPr>
        <w:spacing w:before="400" w:after="120"/>
        <w:rPr>
          <w:rFonts w:ascii="Times New Roman" w:eastAsia="Times New Roman" w:hAnsi="Times New Roman" w:cs="Times New Roman"/>
          <w:b/>
          <w:color w:val="000000"/>
        </w:rPr>
      </w:pPr>
    </w:p>
    <w:p w14:paraId="13BEDF5D" w14:textId="77777777" w:rsidR="00B84936" w:rsidRPr="00F30C77" w:rsidRDefault="001D1521" w:rsidP="00F30C77">
      <w:pPr>
        <w:pStyle w:val="Heading1"/>
        <w:rPr>
          <w:sz w:val="24"/>
          <w:szCs w:val="24"/>
        </w:rPr>
      </w:pPr>
      <w:bookmarkStart w:id="1" w:name="_Toc446789103"/>
      <w:r w:rsidRPr="00F30C77">
        <w:rPr>
          <w:sz w:val="24"/>
          <w:szCs w:val="24"/>
        </w:rPr>
        <w:t>Chapter 1 – Introduction and Methodology</w:t>
      </w:r>
      <w:bookmarkEnd w:id="1"/>
    </w:p>
    <w:p w14:paraId="1C8BA956" w14:textId="77777777" w:rsidR="00B84936" w:rsidRPr="00F30C77" w:rsidRDefault="001D1521" w:rsidP="00F30C77">
      <w:pPr>
        <w:pStyle w:val="Heading2"/>
        <w:rPr>
          <w:sz w:val="24"/>
          <w:szCs w:val="24"/>
        </w:rPr>
      </w:pPr>
      <w:bookmarkStart w:id="2" w:name="_Toc446789104"/>
      <w:r w:rsidRPr="00F30C77">
        <w:rPr>
          <w:sz w:val="24"/>
          <w:szCs w:val="24"/>
        </w:rPr>
        <w:t>Introduction</w:t>
      </w:r>
      <w:bookmarkEnd w:id="2"/>
    </w:p>
    <w:p w14:paraId="34EC04B6"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This chapter provides a thorough record of how the research has been carried out in primary and secondary source data collection and subsequent analysis. It will also provide a justification as to why this methodology was identified as most fitting to fulfill this study’s aims, objectives, and driving research questions. This chapter includes an elucidation of cultural analysis, how it can be conducted, what constitutes a text that can serve as the subject of cultural analysis, and the importance of the researcher producing meaning from the connections made between the text and context. Additionally, the ethicality of how the research has been conducted, the reliability of the findings, and their validity </w:t>
      </w:r>
      <w:proofErr w:type="gramStart"/>
      <w:r>
        <w:rPr>
          <w:rFonts w:ascii="Times New Roman" w:eastAsia="Times New Roman" w:hAnsi="Times New Roman" w:cs="Times New Roman"/>
          <w:color w:val="000000"/>
        </w:rPr>
        <w:t>have</w:t>
      </w:r>
      <w:proofErr w:type="gramEnd"/>
      <w:r>
        <w:rPr>
          <w:rFonts w:ascii="Times New Roman" w:eastAsia="Times New Roman" w:hAnsi="Times New Roman" w:cs="Times New Roman"/>
          <w:color w:val="000000"/>
        </w:rPr>
        <w:t xml:space="preserve"> been given thoughtful consideration at the end of this chapter.</w:t>
      </w:r>
    </w:p>
    <w:p w14:paraId="5D7D83FF" w14:textId="77777777" w:rsidR="00B84936" w:rsidRDefault="00B84936">
      <w:pPr>
        <w:rPr>
          <w:rFonts w:ascii="Times New Roman" w:eastAsia="Times New Roman" w:hAnsi="Times New Roman" w:cs="Times New Roman"/>
        </w:rPr>
      </w:pPr>
    </w:p>
    <w:p w14:paraId="333DAB39" w14:textId="77777777" w:rsidR="00B84936" w:rsidRPr="00F30C77" w:rsidRDefault="001D1521" w:rsidP="00F30C77">
      <w:pPr>
        <w:pStyle w:val="Heading2"/>
        <w:rPr>
          <w:sz w:val="24"/>
          <w:szCs w:val="24"/>
        </w:rPr>
      </w:pPr>
      <w:bookmarkStart w:id="3" w:name="_Toc446789105"/>
      <w:r w:rsidRPr="00F30C77">
        <w:rPr>
          <w:sz w:val="24"/>
          <w:szCs w:val="24"/>
        </w:rPr>
        <w:t>Research Aims, Objectives, and Questions</w:t>
      </w:r>
      <w:bookmarkEnd w:id="3"/>
    </w:p>
    <w:p w14:paraId="5FDE7E86"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The overall aim of this research is to situate organizational-level Diversity and Inclusion interventions with the New Gilded Age as the socioeconomic backdrop and </w:t>
      </w:r>
      <w:r>
        <w:rPr>
          <w:rFonts w:ascii="Times New Roman" w:eastAsia="Times New Roman" w:hAnsi="Times New Roman" w:cs="Times New Roman"/>
          <w:color w:val="000000"/>
        </w:rPr>
        <w:lastRenderedPageBreak/>
        <w:t>explore public policy interventions that could more comprehensively address social and economic problems in the New Gilded Age.</w:t>
      </w:r>
    </w:p>
    <w:p w14:paraId="75A8CC31" w14:textId="77777777" w:rsidR="00B84936" w:rsidRDefault="00B84936">
      <w:pPr>
        <w:rPr>
          <w:rFonts w:ascii="Times New Roman" w:eastAsia="Times New Roman" w:hAnsi="Times New Roman" w:cs="Times New Roman"/>
        </w:rPr>
      </w:pPr>
    </w:p>
    <w:p w14:paraId="67AE7B1F" w14:textId="77777777" w:rsidR="00B84936" w:rsidRDefault="001D1521">
      <w:pPr>
        <w:spacing w:line="480" w:lineRule="auto"/>
        <w:rPr>
          <w:rFonts w:ascii="Times New Roman" w:eastAsia="Times New Roman" w:hAnsi="Times New Roman" w:cs="Times New Roman"/>
        </w:rPr>
      </w:pPr>
      <w:r>
        <w:rPr>
          <w:rFonts w:ascii="Times New Roman" w:eastAsia="Times New Roman" w:hAnsi="Times New Roman" w:cs="Times New Roman"/>
          <w:color w:val="000000"/>
        </w:rPr>
        <w:t>The objectives of this research are the following:</w:t>
      </w:r>
    </w:p>
    <w:p w14:paraId="2BB62FE7" w14:textId="77777777" w:rsidR="00B84936" w:rsidRDefault="001D1521">
      <w:pPr>
        <w:numPr>
          <w:ilvl w:val="0"/>
          <w:numId w:val="1"/>
        </w:num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Collect and evaluate primary source documents to identify the strengths and shortcomings of Diversity and Inclusion interventions and public policy proposals at the organizational and societal levels.</w:t>
      </w:r>
    </w:p>
    <w:p w14:paraId="07586A04" w14:textId="77777777" w:rsidR="00B84936" w:rsidRDefault="001D1521">
      <w:pPr>
        <w:numPr>
          <w:ilvl w:val="0"/>
          <w:numId w:val="1"/>
        </w:num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Evaluate and consult secondary source documents to situate and contextualize Diversity and Inclusion practices and public policy proposals with the New Gilded Age as socioeconomic and political context.</w:t>
      </w:r>
    </w:p>
    <w:p w14:paraId="65E7DEA9" w14:textId="77777777" w:rsidR="00B84936" w:rsidRDefault="001D1521">
      <w:pPr>
        <w:numPr>
          <w:ilvl w:val="0"/>
          <w:numId w:val="1"/>
        </w:num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Draw conclusions from Diversity and Inclusion interventions and recommend public policy proposals, namely the Federal Jobs Guarantee and the Workplace Democracy Act, while interpreting the societal and economic implications of these initiatives seen through the lens of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in the New Gilded Age.</w:t>
      </w:r>
    </w:p>
    <w:p w14:paraId="0B55F6FA" w14:textId="77777777" w:rsidR="00B84936" w:rsidRDefault="00B84936">
      <w:pPr>
        <w:rPr>
          <w:rFonts w:ascii="Times New Roman" w:eastAsia="Times New Roman" w:hAnsi="Times New Roman" w:cs="Times New Roman"/>
        </w:rPr>
      </w:pPr>
    </w:p>
    <w:p w14:paraId="7BF098C7" w14:textId="77777777" w:rsidR="00B84936" w:rsidRDefault="001D1521">
      <w:pPr>
        <w:spacing w:line="480" w:lineRule="auto"/>
        <w:rPr>
          <w:rFonts w:ascii="Times New Roman" w:eastAsia="Times New Roman" w:hAnsi="Times New Roman" w:cs="Times New Roman"/>
        </w:rPr>
      </w:pPr>
      <w:r>
        <w:rPr>
          <w:rFonts w:ascii="Times New Roman" w:eastAsia="Times New Roman" w:hAnsi="Times New Roman" w:cs="Times New Roman"/>
          <w:color w:val="000000"/>
        </w:rPr>
        <w:t>The principal research questions of this study are as follows:</w:t>
      </w:r>
    </w:p>
    <w:p w14:paraId="582200D4" w14:textId="77777777" w:rsidR="00B84936" w:rsidRDefault="001D1521">
      <w:pPr>
        <w:numPr>
          <w:ilvl w:val="0"/>
          <w:numId w:val="2"/>
        </w:num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How and to what extent do Diversity and Inclusion interventions at the organizational level address social and economic inequalities in the New Gilded Age?</w:t>
      </w:r>
    </w:p>
    <w:p w14:paraId="2B86ACA5" w14:textId="77777777" w:rsidR="00B84936" w:rsidRDefault="001D1521">
      <w:pPr>
        <w:numPr>
          <w:ilvl w:val="0"/>
          <w:numId w:val="2"/>
        </w:num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In light of the strengths and limitations of Diversity and Inclusion interventions, how could intersectional public policy fill in where Diversity and Inclusion falls short in eliminating the social and economic inequalities of the New Gilded Age?</w:t>
      </w:r>
    </w:p>
    <w:p w14:paraId="6899F16F" w14:textId="77777777" w:rsidR="00B84936" w:rsidRDefault="00B84936">
      <w:pPr>
        <w:rPr>
          <w:rFonts w:ascii="Times New Roman" w:eastAsia="Times New Roman" w:hAnsi="Times New Roman" w:cs="Times New Roman"/>
        </w:rPr>
      </w:pPr>
    </w:p>
    <w:p w14:paraId="74D011B4" w14:textId="77777777" w:rsidR="00B84936" w:rsidRPr="00F30C77" w:rsidRDefault="001D1521" w:rsidP="00F30C77">
      <w:pPr>
        <w:pStyle w:val="Heading2"/>
        <w:rPr>
          <w:sz w:val="24"/>
          <w:szCs w:val="24"/>
        </w:rPr>
      </w:pPr>
      <w:bookmarkStart w:id="4" w:name="_Toc446789106"/>
      <w:r w:rsidRPr="00F30C77">
        <w:rPr>
          <w:sz w:val="24"/>
          <w:szCs w:val="24"/>
        </w:rPr>
        <w:t>Data Analysis</w:t>
      </w:r>
      <w:bookmarkEnd w:id="4"/>
    </w:p>
    <w:p w14:paraId="6D44132F"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lastRenderedPageBreak/>
        <w:t>Qualitative approaches serve as the principal methodological driver of this study. Qualitative research is “research that produces findings not arrived at by means of statistical procedures or other means of quantification” (Strauss and Corbin, 1990, 17). Where quantitative scholars seek causal determination, prediction, and findings generalization, qualitative researchers pursue illumination, understanding, and extrapolation to similar situations (</w:t>
      </w:r>
      <w:proofErr w:type="spellStart"/>
      <w:r>
        <w:rPr>
          <w:rFonts w:ascii="Times New Roman" w:eastAsia="Times New Roman" w:hAnsi="Times New Roman" w:cs="Times New Roman"/>
          <w:color w:val="000000"/>
        </w:rPr>
        <w:t>Hoepfl</w:t>
      </w:r>
      <w:proofErr w:type="spellEnd"/>
      <w:r>
        <w:rPr>
          <w:rFonts w:ascii="Times New Roman" w:eastAsia="Times New Roman" w:hAnsi="Times New Roman" w:cs="Times New Roman"/>
          <w:color w:val="000000"/>
        </w:rPr>
        <w:t>, 1997). The central focus of qualitative research is to “engage in research that probes for deeper understanding rather than examine surface features” (Johnson, 1995, 4). </w:t>
      </w:r>
    </w:p>
    <w:p w14:paraId="67A0E862"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Clifford Geertz’ approach on cultural analysis grounds the qualitative interpretations of this research. In </w:t>
      </w:r>
      <w:r>
        <w:rPr>
          <w:rFonts w:ascii="Times New Roman" w:eastAsia="Times New Roman" w:hAnsi="Times New Roman" w:cs="Times New Roman"/>
          <w:i/>
          <w:color w:val="000000"/>
        </w:rPr>
        <w:t>The Interpretation of Culture</w:t>
      </w:r>
      <w:r>
        <w:rPr>
          <w:rFonts w:ascii="Times New Roman" w:eastAsia="Times New Roman" w:hAnsi="Times New Roman" w:cs="Times New Roman"/>
          <w:color w:val="000000"/>
        </w:rPr>
        <w:t xml:space="preserve">, Geertz writes: “Man is an animal suspended in webs of significance he himself has spun.” Geertz provides an imagery of culture as “webs of significance” in order to position the search for meaning at the crux of cultural analysis (Geertz, 1973, p. 5). With the quest for meaning as centerpiece, Geertz describes that cultural analysis requires “sorting out the structures of signification...and determining their social ground or import” (Geertz, 1973, p. 9-10). Metaphorically describing culture, Geertz states: “The culture of people is an ensemble of texts.” Through this interplay between culture and text, Geertz emphasizes </w:t>
      </w:r>
      <w:proofErr w:type="spellStart"/>
      <w:r>
        <w:rPr>
          <w:rFonts w:ascii="Times New Roman" w:eastAsia="Times New Roman" w:hAnsi="Times New Roman" w:cs="Times New Roman"/>
          <w:color w:val="000000"/>
        </w:rPr>
        <w:t>textuality</w:t>
      </w:r>
      <w:proofErr w:type="spellEnd"/>
      <w:r>
        <w:rPr>
          <w:rFonts w:ascii="Times New Roman" w:eastAsia="Times New Roman" w:hAnsi="Times New Roman" w:cs="Times New Roman"/>
          <w:color w:val="000000"/>
        </w:rPr>
        <w:t xml:space="preserve"> in the interpretation of cultural meaning, signifying that culture can be read as signification, as one can do with text. Stating that society can be read as texts, Geertz continues, “as in more familiar exercises in close reading, one can start anywhere in a culture’s repertoire of forms and end up anywhere…</w:t>
      </w:r>
      <w:proofErr w:type="gramStart"/>
      <w:r>
        <w:rPr>
          <w:rFonts w:ascii="Times New Roman" w:eastAsia="Times New Roman" w:hAnsi="Times New Roman" w:cs="Times New Roman"/>
          <w:color w:val="000000"/>
        </w:rPr>
        <w:t>.But</w:t>
      </w:r>
      <w:proofErr w:type="gramEnd"/>
      <w:r>
        <w:rPr>
          <w:rFonts w:ascii="Times New Roman" w:eastAsia="Times New Roman" w:hAnsi="Times New Roman" w:cs="Times New Roman"/>
          <w:color w:val="000000"/>
        </w:rPr>
        <w:t xml:space="preserve"> whatever the level at which one operates, and however intricately, the guiding principle is the same: societies, like lives, contain their own interpretations. One only has to learn how to gain access to them” (Geertz, 1971, p. </w:t>
      </w:r>
      <w:r>
        <w:rPr>
          <w:rFonts w:ascii="Times New Roman" w:eastAsia="Times New Roman" w:hAnsi="Times New Roman" w:cs="Times New Roman"/>
          <w:color w:val="000000"/>
        </w:rPr>
        <w:lastRenderedPageBreak/>
        <w:t>29). Through Geertz’ interpretive lens, performing cultural analysis is to treat culture as assemblages of texts where human discourse and actions could be decoded and regarded as signifiers that hold import for broader society. Cultural analysis could uncover cultural meaning by closely reading texts circulating in a given culture. </w:t>
      </w:r>
    </w:p>
    <w:p w14:paraId="22FFF09D" w14:textId="77777777" w:rsidR="00B84936" w:rsidRDefault="00B84936">
      <w:pPr>
        <w:rPr>
          <w:rFonts w:ascii="Times New Roman" w:eastAsia="Times New Roman" w:hAnsi="Times New Roman" w:cs="Times New Roman"/>
        </w:rPr>
      </w:pPr>
    </w:p>
    <w:p w14:paraId="4FBE77EC"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This study adopts Geertz’ textual approach to cultural analysis by casting a wide net on what could be considered a text and unearthing the significance and ramifications that Diversity and Inclusion interventions and public policies have on society. This would involve assessing social impact within the macroeconomic trends of the New Gilded Age. This study treats company websites, Diversity and Inclusion annual reports, communications and marketing videos, among other primary sources, all as texts to decipher significance and resonance in the broader societal and economic context in which they are embedded. </w:t>
      </w:r>
    </w:p>
    <w:p w14:paraId="590B7E1C" w14:textId="77777777" w:rsidR="00B84936" w:rsidRDefault="00B84936">
      <w:pPr>
        <w:rPr>
          <w:rFonts w:ascii="Times New Roman" w:eastAsia="Times New Roman" w:hAnsi="Times New Roman" w:cs="Times New Roman"/>
        </w:rPr>
      </w:pPr>
    </w:p>
    <w:p w14:paraId="28F1EF29"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Elucidating further on what constitutes a text in cultural analysis, Stephen Greenblatt writes, “A full cultural analysis will need to push beyond the boundaries of the text, to </w:t>
      </w:r>
      <w:r>
        <w:rPr>
          <w:rFonts w:ascii="Times New Roman" w:eastAsia="Times New Roman" w:hAnsi="Times New Roman" w:cs="Times New Roman"/>
          <w:i/>
          <w:color w:val="000000"/>
        </w:rPr>
        <w:t>establish links between the text and values, institutions, and practices elsewhere in the culture</w:t>
      </w:r>
      <w:r>
        <w:rPr>
          <w:rFonts w:ascii="Times New Roman" w:eastAsia="Times New Roman" w:hAnsi="Times New Roman" w:cs="Times New Roman"/>
          <w:color w:val="000000"/>
        </w:rPr>
        <w:t xml:space="preserve">” (Greenblatt, 1990, p. 226, emphasis mine). Greenblatt </w:t>
      </w:r>
      <w:proofErr w:type="gramStart"/>
      <w:r>
        <w:rPr>
          <w:rFonts w:ascii="Times New Roman" w:eastAsia="Times New Roman" w:hAnsi="Times New Roman" w:cs="Times New Roman"/>
          <w:color w:val="000000"/>
        </w:rPr>
        <w:t>continues that</w:t>
      </w:r>
      <w:proofErr w:type="gramEnd"/>
      <w:r>
        <w:rPr>
          <w:rFonts w:ascii="Times New Roman" w:eastAsia="Times New Roman" w:hAnsi="Times New Roman" w:cs="Times New Roman"/>
          <w:color w:val="000000"/>
        </w:rPr>
        <w:t xml:space="preserve"> “cultural analysis must be opposed on principle to the rigid distinction between that which is within a text and that which lies outside” (Greenblatt, 1990, p. 227). To Greenblatt, both documents and the surrounding context both constitute as texts, thus meaning that it is the role of the researcher to connect the dots and render interpretations between a particular document and the values and signification found in the context.</w:t>
      </w:r>
    </w:p>
    <w:p w14:paraId="6470BC74" w14:textId="77777777" w:rsidR="00B84936" w:rsidRDefault="00B84936">
      <w:pPr>
        <w:rPr>
          <w:rFonts w:ascii="Times New Roman" w:eastAsia="Times New Roman" w:hAnsi="Times New Roman" w:cs="Times New Roman"/>
        </w:rPr>
      </w:pPr>
    </w:p>
    <w:p w14:paraId="53FA8FB2"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lastRenderedPageBreak/>
        <w:t xml:space="preserve">The fundamental interplay between text and context is significant in that context illuminates the reason why a given text is produced and how a text is received. Dominick </w:t>
      </w:r>
      <w:proofErr w:type="spellStart"/>
      <w:r>
        <w:rPr>
          <w:rFonts w:ascii="Times New Roman" w:eastAsia="Times New Roman" w:hAnsi="Times New Roman" w:cs="Times New Roman"/>
          <w:color w:val="000000"/>
        </w:rPr>
        <w:t>LaCapra</w:t>
      </w:r>
      <w:proofErr w:type="spellEnd"/>
      <w:r>
        <w:rPr>
          <w:rFonts w:ascii="Times New Roman" w:eastAsia="Times New Roman" w:hAnsi="Times New Roman" w:cs="Times New Roman"/>
          <w:color w:val="000000"/>
        </w:rPr>
        <w:t xml:space="preserve"> writes, “texts interact with one another and with all contexts in complex ways, and the specific question for interpretation is precisely how a text comes to terms with its putative contexts” (</w:t>
      </w:r>
      <w:proofErr w:type="spellStart"/>
      <w:r>
        <w:rPr>
          <w:rFonts w:ascii="Times New Roman" w:eastAsia="Times New Roman" w:hAnsi="Times New Roman" w:cs="Times New Roman"/>
          <w:color w:val="000000"/>
        </w:rPr>
        <w:t>LaCapra</w:t>
      </w:r>
      <w:proofErr w:type="spellEnd"/>
      <w:r>
        <w:rPr>
          <w:rFonts w:ascii="Times New Roman" w:eastAsia="Times New Roman" w:hAnsi="Times New Roman" w:cs="Times New Roman"/>
          <w:color w:val="000000"/>
        </w:rPr>
        <w:t xml:space="preserve">, 1985, p. 128). In this conceptualization of text, </w:t>
      </w:r>
      <w:proofErr w:type="spellStart"/>
      <w:r>
        <w:rPr>
          <w:rFonts w:ascii="Times New Roman" w:eastAsia="Times New Roman" w:hAnsi="Times New Roman" w:cs="Times New Roman"/>
          <w:color w:val="000000"/>
        </w:rPr>
        <w:t>LaCapra</w:t>
      </w:r>
      <w:proofErr w:type="spellEnd"/>
      <w:r>
        <w:rPr>
          <w:rFonts w:ascii="Times New Roman" w:eastAsia="Times New Roman" w:hAnsi="Times New Roman" w:cs="Times New Roman"/>
          <w:color w:val="000000"/>
        </w:rPr>
        <w:t xml:space="preserve"> describes a revisionist understanding of context. In particular, the connections researchers draw between text and context is a matter of interpretation. Applying </w:t>
      </w:r>
      <w:proofErr w:type="spellStart"/>
      <w:r>
        <w:rPr>
          <w:rFonts w:ascii="Times New Roman" w:eastAsia="Times New Roman" w:hAnsi="Times New Roman" w:cs="Times New Roman"/>
          <w:color w:val="000000"/>
        </w:rPr>
        <w:t>LaCapra</w:t>
      </w:r>
      <w:proofErr w:type="spellEnd"/>
      <w:r>
        <w:rPr>
          <w:rFonts w:ascii="Times New Roman" w:eastAsia="Times New Roman" w:hAnsi="Times New Roman" w:cs="Times New Roman"/>
          <w:color w:val="000000"/>
        </w:rPr>
        <w:t>, this study stitches primary source documents and performs a cultural assessment that would excavate the significance of Diversity and Inclusion interventions and recommend public policy proposals, namely the Federal Jobs Guarantee and the Workplace Democracy Act, that would more adequately bridge social and economic inequalities in the New Gilded Age. </w:t>
      </w:r>
    </w:p>
    <w:p w14:paraId="4E678C89" w14:textId="77777777" w:rsidR="00B84936" w:rsidRDefault="00B84936">
      <w:pPr>
        <w:rPr>
          <w:rFonts w:ascii="Times New Roman" w:eastAsia="Times New Roman" w:hAnsi="Times New Roman" w:cs="Times New Roman"/>
        </w:rPr>
      </w:pPr>
    </w:p>
    <w:p w14:paraId="75873AAF" w14:textId="77777777" w:rsidR="00B84936" w:rsidRPr="00336BB7" w:rsidRDefault="001D1521" w:rsidP="00F30C77">
      <w:pPr>
        <w:pStyle w:val="Heading2"/>
        <w:rPr>
          <w:sz w:val="24"/>
          <w:szCs w:val="24"/>
        </w:rPr>
      </w:pPr>
      <w:bookmarkStart w:id="5" w:name="_Toc446789107"/>
      <w:r w:rsidRPr="00336BB7">
        <w:rPr>
          <w:sz w:val="24"/>
          <w:szCs w:val="24"/>
        </w:rPr>
        <w:t>Data Collection</w:t>
      </w:r>
      <w:bookmarkEnd w:id="5"/>
    </w:p>
    <w:p w14:paraId="5FE34063" w14:textId="77777777" w:rsidR="00B84936" w:rsidRDefault="001D1521">
      <w:pPr>
        <w:spacing w:after="24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Primary and secondary sources were obtained from books and journal databases accessed through Google Scholar and the University of Wales Trinity Saint David and the University of Massachusetts-Amherst libraries. This study turns to company websites, Diversity and Inclusion annual reports, video interviews, public policy proposals, Congressional records, agency reports, and political party or candidate platforms</w:t>
      </w:r>
      <w:r>
        <w:rPr>
          <w:rFonts w:ascii="Times New Roman" w:eastAsia="Times New Roman" w:hAnsi="Times New Roman" w:cs="Times New Roman"/>
          <w:color w:val="222222"/>
          <w:highlight w:val="white"/>
        </w:rPr>
        <w:t>—</w:t>
      </w:r>
      <w:r>
        <w:rPr>
          <w:rFonts w:ascii="Times New Roman" w:eastAsia="Times New Roman" w:hAnsi="Times New Roman" w:cs="Times New Roman"/>
          <w:color w:val="000000"/>
        </w:rPr>
        <w:t xml:space="preserve">all of which hold significance </w:t>
      </w:r>
      <w:proofErr w:type="spellStart"/>
      <w:r>
        <w:rPr>
          <w:rFonts w:ascii="Times New Roman" w:eastAsia="Times New Roman" w:hAnsi="Times New Roman" w:cs="Times New Roman"/>
          <w:color w:val="000000"/>
        </w:rPr>
        <w:t>vis</w:t>
      </w:r>
      <w:proofErr w:type="spellEnd"/>
      <w:r>
        <w:rPr>
          <w:rFonts w:ascii="Times New Roman" w:eastAsia="Times New Roman" w:hAnsi="Times New Roman" w:cs="Times New Roman"/>
          <w:color w:val="000000"/>
        </w:rPr>
        <w:t>-a-</w:t>
      </w:r>
      <w:proofErr w:type="spellStart"/>
      <w:r>
        <w:rPr>
          <w:rFonts w:ascii="Times New Roman" w:eastAsia="Times New Roman" w:hAnsi="Times New Roman" w:cs="Times New Roman"/>
          <w:color w:val="000000"/>
        </w:rPr>
        <w:t>vis</w:t>
      </w:r>
      <w:proofErr w:type="spellEnd"/>
      <w:r>
        <w:rPr>
          <w:rFonts w:ascii="Times New Roman" w:eastAsia="Times New Roman" w:hAnsi="Times New Roman" w:cs="Times New Roman"/>
          <w:color w:val="000000"/>
        </w:rPr>
        <w:t xml:space="preserve"> the grander social, political, and economic context of the New Gilded Age. By curating this study using primary and secondary sources that intersect formal academic disciplinary lines, this study strengthens the validity, reliability, and contributions of its findings across all fields from a </w:t>
      </w:r>
      <w:proofErr w:type="spellStart"/>
      <w:r>
        <w:rPr>
          <w:rFonts w:ascii="Times New Roman" w:eastAsia="Times New Roman" w:hAnsi="Times New Roman" w:cs="Times New Roman"/>
          <w:color w:val="000000"/>
        </w:rPr>
        <w:t>transdisciplinary</w:t>
      </w:r>
      <w:proofErr w:type="spellEnd"/>
      <w:r>
        <w:rPr>
          <w:rFonts w:ascii="Times New Roman" w:eastAsia="Times New Roman" w:hAnsi="Times New Roman" w:cs="Times New Roman"/>
          <w:color w:val="000000"/>
        </w:rPr>
        <w:t xml:space="preserve"> perspective, which mirrors the equally </w:t>
      </w:r>
      <w:proofErr w:type="spellStart"/>
      <w:r>
        <w:rPr>
          <w:rFonts w:ascii="Times New Roman" w:eastAsia="Times New Roman" w:hAnsi="Times New Roman" w:cs="Times New Roman"/>
          <w:color w:val="000000"/>
        </w:rPr>
        <w:t>transdisciplinary</w:t>
      </w:r>
      <w:proofErr w:type="spellEnd"/>
      <w:r>
        <w:rPr>
          <w:rFonts w:ascii="Times New Roman" w:eastAsia="Times New Roman" w:hAnsi="Times New Roman" w:cs="Times New Roman"/>
          <w:color w:val="000000"/>
        </w:rPr>
        <w:t xml:space="preserve"> and intersectional way that Diversity and Inclusion should function in organizations and policy in the public domain. </w:t>
      </w:r>
    </w:p>
    <w:p w14:paraId="2C29F6B3" w14:textId="77777777" w:rsidR="00336BB7" w:rsidRDefault="00336BB7" w:rsidP="00C037F3">
      <w:pPr>
        <w:spacing w:after="240" w:line="480" w:lineRule="auto"/>
        <w:rPr>
          <w:rFonts w:ascii="Times New Roman" w:eastAsia="Times New Roman" w:hAnsi="Times New Roman" w:cs="Times New Roman"/>
        </w:rPr>
      </w:pPr>
    </w:p>
    <w:p w14:paraId="60E9F79C" w14:textId="77777777" w:rsidR="00B84936" w:rsidRPr="00336BB7" w:rsidRDefault="001D1521" w:rsidP="00F30C77">
      <w:pPr>
        <w:pStyle w:val="Heading2"/>
        <w:rPr>
          <w:sz w:val="24"/>
          <w:szCs w:val="24"/>
        </w:rPr>
      </w:pPr>
      <w:bookmarkStart w:id="6" w:name="_Toc446789108"/>
      <w:r w:rsidRPr="00336BB7">
        <w:rPr>
          <w:sz w:val="24"/>
          <w:szCs w:val="24"/>
        </w:rPr>
        <w:t>Ethics, Dependability, and Rigor</w:t>
      </w:r>
      <w:bookmarkEnd w:id="6"/>
    </w:p>
    <w:p w14:paraId="0ACCF990"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In qualitative research, a researcher can demonstrate the dependability of qualitative research by examining the process and the research outcomes for consistency (</w:t>
      </w:r>
      <w:proofErr w:type="spellStart"/>
      <w:r>
        <w:rPr>
          <w:rFonts w:ascii="Times New Roman" w:eastAsia="Times New Roman" w:hAnsi="Times New Roman" w:cs="Times New Roman"/>
          <w:color w:val="000000"/>
        </w:rPr>
        <w:t>Hopefl</w:t>
      </w:r>
      <w:proofErr w:type="spellEnd"/>
      <w:r>
        <w:rPr>
          <w:rFonts w:ascii="Times New Roman" w:eastAsia="Times New Roman" w:hAnsi="Times New Roman" w:cs="Times New Roman"/>
          <w:color w:val="000000"/>
        </w:rPr>
        <w:t xml:space="preserve">, 1997, p. 317). Additionally, qualitative scholars can achieve dependability and reliability by demonstrating the validity of a given study (Patton, 2001; Lincoln &amp; </w:t>
      </w:r>
      <w:proofErr w:type="spellStart"/>
      <w:r>
        <w:rPr>
          <w:rFonts w:ascii="Times New Roman" w:eastAsia="Times New Roman" w:hAnsi="Times New Roman" w:cs="Times New Roman"/>
          <w:color w:val="000000"/>
        </w:rPr>
        <w:t>Guba</w:t>
      </w:r>
      <w:proofErr w:type="spellEnd"/>
      <w:r>
        <w:rPr>
          <w:rFonts w:ascii="Times New Roman" w:eastAsia="Times New Roman" w:hAnsi="Times New Roman" w:cs="Times New Roman"/>
          <w:color w:val="000000"/>
        </w:rPr>
        <w:t xml:space="preserve">, 1985). In showcasing trustworthiness in a qualitative study, the researcher can then establish confidence in the findings (Patton, 2001; Lincoln &amp; </w:t>
      </w:r>
      <w:proofErr w:type="spellStart"/>
      <w:r>
        <w:rPr>
          <w:rFonts w:ascii="Times New Roman" w:eastAsia="Times New Roman" w:hAnsi="Times New Roman" w:cs="Times New Roman"/>
          <w:color w:val="000000"/>
        </w:rPr>
        <w:t>Guba</w:t>
      </w:r>
      <w:proofErr w:type="spellEnd"/>
      <w:r>
        <w:rPr>
          <w:rFonts w:ascii="Times New Roman" w:eastAsia="Times New Roman" w:hAnsi="Times New Roman" w:cs="Times New Roman"/>
          <w:color w:val="000000"/>
        </w:rPr>
        <w:t>, 1985). </w:t>
      </w:r>
    </w:p>
    <w:p w14:paraId="748EAD46" w14:textId="77777777" w:rsidR="00B84936" w:rsidRDefault="00B84936">
      <w:pPr>
        <w:rPr>
          <w:rFonts w:ascii="Times New Roman" w:eastAsia="Times New Roman" w:hAnsi="Times New Roman" w:cs="Times New Roman"/>
        </w:rPr>
      </w:pPr>
    </w:p>
    <w:p w14:paraId="209A5DD4"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In order to test qualitative rigor, qualitative researchers can explore subjectivity and reflexivity (Davies &amp; Dodd, 2002, p. 281), which involves examining judgment derived from impressions, feelings, and opinions and the ability of a given agent to recognize social pressures and exert agency in changing their place in the social paradigm. It is through illumination and in-depth analysis of these value-laden phenomena and political, economic, and social stances where this study demonstrates research dependability and academic rigor.</w:t>
      </w:r>
    </w:p>
    <w:p w14:paraId="5D0E4A2E" w14:textId="77777777" w:rsidR="00B84936" w:rsidRDefault="00B84936">
      <w:pPr>
        <w:rPr>
          <w:rFonts w:ascii="Times New Roman" w:eastAsia="Times New Roman" w:hAnsi="Times New Roman" w:cs="Times New Roman"/>
        </w:rPr>
      </w:pPr>
    </w:p>
    <w:p w14:paraId="0840C172"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A completed ethics form was submitted to the supervisor in order to ensure that all ethical considerations are made before the commencement of research. Ethics is defined as “the appropriateness of the researcher’s behavior in relation to the rights of those who become the subject of a research project, or who are affected by it” (Saunders &amp; Lewis, 2012, p. 74). Primary sources obtained do not involve survey work, interviews, </w:t>
      </w:r>
      <w:r>
        <w:rPr>
          <w:rFonts w:ascii="Times New Roman" w:eastAsia="Times New Roman" w:hAnsi="Times New Roman" w:cs="Times New Roman"/>
          <w:color w:val="000000"/>
        </w:rPr>
        <w:lastRenderedPageBreak/>
        <w:t>or focus groups with human subjects. Primary sources were derived from company websites, government department reports, professional organization research, government agency publications, official political party platforms, and federal government legislative proposals. In qualitative research, there are sometimes ethical conflicts in how a researcher accesses the group being studied and how the researcher influences and changes the participants involved (Orb et al., 2000, p. 93). However, for the purposes of this study, the researcher remotely accessed primary source documents already available to the public through the Internet, meaning the communities being studied are not impacted. Considerations of the power imbalance between researcher and subject are also absent since there was no face-to-face or in-person interaction between the researcher and the owners and creators of primary source documents. </w:t>
      </w:r>
    </w:p>
    <w:p w14:paraId="3749FA1F" w14:textId="77777777" w:rsidR="00B84936" w:rsidRDefault="00B84936">
      <w:pPr>
        <w:rPr>
          <w:rFonts w:ascii="Times New Roman" w:eastAsia="Times New Roman" w:hAnsi="Times New Roman" w:cs="Times New Roman"/>
        </w:rPr>
      </w:pPr>
    </w:p>
    <w:p w14:paraId="2C0D4A95"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With the guidance of the supervisor, risks are minimal and no individual reputation is threatened, inclusive of the reputation of the researcher and the university. The data collection plan to source primary and secondary source documents online through databases and publicly available websites were verified by the supervisor, which helps minimize risk and improve the reliability and validity of this study.</w:t>
      </w:r>
    </w:p>
    <w:p w14:paraId="14F30F5F" w14:textId="77777777" w:rsidR="00B84936" w:rsidRDefault="00B84936">
      <w:pPr>
        <w:rPr>
          <w:rFonts w:ascii="Times New Roman" w:eastAsia="Times New Roman" w:hAnsi="Times New Roman" w:cs="Times New Roman"/>
        </w:rPr>
      </w:pPr>
    </w:p>
    <w:p w14:paraId="4BA16FCD" w14:textId="77777777" w:rsidR="00B84936" w:rsidRPr="00336BB7" w:rsidRDefault="001D1521" w:rsidP="00F30C77">
      <w:pPr>
        <w:pStyle w:val="Heading2"/>
        <w:rPr>
          <w:sz w:val="24"/>
          <w:szCs w:val="24"/>
        </w:rPr>
      </w:pPr>
      <w:bookmarkStart w:id="7" w:name="_Toc446789109"/>
      <w:r w:rsidRPr="00336BB7">
        <w:rPr>
          <w:sz w:val="24"/>
          <w:szCs w:val="24"/>
        </w:rPr>
        <w:t>Conclusion</w:t>
      </w:r>
      <w:bookmarkEnd w:id="7"/>
    </w:p>
    <w:p w14:paraId="0B4ADF79"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This chapter has specified the driving questions and rationale behind the chosen research topic, along with the aims and objectives of this examination. This investigation uses cultural analysis’ expansionist regard of text and context in order to understand the significance of Diversity and Inclusion interventions and policy considerations in organizations and in society. This dissertation assesses the efficacy of organizational-</w:t>
      </w:r>
      <w:r>
        <w:rPr>
          <w:rFonts w:ascii="Times New Roman" w:eastAsia="Times New Roman" w:hAnsi="Times New Roman" w:cs="Times New Roman"/>
          <w:color w:val="000000"/>
        </w:rPr>
        <w:lastRenderedPageBreak/>
        <w:t xml:space="preserve">level interventions in meeting the needs of the New Gilded Age and proceeds to then explore intersectional public policy opportunities that bridge the structural disparities of the time. The subsequent chapter, Chapter Two, reviews cross-disciplinary literature in order to elucidate the concepts of the New Gilded Age and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both of which serve as context and approach, respectively, for this dissertation. </w:t>
      </w:r>
    </w:p>
    <w:p w14:paraId="526BC9D2" w14:textId="77777777" w:rsidR="00B84936" w:rsidRDefault="00B84936">
      <w:pPr>
        <w:spacing w:before="400" w:after="120"/>
        <w:rPr>
          <w:rFonts w:ascii="Times New Roman" w:eastAsia="Times New Roman" w:hAnsi="Times New Roman" w:cs="Times New Roman"/>
          <w:b/>
          <w:color w:val="000000"/>
        </w:rPr>
      </w:pPr>
    </w:p>
    <w:p w14:paraId="0C2A6538" w14:textId="77777777" w:rsidR="00B84936" w:rsidRPr="00336BB7" w:rsidRDefault="001D1521" w:rsidP="00F30C77">
      <w:pPr>
        <w:pStyle w:val="Heading1"/>
        <w:rPr>
          <w:sz w:val="24"/>
          <w:szCs w:val="24"/>
        </w:rPr>
      </w:pPr>
      <w:bookmarkStart w:id="8" w:name="_Toc446789110"/>
      <w:r w:rsidRPr="00336BB7">
        <w:rPr>
          <w:sz w:val="24"/>
          <w:szCs w:val="24"/>
        </w:rPr>
        <w:t>Chapter 2 - Literature Review</w:t>
      </w:r>
      <w:bookmarkEnd w:id="8"/>
    </w:p>
    <w:p w14:paraId="5179C659" w14:textId="77777777" w:rsidR="00B84936" w:rsidRDefault="00B84936">
      <w:pPr>
        <w:rPr>
          <w:rFonts w:ascii="Times New Roman" w:eastAsia="Times New Roman" w:hAnsi="Times New Roman" w:cs="Times New Roman"/>
        </w:rPr>
      </w:pPr>
    </w:p>
    <w:p w14:paraId="47BB163A" w14:textId="77777777" w:rsidR="00B84936" w:rsidRPr="00336BB7" w:rsidRDefault="001D1521" w:rsidP="00F30C77">
      <w:pPr>
        <w:pStyle w:val="Heading2"/>
        <w:rPr>
          <w:sz w:val="24"/>
          <w:szCs w:val="24"/>
        </w:rPr>
      </w:pPr>
      <w:bookmarkStart w:id="9" w:name="_Toc446789111"/>
      <w:r w:rsidRPr="00336BB7">
        <w:rPr>
          <w:sz w:val="24"/>
          <w:szCs w:val="24"/>
        </w:rPr>
        <w:t>Introduction: From the Gilded Age and Back</w:t>
      </w:r>
      <w:bookmarkEnd w:id="9"/>
    </w:p>
    <w:p w14:paraId="6F509D5D"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The Gilded Age began with Reconstruction in the aftermath of the American Civil War. Emancipated from slavery, Black Americans had been promised equal status and inclusion in American civic life through the 13</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14</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and 15</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Amendments during Reconstruction (Beatty, 2007). However, by the end of the century during the Gilded Age, sharecropping and Jim Crow laws replaced slavery and ensured Black Americans could not exercise their constitutional right to vote, despite the protections of the Fifteenth Amendment protecting the right of citizens to vote without regard to race, color, of previous condition of servitude (U.S. Constitution, 1868). The Gilded Age was also a time of rapid U.S. industrialization, when wealth generated was concentrated at the very top echelons of society, which left most people as wage factory and farm laborers. The corporate elite bought and corrupted the local, state, and federal governments through unregulated campaign contributions, vote buying, and boss-ruled political machines (Beatty, 2008). </w:t>
      </w:r>
    </w:p>
    <w:p w14:paraId="02B1E104" w14:textId="77777777" w:rsidR="00B84936" w:rsidRDefault="00B84936">
      <w:pPr>
        <w:rPr>
          <w:rFonts w:ascii="Times New Roman" w:eastAsia="Times New Roman" w:hAnsi="Times New Roman" w:cs="Times New Roman"/>
        </w:rPr>
      </w:pPr>
    </w:p>
    <w:p w14:paraId="7D11FD0A"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lastRenderedPageBreak/>
        <w:t>From an empire perspective, the Gilded Age also saw the fulfillment of the U.S. as a settler colonial state fueled by Manifest Destiny through the closing of the frontier, which involved the full-fledged genocide of American Indian nations from coast-to-coast. In line with the closing of the continental frontier, the Gilded Age was also a time of U.S. overseas expansion, when the U.S. subjugated Hawaii, the Philippines, Puerto Rico, and Guam as colonies. After the Spanish-American War, the U.S. betrayed Filipinos in its promise for the archipelago’s independence and continued to exert economic and military interference in Cuban affairs, despite Cuba’s formal political independence at the war’s aftermath. </w:t>
      </w:r>
    </w:p>
    <w:p w14:paraId="36255761" w14:textId="77777777" w:rsidR="00B84936" w:rsidRDefault="00B84936">
      <w:pPr>
        <w:rPr>
          <w:rFonts w:ascii="Times New Roman" w:eastAsia="Times New Roman" w:hAnsi="Times New Roman" w:cs="Times New Roman"/>
        </w:rPr>
      </w:pPr>
    </w:p>
    <w:p w14:paraId="519600A0"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At home, despite the U.S. being a second-rate industrial power in 1860 to eclipsing Great Britain, France, and Germany in value of manufactured goods by 1890 (</w:t>
      </w:r>
      <w:proofErr w:type="spellStart"/>
      <w:r>
        <w:rPr>
          <w:rFonts w:ascii="Times New Roman" w:eastAsia="Times New Roman" w:hAnsi="Times New Roman" w:cs="Times New Roman"/>
          <w:color w:val="000000"/>
        </w:rPr>
        <w:t>Cashman</w:t>
      </w:r>
      <w:proofErr w:type="spellEnd"/>
      <w:r>
        <w:rPr>
          <w:rFonts w:ascii="Times New Roman" w:eastAsia="Times New Roman" w:hAnsi="Times New Roman" w:cs="Times New Roman"/>
          <w:color w:val="000000"/>
        </w:rPr>
        <w:t xml:space="preserve">, 1993, p. 8), that same year, 11 million of the country’s 12 million families made less than $1,200 annually. Of the 11 million, the average annual income was $380, which at the time was below the national poverty line (Hoyt, 1999; </w:t>
      </w:r>
      <w:proofErr w:type="spellStart"/>
      <w:r>
        <w:rPr>
          <w:rFonts w:ascii="Times New Roman" w:eastAsia="Times New Roman" w:hAnsi="Times New Roman" w:cs="Times New Roman"/>
          <w:color w:val="000000"/>
        </w:rPr>
        <w:t>Berube</w:t>
      </w:r>
      <w:proofErr w:type="spellEnd"/>
      <w:r>
        <w:rPr>
          <w:rFonts w:ascii="Times New Roman" w:eastAsia="Times New Roman" w:hAnsi="Times New Roman" w:cs="Times New Roman"/>
          <w:color w:val="000000"/>
        </w:rPr>
        <w:t>, 2008, p. 2). Due to egregious income inequality, there was “a widespread feeling of unrest and brooding revolution” with the upper classes fearful of “carnivals of revenge” by the working class (Hoyt, 1999). </w:t>
      </w:r>
    </w:p>
    <w:p w14:paraId="02A2D28B" w14:textId="77777777" w:rsidR="00B84936" w:rsidRDefault="00B84936">
      <w:pPr>
        <w:rPr>
          <w:rFonts w:ascii="Times New Roman" w:eastAsia="Times New Roman" w:hAnsi="Times New Roman" w:cs="Times New Roman"/>
        </w:rPr>
      </w:pPr>
    </w:p>
    <w:p w14:paraId="3B73DEDC"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With the Sixteenth Amendment to the Constitution instituting a federal income tax in 1913, the rise in labor union membership (U.S. Constitution, 1913), the introduction of the forty-hour workweek from the 1938 Fair Labor Standards Act (Grossman, 1938) and the institution of the five-day workweek as a result of labor organizing (Amalgamated Clothing Workers of America, Local 125, 1929), assisted the </w:t>
      </w:r>
      <w:r>
        <w:rPr>
          <w:rFonts w:ascii="Times New Roman" w:eastAsia="Times New Roman" w:hAnsi="Times New Roman" w:cs="Times New Roman"/>
          <w:color w:val="000000"/>
        </w:rPr>
        <w:lastRenderedPageBreak/>
        <w:t>U.S. in emerging out of the Gilded Age and entered a time called “the Great Compression.” This new chapter of U.S. history was a period characterized by trends inverse to that of the Gilded Age. Americans achieved greater economic equality, diminishing income and wealth disparities between the rich and the poor, and the emergence of a strong middle class (Wagner, 2013). The Great Compression reversed Gilded Age trends in that between 1945 and 1974, incomes increased uniformly by 3 percent year-after-year for people at every level of American society (Frank, 2011).</w:t>
      </w:r>
    </w:p>
    <w:p w14:paraId="673978E3" w14:textId="77777777" w:rsidR="00B84936" w:rsidRDefault="00B84936">
      <w:pPr>
        <w:rPr>
          <w:rFonts w:ascii="Times New Roman" w:eastAsia="Times New Roman" w:hAnsi="Times New Roman" w:cs="Times New Roman"/>
        </w:rPr>
      </w:pPr>
    </w:p>
    <w:p w14:paraId="22DF7A94"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However, since the 1970s, the egalitarian trends that epitomized the Great Compression began to revert back. The middle class that the New Deal had built began to shrink, while income inequality between the highest income levels and the rest of American society worsened. Productivity rose since the 1970s, but wages for the working and middle class remained stagnant. Due to this exacerbation of income and wealth inequality, figures that rival and exceeded the inequalities during the peak of the Gilded Age, the New Gilded has been described as “more savage and anti-democratic than its predecessor” (Giroux, 2008, p. 587). </w:t>
      </w:r>
    </w:p>
    <w:p w14:paraId="726E38A2" w14:textId="77777777" w:rsidR="00B84936" w:rsidRDefault="00B84936">
      <w:pPr>
        <w:rPr>
          <w:rFonts w:ascii="Times New Roman" w:eastAsia="Times New Roman" w:hAnsi="Times New Roman" w:cs="Times New Roman"/>
        </w:rPr>
      </w:pPr>
    </w:p>
    <w:p w14:paraId="097F99E3" w14:textId="77777777" w:rsidR="00B84936" w:rsidRPr="00336BB7" w:rsidRDefault="001D1521" w:rsidP="00F30C77">
      <w:pPr>
        <w:pStyle w:val="Heading2"/>
        <w:rPr>
          <w:sz w:val="24"/>
          <w:szCs w:val="24"/>
        </w:rPr>
      </w:pPr>
      <w:bookmarkStart w:id="10" w:name="_Toc446789112"/>
      <w:r w:rsidRPr="00336BB7">
        <w:rPr>
          <w:sz w:val="24"/>
          <w:szCs w:val="24"/>
        </w:rPr>
        <w:t>Financial Deregulation and the Abandonment of the Working Class</w:t>
      </w:r>
      <w:bookmarkEnd w:id="10"/>
    </w:p>
    <w:p w14:paraId="7F3F56D4"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This return to Gilded Age trends is attributed to financial deregulation and political party policies on income inequality. The neoliberal movement to deregulate the financial sector gained momentum at the end of the Great Compression. In the late 1970s through the 1990s, the incomes of those in the upper levels of American society increased exponentially, which remained constant while controlling for multiple potential explanations for increasing inequality (Keller &amp; Kelly, 2015, p. 439). Due to fewer </w:t>
      </w:r>
      <w:r>
        <w:rPr>
          <w:rFonts w:ascii="Times New Roman" w:eastAsia="Times New Roman" w:hAnsi="Times New Roman" w:cs="Times New Roman"/>
          <w:color w:val="000000"/>
        </w:rPr>
        <w:lastRenderedPageBreak/>
        <w:t>governmental protections that regulated risk-taking behavior, the financial industry, since the late 1970s, enriched itself while the majority’s share of national income remained stagnant (Keller &amp; Kelly, 2015, p. 439).</w:t>
      </w:r>
    </w:p>
    <w:p w14:paraId="3BF2FA27" w14:textId="77777777" w:rsidR="00B84936" w:rsidRDefault="00B84936">
      <w:pPr>
        <w:rPr>
          <w:rFonts w:ascii="Times New Roman" w:eastAsia="Times New Roman" w:hAnsi="Times New Roman" w:cs="Times New Roman"/>
        </w:rPr>
      </w:pPr>
    </w:p>
    <w:p w14:paraId="73737CD0"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For the majority of the 20th century, the Democratic Party and the Republican Party, the two dominant parties in U.S. politics, held differing platforms and policies on financial regulatory policy. For much of the century, when Democrats had more representation in policy-making bodies and institutions, the financial industry to be more regulated with increased protections for everyday Americans. In contrast, whenever Republicans won elections and their representatives and appointees assumed control of financial regulatory policy, deregulation was more likely. </w:t>
      </w:r>
    </w:p>
    <w:p w14:paraId="30881ED1" w14:textId="77777777" w:rsidR="00B84936" w:rsidRDefault="00B84936">
      <w:pPr>
        <w:rPr>
          <w:rFonts w:ascii="Times New Roman" w:eastAsia="Times New Roman" w:hAnsi="Times New Roman" w:cs="Times New Roman"/>
        </w:rPr>
      </w:pPr>
    </w:p>
    <w:p w14:paraId="7112F716"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Starting in the 1980s, however, the financial regulatory policy platforms of the two major parties produced “no discernible difference” (Keller &amp; Kelly, 2015, p. 439). Although the two parties were bifurcating on many social issues, the two began to rule on the side of financial deregulation. After 1982, “it did not matter whether Democrats or Republicans were ascendant in Washington in the realm of financial deregulation” (Keller &amp; Kelly, 2015, p. 439). In particular, the party that made the policy shift was the Democratic Party, while the Republicans maintained their deregulatory agenda. The Democratic Party and its economic platform veered right, abandoning its New Deal commitments that lifted millions of Americans out of poverty during the Great Depression. The Democratic Party abandoned its historical advocacy for the middle and working classes in favor of increasing the wealth of the already wealthy. With no solid opposition in place, financial deregulation became more politically attainable as law and </w:t>
      </w:r>
      <w:r>
        <w:rPr>
          <w:rFonts w:ascii="Times New Roman" w:eastAsia="Times New Roman" w:hAnsi="Times New Roman" w:cs="Times New Roman"/>
          <w:color w:val="000000"/>
        </w:rPr>
        <w:lastRenderedPageBreak/>
        <w:t xml:space="preserve">was implemented broadly, thus “contributing to the rise of the </w:t>
      </w:r>
      <w:proofErr w:type="spellStart"/>
      <w:r>
        <w:rPr>
          <w:rFonts w:ascii="Times New Roman" w:eastAsia="Times New Roman" w:hAnsi="Times New Roman" w:cs="Times New Roman"/>
          <w:color w:val="000000"/>
        </w:rPr>
        <w:t>uber</w:t>
      </w:r>
      <w:proofErr w:type="spellEnd"/>
      <w:r>
        <w:rPr>
          <w:rFonts w:ascii="Times New Roman" w:eastAsia="Times New Roman" w:hAnsi="Times New Roman" w:cs="Times New Roman"/>
          <w:color w:val="000000"/>
        </w:rPr>
        <w:t>-rich” in the U.S. (Keller &amp; Kelly, 215, p. 439).  This 35-year trend of the Democrats converging with Republicans on financial deregulation policy “contributed to the recent rise of inequality and implicated both parties as drivers in the creation of America’s New Gilded Age” (Keller &amp; Kelly, 2015, p. 440). </w:t>
      </w:r>
    </w:p>
    <w:p w14:paraId="7F9E0BE9" w14:textId="77777777" w:rsidR="001D1521" w:rsidRDefault="001D1521">
      <w:pPr>
        <w:spacing w:line="480" w:lineRule="auto"/>
        <w:ind w:firstLine="720"/>
        <w:rPr>
          <w:rFonts w:ascii="Times New Roman" w:eastAsia="Times New Roman" w:hAnsi="Times New Roman" w:cs="Times New Roman"/>
        </w:rPr>
      </w:pPr>
    </w:p>
    <w:p w14:paraId="6D3BF2D6" w14:textId="77777777" w:rsidR="00B84936" w:rsidRPr="00336BB7" w:rsidRDefault="001D1521" w:rsidP="00F30C77">
      <w:pPr>
        <w:pStyle w:val="Heading2"/>
        <w:rPr>
          <w:sz w:val="24"/>
          <w:szCs w:val="24"/>
        </w:rPr>
      </w:pPr>
      <w:bookmarkStart w:id="11" w:name="_Toc446789113"/>
      <w:r w:rsidRPr="00336BB7">
        <w:rPr>
          <w:sz w:val="24"/>
          <w:szCs w:val="24"/>
        </w:rPr>
        <w:t>The New Gilded Age as Disposability</w:t>
      </w:r>
      <w:bookmarkEnd w:id="11"/>
    </w:p>
    <w:p w14:paraId="2FDFEC10"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Responding to the current neoliberal epoch, critical pedagogy theorist Henry Giroux writes: “social death, disposability, and the promotion of human waste represent more than exceptional moments in an otherwise efficient neoliberal marketplace, such elements point to what is now commonplace, its promotion of a ruthless politics in which the categories of social justice, citizenship, democracy, and the public good are either barely acknowledged or dismissed with contempt” (Giroux, 2008, p. 596). Giroux describes that unexceptional and quotidian in the New Gilded Age is the dehumanization of people as disposable beings. Giroux identifies the part of the population </w:t>
      </w:r>
      <w:proofErr w:type="spellStart"/>
      <w:r>
        <w:rPr>
          <w:rFonts w:ascii="Times New Roman" w:eastAsia="Times New Roman" w:hAnsi="Times New Roman" w:cs="Times New Roman"/>
          <w:color w:val="000000"/>
        </w:rPr>
        <w:t>abjected</w:t>
      </w:r>
      <w:proofErr w:type="spellEnd"/>
      <w:r>
        <w:rPr>
          <w:rFonts w:ascii="Times New Roman" w:eastAsia="Times New Roman" w:hAnsi="Times New Roman" w:cs="Times New Roman"/>
          <w:color w:val="000000"/>
        </w:rPr>
        <w:t xml:space="preserve"> as disposable: </w:t>
      </w:r>
    </w:p>
    <w:p w14:paraId="3C6FE014" w14:textId="77777777" w:rsidR="00B84936" w:rsidRDefault="001D1521">
      <w:pPr>
        <w:ind w:left="72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Disposable populations now include the 60 million people in the United States living one notch above the poverty line, the growing number of families living on bare government subsistence, the 46 million Americans without health insurance, the over 2,000,000 persons incarcerated in prisons, the young people laboring under enormous debt and rightly sensing that the American dream is on life support, the workers who are one paycheck away from joining the ranks of the disposable and permanently excluded, and the elderly whose fixed incomes and pensions are in danger of disappearing (Eisenhower Foundation Executive Summary, 2008; Giroux, 2008, p. 10).</w:t>
      </w:r>
    </w:p>
    <w:p w14:paraId="2AF436EF" w14:textId="77777777" w:rsidR="00B84936" w:rsidRDefault="00B84936">
      <w:pPr>
        <w:rPr>
          <w:rFonts w:ascii="Times New Roman" w:eastAsia="Times New Roman" w:hAnsi="Times New Roman" w:cs="Times New Roman"/>
        </w:rPr>
      </w:pPr>
    </w:p>
    <w:p w14:paraId="75EC363A"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Through a critical stance, Giroux enumerates an extensive list of communities impacted by the dehumanizing effects of the New Gilded Age. He illustrates a nexus among those approaching poverty level thresholds, the increasing number of families living on government social programs, such as food stamps, disability, and </w:t>
      </w:r>
      <w:r>
        <w:rPr>
          <w:rFonts w:ascii="Times New Roman" w:eastAsia="Times New Roman" w:hAnsi="Times New Roman" w:cs="Times New Roman"/>
          <w:color w:val="000000"/>
        </w:rPr>
        <w:lastRenderedPageBreak/>
        <w:t>unemployment benefits, Americans living without health insurance, and those incarcerated by the prison industrial complex. He also includes students and young Americans straddled and impeded in economic participation due to mounting student debt, the same young people who realized that the social mobility promise of the American Dream has become tarnished and only reserved for a select few who inherit intergenerational wealth. Also disposable in the New Gilded Age are those who live paycheck-to-paycheck, a situation where one is unable to meet financial obligations should one become unemployed because one’s salary and wages are predominantly appropriated towards day-to-day living expenses. Collectively, the New Gilded Age, in its “mass privatization and deregulation have bred armies of locked-out people,” whose contributions to society are no longer needed, “whose lifestyles are written off as ‘backward,’ whose basic needs go unmet” (Klein, 2002, p. 21). The widespread dehumanization in the New Gilded Age has relegated millions of Americans into an abject status that hampers their active participation and engagement in American democracy and civic life.</w:t>
      </w:r>
    </w:p>
    <w:p w14:paraId="01E9533F" w14:textId="77777777" w:rsidR="00B84936" w:rsidRDefault="00B84936">
      <w:pPr>
        <w:rPr>
          <w:rFonts w:ascii="Times New Roman" w:eastAsia="Times New Roman" w:hAnsi="Times New Roman" w:cs="Times New Roman"/>
        </w:rPr>
      </w:pPr>
    </w:p>
    <w:p w14:paraId="6F2B5B3F" w14:textId="77777777" w:rsidR="00B84936" w:rsidRPr="00336BB7" w:rsidRDefault="001D1521" w:rsidP="00F30C77">
      <w:pPr>
        <w:pStyle w:val="Heading2"/>
        <w:rPr>
          <w:sz w:val="24"/>
          <w:szCs w:val="24"/>
        </w:rPr>
      </w:pPr>
      <w:bookmarkStart w:id="12" w:name="_Toc446789114"/>
      <w:r w:rsidRPr="00336BB7">
        <w:rPr>
          <w:sz w:val="24"/>
          <w:szCs w:val="24"/>
        </w:rPr>
        <w:t>The New Gilded Age and American Democracy</w:t>
      </w:r>
      <w:bookmarkEnd w:id="12"/>
    </w:p>
    <w:p w14:paraId="6D58650A"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Describing the psychological impact of the New Gilded Age, Giroux describes that the “outsourcing, uncertainty, deregulation, privatization, and downsizing” in this epoch positioned “hope [to be] in short supply because many people have little sense of a different future, or of what it means to seek justice collectively rather than individually, relying on their own meager resources to combat problems that far exceed individual solutions” (Giroux, 2008, p. 613). The New Gilded Age psychologically disempowers </w:t>
      </w:r>
      <w:r>
        <w:rPr>
          <w:rFonts w:ascii="Times New Roman" w:eastAsia="Times New Roman" w:hAnsi="Times New Roman" w:cs="Times New Roman"/>
          <w:color w:val="000000"/>
        </w:rPr>
        <w:lastRenderedPageBreak/>
        <w:t>Americans into believing that alternative and improved realities are unfeasible. This same disempowerment discourages Americans from seeing collective action as a solution to structural problems, while erroneously placing individual attempts that lead to less systemically impactful solutions. The disempowerment takes the form of “shared fears, insecurities, and uncertainties,” jettisoning “shared responsibilities,” and degenerating a once vibrant democracy to “ignorance, indifference, and apathy” that lays out “the conditions for political inaction and the atrophy of democratic politics” (Giroux, 2008, p. 613). The unstable ground that the New Gilded Age established for those relegated as disposable beings has coerced Americans away from an ethos of shared social responsibility and instead, through disposability, towards a focus on the daily arduous endeavor of survival—a physical and psychological state that jeopardizes engaged participation in American democratic life.</w:t>
      </w:r>
    </w:p>
    <w:p w14:paraId="732929CA" w14:textId="77777777" w:rsidR="00B84936" w:rsidRDefault="00B84936">
      <w:pPr>
        <w:rPr>
          <w:rFonts w:ascii="Times New Roman" w:eastAsia="Times New Roman" w:hAnsi="Times New Roman" w:cs="Times New Roman"/>
        </w:rPr>
      </w:pPr>
    </w:p>
    <w:p w14:paraId="0D351FA6"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Hampering civic participation, the New Gilded Age focuses on “commercial spheres” with “dizzying sources of financial gain” and “advertisements for the profit-driven fantasies of the corporate elite” (Giroux, 2008, p. 595). In these hyper privatized, highly unequal, and profit-centric spaces that eschew collective social responsibility and public participation, “compassion turns to disdain for those who are considered without merit in a market economy, too poor to participate in the hyper-circuits of power that characterize the New Gilded Age” (Giroux, 2008, p. 595). In this age, working class Americans, abandoned by both major political parties from an income inequality standpoint, have become derided as unproductive and undeserving of worth in the deregulated and austere American capitalist economy. </w:t>
      </w:r>
    </w:p>
    <w:p w14:paraId="4A0BE11F" w14:textId="77777777" w:rsidR="00B84936" w:rsidRDefault="00B84936">
      <w:pPr>
        <w:rPr>
          <w:rFonts w:ascii="Times New Roman" w:eastAsia="Times New Roman" w:hAnsi="Times New Roman" w:cs="Times New Roman"/>
        </w:rPr>
      </w:pPr>
    </w:p>
    <w:p w14:paraId="44C8367B"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lastRenderedPageBreak/>
        <w:t>This degradation of humanity and social cohesion counters more novel ways of assessing a given country’s well-being: “the divide between rich and poor...creates an erosion of the cohesion and trust between people, which is so vital for the feeling of safety and security and therefore for the overall happiness of the American people” (</w:t>
      </w:r>
      <w:proofErr w:type="spellStart"/>
      <w:r>
        <w:rPr>
          <w:rFonts w:ascii="Times New Roman" w:eastAsia="Times New Roman" w:hAnsi="Times New Roman" w:cs="Times New Roman"/>
          <w:color w:val="000000"/>
        </w:rPr>
        <w:t>Meik</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Wiking</w:t>
      </w:r>
      <w:proofErr w:type="spellEnd"/>
      <w:r>
        <w:rPr>
          <w:rFonts w:ascii="Times New Roman" w:eastAsia="Times New Roman" w:hAnsi="Times New Roman" w:cs="Times New Roman"/>
          <w:color w:val="000000"/>
        </w:rPr>
        <w:t xml:space="preserve"> cited in Tanner, 2019). In the World Happiness Report, which ranked 156 countries by how happy citizens see themselves to be, the U.S. assumed 19th place in 2019, while Nordic countries such as Finland, Denmark, Norway, and Iceland took the top spots with the Netherlands, Switzerland, Sweden, New Zealand, Canada, and Austria just trailing (</w:t>
      </w:r>
      <w:proofErr w:type="spellStart"/>
      <w:r>
        <w:rPr>
          <w:rFonts w:ascii="Times New Roman" w:eastAsia="Times New Roman" w:hAnsi="Times New Roman" w:cs="Times New Roman"/>
          <w:color w:val="000000"/>
        </w:rPr>
        <w:t>Helliwell</w:t>
      </w:r>
      <w:proofErr w:type="spellEnd"/>
      <w:r>
        <w:rPr>
          <w:rFonts w:ascii="Times New Roman" w:eastAsia="Times New Roman" w:hAnsi="Times New Roman" w:cs="Times New Roman"/>
          <w:color w:val="000000"/>
        </w:rPr>
        <w:t xml:space="preserve"> et al., 2019). The restoration of social trust would be integral in revitalizing both U.S. democracy and the population’s well being as there is a fundamental link between social trust, income inequality, and </w:t>
      </w:r>
      <w:proofErr w:type="gramStart"/>
      <w:r>
        <w:rPr>
          <w:rFonts w:ascii="Times New Roman" w:eastAsia="Times New Roman" w:hAnsi="Times New Roman" w:cs="Times New Roman"/>
          <w:color w:val="000000"/>
        </w:rPr>
        <w:t>well-being</w:t>
      </w:r>
      <w:proofErr w:type="gramEnd"/>
      <w:r>
        <w:rPr>
          <w:rFonts w:ascii="Times New Roman" w:eastAsia="Times New Roman" w:hAnsi="Times New Roman" w:cs="Times New Roman"/>
          <w:color w:val="000000"/>
        </w:rPr>
        <w:t xml:space="preserve">. In places where income inequality is greater, social trust tends to be lower, a correlation that positions social </w:t>
      </w:r>
      <w:proofErr w:type="gramStart"/>
      <w:r>
        <w:rPr>
          <w:rFonts w:ascii="Times New Roman" w:eastAsia="Times New Roman" w:hAnsi="Times New Roman" w:cs="Times New Roman"/>
          <w:color w:val="000000"/>
        </w:rPr>
        <w:t>trust</w:t>
      </w:r>
      <w:proofErr w:type="gramEnd"/>
      <w:r>
        <w:rPr>
          <w:rFonts w:ascii="Times New Roman" w:eastAsia="Times New Roman" w:hAnsi="Times New Roman" w:cs="Times New Roman"/>
          <w:color w:val="000000"/>
        </w:rPr>
        <w:t xml:space="preserve"> as an enabler subjective well-being (Goff et al., 2018). Should organizations and public policy cultivate social trust and alleviate income inequality in the New Gilded Age, these systemic transformations could fundamentally ameliorate the well being of most Americans.</w:t>
      </w:r>
    </w:p>
    <w:p w14:paraId="4FDEECD1" w14:textId="77777777" w:rsidR="00B84936" w:rsidRDefault="00B84936">
      <w:pPr>
        <w:rPr>
          <w:rFonts w:ascii="Times New Roman" w:eastAsia="Times New Roman" w:hAnsi="Times New Roman" w:cs="Times New Roman"/>
        </w:rPr>
      </w:pPr>
    </w:p>
    <w:p w14:paraId="362FE97D"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Historicizing the New Gilded Age by contextualizing it in America’s Gilded Age past, Giroux writes that the reemergence of Gilded Age levels of wealth, greed, and income inequality “reveals its link to a historical past in which the rich squander valuable resources and remove themselves from the violence, loss, pain, and death visited daily on billions of people on the planet.” He </w:t>
      </w:r>
      <w:proofErr w:type="gramStart"/>
      <w:r>
        <w:rPr>
          <w:rFonts w:ascii="Times New Roman" w:eastAsia="Times New Roman" w:hAnsi="Times New Roman" w:cs="Times New Roman"/>
          <w:color w:val="000000"/>
        </w:rPr>
        <w:t>reasserts that</w:t>
      </w:r>
      <w:proofErr w:type="gramEnd"/>
      <w:r>
        <w:rPr>
          <w:rFonts w:ascii="Times New Roman" w:eastAsia="Times New Roman" w:hAnsi="Times New Roman" w:cs="Times New Roman"/>
          <w:color w:val="000000"/>
        </w:rPr>
        <w:t xml:space="preserve"> “the return of the Gilded Age must be viewed not as historical reinvention, but as a referent for critique and collective struggles for democracy” (Giroux, 2008, p. 613). Giroux emphasizes that the present context of the </w:t>
      </w:r>
      <w:r>
        <w:rPr>
          <w:rFonts w:ascii="Times New Roman" w:eastAsia="Times New Roman" w:hAnsi="Times New Roman" w:cs="Times New Roman"/>
          <w:color w:val="000000"/>
        </w:rPr>
        <w:lastRenderedPageBreak/>
        <w:t>New Gilded Age is ultimately a fight for reanimating American democracy. Giroux continues that there is an “assault on democratic public spheres, the hyper-commercialization of everything, and the militarizing of everyday life,” which contributed to the U.S. as a punishing society where the nation jails more than one of every 100 adults, with prison expenditures in some states higher than higher education spending (Associated Press, 2008). The New Gilded Age imperils citizenship, democracy, and social justice and shifts attention away from the monumental role that the public good has in invigorating American society.</w:t>
      </w:r>
    </w:p>
    <w:p w14:paraId="671D38E6" w14:textId="77777777" w:rsidR="00B84936" w:rsidRDefault="00B84936">
      <w:pPr>
        <w:rPr>
          <w:rFonts w:ascii="Times New Roman" w:eastAsia="Times New Roman" w:hAnsi="Times New Roman" w:cs="Times New Roman"/>
        </w:rPr>
      </w:pPr>
    </w:p>
    <w:p w14:paraId="671CBD3F"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The Gilded Age returned with “great extremes of wealth” and “a mocking haughtiness that suggests both an utter disregard for the widespread hardships that it promotes and a gloating arrogance on the part of those elites who are benefiting from the new extremes of wealth and power” (Giroux, 2008, p. 597). In this New Gilded Age, where Americans experience psychological, financial, and physical pressures of higher mortgage rates, exponential increases in college cost of attendance, skyrocketing healthcare expenditures and medical debt, and compromised retirement savings, American quality of life plummeted, “while executive compensation has gone through the roof” (Giroux, 2008, p. 597). These economic inequalities demonstrate how the New Gilded Age saw the financial and political power of the rich increase, at the expense of the dehumanization and psychological and economic deprivation of middle and working class Americans. </w:t>
      </w:r>
    </w:p>
    <w:p w14:paraId="54951717" w14:textId="77777777" w:rsidR="00B84936" w:rsidRDefault="00B84936">
      <w:pPr>
        <w:spacing w:after="240"/>
        <w:rPr>
          <w:rFonts w:ascii="Times New Roman" w:eastAsia="Times New Roman" w:hAnsi="Times New Roman" w:cs="Times New Roman"/>
        </w:rPr>
      </w:pPr>
    </w:p>
    <w:p w14:paraId="76A3BB33" w14:textId="77777777" w:rsidR="00B84936" w:rsidRPr="00336BB7" w:rsidRDefault="001D1521" w:rsidP="00F30C77">
      <w:pPr>
        <w:pStyle w:val="Heading2"/>
        <w:rPr>
          <w:sz w:val="24"/>
          <w:szCs w:val="24"/>
        </w:rPr>
      </w:pPr>
      <w:bookmarkStart w:id="13" w:name="_Toc446789115"/>
      <w:r w:rsidRPr="00336BB7">
        <w:rPr>
          <w:sz w:val="24"/>
          <w:szCs w:val="24"/>
        </w:rPr>
        <w:t>The Centrality of Corporate Power in the New Gilded Age</w:t>
      </w:r>
      <w:bookmarkEnd w:id="13"/>
    </w:p>
    <w:p w14:paraId="0251784F"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lastRenderedPageBreak/>
        <w:t xml:space="preserve">With the “emergence of a new class of rich tycoons” in the New Gilded Age, there is the imminent global threat where democracy is being redefined around corporate values and profits, and where “corporate power translates into political power for the rich and further impoverishment for everyone else” (Giroux, 2008, p. 613). In the New Gilded Age, corporate corruption of the democratic process proliferated through judicial legalization of money as speech in the Supreme Court case </w:t>
      </w:r>
      <w:r>
        <w:rPr>
          <w:rFonts w:ascii="Times New Roman" w:eastAsia="Times New Roman" w:hAnsi="Times New Roman" w:cs="Times New Roman"/>
          <w:i/>
          <w:color w:val="000000"/>
        </w:rPr>
        <w:t>Citizens United</w:t>
      </w:r>
      <w:r>
        <w:rPr>
          <w:rFonts w:ascii="Times New Roman" w:eastAsia="Times New Roman" w:hAnsi="Times New Roman" w:cs="Times New Roman"/>
          <w:color w:val="000000"/>
        </w:rPr>
        <w:t xml:space="preserve"> (Lau, 2019; Levitt, 2010). This ruling ushered in the creation of “laws that not only benefit the rich through tax subsidies and legal protections,” such as the tax cuts for the rich that the Barack Obama administration continued from the George W. Bush presidency and the 2017 Donald Trump tax cuts, which had a similar effect. The same corroding effect of moneyed elite interests on American democracy led to the “</w:t>
      </w:r>
      <w:proofErr w:type="gramStart"/>
      <w:r>
        <w:rPr>
          <w:rFonts w:ascii="Times New Roman" w:eastAsia="Times New Roman" w:hAnsi="Times New Roman" w:cs="Times New Roman"/>
          <w:color w:val="000000"/>
        </w:rPr>
        <w:t>undercut[</w:t>
      </w:r>
      <w:proofErr w:type="gramEnd"/>
      <w:r>
        <w:rPr>
          <w:rFonts w:ascii="Times New Roman" w:eastAsia="Times New Roman" w:hAnsi="Times New Roman" w:cs="Times New Roman"/>
          <w:color w:val="000000"/>
        </w:rPr>
        <w:t>ting], underfund[</w:t>
      </w:r>
      <w:proofErr w:type="spellStart"/>
      <w:r>
        <w:rPr>
          <w:rFonts w:ascii="Times New Roman" w:eastAsia="Times New Roman" w:hAnsi="Times New Roman" w:cs="Times New Roman"/>
          <w:color w:val="000000"/>
        </w:rPr>
        <w:t>ing</w:t>
      </w:r>
      <w:proofErr w:type="spellEnd"/>
      <w:r>
        <w:rPr>
          <w:rFonts w:ascii="Times New Roman" w:eastAsia="Times New Roman" w:hAnsi="Times New Roman" w:cs="Times New Roman"/>
          <w:color w:val="000000"/>
        </w:rPr>
        <w:t xml:space="preserve">] and the </w:t>
      </w:r>
      <w:proofErr w:type="spellStart"/>
      <w:r>
        <w:rPr>
          <w:rFonts w:ascii="Times New Roman" w:eastAsia="Times New Roman" w:hAnsi="Times New Roman" w:cs="Times New Roman"/>
          <w:color w:val="000000"/>
        </w:rPr>
        <w:t>eliminat</w:t>
      </w:r>
      <w:proofErr w:type="spellEnd"/>
      <w:r>
        <w:rPr>
          <w:rFonts w:ascii="Times New Roman" w:eastAsia="Times New Roman" w:hAnsi="Times New Roman" w:cs="Times New Roman"/>
          <w:color w:val="000000"/>
        </w:rPr>
        <w:t>[ion] of social protections aimed to help the poor, aged, and sick, including children” (Giroux, 2008, p. 613). This has led the unrestricted flooding of corporate money into American elections and subsequently to politicians writing legislation designed to entice wealthy campaign contributors to remain financially viable, while implementing austerity measures for the middle and working classes, the elderly, the sick, the youth, and other vulnerable front line communities.</w:t>
      </w:r>
    </w:p>
    <w:p w14:paraId="0A812E04" w14:textId="77777777" w:rsidR="00B84936" w:rsidRDefault="00B84936">
      <w:pPr>
        <w:spacing w:after="240"/>
        <w:rPr>
          <w:rFonts w:ascii="Times New Roman" w:eastAsia="Times New Roman" w:hAnsi="Times New Roman" w:cs="Times New Roman"/>
        </w:rPr>
      </w:pPr>
    </w:p>
    <w:p w14:paraId="18CF1597" w14:textId="77777777" w:rsidR="00B84936" w:rsidRPr="00336BB7" w:rsidRDefault="001D1521" w:rsidP="00F30C77">
      <w:pPr>
        <w:pStyle w:val="Heading2"/>
        <w:rPr>
          <w:sz w:val="24"/>
          <w:szCs w:val="24"/>
        </w:rPr>
      </w:pPr>
      <w:bookmarkStart w:id="14" w:name="_Toc446789116"/>
      <w:proofErr w:type="spellStart"/>
      <w:r w:rsidRPr="00336BB7">
        <w:rPr>
          <w:sz w:val="24"/>
          <w:szCs w:val="24"/>
        </w:rPr>
        <w:t>Intersectionality</w:t>
      </w:r>
      <w:proofErr w:type="spellEnd"/>
      <w:r w:rsidRPr="00336BB7">
        <w:rPr>
          <w:sz w:val="24"/>
          <w:szCs w:val="24"/>
        </w:rPr>
        <w:t xml:space="preserve"> as Coalitions: Organizational and Societal Transformation</w:t>
      </w:r>
      <w:bookmarkEnd w:id="14"/>
    </w:p>
    <w:p w14:paraId="5B7C0CEC" w14:textId="77777777" w:rsidR="00B84936" w:rsidRDefault="001D1521">
      <w:pPr>
        <w:spacing w:line="480" w:lineRule="auto"/>
        <w:ind w:firstLine="720"/>
        <w:rPr>
          <w:rFonts w:ascii="Times New Roman" w:eastAsia="Times New Roman" w:hAnsi="Times New Roman" w:cs="Times New Roman"/>
        </w:rPr>
      </w:pP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as coined by </w:t>
      </w:r>
      <w:proofErr w:type="spellStart"/>
      <w:r>
        <w:rPr>
          <w:rFonts w:ascii="Times New Roman" w:eastAsia="Times New Roman" w:hAnsi="Times New Roman" w:cs="Times New Roman"/>
          <w:color w:val="000000"/>
        </w:rPr>
        <w:t>Kimberlé</w:t>
      </w:r>
      <w:proofErr w:type="spellEnd"/>
      <w:r>
        <w:rPr>
          <w:rFonts w:ascii="Times New Roman" w:eastAsia="Times New Roman" w:hAnsi="Times New Roman" w:cs="Times New Roman"/>
          <w:color w:val="000000"/>
        </w:rPr>
        <w:t xml:space="preserve"> Crenshaw, positions identities as coalitions (Crenshaw, 1991, p. 1299; Collins, 2019; Collins &amp; Bilge, 2016). This coalitional view means that identities are “internally heterogeneous, complex unities constituted by their internal differences and dissonances as well as external relations of </w:t>
      </w:r>
      <w:r>
        <w:rPr>
          <w:rFonts w:ascii="Times New Roman" w:eastAsia="Times New Roman" w:hAnsi="Times New Roman" w:cs="Times New Roman"/>
          <w:color w:val="000000"/>
        </w:rPr>
        <w:lastRenderedPageBreak/>
        <w:t>power”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xml:space="preserve">, 2016, p. 6-7), thus emphasizing the political potential of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of “</w:t>
      </w:r>
      <w:proofErr w:type="spellStart"/>
      <w:r>
        <w:rPr>
          <w:rFonts w:ascii="Times New Roman" w:eastAsia="Times New Roman" w:hAnsi="Times New Roman" w:cs="Times New Roman"/>
          <w:color w:val="000000"/>
        </w:rPr>
        <w:t>reimagin</w:t>
      </w:r>
      <w:proofErr w:type="spellEnd"/>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ing</w:t>
      </w:r>
      <w:proofErr w:type="spellEnd"/>
      <w:r>
        <w:rPr>
          <w:rFonts w:ascii="Times New Roman" w:eastAsia="Times New Roman" w:hAnsi="Times New Roman" w:cs="Times New Roman"/>
          <w:color w:val="000000"/>
        </w:rPr>
        <w:t>] our identities and our alignment in coalitional terms,” predicated on interconnectedness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2016, p. 6-7). Approaching identities as coalitions is paramount in forming effective coalition-based movements and communities in mutual solidarity, which could address “the fragmentation of identities and the divisions within and among communities”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xml:space="preserve">, 2016, p. 3) as a towering barrier in organizing inter-group social movements. As much as social justice movements are about struggles against “violence, </w:t>
      </w:r>
      <w:proofErr w:type="spellStart"/>
      <w:r>
        <w:rPr>
          <w:rFonts w:ascii="Times New Roman" w:eastAsia="Times New Roman" w:hAnsi="Times New Roman" w:cs="Times New Roman"/>
          <w:color w:val="000000"/>
        </w:rPr>
        <w:t>marginalizations</w:t>
      </w:r>
      <w:proofErr w:type="spellEnd"/>
      <w:r>
        <w:rPr>
          <w:rFonts w:ascii="Times New Roman" w:eastAsia="Times New Roman" w:hAnsi="Times New Roman" w:cs="Times New Roman"/>
          <w:color w:val="000000"/>
        </w:rPr>
        <w:t>, and collusion with hegemonic power,” barriers to them are equally about “inadequate imaginations, flawed cognitive habits, and misplaced allegiances”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xml:space="preserve">, 2016, p. 4). Coalition-building psychologically in one’s own intersectional self and across communities is all the more important in the New Gilded Age, when global institutions have “adaptively </w:t>
      </w:r>
      <w:proofErr w:type="gramStart"/>
      <w:r>
        <w:rPr>
          <w:rFonts w:ascii="Times New Roman" w:eastAsia="Times New Roman" w:hAnsi="Times New Roman" w:cs="Times New Roman"/>
          <w:color w:val="000000"/>
        </w:rPr>
        <w:t>reconfigure[</w:t>
      </w:r>
      <w:proofErr w:type="gramEnd"/>
      <w:r>
        <w:rPr>
          <w:rFonts w:ascii="Times New Roman" w:eastAsia="Times New Roman" w:hAnsi="Times New Roman" w:cs="Times New Roman"/>
          <w:color w:val="000000"/>
        </w:rPr>
        <w:t>d] themselves in response to socially transformative movements,” wherein “oppressive power relations have become increasingly mystified, inequalities seemingly more intractable, and institutions seemingly more difficult to transform”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xml:space="preserve">, 2016, p. 2-3). </w:t>
      </w:r>
      <w:proofErr w:type="spellStart"/>
      <w:r>
        <w:rPr>
          <w:rFonts w:ascii="Times New Roman" w:eastAsia="Times New Roman" w:hAnsi="Times New Roman" w:cs="Times New Roman"/>
          <w:color w:val="000000"/>
        </w:rPr>
        <w:t>Intersectionality’s</w:t>
      </w:r>
      <w:proofErr w:type="spellEnd"/>
      <w:r>
        <w:rPr>
          <w:rFonts w:ascii="Times New Roman" w:eastAsia="Times New Roman" w:hAnsi="Times New Roman" w:cs="Times New Roman"/>
          <w:color w:val="000000"/>
        </w:rPr>
        <w:t xml:space="preserve"> coalitional prominence allows a more thorough and nuanced critique of “oppressive power” that would allow better comprehension and analysis of the structural causes of inequality that would then shed light on both organizational and societal transformational possibilities. </w:t>
      </w:r>
    </w:p>
    <w:p w14:paraId="4108AAD7" w14:textId="77777777" w:rsidR="00B84936" w:rsidRDefault="00B84936">
      <w:pPr>
        <w:rPr>
          <w:rFonts w:ascii="Times New Roman" w:eastAsia="Times New Roman" w:hAnsi="Times New Roman" w:cs="Times New Roman"/>
        </w:rPr>
      </w:pPr>
    </w:p>
    <w:p w14:paraId="048EC7E3" w14:textId="77777777" w:rsidR="00B84936" w:rsidRPr="00336BB7" w:rsidRDefault="001D1521" w:rsidP="00F30C77">
      <w:pPr>
        <w:pStyle w:val="Heading2"/>
        <w:rPr>
          <w:sz w:val="24"/>
          <w:szCs w:val="24"/>
        </w:rPr>
      </w:pPr>
      <w:bookmarkStart w:id="15" w:name="_Toc446789117"/>
      <w:proofErr w:type="spellStart"/>
      <w:r w:rsidRPr="00336BB7">
        <w:rPr>
          <w:sz w:val="24"/>
          <w:szCs w:val="24"/>
        </w:rPr>
        <w:t>Intersectionality’s</w:t>
      </w:r>
      <w:proofErr w:type="spellEnd"/>
      <w:r w:rsidRPr="00336BB7">
        <w:rPr>
          <w:sz w:val="24"/>
          <w:szCs w:val="24"/>
        </w:rPr>
        <w:t xml:space="preserve"> Anti-Racist and Feminist Political Commitments</w:t>
      </w:r>
      <w:bookmarkEnd w:id="15"/>
    </w:p>
    <w:p w14:paraId="7496F168"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As an approach that holds promise in the New Gilded Age, intersectional analysis is a “horizon of possibility for </w:t>
      </w:r>
      <w:proofErr w:type="spellStart"/>
      <w:r>
        <w:rPr>
          <w:rFonts w:ascii="Times New Roman" w:eastAsia="Times New Roman" w:hAnsi="Times New Roman" w:cs="Times New Roman"/>
          <w:color w:val="000000"/>
        </w:rPr>
        <w:t>liberatory</w:t>
      </w:r>
      <w:proofErr w:type="spellEnd"/>
      <w:r>
        <w:rPr>
          <w:rFonts w:ascii="Times New Roman" w:eastAsia="Times New Roman" w:hAnsi="Times New Roman" w:cs="Times New Roman"/>
          <w:color w:val="000000"/>
        </w:rPr>
        <w:t xml:space="preserve">, coalitional feminist praxis in the embattled </w:t>
      </w:r>
      <w:r>
        <w:rPr>
          <w:rFonts w:ascii="Times New Roman" w:eastAsia="Times New Roman" w:hAnsi="Times New Roman" w:cs="Times New Roman"/>
          <w:color w:val="000000"/>
        </w:rPr>
        <w:lastRenderedPageBreak/>
        <w:t>twenty-first century”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xml:space="preserve">, 2016, p. 2). In its conceptual elucidation in Black feminist literature,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was designed explicitly to </w:t>
      </w:r>
      <w:proofErr w:type="gramStart"/>
      <w:r>
        <w:rPr>
          <w:rFonts w:ascii="Times New Roman" w:eastAsia="Times New Roman" w:hAnsi="Times New Roman" w:cs="Times New Roman"/>
          <w:color w:val="000000"/>
        </w:rPr>
        <w:t>challenge</w:t>
      </w:r>
      <w:proofErr w:type="gramEnd"/>
      <w:r>
        <w:rPr>
          <w:rFonts w:ascii="Times New Roman" w:eastAsia="Times New Roman" w:hAnsi="Times New Roman" w:cs="Times New Roman"/>
          <w:color w:val="000000"/>
        </w:rPr>
        <w:t xml:space="preserve"> “representational, discursive, and </w:t>
      </w:r>
      <w:proofErr w:type="spellStart"/>
      <w:r>
        <w:rPr>
          <w:rFonts w:ascii="Times New Roman" w:eastAsia="Times New Roman" w:hAnsi="Times New Roman" w:cs="Times New Roman"/>
          <w:color w:val="000000"/>
        </w:rPr>
        <w:t>intersubjective</w:t>
      </w:r>
      <w:proofErr w:type="spellEnd"/>
      <w:r>
        <w:rPr>
          <w:rFonts w:ascii="Times New Roman" w:eastAsia="Times New Roman" w:hAnsi="Times New Roman" w:cs="Times New Roman"/>
          <w:color w:val="000000"/>
        </w:rPr>
        <w:t xml:space="preserve"> dynamics within antiracist and feminist movements seeking to transform social relations”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xml:space="preserve">, 2016, p. 3). Although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was founded to “redress Black women’s invisibility in law and social movement discourses” (Crenshaw, 1991), the concept has been borrowed and applied in feminist theory, human rights frameworks, and policy discourses (Nash, 2008). While this cross-pollination has been beneficial in legitimizing the approach, </w:t>
      </w:r>
      <w:proofErr w:type="spellStart"/>
      <w:r>
        <w:rPr>
          <w:rFonts w:ascii="Times New Roman" w:eastAsia="Times New Roman" w:hAnsi="Times New Roman" w:cs="Times New Roman"/>
          <w:color w:val="000000"/>
        </w:rPr>
        <w:t>intersectionality’s</w:t>
      </w:r>
      <w:proofErr w:type="spellEnd"/>
      <w:r>
        <w:rPr>
          <w:rFonts w:ascii="Times New Roman" w:eastAsia="Times New Roman" w:hAnsi="Times New Roman" w:cs="Times New Roman"/>
          <w:color w:val="000000"/>
        </w:rPr>
        <w:t xml:space="preserve"> original “roots in social justice movements and critical intellectual projects” should be “recovered, retraced, and embraced” (</w:t>
      </w:r>
      <w:proofErr w:type="spellStart"/>
      <w:r>
        <w:rPr>
          <w:rFonts w:ascii="Times New Roman" w:eastAsia="Times New Roman" w:hAnsi="Times New Roman" w:cs="Times New Roman"/>
          <w:color w:val="000000"/>
        </w:rPr>
        <w:t>Carasthathis</w:t>
      </w:r>
      <w:proofErr w:type="spellEnd"/>
      <w:r>
        <w:rPr>
          <w:rFonts w:ascii="Times New Roman" w:eastAsia="Times New Roman" w:hAnsi="Times New Roman" w:cs="Times New Roman"/>
          <w:color w:val="000000"/>
        </w:rPr>
        <w:t xml:space="preserve">, 2016, p. 4-5). </w:t>
      </w:r>
    </w:p>
    <w:p w14:paraId="5DB8077C"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Intersectional analysis points to coalitional possibilities by emphasizing </w:t>
      </w:r>
      <w:proofErr w:type="spellStart"/>
      <w:r>
        <w:rPr>
          <w:rFonts w:ascii="Times New Roman" w:eastAsia="Times New Roman" w:hAnsi="Times New Roman" w:cs="Times New Roman"/>
          <w:color w:val="000000"/>
        </w:rPr>
        <w:t>decolonial</w:t>
      </w:r>
      <w:proofErr w:type="spellEnd"/>
      <w:r>
        <w:rPr>
          <w:rFonts w:ascii="Times New Roman" w:eastAsia="Times New Roman" w:hAnsi="Times New Roman" w:cs="Times New Roman"/>
          <w:color w:val="000000"/>
        </w:rPr>
        <w:t xml:space="preserve"> feminism’s pursuit to expose and prevail against “the </w:t>
      </w:r>
      <w:proofErr w:type="spellStart"/>
      <w:r>
        <w:rPr>
          <w:rFonts w:ascii="Times New Roman" w:eastAsia="Times New Roman" w:hAnsi="Times New Roman" w:cs="Times New Roman"/>
          <w:color w:val="000000"/>
        </w:rPr>
        <w:t>coloniality</w:t>
      </w:r>
      <w:proofErr w:type="spellEnd"/>
      <w:r>
        <w:rPr>
          <w:rFonts w:ascii="Times New Roman" w:eastAsia="Times New Roman" w:hAnsi="Times New Roman" w:cs="Times New Roman"/>
          <w:color w:val="000000"/>
        </w:rPr>
        <w:t xml:space="preserve"> of </w:t>
      </w:r>
      <w:proofErr w:type="spellStart"/>
      <w:r>
        <w:rPr>
          <w:rFonts w:ascii="Times New Roman" w:eastAsia="Times New Roman" w:hAnsi="Times New Roman" w:cs="Times New Roman"/>
          <w:color w:val="000000"/>
        </w:rPr>
        <w:t>heteropatriarchal</w:t>
      </w:r>
      <w:proofErr w:type="spellEnd"/>
      <w:r>
        <w:rPr>
          <w:rFonts w:ascii="Times New Roman" w:eastAsia="Times New Roman" w:hAnsi="Times New Roman" w:cs="Times New Roman"/>
          <w:color w:val="000000"/>
        </w:rPr>
        <w:t xml:space="preserve"> gender” and “the violent historical enmeshing of binary gender in systems of capital, white supremacy, and empire” (</w:t>
      </w:r>
      <w:proofErr w:type="spellStart"/>
      <w:r>
        <w:rPr>
          <w:rFonts w:ascii="Times New Roman" w:eastAsia="Times New Roman" w:hAnsi="Times New Roman" w:cs="Times New Roman"/>
          <w:color w:val="000000"/>
        </w:rPr>
        <w:t>Lugones</w:t>
      </w:r>
      <w:proofErr w:type="spellEnd"/>
      <w:r>
        <w:rPr>
          <w:rFonts w:ascii="Times New Roman" w:eastAsia="Times New Roman" w:hAnsi="Times New Roman" w:cs="Times New Roman"/>
          <w:color w:val="000000"/>
        </w:rPr>
        <w:t xml:space="preserve">, 2010, p. 747). As the Combahee River Collective expressed in “A Black Feminist Statement” regarding the “destruction of all the systems of oppression,” Black (lesbian) women are able to “use our positions at the bottom to make a clear lap into revolutionary action. If Black women were free, it would mean that everyone else would have to be free since our freedom would necessitate the destruction of all the systems of oppression” (Combahee River Collective, 2000, p. 215). The Black feminist origins of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as an approach to analysis, movement building, and social transformation would pave way for the liberation not only of Black lesbian women but of all who are structurally marginalized and systemically underserved in organizations and society.</w:t>
      </w:r>
    </w:p>
    <w:p w14:paraId="7803FEAE" w14:textId="77777777" w:rsidR="00B84936" w:rsidRDefault="00B84936">
      <w:pPr>
        <w:rPr>
          <w:rFonts w:ascii="Times New Roman" w:eastAsia="Times New Roman" w:hAnsi="Times New Roman" w:cs="Times New Roman"/>
        </w:rPr>
      </w:pPr>
    </w:p>
    <w:p w14:paraId="4C4E42DC" w14:textId="77777777" w:rsidR="00B84936" w:rsidRPr="00336BB7" w:rsidRDefault="001D1521" w:rsidP="00F30C77">
      <w:pPr>
        <w:pStyle w:val="Heading2"/>
        <w:rPr>
          <w:sz w:val="24"/>
          <w:szCs w:val="24"/>
        </w:rPr>
      </w:pPr>
      <w:bookmarkStart w:id="16" w:name="_Toc446789118"/>
      <w:r w:rsidRPr="00336BB7">
        <w:rPr>
          <w:sz w:val="24"/>
          <w:szCs w:val="24"/>
        </w:rPr>
        <w:t>Unearthing Disparities</w:t>
      </w:r>
      <w:bookmarkEnd w:id="16"/>
    </w:p>
    <w:p w14:paraId="7167D041" w14:textId="04233979"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For policy to be intersectional, there has to be recognition that policy is not neutral since </w:t>
      </w:r>
      <w:r w:rsidR="00867841">
        <w:rPr>
          <w:rFonts w:ascii="Times New Roman" w:eastAsia="Times New Roman" w:hAnsi="Times New Roman" w:cs="Times New Roman"/>
          <w:color w:val="000000"/>
        </w:rPr>
        <w:t xml:space="preserve">all populations are not uniformly impacted by policy </w:t>
      </w:r>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Hankivsky</w:t>
      </w:r>
      <w:proofErr w:type="spellEnd"/>
      <w:r>
        <w:rPr>
          <w:rFonts w:ascii="Times New Roman" w:eastAsia="Times New Roman" w:hAnsi="Times New Roman" w:cs="Times New Roman"/>
          <w:color w:val="000000"/>
        </w:rPr>
        <w:t xml:space="preserve"> &amp; Cormier, 2011, p. 218; </w:t>
      </w:r>
      <w:proofErr w:type="spellStart"/>
      <w:r>
        <w:rPr>
          <w:rFonts w:ascii="Times New Roman" w:eastAsia="Times New Roman" w:hAnsi="Times New Roman" w:cs="Times New Roman"/>
          <w:color w:val="000000"/>
        </w:rPr>
        <w:t>Parken</w:t>
      </w:r>
      <w:proofErr w:type="spellEnd"/>
      <w:r>
        <w:rPr>
          <w:rFonts w:ascii="Times New Roman" w:eastAsia="Times New Roman" w:hAnsi="Times New Roman" w:cs="Times New Roman"/>
          <w:color w:val="000000"/>
        </w:rPr>
        <w:t xml:space="preserve">, 2010; </w:t>
      </w:r>
      <w:proofErr w:type="spellStart"/>
      <w:r>
        <w:rPr>
          <w:rFonts w:ascii="Times New Roman" w:eastAsia="Times New Roman" w:hAnsi="Times New Roman" w:cs="Times New Roman"/>
          <w:color w:val="000000"/>
        </w:rPr>
        <w:t>Parken</w:t>
      </w:r>
      <w:proofErr w:type="spellEnd"/>
      <w:r>
        <w:rPr>
          <w:rFonts w:ascii="Times New Roman" w:eastAsia="Times New Roman" w:hAnsi="Times New Roman" w:cs="Times New Roman"/>
          <w:color w:val="000000"/>
        </w:rPr>
        <w:t xml:space="preserve"> &amp; Young, 2007; CRIAW, 2006; </w:t>
      </w:r>
      <w:proofErr w:type="spellStart"/>
      <w:r>
        <w:rPr>
          <w:rFonts w:ascii="Times New Roman" w:eastAsia="Times New Roman" w:hAnsi="Times New Roman" w:cs="Times New Roman"/>
          <w:color w:val="000000"/>
        </w:rPr>
        <w:t>Hankivsky</w:t>
      </w:r>
      <w:proofErr w:type="spellEnd"/>
      <w:r>
        <w:rPr>
          <w:rFonts w:ascii="Times New Roman" w:eastAsia="Times New Roman" w:hAnsi="Times New Roman" w:cs="Times New Roman"/>
          <w:color w:val="000000"/>
        </w:rPr>
        <w:t xml:space="preserve">, 2005; </w:t>
      </w:r>
      <w:proofErr w:type="spellStart"/>
      <w:r>
        <w:rPr>
          <w:rFonts w:ascii="Times New Roman" w:eastAsia="Times New Roman" w:hAnsi="Times New Roman" w:cs="Times New Roman"/>
          <w:color w:val="000000"/>
        </w:rPr>
        <w:t>Hankivsky</w:t>
      </w:r>
      <w:proofErr w:type="spellEnd"/>
      <w:r>
        <w:rPr>
          <w:rFonts w:ascii="Times New Roman" w:eastAsia="Times New Roman" w:hAnsi="Times New Roman" w:cs="Times New Roman"/>
          <w:color w:val="000000"/>
        </w:rPr>
        <w:t xml:space="preserve"> &amp; Jordan-Zachery, 2019). Intersectional policies emerge when policy makers incorporate indispensable differences and particular community needs are consulted and drive the development, implementation, and evaluation of public policy. In doing so,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pinpoints and addresses “the way specific acts and policies address the inequalities experienced by various social groups” (</w:t>
      </w:r>
      <w:proofErr w:type="spellStart"/>
      <w:r>
        <w:rPr>
          <w:rFonts w:ascii="Times New Roman" w:eastAsia="Times New Roman" w:hAnsi="Times New Roman" w:cs="Times New Roman"/>
          <w:color w:val="000000"/>
        </w:rPr>
        <w:t>Bishwakarma</w:t>
      </w:r>
      <w:proofErr w:type="spellEnd"/>
      <w:r>
        <w:rPr>
          <w:rFonts w:ascii="Times New Roman" w:eastAsia="Times New Roman" w:hAnsi="Times New Roman" w:cs="Times New Roman"/>
          <w:color w:val="000000"/>
        </w:rPr>
        <w:t xml:space="preserve"> et al, 2007, p. 9). This means that when researchers and policy-makers assess policies </w:t>
      </w:r>
      <w:proofErr w:type="spellStart"/>
      <w:r>
        <w:rPr>
          <w:rFonts w:ascii="Times New Roman" w:eastAsia="Times New Roman" w:hAnsi="Times New Roman" w:cs="Times New Roman"/>
          <w:color w:val="000000"/>
        </w:rPr>
        <w:t>intersectionally</w:t>
      </w:r>
      <w:proofErr w:type="spellEnd"/>
      <w:r>
        <w:rPr>
          <w:rFonts w:ascii="Times New Roman" w:eastAsia="Times New Roman" w:hAnsi="Times New Roman" w:cs="Times New Roman"/>
          <w:color w:val="000000"/>
        </w:rPr>
        <w:t>, this would involve incorporation of class, race, gender, ability, disability, geography, age, among other identities and communities in order to “form unique meanings and complex experiences” (</w:t>
      </w:r>
      <w:proofErr w:type="spellStart"/>
      <w:r>
        <w:rPr>
          <w:rFonts w:ascii="Times New Roman" w:eastAsia="Times New Roman" w:hAnsi="Times New Roman" w:cs="Times New Roman"/>
          <w:color w:val="000000"/>
        </w:rPr>
        <w:t>Hankivsky</w:t>
      </w:r>
      <w:proofErr w:type="spellEnd"/>
      <w:r>
        <w:rPr>
          <w:rFonts w:ascii="Times New Roman" w:eastAsia="Times New Roman" w:hAnsi="Times New Roman" w:cs="Times New Roman"/>
          <w:color w:val="000000"/>
        </w:rPr>
        <w:t xml:space="preserve"> &amp; Cormier, 2011, p. 217), unearth disparate impacts, and propose policy solutions that would mitigate or solve the disparities uncovered. Moreover, intersectional analysis can be used as a framework to analyze how policies inform the creation and perpetuation of systemic inequalities (</w:t>
      </w:r>
      <w:proofErr w:type="spellStart"/>
      <w:r>
        <w:rPr>
          <w:rFonts w:ascii="Times New Roman" w:eastAsia="Times New Roman" w:hAnsi="Times New Roman" w:cs="Times New Roman"/>
          <w:color w:val="000000"/>
        </w:rPr>
        <w:t>Simien</w:t>
      </w:r>
      <w:proofErr w:type="spellEnd"/>
      <w:r>
        <w:rPr>
          <w:rFonts w:ascii="Times New Roman" w:eastAsia="Times New Roman" w:hAnsi="Times New Roman" w:cs="Times New Roman"/>
          <w:color w:val="000000"/>
        </w:rPr>
        <w:t>, 2007, p. 269) by unmasking how certain populations get categorized, treated, and labeled as “different, troubled and in some instances, marginalized,” (</w:t>
      </w:r>
      <w:proofErr w:type="spellStart"/>
      <w:r>
        <w:rPr>
          <w:rFonts w:ascii="Times New Roman" w:eastAsia="Times New Roman" w:hAnsi="Times New Roman" w:cs="Times New Roman"/>
          <w:color w:val="000000"/>
        </w:rPr>
        <w:t>Staunaes</w:t>
      </w:r>
      <w:proofErr w:type="spellEnd"/>
      <w:r>
        <w:rPr>
          <w:rFonts w:ascii="Times New Roman" w:eastAsia="Times New Roman" w:hAnsi="Times New Roman" w:cs="Times New Roman"/>
          <w:color w:val="000000"/>
        </w:rPr>
        <w:t>, 2003). Researchers and policy-makers can then wield knowledge of these disparate effects and their structural root causes to arrive at intersectional solutions. </w:t>
      </w:r>
    </w:p>
    <w:p w14:paraId="36AD41C1" w14:textId="77777777" w:rsidR="00B84936" w:rsidRPr="00336BB7" w:rsidRDefault="001D1521" w:rsidP="00F30C77">
      <w:pPr>
        <w:pStyle w:val="Heading2"/>
        <w:rPr>
          <w:sz w:val="24"/>
          <w:szCs w:val="24"/>
        </w:rPr>
      </w:pPr>
      <w:bookmarkStart w:id="17" w:name="_Toc446789119"/>
      <w:r w:rsidRPr="00336BB7">
        <w:rPr>
          <w:sz w:val="24"/>
          <w:szCs w:val="24"/>
        </w:rPr>
        <w:t>Intersectional Analysis Exemplified</w:t>
      </w:r>
      <w:bookmarkEnd w:id="17"/>
    </w:p>
    <w:p w14:paraId="2FC05192"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lastRenderedPageBreak/>
        <w:t xml:space="preserve">Applying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to education policy would involve a more expansive way in conceptualizing causes and solutions. In pursuing education reform, an intersectional education policy approach would not be confined to solutions strictly at the school level or on standardized test score results in order to tackle educational disparities. Instead, intersectional education policy would have a hyper focus on educational outcomes, how they are experienced by various populations based on their identities or the communities to whom they belong and the “context of their lives,” (</w:t>
      </w:r>
      <w:proofErr w:type="spellStart"/>
      <w:r>
        <w:rPr>
          <w:rFonts w:ascii="Times New Roman" w:eastAsia="Times New Roman" w:hAnsi="Times New Roman" w:cs="Times New Roman"/>
          <w:color w:val="000000"/>
        </w:rPr>
        <w:t>Hankivsky</w:t>
      </w:r>
      <w:proofErr w:type="spellEnd"/>
      <w:r>
        <w:rPr>
          <w:rFonts w:ascii="Times New Roman" w:eastAsia="Times New Roman" w:hAnsi="Times New Roman" w:cs="Times New Roman"/>
          <w:color w:val="000000"/>
        </w:rPr>
        <w:t xml:space="preserve"> &amp; Cormier, 2011). This would involve identifying root causes at the societal level, which should entail solutions at the systemic level as well by comprehensively addressing issues like job and food security, unemployment, tax revenue, income and wealth inequality, and health insurance as socioeconomic determinants to bridge gaps in educational outcomes. </w:t>
      </w:r>
    </w:p>
    <w:p w14:paraId="00061A52" w14:textId="77777777" w:rsidR="00B84936" w:rsidRDefault="00B84936">
      <w:pPr>
        <w:rPr>
          <w:rFonts w:ascii="Times New Roman" w:eastAsia="Times New Roman" w:hAnsi="Times New Roman" w:cs="Times New Roman"/>
        </w:rPr>
      </w:pPr>
    </w:p>
    <w:p w14:paraId="052C6BD2" w14:textId="77777777" w:rsidR="00B84936" w:rsidRPr="00336BB7" w:rsidRDefault="001D1521" w:rsidP="00F30C77">
      <w:pPr>
        <w:pStyle w:val="Heading2"/>
        <w:rPr>
          <w:sz w:val="24"/>
          <w:szCs w:val="24"/>
        </w:rPr>
      </w:pPr>
      <w:bookmarkStart w:id="18" w:name="_Toc446789120"/>
      <w:r w:rsidRPr="00336BB7">
        <w:rPr>
          <w:sz w:val="24"/>
          <w:szCs w:val="24"/>
        </w:rPr>
        <w:t>Conclusion</w:t>
      </w:r>
      <w:bookmarkEnd w:id="18"/>
    </w:p>
    <w:p w14:paraId="14311B54" w14:textId="2E50C9E0"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Using intersectional analysis as a lens for policy allows for a more comprehensive recognition of how people on the ground comprehend and make sense of their own experiences, why certain populations make particular decisions, and the role of public policy in shaping individual perception, human behavior, and unequal outcomes. Most importantly, policies become “more precise, more predictive, and ultimately, more impactful” (Manuel, 2019, p. 34) with the help of intersectional analysis. In addition to helping researchers and practitioners arrive at more anticipatory, accurate, and effective public policies, intersectional public policy poses a question and a fundamental challenge: Instead of “designing policies that create a talented tenth or a fortunate fifth of </w:t>
      </w:r>
      <w:r>
        <w:rPr>
          <w:rFonts w:ascii="Times New Roman" w:eastAsia="Times New Roman" w:hAnsi="Times New Roman" w:cs="Times New Roman"/>
          <w:color w:val="000000"/>
        </w:rPr>
        <w:lastRenderedPageBreak/>
        <w:t xml:space="preserve">a marginalized group, how might we redesign domestic and foreign policies to ensure that </w:t>
      </w:r>
      <w:r>
        <w:rPr>
          <w:rFonts w:ascii="Times New Roman" w:eastAsia="Times New Roman" w:hAnsi="Times New Roman" w:cs="Times New Roman"/>
          <w:i/>
          <w:color w:val="000000"/>
        </w:rPr>
        <w:t>all</w:t>
      </w:r>
      <w:r>
        <w:rPr>
          <w:rFonts w:ascii="Times New Roman" w:eastAsia="Times New Roman" w:hAnsi="Times New Roman" w:cs="Times New Roman"/>
          <w:color w:val="000000"/>
        </w:rPr>
        <w:t xml:space="preserve"> members of any marginalized group are enabled to empower themselves?” </w:t>
      </w:r>
      <w:proofErr w:type="gramStart"/>
      <w:r>
        <w:rPr>
          <w:rFonts w:ascii="Times New Roman" w:eastAsia="Times New Roman" w:hAnsi="Times New Roman" w:cs="Times New Roman"/>
          <w:color w:val="000000"/>
        </w:rPr>
        <w:t>(Hancock, 2007, p. 66).</w:t>
      </w:r>
      <w:proofErr w:type="gramEnd"/>
      <w:r>
        <w:rPr>
          <w:rFonts w:ascii="Times New Roman" w:eastAsia="Times New Roman" w:hAnsi="Times New Roman" w:cs="Times New Roman"/>
          <w:color w:val="000000"/>
        </w:rPr>
        <w:t xml:space="preserve"> This question speaks to the political, </w:t>
      </w:r>
      <w:proofErr w:type="spellStart"/>
      <w:r>
        <w:rPr>
          <w:rFonts w:ascii="Times New Roman" w:eastAsia="Times New Roman" w:hAnsi="Times New Roman" w:cs="Times New Roman"/>
          <w:color w:val="000000"/>
        </w:rPr>
        <w:t>decolonial</w:t>
      </w:r>
      <w:proofErr w:type="spellEnd"/>
      <w:r>
        <w:rPr>
          <w:rFonts w:ascii="Times New Roman" w:eastAsia="Times New Roman" w:hAnsi="Times New Roman" w:cs="Times New Roman"/>
          <w:color w:val="000000"/>
        </w:rPr>
        <w:t xml:space="preserve">, and universal objectives of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Beyond academia, </w:t>
      </w:r>
      <w:proofErr w:type="gramStart"/>
      <w:r w:rsidR="00024374">
        <w:rPr>
          <w:rFonts w:ascii="Times New Roman" w:eastAsia="Times New Roman" w:hAnsi="Times New Roman" w:cs="Times New Roman"/>
          <w:color w:val="000000"/>
        </w:rPr>
        <w:t>think-tanks</w:t>
      </w:r>
      <w:proofErr w:type="gramEnd"/>
      <w:r>
        <w:rPr>
          <w:rFonts w:ascii="Times New Roman" w:eastAsia="Times New Roman" w:hAnsi="Times New Roman" w:cs="Times New Roman"/>
          <w:color w:val="000000"/>
        </w:rPr>
        <w:t>, executive bureaucracies, and legislatures, intersectional public policy aims to empower the very individuals that the referent subjects of analysis seeks to illuminate. For intersectional analysis to be most effective, it must not only map but also find ways for those at the margins to empower themselves with the assistance of social structures and systems that recognize and work effectively with them. The next two chapters leverage intersectional analysis to analyze the Federal Jobs Guarantee and the Workplace Democracy Act as case studies in how they provide social uplift and empowerment within the grander socioeconomic context of the New Gilded Age.</w:t>
      </w:r>
    </w:p>
    <w:p w14:paraId="3AF223F3" w14:textId="77777777" w:rsidR="00B84936" w:rsidRDefault="001D1521">
      <w:pPr>
        <w:spacing w:after="240"/>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7659FF07" w14:textId="77777777" w:rsidR="00B84936" w:rsidRDefault="00B84936">
      <w:pPr>
        <w:spacing w:after="240"/>
        <w:rPr>
          <w:rFonts w:ascii="Times New Roman" w:eastAsia="Times New Roman" w:hAnsi="Times New Roman" w:cs="Times New Roman"/>
        </w:rPr>
      </w:pPr>
    </w:p>
    <w:p w14:paraId="7599B0CB" w14:textId="77777777" w:rsidR="00B84936" w:rsidRDefault="00B84936">
      <w:pPr>
        <w:spacing w:after="240"/>
        <w:rPr>
          <w:rFonts w:ascii="Times New Roman" w:eastAsia="Times New Roman" w:hAnsi="Times New Roman" w:cs="Times New Roman"/>
        </w:rPr>
      </w:pPr>
    </w:p>
    <w:p w14:paraId="24204253" w14:textId="77777777" w:rsidR="00B84936" w:rsidRDefault="00B84936">
      <w:pPr>
        <w:spacing w:after="240"/>
        <w:rPr>
          <w:rFonts w:ascii="Times New Roman" w:eastAsia="Times New Roman" w:hAnsi="Times New Roman" w:cs="Times New Roman"/>
        </w:rPr>
      </w:pPr>
    </w:p>
    <w:p w14:paraId="049D3742" w14:textId="77777777" w:rsidR="00B84936" w:rsidRDefault="00B84936">
      <w:pPr>
        <w:spacing w:after="240"/>
        <w:rPr>
          <w:rFonts w:ascii="Times New Roman" w:eastAsia="Times New Roman" w:hAnsi="Times New Roman" w:cs="Times New Roman"/>
        </w:rPr>
      </w:pPr>
    </w:p>
    <w:p w14:paraId="1E5D8EEF" w14:textId="77777777" w:rsidR="00B84936" w:rsidRDefault="00B84936">
      <w:pPr>
        <w:spacing w:after="240"/>
        <w:rPr>
          <w:rFonts w:ascii="Times New Roman" w:eastAsia="Times New Roman" w:hAnsi="Times New Roman" w:cs="Times New Roman"/>
        </w:rPr>
      </w:pPr>
    </w:p>
    <w:p w14:paraId="064123E5" w14:textId="77777777" w:rsidR="00B84936" w:rsidRDefault="00B84936">
      <w:pPr>
        <w:spacing w:after="240"/>
        <w:rPr>
          <w:rFonts w:ascii="Times New Roman" w:eastAsia="Times New Roman" w:hAnsi="Times New Roman" w:cs="Times New Roman"/>
        </w:rPr>
      </w:pPr>
    </w:p>
    <w:p w14:paraId="0C0ABD18" w14:textId="77777777" w:rsidR="00B84936" w:rsidRDefault="00B84936">
      <w:pPr>
        <w:spacing w:after="240"/>
        <w:rPr>
          <w:rFonts w:ascii="Times New Roman" w:eastAsia="Times New Roman" w:hAnsi="Times New Roman" w:cs="Times New Roman"/>
        </w:rPr>
      </w:pPr>
    </w:p>
    <w:p w14:paraId="1304FE57" w14:textId="77777777" w:rsidR="00B84936" w:rsidRDefault="00B84936">
      <w:pPr>
        <w:spacing w:after="240"/>
        <w:rPr>
          <w:rFonts w:ascii="Times New Roman" w:eastAsia="Times New Roman" w:hAnsi="Times New Roman" w:cs="Times New Roman"/>
        </w:rPr>
      </w:pPr>
    </w:p>
    <w:p w14:paraId="419E010F" w14:textId="77777777" w:rsidR="00B84936" w:rsidRDefault="00B84936">
      <w:pPr>
        <w:spacing w:after="240"/>
        <w:rPr>
          <w:rFonts w:ascii="Times New Roman" w:eastAsia="Times New Roman" w:hAnsi="Times New Roman" w:cs="Times New Roman"/>
        </w:rPr>
      </w:pPr>
    </w:p>
    <w:p w14:paraId="659B71CA" w14:textId="77777777" w:rsidR="00B84936" w:rsidRDefault="00B84936">
      <w:pPr>
        <w:spacing w:after="240"/>
        <w:rPr>
          <w:rFonts w:ascii="Times New Roman" w:eastAsia="Times New Roman" w:hAnsi="Times New Roman" w:cs="Times New Roman"/>
        </w:rPr>
      </w:pPr>
    </w:p>
    <w:p w14:paraId="17694E51" w14:textId="77777777" w:rsidR="00B84936" w:rsidRDefault="00B84936">
      <w:pPr>
        <w:spacing w:after="240"/>
        <w:rPr>
          <w:rFonts w:ascii="Times New Roman" w:eastAsia="Times New Roman" w:hAnsi="Times New Roman" w:cs="Times New Roman"/>
        </w:rPr>
      </w:pPr>
    </w:p>
    <w:p w14:paraId="3DEE3D89" w14:textId="77777777" w:rsidR="001D1521" w:rsidRDefault="001D1521">
      <w:pPr>
        <w:spacing w:after="240"/>
        <w:rPr>
          <w:rFonts w:ascii="Times New Roman" w:eastAsia="Times New Roman" w:hAnsi="Times New Roman" w:cs="Times New Roman"/>
        </w:rPr>
      </w:pPr>
    </w:p>
    <w:p w14:paraId="77BB8EE0" w14:textId="77777777" w:rsidR="001D1521" w:rsidRDefault="001D1521">
      <w:pPr>
        <w:spacing w:after="240"/>
        <w:rPr>
          <w:rFonts w:ascii="Times New Roman" w:eastAsia="Times New Roman" w:hAnsi="Times New Roman" w:cs="Times New Roman"/>
        </w:rPr>
      </w:pPr>
    </w:p>
    <w:p w14:paraId="71652CF8" w14:textId="77777777" w:rsidR="001D1521" w:rsidRDefault="001D1521">
      <w:pPr>
        <w:spacing w:after="240"/>
        <w:rPr>
          <w:rFonts w:ascii="Times New Roman" w:eastAsia="Times New Roman" w:hAnsi="Times New Roman" w:cs="Times New Roman"/>
        </w:rPr>
      </w:pPr>
    </w:p>
    <w:p w14:paraId="517B2133" w14:textId="77777777" w:rsidR="00B84936" w:rsidRDefault="00B84936">
      <w:pPr>
        <w:spacing w:after="240"/>
        <w:rPr>
          <w:rFonts w:ascii="Times New Roman" w:eastAsia="Times New Roman" w:hAnsi="Times New Roman" w:cs="Times New Roman"/>
        </w:rPr>
      </w:pPr>
    </w:p>
    <w:p w14:paraId="7BB58C26" w14:textId="77777777" w:rsidR="00B84936" w:rsidRDefault="00B84936">
      <w:pPr>
        <w:spacing w:after="240"/>
        <w:rPr>
          <w:rFonts w:ascii="Times New Roman" w:eastAsia="Times New Roman" w:hAnsi="Times New Roman" w:cs="Times New Roman"/>
        </w:rPr>
      </w:pPr>
    </w:p>
    <w:p w14:paraId="7ECE79D9" w14:textId="77777777" w:rsidR="00B84936" w:rsidRDefault="00B84936">
      <w:pPr>
        <w:spacing w:after="240"/>
        <w:rPr>
          <w:rFonts w:ascii="Times New Roman" w:eastAsia="Times New Roman" w:hAnsi="Times New Roman" w:cs="Times New Roman"/>
        </w:rPr>
      </w:pPr>
    </w:p>
    <w:p w14:paraId="52257756" w14:textId="77777777" w:rsidR="00B84936" w:rsidRPr="00336BB7" w:rsidRDefault="001D1521" w:rsidP="00F30C77">
      <w:pPr>
        <w:pStyle w:val="Heading1"/>
        <w:rPr>
          <w:sz w:val="24"/>
          <w:szCs w:val="24"/>
        </w:rPr>
      </w:pPr>
      <w:bookmarkStart w:id="19" w:name="_Toc446789121"/>
      <w:r w:rsidRPr="00336BB7">
        <w:rPr>
          <w:sz w:val="24"/>
          <w:szCs w:val="24"/>
        </w:rPr>
        <w:t>Chapter 3 - Mass Incarceration, Access to Employment, and the Federal Jobs Guarantee</w:t>
      </w:r>
      <w:bookmarkEnd w:id="19"/>
    </w:p>
    <w:p w14:paraId="026001AD" w14:textId="77777777" w:rsidR="00B84936" w:rsidRDefault="00B84936">
      <w:pPr>
        <w:rPr>
          <w:rFonts w:ascii="Times New Roman" w:eastAsia="Times New Roman" w:hAnsi="Times New Roman" w:cs="Times New Roman"/>
        </w:rPr>
      </w:pPr>
    </w:p>
    <w:p w14:paraId="382CFEBF" w14:textId="77777777" w:rsidR="00B84936" w:rsidRPr="00336BB7" w:rsidRDefault="001D1521" w:rsidP="00F30C77">
      <w:pPr>
        <w:pStyle w:val="Heading2"/>
        <w:rPr>
          <w:sz w:val="24"/>
          <w:szCs w:val="24"/>
        </w:rPr>
      </w:pPr>
      <w:bookmarkStart w:id="20" w:name="_Toc446789122"/>
      <w:r w:rsidRPr="00336BB7">
        <w:rPr>
          <w:sz w:val="24"/>
          <w:szCs w:val="24"/>
        </w:rPr>
        <w:t>Introduction</w:t>
      </w:r>
      <w:bookmarkEnd w:id="20"/>
    </w:p>
    <w:p w14:paraId="3135C85F"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Through mass incarceration as case study, this chapter analyzes how Diversity and Inclusion interfaces with Talent Acquisition and Learning &amp; Development as an approach in addressing structural inequalities through organizations. It then analyzes and recommends policy proposals to address the deleterious effects of mass incarceration and to improve the lives of working class people and people of color in accessing employment and equitable pay and benefits in the New Gilded Age.</w:t>
      </w:r>
    </w:p>
    <w:p w14:paraId="7754ACF7" w14:textId="77777777" w:rsidR="00336BB7" w:rsidRDefault="00336BB7">
      <w:pPr>
        <w:spacing w:line="480" w:lineRule="auto"/>
        <w:ind w:firstLine="720"/>
        <w:rPr>
          <w:rFonts w:ascii="Times New Roman" w:eastAsia="Times New Roman" w:hAnsi="Times New Roman" w:cs="Times New Roman"/>
        </w:rPr>
      </w:pPr>
    </w:p>
    <w:p w14:paraId="067C7260" w14:textId="77777777" w:rsidR="00B84936" w:rsidRPr="00336BB7" w:rsidRDefault="001D1521" w:rsidP="00F30C77">
      <w:pPr>
        <w:pStyle w:val="Heading2"/>
        <w:rPr>
          <w:sz w:val="24"/>
          <w:szCs w:val="24"/>
        </w:rPr>
      </w:pPr>
      <w:bookmarkStart w:id="21" w:name="_Toc446789123"/>
      <w:r w:rsidRPr="00336BB7">
        <w:rPr>
          <w:sz w:val="24"/>
          <w:szCs w:val="24"/>
        </w:rPr>
        <w:t>The Socio-Ecological Model</w:t>
      </w:r>
      <w:bookmarkEnd w:id="21"/>
    </w:p>
    <w:p w14:paraId="6F3C7D0D"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The interdependent relationship of social impact between public policy and organizations is illustrated in the Socio-Ecological Model (Figure 1, Centers for Disease Control and Prevention, 2019). According to the Socio-Ecological Model, oppression and inequalities occur at the individual, interpersonal, community, organizational, and public </w:t>
      </w:r>
      <w:r>
        <w:rPr>
          <w:rFonts w:ascii="Times New Roman" w:eastAsia="Times New Roman" w:hAnsi="Times New Roman" w:cs="Times New Roman"/>
          <w:color w:val="000000"/>
        </w:rPr>
        <w:lastRenderedPageBreak/>
        <w:t>policy levels. Effective solutions require a combination of interventions at all levels of the Socio-Ecological Model. Doing so would also increase the likelihood that prevention efforts are sustained longitudinally when juxtaposed to a singularly focused intervention. This study uses the Socio-Ecological Model in its intersectional cultural analysis.</w:t>
      </w:r>
    </w:p>
    <w:p w14:paraId="7E96540E" w14:textId="77777777" w:rsidR="00B84936" w:rsidRDefault="00B84936">
      <w:pPr>
        <w:rPr>
          <w:rFonts w:ascii="Times New Roman" w:eastAsia="Times New Roman" w:hAnsi="Times New Roman" w:cs="Times New Roman"/>
        </w:rPr>
      </w:pPr>
    </w:p>
    <w:p w14:paraId="6823927F" w14:textId="77777777" w:rsidR="00B84936" w:rsidRDefault="001D1521">
      <w:pPr>
        <w:spacing w:line="480" w:lineRule="auto"/>
        <w:jc w:val="center"/>
        <w:rPr>
          <w:rFonts w:ascii="Times New Roman" w:eastAsia="Times New Roman" w:hAnsi="Times New Roman" w:cs="Times New Roman"/>
        </w:rPr>
      </w:pPr>
      <w:r>
        <w:rPr>
          <w:rFonts w:ascii="Times New Roman" w:eastAsia="Times New Roman" w:hAnsi="Times New Roman" w:cs="Times New Roman"/>
          <w:noProof/>
          <w:color w:val="000000"/>
        </w:rPr>
        <w:drawing>
          <wp:inline distT="0" distB="0" distL="0" distR="0" wp14:anchorId="787BA212" wp14:editId="3A058134">
            <wp:extent cx="3939639" cy="3023718"/>
            <wp:effectExtent l="0" t="0" r="0" b="0"/>
            <wp:docPr id="14" name="image8.png" descr="https://lh5.googleusercontent.com/c1r-WP85J-FK2pQlMI3-AOPdXx3bfqy7__dN0Y6eFlB08YYtBhhJIW2UCfUrl_62O0CD-8GZCpGHJk_oxHUGtb_xopZS-hGIbJyX6_tBn0j7wa_Lwm8QI9sGdbmbzaRJsIe3U1zi"/>
            <wp:cNvGraphicFramePr/>
            <a:graphic xmlns:a="http://schemas.openxmlformats.org/drawingml/2006/main">
              <a:graphicData uri="http://schemas.openxmlformats.org/drawingml/2006/picture">
                <pic:pic xmlns:pic="http://schemas.openxmlformats.org/drawingml/2006/picture">
                  <pic:nvPicPr>
                    <pic:cNvPr id="0" name="image8.png" descr="https://lh5.googleusercontent.com/c1r-WP85J-FK2pQlMI3-AOPdXx3bfqy7__dN0Y6eFlB08YYtBhhJIW2UCfUrl_62O0CD-8GZCpGHJk_oxHUGtb_xopZS-hGIbJyX6_tBn0j7wa_Lwm8QI9sGdbmbzaRJsIe3U1zi"/>
                    <pic:cNvPicPr preferRelativeResize="0"/>
                  </pic:nvPicPr>
                  <pic:blipFill>
                    <a:blip r:embed="rId11"/>
                    <a:srcRect/>
                    <a:stretch>
                      <a:fillRect/>
                    </a:stretch>
                  </pic:blipFill>
                  <pic:spPr>
                    <a:xfrm>
                      <a:off x="0" y="0"/>
                      <a:ext cx="3939639" cy="3023718"/>
                    </a:xfrm>
                    <a:prstGeom prst="rect">
                      <a:avLst/>
                    </a:prstGeom>
                    <a:ln/>
                  </pic:spPr>
                </pic:pic>
              </a:graphicData>
            </a:graphic>
          </wp:inline>
        </w:drawing>
      </w:r>
    </w:p>
    <w:p w14:paraId="37B80441" w14:textId="77777777" w:rsidR="00B84936" w:rsidRDefault="001D1521">
      <w:pPr>
        <w:spacing w:line="480" w:lineRule="auto"/>
        <w:jc w:val="center"/>
        <w:rPr>
          <w:rFonts w:ascii="Times New Roman" w:eastAsia="Times New Roman" w:hAnsi="Times New Roman" w:cs="Times New Roman"/>
        </w:rPr>
      </w:pPr>
      <w:proofErr w:type="gramStart"/>
      <w:r>
        <w:rPr>
          <w:rFonts w:ascii="Times New Roman" w:eastAsia="Times New Roman" w:hAnsi="Times New Roman" w:cs="Times New Roman"/>
          <w:color w:val="000000"/>
        </w:rPr>
        <w:t>Figure 1 (Centers for Disease Control, 2019).</w:t>
      </w:r>
      <w:proofErr w:type="gramEnd"/>
    </w:p>
    <w:p w14:paraId="2987FD98" w14:textId="77777777" w:rsidR="00B84936" w:rsidRPr="00336BB7" w:rsidRDefault="001D1521" w:rsidP="00F30C77">
      <w:pPr>
        <w:pStyle w:val="Heading2"/>
        <w:rPr>
          <w:sz w:val="24"/>
          <w:szCs w:val="24"/>
        </w:rPr>
      </w:pPr>
      <w:bookmarkStart w:id="22" w:name="_Toc446789124"/>
      <w:r w:rsidRPr="00336BB7">
        <w:rPr>
          <w:sz w:val="24"/>
          <w:szCs w:val="24"/>
        </w:rPr>
        <w:t>The Problem of Mass Incarceration</w:t>
      </w:r>
      <w:bookmarkEnd w:id="22"/>
    </w:p>
    <w:p w14:paraId="61186ABC"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The incarcerated population in the U.S. quadrupled from 1980 through 2015 (Figure 2, </w:t>
      </w:r>
      <w:proofErr w:type="spellStart"/>
      <w:r>
        <w:rPr>
          <w:rFonts w:ascii="Times New Roman" w:eastAsia="Times New Roman" w:hAnsi="Times New Roman" w:cs="Times New Roman"/>
          <w:color w:val="000000"/>
        </w:rPr>
        <w:t>Morsy</w:t>
      </w:r>
      <w:proofErr w:type="spellEnd"/>
      <w:r>
        <w:rPr>
          <w:rFonts w:ascii="Times New Roman" w:eastAsia="Times New Roman" w:hAnsi="Times New Roman" w:cs="Times New Roman"/>
          <w:color w:val="000000"/>
        </w:rPr>
        <w:t xml:space="preserve"> &amp; Rothstein, 2016), despite no dramatic rise in crime, due to policy changes. Long mandatory minimum sentences, the decline of issuing paroles, and more punitive punishments to substance use disorders contributed to the rise in prison population (Travis &amp; Western, 2014). Entanglements with the criminal justice system have caused the prison population to increase despite crime rates decreasing by more than 50 percent after peaking in 1991 (</w:t>
      </w:r>
      <w:proofErr w:type="spellStart"/>
      <w:r>
        <w:rPr>
          <w:rFonts w:ascii="Times New Roman" w:eastAsia="Times New Roman" w:hAnsi="Times New Roman" w:cs="Times New Roman"/>
          <w:color w:val="000000"/>
        </w:rPr>
        <w:t>Ghandnoosh</w:t>
      </w:r>
      <w:proofErr w:type="spellEnd"/>
      <w:r>
        <w:rPr>
          <w:rFonts w:ascii="Times New Roman" w:eastAsia="Times New Roman" w:hAnsi="Times New Roman" w:cs="Times New Roman"/>
          <w:color w:val="000000"/>
        </w:rPr>
        <w:t xml:space="preserve">, 2017). Globally compared, other OECD </w:t>
      </w:r>
      <w:r>
        <w:rPr>
          <w:rFonts w:ascii="Times New Roman" w:eastAsia="Times New Roman" w:hAnsi="Times New Roman" w:cs="Times New Roman"/>
          <w:color w:val="000000"/>
        </w:rPr>
        <w:lastRenderedPageBreak/>
        <w:t>countries have incarceration rates that are 5 to 10 times lower (Figure 3, Wagner &amp; Walsh, 2016). This dramatic rise in mass incarceration has had detrimental impacts on working class people, particularly people of color in the U.S.</w:t>
      </w:r>
    </w:p>
    <w:p w14:paraId="00C3A92F" w14:textId="77777777" w:rsidR="00B84936" w:rsidRDefault="001D1521">
      <w:pPr>
        <w:spacing w:line="480" w:lineRule="auto"/>
        <w:jc w:val="center"/>
        <w:rPr>
          <w:rFonts w:ascii="Times New Roman" w:eastAsia="Times New Roman" w:hAnsi="Times New Roman" w:cs="Times New Roman"/>
        </w:rPr>
      </w:pPr>
      <w:r>
        <w:rPr>
          <w:rFonts w:ascii="Times New Roman" w:eastAsia="Times New Roman" w:hAnsi="Times New Roman" w:cs="Times New Roman"/>
          <w:noProof/>
          <w:color w:val="000000"/>
        </w:rPr>
        <w:drawing>
          <wp:inline distT="0" distB="0" distL="0" distR="0" wp14:anchorId="003A7AB1" wp14:editId="5E8180C3">
            <wp:extent cx="4189961" cy="3652894"/>
            <wp:effectExtent l="0" t="0" r="0" b="0"/>
            <wp:docPr id="13" name="image11.png" descr="https://lh4.googleusercontent.com/K-Eh_1WxbvOtqC0Vzxk0kua5gWL31RNb1A0rLvDeg4Pk7M9ke3eCVDOHE0ENRJrbP4DdA-EgaWV-rg73caOIdBgLOfmRaypSxb24hdMeKthtjQCYFteL_wg9KRXFJ-J71nBszyjS"/>
            <wp:cNvGraphicFramePr/>
            <a:graphic xmlns:a="http://schemas.openxmlformats.org/drawingml/2006/main">
              <a:graphicData uri="http://schemas.openxmlformats.org/drawingml/2006/picture">
                <pic:pic xmlns:pic="http://schemas.openxmlformats.org/drawingml/2006/picture">
                  <pic:nvPicPr>
                    <pic:cNvPr id="0" name="image11.png" descr="https://lh4.googleusercontent.com/K-Eh_1WxbvOtqC0Vzxk0kua5gWL31RNb1A0rLvDeg4Pk7M9ke3eCVDOHE0ENRJrbP4DdA-EgaWV-rg73caOIdBgLOfmRaypSxb24hdMeKthtjQCYFteL_wg9KRXFJ-J71nBszyjS"/>
                    <pic:cNvPicPr preferRelativeResize="0"/>
                  </pic:nvPicPr>
                  <pic:blipFill>
                    <a:blip r:embed="rId12"/>
                    <a:srcRect/>
                    <a:stretch>
                      <a:fillRect/>
                    </a:stretch>
                  </pic:blipFill>
                  <pic:spPr>
                    <a:xfrm>
                      <a:off x="0" y="0"/>
                      <a:ext cx="4189961" cy="3652894"/>
                    </a:xfrm>
                    <a:prstGeom prst="rect">
                      <a:avLst/>
                    </a:prstGeom>
                    <a:ln/>
                  </pic:spPr>
                </pic:pic>
              </a:graphicData>
            </a:graphic>
          </wp:inline>
        </w:drawing>
      </w:r>
    </w:p>
    <w:p w14:paraId="6D3E1F5A" w14:textId="77777777" w:rsidR="00B84936" w:rsidRDefault="001D1521">
      <w:pPr>
        <w:spacing w:line="480" w:lineRule="auto"/>
        <w:jc w:val="center"/>
        <w:rPr>
          <w:rFonts w:ascii="Times New Roman" w:eastAsia="Times New Roman" w:hAnsi="Times New Roman" w:cs="Times New Roman"/>
        </w:rPr>
      </w:pPr>
      <w:r>
        <w:rPr>
          <w:rFonts w:ascii="Times New Roman" w:eastAsia="Times New Roman" w:hAnsi="Times New Roman" w:cs="Times New Roman"/>
          <w:color w:val="000000"/>
        </w:rPr>
        <w:t>Figure 2 (</w:t>
      </w:r>
      <w:proofErr w:type="spellStart"/>
      <w:r>
        <w:rPr>
          <w:rFonts w:ascii="Times New Roman" w:eastAsia="Times New Roman" w:hAnsi="Times New Roman" w:cs="Times New Roman"/>
          <w:color w:val="000000"/>
        </w:rPr>
        <w:t>Morsy</w:t>
      </w:r>
      <w:proofErr w:type="spellEnd"/>
      <w:r>
        <w:rPr>
          <w:rFonts w:ascii="Times New Roman" w:eastAsia="Times New Roman" w:hAnsi="Times New Roman" w:cs="Times New Roman"/>
          <w:color w:val="000000"/>
        </w:rPr>
        <w:t xml:space="preserve"> &amp; Rothstein, 2016)</w:t>
      </w:r>
    </w:p>
    <w:p w14:paraId="0345B124" w14:textId="77777777" w:rsidR="00B84936" w:rsidRDefault="00B84936">
      <w:pPr>
        <w:rPr>
          <w:rFonts w:ascii="Times New Roman" w:eastAsia="Times New Roman" w:hAnsi="Times New Roman" w:cs="Times New Roman"/>
        </w:rPr>
      </w:pPr>
    </w:p>
    <w:p w14:paraId="23A9713F" w14:textId="77777777" w:rsidR="00B84936" w:rsidRDefault="001D1521">
      <w:pPr>
        <w:spacing w:line="480" w:lineRule="auto"/>
        <w:jc w:val="center"/>
        <w:rPr>
          <w:rFonts w:ascii="Times New Roman" w:eastAsia="Times New Roman" w:hAnsi="Times New Roman" w:cs="Times New Roman"/>
        </w:rPr>
      </w:pPr>
      <w:r>
        <w:rPr>
          <w:rFonts w:ascii="Times New Roman" w:eastAsia="Times New Roman" w:hAnsi="Times New Roman" w:cs="Times New Roman"/>
          <w:noProof/>
          <w:color w:val="000000"/>
        </w:rPr>
        <w:lastRenderedPageBreak/>
        <w:drawing>
          <wp:inline distT="0" distB="0" distL="0" distR="0" wp14:anchorId="293595FB" wp14:editId="07C77795">
            <wp:extent cx="5308953" cy="3429000"/>
            <wp:effectExtent l="0" t="0" r="0" b="0"/>
            <wp:docPr id="16" name="image7.png" descr="https://lh4.googleusercontent.com/BLRnq-bUiFKLvFElmA_1oOA2x9plWfr7cyOaCIBJJFlIbPjVkSKlzkkoAOVKzrRtOZEf_uPqGeO6kMg_SuykLRnUR1nBIRqMlOksmedpcbeM5ZQo_82_k2C9yB8j6OrjwqywX77G"/>
            <wp:cNvGraphicFramePr/>
            <a:graphic xmlns:a="http://schemas.openxmlformats.org/drawingml/2006/main">
              <a:graphicData uri="http://schemas.openxmlformats.org/drawingml/2006/picture">
                <pic:pic xmlns:pic="http://schemas.openxmlformats.org/drawingml/2006/picture">
                  <pic:nvPicPr>
                    <pic:cNvPr id="0" name="image7.png" descr="https://lh4.googleusercontent.com/BLRnq-bUiFKLvFElmA_1oOA2x9plWfr7cyOaCIBJJFlIbPjVkSKlzkkoAOVKzrRtOZEf_uPqGeO6kMg_SuykLRnUR1nBIRqMlOksmedpcbeM5ZQo_82_k2C9yB8j6OrjwqywX77G"/>
                    <pic:cNvPicPr preferRelativeResize="0"/>
                  </pic:nvPicPr>
                  <pic:blipFill>
                    <a:blip r:embed="rId13"/>
                    <a:srcRect/>
                    <a:stretch>
                      <a:fillRect/>
                    </a:stretch>
                  </pic:blipFill>
                  <pic:spPr>
                    <a:xfrm>
                      <a:off x="0" y="0"/>
                      <a:ext cx="5308953" cy="3429000"/>
                    </a:xfrm>
                    <a:prstGeom prst="rect">
                      <a:avLst/>
                    </a:prstGeom>
                    <a:ln/>
                  </pic:spPr>
                </pic:pic>
              </a:graphicData>
            </a:graphic>
          </wp:inline>
        </w:drawing>
      </w:r>
    </w:p>
    <w:p w14:paraId="366A3616" w14:textId="77777777" w:rsidR="00B84936" w:rsidRDefault="001D1521">
      <w:pPr>
        <w:spacing w:line="480" w:lineRule="auto"/>
        <w:jc w:val="center"/>
        <w:rPr>
          <w:rFonts w:ascii="Times New Roman" w:eastAsia="Times New Roman" w:hAnsi="Times New Roman" w:cs="Times New Roman"/>
        </w:rPr>
      </w:pPr>
      <w:r>
        <w:rPr>
          <w:rFonts w:ascii="Times New Roman" w:eastAsia="Times New Roman" w:hAnsi="Times New Roman" w:cs="Times New Roman"/>
          <w:color w:val="000000"/>
        </w:rPr>
        <w:t>Figure 3 (Wagner &amp; Walsh, 2016)</w:t>
      </w:r>
    </w:p>
    <w:p w14:paraId="23A9BD51" w14:textId="77777777" w:rsidR="00B84936" w:rsidRDefault="00B84936">
      <w:pPr>
        <w:rPr>
          <w:rFonts w:ascii="Times New Roman" w:eastAsia="Times New Roman" w:hAnsi="Times New Roman" w:cs="Times New Roman"/>
        </w:rPr>
      </w:pPr>
    </w:p>
    <w:p w14:paraId="41D07F4D"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From a racial perspective, more Black Americans in 2016 were incarcerated than there were slaves in 1850 (Alexander, 2012). Black people disproportionately constitute the 7 million Americans behind bars or monitored by probation or parole officers. Specifically, Black people make up 40 percent of the country’s prison population, while being only 13 percent of the broader population (Alexander, 2012). Although the Civil Rights Movement improved economic and social conditions of Black people in the U.S., mass incarceration has undermined the successes of the Civil Rights Movement. Incarceration amounted to Black American marginalization and disenfranchisement, continuing the legacy of racial exclusion and discrimination throughout generations. Although the rationalizations of racial discrimination have shape-shifted over time, from slavery, to Jim Crow, and to mass incarceration, the outcome of ostracizing Black Americans has remained the same (Alexander, 2012). Given that mass incarceration of </w:t>
      </w:r>
      <w:r>
        <w:rPr>
          <w:rFonts w:ascii="Times New Roman" w:eastAsia="Times New Roman" w:hAnsi="Times New Roman" w:cs="Times New Roman"/>
          <w:color w:val="000000"/>
        </w:rPr>
        <w:lastRenderedPageBreak/>
        <w:t>Black men mean mass political disenfranchisement, the Black American community and people of color in general have less electoral influence in shaping the policies that structure their lives.</w:t>
      </w:r>
    </w:p>
    <w:p w14:paraId="76B0939F" w14:textId="77777777" w:rsidR="00336BB7" w:rsidRDefault="00336BB7">
      <w:pPr>
        <w:spacing w:line="480" w:lineRule="auto"/>
        <w:ind w:firstLine="720"/>
        <w:rPr>
          <w:rFonts w:ascii="Times New Roman" w:eastAsia="Times New Roman" w:hAnsi="Times New Roman" w:cs="Times New Roman"/>
        </w:rPr>
      </w:pPr>
    </w:p>
    <w:p w14:paraId="6F1C351E" w14:textId="77777777" w:rsidR="00B84936" w:rsidRPr="00336BB7" w:rsidRDefault="001D1521" w:rsidP="00F30C77">
      <w:pPr>
        <w:pStyle w:val="Heading2"/>
        <w:rPr>
          <w:sz w:val="24"/>
          <w:szCs w:val="24"/>
        </w:rPr>
      </w:pPr>
      <w:bookmarkStart w:id="23" w:name="_Toc446789125"/>
      <w:r w:rsidRPr="00336BB7">
        <w:rPr>
          <w:sz w:val="24"/>
          <w:szCs w:val="24"/>
        </w:rPr>
        <w:t>Intersectional Cultural Analysis of Mass Incarceration</w:t>
      </w:r>
      <w:bookmarkEnd w:id="23"/>
      <w:r w:rsidRPr="00336BB7">
        <w:rPr>
          <w:sz w:val="24"/>
          <w:szCs w:val="24"/>
        </w:rPr>
        <w:t xml:space="preserve"> </w:t>
      </w:r>
    </w:p>
    <w:p w14:paraId="282EB191"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impacts of mass incarceration are not confined mostly on Black and Latino males alone. Further detrimental impacts emerge when interpersonal and community levels are assessed. One out of every 12 children, which amounts to more than 5.7 million under the age of 18 (approximately the size of Denmark’s 2020 population of 5.7 million), have had parents incarcerated at some point during their lives (Child and Adolescent Health Measurement Initiative, 2016). Impacts on these 5.7 million children range from depression, anxiety, aggression, and delinquency. The children of arrested and incarcerated parents experience trauma: </w:t>
      </w:r>
    </w:p>
    <w:p w14:paraId="225ED049" w14:textId="77777777" w:rsidR="00B84936" w:rsidRDefault="001D1521">
      <w:pPr>
        <w:ind w:left="7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With appalling regularity, young people describe being left to fend for themselves in empty apartments for weeks or even months in the wake of a parent’s arrest. In most cases, these children were not present when their parent was arrested; they simply came home from school to find their parents gone and were left to draw their own conclusions—not to mention cook their own dinner. But some told of watching police handcuff and remove a parent—the only adult in the house—and simply leave them behind (Bernstein, 2007, p. 14). </w:t>
      </w:r>
      <w:r>
        <w:rPr>
          <w:rFonts w:ascii="Times New Roman" w:eastAsia="Times New Roman" w:hAnsi="Times New Roman" w:cs="Times New Roman"/>
          <w:color w:val="000000"/>
          <w:sz w:val="20"/>
          <w:szCs w:val="20"/>
        </w:rPr>
        <w:br/>
      </w:r>
    </w:p>
    <w:p w14:paraId="2A69345F"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Consequences vary based on the child’s age and the length of parental incarceration (Child Welfare </w:t>
      </w:r>
      <w:proofErr w:type="spellStart"/>
      <w:r>
        <w:rPr>
          <w:rFonts w:ascii="Times New Roman" w:eastAsia="Times New Roman" w:hAnsi="Times New Roman" w:cs="Times New Roman"/>
          <w:color w:val="000000"/>
        </w:rPr>
        <w:t>Gotsch</w:t>
      </w:r>
      <w:proofErr w:type="spellEnd"/>
      <w:r>
        <w:rPr>
          <w:rFonts w:ascii="Times New Roman" w:eastAsia="Times New Roman" w:hAnsi="Times New Roman" w:cs="Times New Roman"/>
          <w:color w:val="000000"/>
        </w:rPr>
        <w:t>, 2018). Additionally, parental incarceration also impacts student performance and educational attainment. Children of incarcerated parents are more likely to drop out of school, develop learning disabilities, misbehave in school, suffer from migrates, asthma, high cholesterol, depression, anxiety, post-traumatic stress disorder, and homelessness (</w:t>
      </w:r>
      <w:proofErr w:type="spellStart"/>
      <w:r>
        <w:rPr>
          <w:rFonts w:ascii="Times New Roman" w:eastAsia="Times New Roman" w:hAnsi="Times New Roman" w:cs="Times New Roman"/>
          <w:color w:val="000000"/>
        </w:rPr>
        <w:t>Morsy</w:t>
      </w:r>
      <w:proofErr w:type="spellEnd"/>
      <w:r>
        <w:rPr>
          <w:rFonts w:ascii="Times New Roman" w:eastAsia="Times New Roman" w:hAnsi="Times New Roman" w:cs="Times New Roman"/>
          <w:color w:val="000000"/>
        </w:rPr>
        <w:t xml:space="preserve"> &amp; Rothstein, 2016)—all of which are social determinants of lower social mobility and increased inequality. </w:t>
      </w:r>
    </w:p>
    <w:p w14:paraId="210AEEAA" w14:textId="77777777" w:rsidR="00B84936" w:rsidRDefault="00B84936">
      <w:pPr>
        <w:rPr>
          <w:rFonts w:ascii="Times New Roman" w:eastAsia="Times New Roman" w:hAnsi="Times New Roman" w:cs="Times New Roman"/>
        </w:rPr>
      </w:pPr>
    </w:p>
    <w:p w14:paraId="3B72B48B"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To further hamper potential healing from patient to child bonding, prison location and policies also serve as obstacles in maintaining contact. The majority of parents in state and federal prisons are held more than 100 miles (160.9 km) from their prior residence. 43 percent of parents in federal prisons are more than 500 miles (804.6 km) away (The Sentencing Project, 2007). To compound these remote distances from their regular home, many prisons have limited hours of visitation and charge inordinate amounts for calls home at about $1 per minute, in addition to auxiliary fees, such as deposit, monthly account, and refund, and other non-transparent fees (</w:t>
      </w:r>
      <w:proofErr w:type="spellStart"/>
      <w:r>
        <w:rPr>
          <w:rFonts w:ascii="Times New Roman" w:eastAsia="Times New Roman" w:hAnsi="Times New Roman" w:cs="Times New Roman"/>
          <w:color w:val="000000"/>
        </w:rPr>
        <w:t>Kukorowski</w:t>
      </w:r>
      <w:proofErr w:type="spellEnd"/>
      <w:r>
        <w:rPr>
          <w:rFonts w:ascii="Times New Roman" w:eastAsia="Times New Roman" w:hAnsi="Times New Roman" w:cs="Times New Roman"/>
          <w:color w:val="000000"/>
        </w:rPr>
        <w:t xml:space="preserve"> et al., 2013). Although increased policing, harsher penalties, and longer sentences were purportedly designed to deter crime, viewing mass incarceration from the lens of the Socio-Ecological model illuminates the intersectional consequences that mass incarceration has on the collective.</w:t>
      </w:r>
    </w:p>
    <w:p w14:paraId="3A850898" w14:textId="77777777" w:rsidR="00B84936" w:rsidRDefault="00B84936">
      <w:pPr>
        <w:rPr>
          <w:rFonts w:ascii="Times New Roman" w:eastAsia="Times New Roman" w:hAnsi="Times New Roman" w:cs="Times New Roman"/>
        </w:rPr>
      </w:pPr>
    </w:p>
    <w:p w14:paraId="1CA78FBB" w14:textId="77777777" w:rsidR="00B84936" w:rsidRPr="00336BB7" w:rsidRDefault="001D1521" w:rsidP="00F30C77">
      <w:pPr>
        <w:pStyle w:val="Heading2"/>
        <w:rPr>
          <w:sz w:val="24"/>
          <w:szCs w:val="24"/>
        </w:rPr>
      </w:pPr>
      <w:bookmarkStart w:id="24" w:name="_Toc446789126"/>
      <w:r w:rsidRPr="00336BB7">
        <w:rPr>
          <w:sz w:val="24"/>
          <w:szCs w:val="24"/>
        </w:rPr>
        <w:t>The Impact of Mass Incarceration and Criminal Records on Access to Employment</w:t>
      </w:r>
      <w:bookmarkEnd w:id="24"/>
    </w:p>
    <w:p w14:paraId="6341AA9C"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Mass incarceration and its injurious outcomes on adults, children, and communities, most of </w:t>
      </w:r>
      <w:proofErr w:type="gramStart"/>
      <w:r>
        <w:rPr>
          <w:rFonts w:ascii="Times New Roman" w:eastAsia="Times New Roman" w:hAnsi="Times New Roman" w:cs="Times New Roman"/>
          <w:color w:val="000000"/>
        </w:rPr>
        <w:t>whom</w:t>
      </w:r>
      <w:proofErr w:type="gramEnd"/>
      <w:r>
        <w:rPr>
          <w:rFonts w:ascii="Times New Roman" w:eastAsia="Times New Roman" w:hAnsi="Times New Roman" w:cs="Times New Roman"/>
          <w:color w:val="000000"/>
        </w:rPr>
        <w:t xml:space="preserve"> are from working class families and communities of color, serve as impediments in entering the workforce. When people with criminal records apply for a job, there are no federal and scant protections at the state and local levels designed to prevent employers from discriminating. In 2012, the Equal Employment Opportunity Commission advised employers to exercise caution when basing hiring decisions on job applicants’ criminal records, explaining that it could disproportionately impact race and national origin (Maurer, 2018). Although court rulings have affirmed that </w:t>
      </w:r>
      <w:r>
        <w:rPr>
          <w:rFonts w:ascii="Times New Roman" w:eastAsia="Times New Roman" w:hAnsi="Times New Roman" w:cs="Times New Roman"/>
          <w:color w:val="000000"/>
        </w:rPr>
        <w:lastRenderedPageBreak/>
        <w:t xml:space="preserve">blanket bans on hiring former felons are unlawful, criminal background checks remain as routine pre-screening hiring methods. </w:t>
      </w:r>
    </w:p>
    <w:p w14:paraId="693B0CEB" w14:textId="77777777" w:rsidR="00B84936" w:rsidRDefault="00B84936">
      <w:pPr>
        <w:rPr>
          <w:rFonts w:ascii="Times New Roman" w:eastAsia="Times New Roman" w:hAnsi="Times New Roman" w:cs="Times New Roman"/>
        </w:rPr>
      </w:pPr>
    </w:p>
    <w:p w14:paraId="196B82F1"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Although there is some willingness to hire people with criminal records, only 5 percent of manager and 3 percent of Human Resource professionals indicated that their organization actively recruits people with criminal records. Employer concerns include the employer’s legal liability, unsatisfactory customer reactions, and punitive government regulations in local or state jurisdictions (</w:t>
      </w:r>
      <w:proofErr w:type="spellStart"/>
      <w:r>
        <w:rPr>
          <w:rFonts w:ascii="Times New Roman" w:eastAsia="Times New Roman" w:hAnsi="Times New Roman" w:cs="Times New Roman"/>
          <w:color w:val="000000"/>
        </w:rPr>
        <w:t>Gurchiek</w:t>
      </w:r>
      <w:proofErr w:type="spellEnd"/>
      <w:r>
        <w:rPr>
          <w:rFonts w:ascii="Times New Roman" w:eastAsia="Times New Roman" w:hAnsi="Times New Roman" w:cs="Times New Roman"/>
          <w:color w:val="000000"/>
        </w:rPr>
        <w:t>, 2018). The Society of Human Resource Management released a toolkit to support hiring those with criminal records for interested organizations (</w:t>
      </w:r>
      <w:proofErr w:type="spellStart"/>
      <w:r>
        <w:rPr>
          <w:rFonts w:ascii="Times New Roman" w:eastAsia="Times New Roman" w:hAnsi="Times New Roman" w:cs="Times New Roman"/>
          <w:color w:val="000000"/>
        </w:rPr>
        <w:t>Gurchiek</w:t>
      </w:r>
      <w:proofErr w:type="spellEnd"/>
      <w:r>
        <w:rPr>
          <w:rFonts w:ascii="Times New Roman" w:eastAsia="Times New Roman" w:hAnsi="Times New Roman" w:cs="Times New Roman"/>
          <w:color w:val="000000"/>
        </w:rPr>
        <w:t>, 2018). An intersectional Diversity and Inclusion intervention with Talent Acquisition involves a close consideration not only of organizational benefit but also of the social impact in the public’s interest that improves the lives of working class people of color—the very communities that endured mass incarceration disproportionately.  </w:t>
      </w:r>
    </w:p>
    <w:p w14:paraId="4C8B1CC9" w14:textId="77777777" w:rsidR="00336BB7" w:rsidRDefault="00336BB7">
      <w:pPr>
        <w:spacing w:line="480" w:lineRule="auto"/>
        <w:ind w:firstLine="720"/>
        <w:rPr>
          <w:rFonts w:ascii="Times New Roman" w:eastAsia="Times New Roman" w:hAnsi="Times New Roman" w:cs="Times New Roman"/>
        </w:rPr>
      </w:pPr>
    </w:p>
    <w:p w14:paraId="0FDC1E91" w14:textId="77777777" w:rsidR="00B84936" w:rsidRPr="00336BB7" w:rsidRDefault="001D1521" w:rsidP="00F30C77">
      <w:pPr>
        <w:pStyle w:val="Heading2"/>
        <w:rPr>
          <w:sz w:val="24"/>
          <w:szCs w:val="24"/>
        </w:rPr>
      </w:pPr>
      <w:bookmarkStart w:id="25" w:name="_Toc446789127"/>
      <w:r w:rsidRPr="00336BB7">
        <w:rPr>
          <w:sz w:val="24"/>
          <w:szCs w:val="24"/>
        </w:rPr>
        <w:t>Fostering Access to Employment: Fair-Chance Policies</w:t>
      </w:r>
      <w:bookmarkEnd w:id="25"/>
    </w:p>
    <w:p w14:paraId="0A8D6876"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Talent Acquisition practices </w:t>
      </w:r>
      <w:proofErr w:type="gramStart"/>
      <w:r>
        <w:rPr>
          <w:rFonts w:ascii="Times New Roman" w:eastAsia="Times New Roman" w:hAnsi="Times New Roman" w:cs="Times New Roman"/>
          <w:color w:val="000000"/>
        </w:rPr>
        <w:t>involve</w:t>
      </w:r>
      <w:proofErr w:type="gramEnd"/>
      <w:r>
        <w:rPr>
          <w:rFonts w:ascii="Times New Roman" w:eastAsia="Times New Roman" w:hAnsi="Times New Roman" w:cs="Times New Roman"/>
          <w:color w:val="000000"/>
        </w:rPr>
        <w:t xml:space="preserve"> fair-chance policies, where organizations could remove questions about arrests and convictions from job applications and delay them until post-job offer (Rodriguez, 2019). This application process change would enable recruiters and hiring managers to evaluate applicants first and foremost on qualifications instead of criminal records. Furthermore, organizations could go beyond eliminating “the box” and also make individualized assessments in lieu of blanket exclusions. This action involves the organization integrating the Equal Employment </w:t>
      </w:r>
      <w:r>
        <w:rPr>
          <w:rFonts w:ascii="Times New Roman" w:eastAsia="Times New Roman" w:hAnsi="Times New Roman" w:cs="Times New Roman"/>
          <w:color w:val="000000"/>
        </w:rPr>
        <w:lastRenderedPageBreak/>
        <w:t xml:space="preserve">Opportunity Commission arrest and conviction record guidelines that requires employers to factor time passed since the offense. There could additionally be consideration of rehabilitation documentation and assessments whether the offense is position-related (National Employment Law Project, 2017). </w:t>
      </w:r>
    </w:p>
    <w:p w14:paraId="6DED2ACA" w14:textId="77777777" w:rsidR="00336BB7" w:rsidRDefault="00336BB7">
      <w:pPr>
        <w:spacing w:line="480" w:lineRule="auto"/>
        <w:ind w:firstLine="720"/>
        <w:rPr>
          <w:rFonts w:ascii="Times New Roman" w:eastAsia="Times New Roman" w:hAnsi="Times New Roman" w:cs="Times New Roman"/>
        </w:rPr>
      </w:pPr>
    </w:p>
    <w:p w14:paraId="3E8F82DD" w14:textId="77777777" w:rsidR="00B84936" w:rsidRPr="00336BB7" w:rsidRDefault="001D1521" w:rsidP="00F30C77">
      <w:pPr>
        <w:pStyle w:val="Heading2"/>
        <w:rPr>
          <w:sz w:val="24"/>
          <w:szCs w:val="24"/>
        </w:rPr>
      </w:pPr>
      <w:bookmarkStart w:id="26" w:name="_Toc446789128"/>
      <w:r w:rsidRPr="00336BB7">
        <w:rPr>
          <w:sz w:val="24"/>
          <w:szCs w:val="24"/>
        </w:rPr>
        <w:t>Organizational Incentives and their Limitations</w:t>
      </w:r>
      <w:bookmarkEnd w:id="26"/>
    </w:p>
    <w:p w14:paraId="229C3F50"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The U.S. Internal Revenue Service offers the Work Opportunity Tax Credit, a federal tax credit available to employers for hiring individuals “from certain targeted groups that consistently faced significant barriers to employment” (U.S. Internal Revenue Service, 2020), which includes the formerly incarcerated. Through this tax credit, if a worker works at least 120 hours per year, their organization could claim a 25 percent tax credit for their first year’s wages and 40 percent should that worker work 400 </w:t>
      </w:r>
      <w:proofErr w:type="gramStart"/>
      <w:r>
        <w:rPr>
          <w:rFonts w:ascii="Times New Roman" w:eastAsia="Times New Roman" w:hAnsi="Times New Roman" w:cs="Times New Roman"/>
          <w:color w:val="000000"/>
        </w:rPr>
        <w:t>hours.</w:t>
      </w:r>
      <w:proofErr w:type="gramEnd"/>
      <w:r>
        <w:rPr>
          <w:rFonts w:ascii="Times New Roman" w:eastAsia="Times New Roman" w:hAnsi="Times New Roman" w:cs="Times New Roman"/>
          <w:color w:val="000000"/>
        </w:rPr>
        <w:t> 59 percent of employers would consider a formerly incarcerated individual with one conviction if they were given an incentive in the form of a tax credit, which employers are offered under the federal Work Opportunity Tax Credit (Hunt et al., 2018).</w:t>
      </w:r>
    </w:p>
    <w:p w14:paraId="5F35B089" w14:textId="77777777" w:rsidR="00B84936" w:rsidRDefault="00B84936">
      <w:pPr>
        <w:rPr>
          <w:rFonts w:ascii="Times New Roman" w:eastAsia="Times New Roman" w:hAnsi="Times New Roman" w:cs="Times New Roman"/>
        </w:rPr>
      </w:pPr>
    </w:p>
    <w:p w14:paraId="29C254C2"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Similar public policy incentives for organizations exist in local jurisdictions. For example, the Philadelphia Fair Chance Hiring Initiative grants cash reimbursement to employers who hire the formerly incarcerated released recently within the past five years (City of Philadelphia, 2020). Designed to reassure </w:t>
      </w:r>
      <w:proofErr w:type="gramStart"/>
      <w:r>
        <w:rPr>
          <w:rFonts w:ascii="Times New Roman" w:eastAsia="Times New Roman" w:hAnsi="Times New Roman" w:cs="Times New Roman"/>
          <w:color w:val="000000"/>
        </w:rPr>
        <w:t>employers</w:t>
      </w:r>
      <w:proofErr w:type="gramEnd"/>
      <w:r>
        <w:rPr>
          <w:rFonts w:ascii="Times New Roman" w:eastAsia="Times New Roman" w:hAnsi="Times New Roman" w:cs="Times New Roman"/>
          <w:color w:val="000000"/>
        </w:rPr>
        <w:t xml:space="preserve"> who are apprehensive of risk, the U.S. Federal Bonding Program bonds former felons who organizations have hired (U.S. Department of Labor, 2016). The federal bond provides the organization with </w:t>
      </w:r>
      <w:r>
        <w:rPr>
          <w:rFonts w:ascii="Times New Roman" w:eastAsia="Times New Roman" w:hAnsi="Times New Roman" w:cs="Times New Roman"/>
          <w:color w:val="000000"/>
        </w:rPr>
        <w:lastRenderedPageBreak/>
        <w:t>compensation in the event that the employer experiences theft or loss due to the hire’s dishonest actions. </w:t>
      </w:r>
    </w:p>
    <w:p w14:paraId="1F3A59EA" w14:textId="77777777" w:rsidR="00B84936" w:rsidRDefault="00B84936">
      <w:pPr>
        <w:rPr>
          <w:rFonts w:ascii="Times New Roman" w:eastAsia="Times New Roman" w:hAnsi="Times New Roman" w:cs="Times New Roman"/>
        </w:rPr>
      </w:pPr>
    </w:p>
    <w:p w14:paraId="1C982BC5"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Despite a high percentage of employer interest in hiring those with records, these tax incentives remain to be insufficient in eliminating joblessness among the formerly incarcerated, the working class, people of color, and their intersections. This leaves opportunity for public policy makers in pursuing full employment for the populations most impacted by the New Gilded Age. </w:t>
      </w:r>
    </w:p>
    <w:p w14:paraId="14D3DC2B" w14:textId="77777777" w:rsidR="00336BB7" w:rsidRDefault="00336BB7">
      <w:pPr>
        <w:spacing w:line="480" w:lineRule="auto"/>
        <w:ind w:firstLine="720"/>
        <w:rPr>
          <w:rFonts w:ascii="Times New Roman" w:eastAsia="Times New Roman" w:hAnsi="Times New Roman" w:cs="Times New Roman"/>
        </w:rPr>
      </w:pPr>
    </w:p>
    <w:p w14:paraId="1EB2088F" w14:textId="77777777" w:rsidR="00B84936" w:rsidRPr="00336BB7" w:rsidRDefault="001D1521" w:rsidP="00F30C77">
      <w:pPr>
        <w:pStyle w:val="Heading2"/>
        <w:rPr>
          <w:sz w:val="24"/>
          <w:szCs w:val="24"/>
        </w:rPr>
      </w:pPr>
      <w:bookmarkStart w:id="27" w:name="_Toc446789129"/>
      <w:r w:rsidRPr="00336BB7">
        <w:rPr>
          <w:sz w:val="24"/>
          <w:szCs w:val="24"/>
        </w:rPr>
        <w:t>Diversity Talent Pools and Enrichment Pipeline Programs</w:t>
      </w:r>
      <w:bookmarkEnd w:id="27"/>
    </w:p>
    <w:p w14:paraId="2EFF0C80"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Diversity and Inclusion, together with Learning and Development, could engage in strategic community partnerships to rehabilitate those with criminal records. For example, the Johns Hopkins Health System has hired more than 1,000 people with criminal backgrounds at its hospitals and clinics in Maryland and Florida by partnering with non-profit organizations, such as Our Daily Bread Employment Center, Helping Up Mission, and Turnaround Tuesday. Through engaging with the local community, the health system cultivates a talent pool trained by developing an enrichment pipeline program in soft skills, hand shakes, providing and receiving feedback, and operational skills, such as planning and scheduling (Rosenberg, 2019). </w:t>
      </w:r>
    </w:p>
    <w:p w14:paraId="098F46F9" w14:textId="77777777" w:rsidR="00B84936" w:rsidRDefault="00B84936">
      <w:pPr>
        <w:rPr>
          <w:rFonts w:ascii="Times New Roman" w:eastAsia="Times New Roman" w:hAnsi="Times New Roman" w:cs="Times New Roman"/>
        </w:rPr>
      </w:pPr>
    </w:p>
    <w:p w14:paraId="58A261F9"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Another example of a pipeline program that trains the formerly incarcerated to be more qualified candidates is at the tech company Slack. Slack names its program Next Chapter, a Learning and Development pilot, which cultivates formerly incarcerated individuals into engineering roles (Slack, 2019c). Participants undergo eight months of </w:t>
      </w:r>
      <w:r>
        <w:rPr>
          <w:rFonts w:ascii="Times New Roman" w:eastAsia="Times New Roman" w:hAnsi="Times New Roman" w:cs="Times New Roman"/>
          <w:color w:val="000000"/>
        </w:rPr>
        <w:lastRenderedPageBreak/>
        <w:t>coding training, career development conversations, one-on-one coaching (Butterfield, 2018), in order to complete the Next Chapter apprenticeship program (Slack, 2019b). Although the apprenticeship is not a job guarantee, Slack’s 2019 Diversity and Inclusion Annual Report states that finishing the apprenticeship allows the formerly incarcerated candidate to be recruited and offered full-time Slack positions (Slack, 2019a). </w:t>
      </w:r>
    </w:p>
    <w:p w14:paraId="68956B0A" w14:textId="77777777" w:rsidR="00B84936" w:rsidRDefault="00B84936">
      <w:pPr>
        <w:rPr>
          <w:rFonts w:ascii="Times New Roman" w:eastAsia="Times New Roman" w:hAnsi="Times New Roman" w:cs="Times New Roman"/>
        </w:rPr>
      </w:pPr>
    </w:p>
    <w:p w14:paraId="473859D1"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After the pilot’s first iteration, Slack decided to place all three graduates (100 percent of its cohort) into full-time jobs internally. While Slack’s Next Chapter was a courageous and trailblazing Diversity and Inclusion intervention, its social impact was limited given its cohort size of three—a humble figure out of California’s approximately 115,000 incarcerated individuals spread across its 35 overcrowded prisons in 2017 (Public Policy Institute of California, 2019). The pilot would have to be emulated by more companies across industries in order to scale social impact and create a prison to career diversity talent pipeline that would meaningfully facilitate the reentry of America’s large prison population into the workforce.</w:t>
      </w:r>
    </w:p>
    <w:p w14:paraId="57DA7214" w14:textId="77777777" w:rsidR="001D1521" w:rsidRDefault="001D1521">
      <w:pPr>
        <w:spacing w:line="480" w:lineRule="auto"/>
        <w:ind w:firstLine="720"/>
        <w:rPr>
          <w:rFonts w:ascii="Times New Roman" w:eastAsia="Times New Roman" w:hAnsi="Times New Roman" w:cs="Times New Roman"/>
        </w:rPr>
      </w:pPr>
    </w:p>
    <w:p w14:paraId="72574A38" w14:textId="77777777" w:rsidR="00B84936" w:rsidRPr="00336BB7" w:rsidRDefault="001D1521" w:rsidP="00F30C77">
      <w:pPr>
        <w:pStyle w:val="Heading2"/>
        <w:rPr>
          <w:sz w:val="24"/>
          <w:szCs w:val="24"/>
        </w:rPr>
      </w:pPr>
      <w:bookmarkStart w:id="28" w:name="_Toc446789130"/>
      <w:r w:rsidRPr="00336BB7">
        <w:rPr>
          <w:sz w:val="24"/>
          <w:szCs w:val="24"/>
        </w:rPr>
        <w:t>Innovative Yet Modest Organizational Social Impacts</w:t>
      </w:r>
      <w:bookmarkEnd w:id="28"/>
    </w:p>
    <w:p w14:paraId="19C74832"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Because private and non-profit initiatives such as Next Chapter are in their early stages with modest social impact to date, intersectional public policy could scale the improvement of the socioeconomic well being of the formerly incarcerated, people of color, and working class people by creating secure jobs and increasing compensation. Although the U.S. has a low official unemployment rate at 3.5 percent as of December 2019 (U.S. Bureau of Labor Statistics, 2019), millions who occupy part-time roles seek </w:t>
      </w:r>
      <w:r>
        <w:rPr>
          <w:rFonts w:ascii="Times New Roman" w:eastAsia="Times New Roman" w:hAnsi="Times New Roman" w:cs="Times New Roman"/>
          <w:color w:val="000000"/>
        </w:rPr>
        <w:lastRenderedPageBreak/>
        <w:t>full-time jobs. In addition, discouraged parts of the workforce are uncounted in the unemployment rate (U.S. Bureau of Labor Statistics, 2014), meaning that those who have endured the physical and psychological toll of the job search and those who face discrimination and subsequently give up applying are uncounted in the nation’s assessment of employment. Additionally, despite low official reported unemployment, many jobs pay insufficient income in order to lift Americans out of poverty. A policy proposal that would tackle joblessness, subpar earnings, and cater to discouraged workers is the “Jobs and an Economy for All,” or what in economics literature is called the Federal Jobs Guarantee (</w:t>
      </w:r>
      <w:proofErr w:type="spellStart"/>
      <w:r>
        <w:rPr>
          <w:rFonts w:ascii="Times New Roman" w:eastAsia="Times New Roman" w:hAnsi="Times New Roman" w:cs="Times New Roman"/>
          <w:color w:val="000000"/>
        </w:rPr>
        <w:t>Kelton</w:t>
      </w:r>
      <w:proofErr w:type="spellEnd"/>
      <w:r>
        <w:rPr>
          <w:rFonts w:ascii="Times New Roman" w:eastAsia="Times New Roman" w:hAnsi="Times New Roman" w:cs="Times New Roman"/>
          <w:color w:val="000000"/>
        </w:rPr>
        <w:t xml:space="preserve">, 2020; Wray, 2018; </w:t>
      </w:r>
      <w:proofErr w:type="spellStart"/>
      <w:r>
        <w:rPr>
          <w:rFonts w:ascii="Times New Roman" w:eastAsia="Times New Roman" w:hAnsi="Times New Roman" w:cs="Times New Roman"/>
          <w:color w:val="000000"/>
        </w:rPr>
        <w:t>Tcherneva</w:t>
      </w:r>
      <w:proofErr w:type="spellEnd"/>
      <w:r>
        <w:rPr>
          <w:rFonts w:ascii="Times New Roman" w:eastAsia="Times New Roman" w:hAnsi="Times New Roman" w:cs="Times New Roman"/>
          <w:color w:val="000000"/>
        </w:rPr>
        <w:t xml:space="preserve">, 2018), as spearheaded by U.S. Vermont Senator Bernie Sanders and the progressive movement (Sanders, 2019ba; </w:t>
      </w:r>
      <w:proofErr w:type="spellStart"/>
      <w:r>
        <w:rPr>
          <w:rFonts w:ascii="Times New Roman" w:eastAsia="Times New Roman" w:hAnsi="Times New Roman" w:cs="Times New Roman"/>
          <w:color w:val="000000"/>
        </w:rPr>
        <w:t>Paddison</w:t>
      </w:r>
      <w:proofErr w:type="spellEnd"/>
      <w:r>
        <w:rPr>
          <w:rFonts w:ascii="Times New Roman" w:eastAsia="Times New Roman" w:hAnsi="Times New Roman" w:cs="Times New Roman"/>
          <w:color w:val="000000"/>
        </w:rPr>
        <w:t>, 2018; Matthews, 2018). </w:t>
      </w:r>
    </w:p>
    <w:p w14:paraId="0D2977C4" w14:textId="77777777" w:rsidR="00336BB7" w:rsidRDefault="00336BB7">
      <w:pPr>
        <w:spacing w:line="480" w:lineRule="auto"/>
        <w:ind w:firstLine="720"/>
        <w:rPr>
          <w:rFonts w:ascii="Times New Roman" w:eastAsia="Times New Roman" w:hAnsi="Times New Roman" w:cs="Times New Roman"/>
        </w:rPr>
      </w:pPr>
    </w:p>
    <w:p w14:paraId="0AE44644" w14:textId="77777777" w:rsidR="00B84936" w:rsidRPr="00336BB7" w:rsidRDefault="001D1521" w:rsidP="00F30C77">
      <w:pPr>
        <w:pStyle w:val="Heading2"/>
        <w:rPr>
          <w:sz w:val="24"/>
          <w:szCs w:val="24"/>
        </w:rPr>
      </w:pPr>
      <w:bookmarkStart w:id="29" w:name="_Toc446789131"/>
      <w:r w:rsidRPr="00336BB7">
        <w:rPr>
          <w:sz w:val="24"/>
          <w:szCs w:val="24"/>
        </w:rPr>
        <w:t>An Intersectional Public Policy Solution: Guaranteed Government Jobs</w:t>
      </w:r>
      <w:bookmarkEnd w:id="29"/>
    </w:p>
    <w:p w14:paraId="72684AAF"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guaranteed federal jobs would focus on positions to support seniors and people with disabilities, greening U.S. infrastructure as part of the Green New Deal to repair infrastructure and create a 100 percent renewable energy system, public early childhood education, eldercare, and staffing national parks. The federal government would serve as a job creator and safety net by connecting jobs to people who are unable to find a job that pays a living wage with decent benefits and predictable hours. </w:t>
      </w:r>
    </w:p>
    <w:p w14:paraId="26060D51"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program would offer a job at the living wage of $15 per hour for approximately 32 hours per week with a basic benefits package, inclusive of health insurance and childcare, to those who are ready and willing to work on projects that serve a public purpose (Wray et al., 2018). The Federal Jobs Guarantee would have the effect </w:t>
      </w:r>
      <w:r>
        <w:rPr>
          <w:rFonts w:ascii="Times New Roman" w:eastAsia="Times New Roman" w:hAnsi="Times New Roman" w:cs="Times New Roman"/>
          <w:color w:val="000000"/>
        </w:rPr>
        <w:lastRenderedPageBreak/>
        <w:t>of serving as a nation-wide economic stabilizer during economic recessions. Given that the working class often lose their jobs during economic downturns, the federal government would serve as the employer of last resort should people and struggle in finding a job in the private sector (</w:t>
      </w:r>
      <w:proofErr w:type="spellStart"/>
      <w:r>
        <w:rPr>
          <w:rFonts w:ascii="Times New Roman" w:eastAsia="Times New Roman" w:hAnsi="Times New Roman" w:cs="Times New Roman"/>
          <w:color w:val="000000"/>
        </w:rPr>
        <w:t>Fullwiler</w:t>
      </w:r>
      <w:proofErr w:type="spellEnd"/>
      <w:r>
        <w:rPr>
          <w:rFonts w:ascii="Times New Roman" w:eastAsia="Times New Roman" w:hAnsi="Times New Roman" w:cs="Times New Roman"/>
          <w:color w:val="000000"/>
        </w:rPr>
        <w:t>, 2007, p. 93). Moreover, by creating guaranteed jobs, the proposal would serve as the new floor for job quality nation-wide as it would give low-wage workers increased bargaining powers towards more manageable hours and higher wages (Figure 4, Reich 2019). Workers could leverage the option of the guaranteed public job if their employers do not provide higher working standards in hours, compensation, and benefits.</w:t>
      </w:r>
    </w:p>
    <w:p w14:paraId="5139AC13" w14:textId="77777777" w:rsidR="001D1521" w:rsidRDefault="001D1521">
      <w:pPr>
        <w:spacing w:line="480" w:lineRule="auto"/>
        <w:ind w:firstLine="720"/>
        <w:rPr>
          <w:rFonts w:ascii="Times New Roman" w:eastAsia="Times New Roman" w:hAnsi="Times New Roman" w:cs="Times New Roman"/>
          <w:color w:val="000000"/>
        </w:rPr>
      </w:pPr>
    </w:p>
    <w:p w14:paraId="2C8B31F7" w14:textId="77777777" w:rsidR="00B84936" w:rsidRDefault="00B84936">
      <w:pPr>
        <w:rPr>
          <w:rFonts w:ascii="Times New Roman" w:eastAsia="Times New Roman" w:hAnsi="Times New Roman" w:cs="Times New Roman"/>
        </w:rPr>
      </w:pPr>
    </w:p>
    <w:p w14:paraId="73089B22" w14:textId="77777777" w:rsidR="00B84936" w:rsidRDefault="001D1521">
      <w:pPr>
        <w:spacing w:line="480" w:lineRule="auto"/>
        <w:jc w:val="center"/>
        <w:rPr>
          <w:rFonts w:ascii="Times New Roman" w:eastAsia="Times New Roman" w:hAnsi="Times New Roman" w:cs="Times New Roman"/>
        </w:rPr>
      </w:pPr>
      <w:r>
        <w:rPr>
          <w:rFonts w:ascii="Times New Roman" w:eastAsia="Times New Roman" w:hAnsi="Times New Roman" w:cs="Times New Roman"/>
          <w:noProof/>
          <w:color w:val="000000"/>
        </w:rPr>
        <w:drawing>
          <wp:inline distT="0" distB="0" distL="0" distR="0" wp14:anchorId="0A4347DA" wp14:editId="52283CED">
            <wp:extent cx="2482230" cy="2267736"/>
            <wp:effectExtent l="0" t="0" r="0" b="0"/>
            <wp:docPr id="15" name="image12.png" descr="https://lh5.googleusercontent.com/AAwx8-8q11EBcek6-NS-VUJyxTdwQSE4ssSAY5zT8hJEKBw9HbJXOsHy_vQ12pad_J2fhF33LSOjPmDS6cgDQlwI_7rVvZspT7WOXvESq5V0FRwYXIy794pbRXdsAseU9ECKQNVi"/>
            <wp:cNvGraphicFramePr/>
            <a:graphic xmlns:a="http://schemas.openxmlformats.org/drawingml/2006/main">
              <a:graphicData uri="http://schemas.openxmlformats.org/drawingml/2006/picture">
                <pic:pic xmlns:pic="http://schemas.openxmlformats.org/drawingml/2006/picture">
                  <pic:nvPicPr>
                    <pic:cNvPr id="0" name="image12.png" descr="https://lh5.googleusercontent.com/AAwx8-8q11EBcek6-NS-VUJyxTdwQSE4ssSAY5zT8hJEKBw9HbJXOsHy_vQ12pad_J2fhF33LSOjPmDS6cgDQlwI_7rVvZspT7WOXvESq5V0FRwYXIy794pbRXdsAseU9ECKQNVi"/>
                    <pic:cNvPicPr preferRelativeResize="0"/>
                  </pic:nvPicPr>
                  <pic:blipFill>
                    <a:blip r:embed="rId14"/>
                    <a:srcRect/>
                    <a:stretch>
                      <a:fillRect/>
                    </a:stretch>
                  </pic:blipFill>
                  <pic:spPr>
                    <a:xfrm>
                      <a:off x="0" y="0"/>
                      <a:ext cx="2482230" cy="2267736"/>
                    </a:xfrm>
                    <a:prstGeom prst="rect">
                      <a:avLst/>
                    </a:prstGeom>
                    <a:ln/>
                  </pic:spPr>
                </pic:pic>
              </a:graphicData>
            </a:graphic>
          </wp:inline>
        </w:drawing>
      </w:r>
    </w:p>
    <w:p w14:paraId="2C344F5B" w14:textId="77777777" w:rsidR="00B84936" w:rsidRDefault="001D1521">
      <w:pPr>
        <w:spacing w:line="480" w:lineRule="auto"/>
        <w:jc w:val="center"/>
        <w:rPr>
          <w:rFonts w:ascii="Times New Roman" w:eastAsia="Times New Roman" w:hAnsi="Times New Roman" w:cs="Times New Roman"/>
        </w:rPr>
      </w:pPr>
      <w:r>
        <w:rPr>
          <w:rFonts w:ascii="Times New Roman" w:eastAsia="Times New Roman" w:hAnsi="Times New Roman" w:cs="Times New Roman"/>
          <w:color w:val="000000"/>
        </w:rPr>
        <w:t>Figure 4 (Reich, 2019)</w:t>
      </w:r>
    </w:p>
    <w:p w14:paraId="6DD50E07" w14:textId="77777777" w:rsidR="00B84936" w:rsidRDefault="00B84936">
      <w:pPr>
        <w:rPr>
          <w:rFonts w:ascii="Times New Roman" w:eastAsia="Times New Roman" w:hAnsi="Times New Roman" w:cs="Times New Roman"/>
        </w:rPr>
      </w:pPr>
    </w:p>
    <w:p w14:paraId="218816AF"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While the proposed Federal Jobs Guarantee’s first year projected expenditure is priced at $670 billion, this is $30 billion less than the military budget. The annual operational cost would also diminish quickly over time (Reich, 2019). By lifting Americans out of poverty and increasing productivity and output (Paul et al., 2018, p. 44), the job guarantee would lead to increased wages, elevating purchasing power. This </w:t>
      </w:r>
      <w:r>
        <w:rPr>
          <w:rFonts w:ascii="Times New Roman" w:eastAsia="Times New Roman" w:hAnsi="Times New Roman" w:cs="Times New Roman"/>
          <w:color w:val="000000"/>
        </w:rPr>
        <w:lastRenderedPageBreak/>
        <w:t>increased productivity, economic activity, and demand for goods and services would lead to more hiring in the private sector (Wray, 2018). Collectively, the increased number of people in the workforce, higher wages, and the rise in demand for goods and services, would generate more tax revenue, which would offset start-up and annual operational program costs (Reich, 2019). Furthermore, additional savings would come from public assistance savings. Since the job guarantee would lift millions from poverty and create a larger middle class, fewer would require public assistance to survive, which would generate up to $150 billion in savings per year. This is the amount that the federal government spends on “corporate welfare,” what taxpayers provide to working class workers to survive because their employers do not pay them a living wage (Jacobs et al., 2015), meaning taxpayers in effect publicly subsidize corporations that insufficiently pay their workforce.</w:t>
      </w:r>
    </w:p>
    <w:p w14:paraId="7CDB0007" w14:textId="77777777" w:rsidR="00336BB7" w:rsidRDefault="00336BB7">
      <w:pPr>
        <w:spacing w:line="480" w:lineRule="auto"/>
        <w:ind w:firstLine="720"/>
        <w:rPr>
          <w:rFonts w:ascii="Times New Roman" w:eastAsia="Times New Roman" w:hAnsi="Times New Roman" w:cs="Times New Roman"/>
        </w:rPr>
      </w:pPr>
    </w:p>
    <w:p w14:paraId="789CFF2E" w14:textId="77777777" w:rsidR="00B84936" w:rsidRPr="00336BB7" w:rsidRDefault="001D1521" w:rsidP="00F30C77">
      <w:pPr>
        <w:pStyle w:val="Heading2"/>
        <w:rPr>
          <w:sz w:val="24"/>
          <w:szCs w:val="24"/>
        </w:rPr>
      </w:pPr>
      <w:bookmarkStart w:id="30" w:name="_Toc446789132"/>
      <w:r w:rsidRPr="00336BB7">
        <w:rPr>
          <w:sz w:val="24"/>
          <w:szCs w:val="24"/>
        </w:rPr>
        <w:t>Transforming the U.S. Economy to be Inclusive</w:t>
      </w:r>
      <w:bookmarkEnd w:id="30"/>
    </w:p>
    <w:p w14:paraId="39F6849E"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The Federal Jobs Guarantee would “eliminate working poverty and involuntary unemployment together” (</w:t>
      </w:r>
      <w:proofErr w:type="spellStart"/>
      <w:r>
        <w:rPr>
          <w:rFonts w:ascii="Times New Roman" w:eastAsia="Times New Roman" w:hAnsi="Times New Roman" w:cs="Times New Roman"/>
          <w:color w:val="000000"/>
        </w:rPr>
        <w:t>Darrick</w:t>
      </w:r>
      <w:proofErr w:type="spellEnd"/>
      <w:r>
        <w:rPr>
          <w:rFonts w:ascii="Times New Roman" w:eastAsia="Times New Roman" w:hAnsi="Times New Roman" w:cs="Times New Roman"/>
          <w:color w:val="000000"/>
        </w:rPr>
        <w:t xml:space="preserve"> Hamilton as cited in Stein, 2018), since guaranteed federal jobs would pay compensation and benefits and all who would like and are seeking for a job would be entitled to one. The program would eradicate involuntary unemployment because it would create jobs that fit people as they are, regardless of disparities in qualifications, and would create employment in the communities where people live. Acting as a “radical departure from the neoliberalism that has dominated national policy for the past decade” (Wray et al., 2018, p. 3), the job guarantee would fundamentally restructure the U.S. economy, economy that has experienced “stagnant </w:t>
      </w:r>
      <w:r>
        <w:rPr>
          <w:rFonts w:ascii="Times New Roman" w:eastAsia="Times New Roman" w:hAnsi="Times New Roman" w:cs="Times New Roman"/>
          <w:color w:val="000000"/>
        </w:rPr>
        <w:lastRenderedPageBreak/>
        <w:t>wages, chronically high unemployment, declining labor force participation among prime-age male workers, rising inequality that already exceeds the levels achieved during America’s notorious ‘Gilded Age,’ and an explosion of household debt” (Wray et al., 2018, p. 3). In 2016, despite having a job, 9.5 million spent more than half a year working remained in poverty. Under the job guarantee, Americans who paid $15 an hour for 32 hours a week, one full-time worker would be able to lift their family of up to five out of poverty. With one full-time and one part-time worker in the program, an eight-person household would be lifted above the poverty line (Wray et al., 2018, p. 2).</w:t>
      </w:r>
    </w:p>
    <w:p w14:paraId="414A7372"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Through its universal approach, the program would rebuild the middle class, improve working conditions, and increase pay for most Americans in both public and private sectors. The universality of the guarantee emphasizes interconnectedness across groups and </w:t>
      </w:r>
      <w:proofErr w:type="gramStart"/>
      <w:r>
        <w:rPr>
          <w:rFonts w:ascii="Times New Roman" w:eastAsia="Times New Roman" w:hAnsi="Times New Roman" w:cs="Times New Roman"/>
          <w:color w:val="000000"/>
        </w:rPr>
        <w:t>communities</w:t>
      </w:r>
      <w:proofErr w:type="gramEnd"/>
      <w:r>
        <w:rPr>
          <w:rFonts w:ascii="Times New Roman" w:eastAsia="Times New Roman" w:hAnsi="Times New Roman" w:cs="Times New Roman"/>
          <w:color w:val="000000"/>
        </w:rPr>
        <w:t xml:space="preserve"> nation-wide, an indispensable value and strategy in coalition-based movements. The universal impact of the job guarantee would advance economic justice, racial justice, gender equity, and environmental justice, while transforming a government for “the 1 percent,” as has been the 30-year macroeconomic trend, to one that serves all Americans. As </w:t>
      </w:r>
      <w:proofErr w:type="spellStart"/>
      <w:r>
        <w:rPr>
          <w:rFonts w:ascii="Times New Roman" w:eastAsia="Times New Roman" w:hAnsi="Times New Roman" w:cs="Times New Roman"/>
          <w:color w:val="000000"/>
        </w:rPr>
        <w:t>Lugones</w:t>
      </w:r>
      <w:proofErr w:type="spellEnd"/>
      <w:r>
        <w:rPr>
          <w:rFonts w:ascii="Times New Roman" w:eastAsia="Times New Roman" w:hAnsi="Times New Roman" w:cs="Times New Roman"/>
          <w:color w:val="000000"/>
        </w:rPr>
        <w:t xml:space="preserve"> writes, if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is to fulfill its coalitional </w:t>
      </w:r>
      <w:proofErr w:type="spellStart"/>
      <w:r>
        <w:rPr>
          <w:rFonts w:ascii="Times New Roman" w:eastAsia="Times New Roman" w:hAnsi="Times New Roman" w:cs="Times New Roman"/>
          <w:color w:val="000000"/>
        </w:rPr>
        <w:t>decolonial</w:t>
      </w:r>
      <w:proofErr w:type="spellEnd"/>
      <w:r>
        <w:rPr>
          <w:rFonts w:ascii="Times New Roman" w:eastAsia="Times New Roman" w:hAnsi="Times New Roman" w:cs="Times New Roman"/>
          <w:color w:val="000000"/>
        </w:rPr>
        <w:t xml:space="preserve"> praxis, it would expose and triumph against the violent entanglements of gender “in systems of capital, white supremacy, and empire” (</w:t>
      </w:r>
      <w:proofErr w:type="spellStart"/>
      <w:r>
        <w:rPr>
          <w:rFonts w:ascii="Times New Roman" w:eastAsia="Times New Roman" w:hAnsi="Times New Roman" w:cs="Times New Roman"/>
          <w:color w:val="000000"/>
        </w:rPr>
        <w:t>Lugones</w:t>
      </w:r>
      <w:proofErr w:type="spellEnd"/>
      <w:r>
        <w:rPr>
          <w:rFonts w:ascii="Times New Roman" w:eastAsia="Times New Roman" w:hAnsi="Times New Roman" w:cs="Times New Roman"/>
          <w:color w:val="000000"/>
        </w:rPr>
        <w:t xml:space="preserve">, 2010, p. 747). Applying to </w:t>
      </w:r>
      <w:proofErr w:type="spellStart"/>
      <w:r>
        <w:rPr>
          <w:rFonts w:ascii="Times New Roman" w:eastAsia="Times New Roman" w:hAnsi="Times New Roman" w:cs="Times New Roman"/>
          <w:color w:val="000000"/>
        </w:rPr>
        <w:t>intersectionality</w:t>
      </w:r>
      <w:proofErr w:type="spellEnd"/>
      <w:r>
        <w:rPr>
          <w:rFonts w:ascii="Times New Roman" w:eastAsia="Times New Roman" w:hAnsi="Times New Roman" w:cs="Times New Roman"/>
          <w:color w:val="000000"/>
        </w:rPr>
        <w:t xml:space="preserve">, the job guarantee would serve as a monumental boost for working class communities, people of color, the youth and their intersections—all of </w:t>
      </w:r>
      <w:proofErr w:type="gramStart"/>
      <w:r>
        <w:rPr>
          <w:rFonts w:ascii="Times New Roman" w:eastAsia="Times New Roman" w:hAnsi="Times New Roman" w:cs="Times New Roman"/>
          <w:color w:val="000000"/>
        </w:rPr>
        <w:t>whom</w:t>
      </w:r>
      <w:proofErr w:type="gramEnd"/>
      <w:r>
        <w:rPr>
          <w:rFonts w:ascii="Times New Roman" w:eastAsia="Times New Roman" w:hAnsi="Times New Roman" w:cs="Times New Roman"/>
          <w:color w:val="000000"/>
        </w:rPr>
        <w:t xml:space="preserve"> disproportionately experience the detrimental planetary effects of climate change due to carbon-emitting products manufactured by the fossil fuel industry. By elevating compensation, securing jobs, and achieving full employment, the job guarantee would </w:t>
      </w:r>
      <w:r>
        <w:rPr>
          <w:rFonts w:ascii="Times New Roman" w:eastAsia="Times New Roman" w:hAnsi="Times New Roman" w:cs="Times New Roman"/>
          <w:color w:val="000000"/>
        </w:rPr>
        <w:lastRenderedPageBreak/>
        <w:t>serve as a direct economic stimulus for the entire country and provide opportunities and structural support after four decades of siphoning resources and plundering talent from Black and Brown communities, immigrants, indigenous people, rural Americans, people with disabilities, transgender people, and discouraged workers—all populations that have been jettisoned as disposable collateral to advance corporate interests in the New Gilded Age.</w:t>
      </w:r>
    </w:p>
    <w:p w14:paraId="603BB248" w14:textId="77777777" w:rsidR="00336BB7" w:rsidRDefault="00336BB7">
      <w:pPr>
        <w:spacing w:line="480" w:lineRule="auto"/>
        <w:ind w:firstLine="720"/>
        <w:rPr>
          <w:rFonts w:ascii="Times New Roman" w:eastAsia="Times New Roman" w:hAnsi="Times New Roman" w:cs="Times New Roman"/>
          <w:color w:val="000000"/>
        </w:rPr>
      </w:pPr>
    </w:p>
    <w:p w14:paraId="6D335423" w14:textId="77777777" w:rsidR="00B84936" w:rsidRPr="00336BB7" w:rsidRDefault="001D1521" w:rsidP="00F30C77">
      <w:pPr>
        <w:pStyle w:val="Heading2"/>
        <w:rPr>
          <w:sz w:val="24"/>
          <w:szCs w:val="24"/>
        </w:rPr>
      </w:pPr>
      <w:bookmarkStart w:id="31" w:name="_Toc446789133"/>
      <w:r w:rsidRPr="00336BB7">
        <w:rPr>
          <w:sz w:val="24"/>
          <w:szCs w:val="24"/>
        </w:rPr>
        <w:t>Guaranteed Jobs &amp; Coalitions</w:t>
      </w:r>
      <w:bookmarkEnd w:id="31"/>
    </w:p>
    <w:p w14:paraId="652FB6B4"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Federal Jobs Guarantee’s universality and coalitional promise would be transformative from a racial and gender perspective. Blacks and Latinos experience the labor market to be </w:t>
      </w:r>
      <w:proofErr w:type="gramStart"/>
      <w:r>
        <w:rPr>
          <w:rFonts w:ascii="Times New Roman" w:eastAsia="Times New Roman" w:hAnsi="Times New Roman" w:cs="Times New Roman"/>
          <w:color w:val="000000"/>
        </w:rPr>
        <w:t>more unstable</w:t>
      </w:r>
      <w:proofErr w:type="gramEnd"/>
      <w:r>
        <w:rPr>
          <w:rFonts w:ascii="Times New Roman" w:eastAsia="Times New Roman" w:hAnsi="Times New Roman" w:cs="Times New Roman"/>
          <w:color w:val="000000"/>
        </w:rPr>
        <w:t>, as the two groups tend to face higher unemployment and underemployment levels compared to Whites and Americans generally. Blacks and Latinos are also less likely to work in managerial and professional jobs that pay higher, meaning that they earn lower median earnings in almost all occupational groups (U.S. Bureau of Labor Statistics, 2017a, 2017b) and twice as likely to be among the working poor (U.S. Bureau of Labor Statistics, 2017a; Wray et al., 2018). Since a goal of an inclusive economy is to combat racial poverty through employment, the Federal Jobs Guarantee would be a step towards equal citizenship among racial groups (</w:t>
      </w:r>
      <w:proofErr w:type="spellStart"/>
      <w:r>
        <w:rPr>
          <w:rFonts w:ascii="Times New Roman" w:eastAsia="Times New Roman" w:hAnsi="Times New Roman" w:cs="Times New Roman"/>
          <w:color w:val="000000"/>
        </w:rPr>
        <w:t>Forstater</w:t>
      </w:r>
      <w:proofErr w:type="spellEnd"/>
      <w:r>
        <w:rPr>
          <w:rFonts w:ascii="Times New Roman" w:eastAsia="Times New Roman" w:hAnsi="Times New Roman" w:cs="Times New Roman"/>
          <w:color w:val="000000"/>
        </w:rPr>
        <w:t>, 2002, p. 45). In that the job guarantee proposed would address early childhood education and eldercare, this would have the effect of “legitimizing caregiving labor,” (</w:t>
      </w:r>
      <w:proofErr w:type="spellStart"/>
      <w:r>
        <w:rPr>
          <w:rFonts w:ascii="Times New Roman" w:eastAsia="Times New Roman" w:hAnsi="Times New Roman" w:cs="Times New Roman"/>
          <w:color w:val="000000"/>
        </w:rPr>
        <w:t>Karcher</w:t>
      </w:r>
      <w:proofErr w:type="spellEnd"/>
      <w:r>
        <w:rPr>
          <w:rFonts w:ascii="Times New Roman" w:eastAsia="Times New Roman" w:hAnsi="Times New Roman" w:cs="Times New Roman"/>
          <w:color w:val="000000"/>
        </w:rPr>
        <w:t xml:space="preserve">, 2019, p. 48; </w:t>
      </w:r>
      <w:proofErr w:type="spellStart"/>
      <w:r>
        <w:rPr>
          <w:rFonts w:ascii="Times New Roman" w:eastAsia="Times New Roman" w:hAnsi="Times New Roman" w:cs="Times New Roman"/>
          <w:color w:val="000000"/>
        </w:rPr>
        <w:t>Baiman</w:t>
      </w:r>
      <w:proofErr w:type="spellEnd"/>
      <w:r>
        <w:rPr>
          <w:rFonts w:ascii="Times New Roman" w:eastAsia="Times New Roman" w:hAnsi="Times New Roman" w:cs="Times New Roman"/>
          <w:color w:val="000000"/>
        </w:rPr>
        <w:t xml:space="preserve"> et al., 2012) most of which is unrecognized, underpaid, or unpaid in the informal economy. From a gender perspective, the federal jobs guarantee would challenge “the root causes of women’s oppression via marginalization and cultural </w:t>
      </w:r>
      <w:r>
        <w:rPr>
          <w:rFonts w:ascii="Times New Roman" w:eastAsia="Times New Roman" w:hAnsi="Times New Roman" w:cs="Times New Roman"/>
          <w:color w:val="000000"/>
        </w:rPr>
        <w:lastRenderedPageBreak/>
        <w:t>imperialism” that women experience and render traditionally feminized jobs as invisible and less valuable (</w:t>
      </w:r>
      <w:proofErr w:type="spellStart"/>
      <w:r>
        <w:rPr>
          <w:rFonts w:ascii="Times New Roman" w:eastAsia="Times New Roman" w:hAnsi="Times New Roman" w:cs="Times New Roman"/>
          <w:color w:val="000000"/>
        </w:rPr>
        <w:t>Karcher</w:t>
      </w:r>
      <w:proofErr w:type="spellEnd"/>
      <w:r>
        <w:rPr>
          <w:rFonts w:ascii="Times New Roman" w:eastAsia="Times New Roman" w:hAnsi="Times New Roman" w:cs="Times New Roman"/>
          <w:color w:val="000000"/>
        </w:rPr>
        <w:t xml:space="preserve">, 2019; Crain et al., 2016; Mehta &amp; </w:t>
      </w:r>
      <w:proofErr w:type="spellStart"/>
      <w:r>
        <w:rPr>
          <w:rFonts w:ascii="Times New Roman" w:eastAsia="Times New Roman" w:hAnsi="Times New Roman" w:cs="Times New Roman"/>
          <w:color w:val="000000"/>
        </w:rPr>
        <w:t>Awasthi</w:t>
      </w:r>
      <w:proofErr w:type="spellEnd"/>
      <w:r>
        <w:rPr>
          <w:rFonts w:ascii="Times New Roman" w:eastAsia="Times New Roman" w:hAnsi="Times New Roman" w:cs="Times New Roman"/>
          <w:color w:val="000000"/>
        </w:rPr>
        <w:t>, 2019).</w:t>
      </w:r>
    </w:p>
    <w:p w14:paraId="7280F81F" w14:textId="77777777" w:rsidR="00B84936" w:rsidRDefault="00B84936">
      <w:pPr>
        <w:rPr>
          <w:rFonts w:ascii="Times New Roman" w:eastAsia="Times New Roman" w:hAnsi="Times New Roman" w:cs="Times New Roman"/>
        </w:rPr>
      </w:pPr>
    </w:p>
    <w:p w14:paraId="58BBAA35"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public mission of the federal jobs guarantee speaks </w:t>
      </w:r>
      <w:proofErr w:type="spellStart"/>
      <w:r>
        <w:rPr>
          <w:rFonts w:ascii="Times New Roman" w:eastAsia="Times New Roman" w:hAnsi="Times New Roman" w:cs="Times New Roman"/>
          <w:color w:val="000000"/>
        </w:rPr>
        <w:t>intersectionally</w:t>
      </w:r>
      <w:proofErr w:type="spellEnd"/>
      <w:r>
        <w:rPr>
          <w:rFonts w:ascii="Times New Roman" w:eastAsia="Times New Roman" w:hAnsi="Times New Roman" w:cs="Times New Roman"/>
          <w:color w:val="000000"/>
        </w:rPr>
        <w:t xml:space="preserve"> to </w:t>
      </w:r>
      <w:proofErr w:type="gramStart"/>
      <w:r>
        <w:rPr>
          <w:rFonts w:ascii="Times New Roman" w:eastAsia="Times New Roman" w:hAnsi="Times New Roman" w:cs="Times New Roman"/>
          <w:color w:val="000000"/>
        </w:rPr>
        <w:t>shared</w:t>
      </w:r>
      <w:proofErr w:type="gramEnd"/>
      <w:r>
        <w:rPr>
          <w:rFonts w:ascii="Times New Roman" w:eastAsia="Times New Roman" w:hAnsi="Times New Roman" w:cs="Times New Roman"/>
          <w:color w:val="000000"/>
        </w:rPr>
        <w:t xml:space="preserve"> aims of social movements in U.S. history. The objective of full employment, achieved through the public provision of high-paying guaranteed government jobs, has been central to the labor movement, as stated in the 1912 Socialist Party platform in the Eugene V. Debs run for the U.S. presidency (Socialist Party, 1912). The Civil Rights Movement likewise had the key demand of a public job guarantee. Dr. Marin Luther King, Jr. envisioned guaranteed federal jobs as a conduit of equality across racial lines (</w:t>
      </w:r>
      <w:proofErr w:type="spellStart"/>
      <w:r>
        <w:rPr>
          <w:rFonts w:ascii="Times New Roman" w:eastAsia="Times New Roman" w:hAnsi="Times New Roman" w:cs="Times New Roman"/>
          <w:color w:val="000000"/>
        </w:rPr>
        <w:t>Forstater</w:t>
      </w:r>
      <w:proofErr w:type="spellEnd"/>
      <w:r>
        <w:rPr>
          <w:rFonts w:ascii="Times New Roman" w:eastAsia="Times New Roman" w:hAnsi="Times New Roman" w:cs="Times New Roman"/>
          <w:color w:val="000000"/>
        </w:rPr>
        <w:t xml:space="preserve">, 2002, p. 45). </w:t>
      </w:r>
      <w:proofErr w:type="gramStart"/>
      <w:r>
        <w:rPr>
          <w:rFonts w:ascii="Times New Roman" w:eastAsia="Times New Roman" w:hAnsi="Times New Roman" w:cs="Times New Roman"/>
          <w:color w:val="000000"/>
        </w:rPr>
        <w:t>In 1963, the March on Washington for Jobs and Freedom was organized by socialists, such as A. Philip Randolph, Bayard Rustin, and Martin Luther King, Jr.</w:t>
      </w:r>
      <w:proofErr w:type="gramEnd"/>
      <w:r>
        <w:rPr>
          <w:rFonts w:ascii="Times New Roman" w:eastAsia="Times New Roman" w:hAnsi="Times New Roman" w:cs="Times New Roman"/>
          <w:color w:val="000000"/>
        </w:rPr>
        <w:t xml:space="preserve"> (Martin Luther King, Jr. Research and Education Institute, 2019). A few years later, Rustin and Randolph co-authored a pamphlet in 1966 titled “A ‘Freedom Budget’ for all Americans,” where a public job guarantee was a centerpiece demand. In the pamphlet that elucidated economic rights, Randolph and Rustin enumerated as the first of its seven demand: “to provide full employment for all who are willing and able to work” (Rustin &amp; Randolph, 1967, p. 9). In the 1970s, Coretta Scott King, author, civil rights leader, and wife of Martin Luther King, Jr., along with the National Welfare Rights Organization, called for full employment in the sense that the government needed to provide a decent job for all who wanted one. In denouncing unemployment as a public policy tool, the National Welfare Rights Organization wrote that it is an “unconscionable view that the evils imposed by unemployment upon scores of millions of people whose breadwinners are unemployed are acceptable in the name of restraining inflation” </w:t>
      </w:r>
      <w:r>
        <w:rPr>
          <w:rFonts w:ascii="Times New Roman" w:eastAsia="Times New Roman" w:hAnsi="Times New Roman" w:cs="Times New Roman"/>
          <w:color w:val="000000"/>
        </w:rPr>
        <w:lastRenderedPageBreak/>
        <w:t>(National Welfare Rights Organization as cited in Rogers et al., 2017 p. 133). These intersections between the labor movement and Civil Rights Movement demonstrate how the Federal Jobs Guarantee serves as a coalitional nexus point, providing opportunity for the two movements to coalesce in order to improve the lives of people of color, the working class, and their intersections.</w:t>
      </w:r>
    </w:p>
    <w:p w14:paraId="327D914A" w14:textId="77777777" w:rsidR="00B84936" w:rsidRDefault="00B84936">
      <w:pPr>
        <w:spacing w:line="480" w:lineRule="auto"/>
        <w:rPr>
          <w:rFonts w:ascii="Times New Roman" w:eastAsia="Times New Roman" w:hAnsi="Times New Roman" w:cs="Times New Roman"/>
          <w:color w:val="000000"/>
        </w:rPr>
      </w:pPr>
    </w:p>
    <w:p w14:paraId="163B9C27" w14:textId="77777777" w:rsidR="00B84936" w:rsidRPr="00336BB7" w:rsidRDefault="001D1521" w:rsidP="00F30C77">
      <w:pPr>
        <w:pStyle w:val="Heading2"/>
        <w:rPr>
          <w:sz w:val="24"/>
          <w:szCs w:val="24"/>
        </w:rPr>
      </w:pPr>
      <w:bookmarkStart w:id="32" w:name="_Toc446789134"/>
      <w:r w:rsidRPr="00336BB7">
        <w:rPr>
          <w:sz w:val="24"/>
          <w:szCs w:val="24"/>
        </w:rPr>
        <w:t>Future Opportunities: A Supplementary Universal Basic Income</w:t>
      </w:r>
      <w:bookmarkEnd w:id="32"/>
    </w:p>
    <w:p w14:paraId="07E23699"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While the Federal Jobs Guaranteed would enact a fundamental shift in restructuring the U.S. economy, structurally lift Americans out of poverty, and reinforce the middle class, it could be paired with a Universal Basic Income, which could provide </w:t>
      </w:r>
      <w:proofErr w:type="gramStart"/>
      <w:r>
        <w:rPr>
          <w:rFonts w:ascii="Times New Roman" w:eastAsia="Times New Roman" w:hAnsi="Times New Roman" w:cs="Times New Roman"/>
          <w:color w:val="000000"/>
        </w:rPr>
        <w:t>regular</w:t>
      </w:r>
      <w:proofErr w:type="gramEnd"/>
      <w:r>
        <w:rPr>
          <w:rFonts w:ascii="Times New Roman" w:eastAsia="Times New Roman" w:hAnsi="Times New Roman" w:cs="Times New Roman"/>
          <w:color w:val="000000"/>
        </w:rPr>
        <w:t xml:space="preserve"> payments to everyday people that would serve as government social support. As the Federal Jobs Guarantee is predicated on guaranteeing employment to those seeking employment, a Universal Basic Income as supplement to, not replacement of, existing social programs would ensure that those who are unable to work from more vulnerable populations, such as children, the sick, the elderly, the homeless, veterans, single parents, youth in foster care, and individuals with physical and mental disabilities, would be provided with sufficient and humane financial government support to enable a dignified life in a twenty-first century United States. Instituting a Federal Jobs Guarantee with a supplementary Universal Basic Income that would augment, not replace, existing social programs would guarantee that the transformational restructuring and growth achieved would build an inclusive economy that supports multiple communities at their diverse intersections.</w:t>
      </w:r>
    </w:p>
    <w:p w14:paraId="0C55486D" w14:textId="77777777" w:rsidR="00B84936" w:rsidRDefault="00B84936">
      <w:pPr>
        <w:rPr>
          <w:rFonts w:ascii="Times New Roman" w:eastAsia="Times New Roman" w:hAnsi="Times New Roman" w:cs="Times New Roman"/>
        </w:rPr>
      </w:pPr>
    </w:p>
    <w:p w14:paraId="3EC843F5" w14:textId="77777777" w:rsidR="00B84936" w:rsidRPr="00336BB7" w:rsidRDefault="001D1521" w:rsidP="00F30C77">
      <w:pPr>
        <w:pStyle w:val="Heading2"/>
        <w:rPr>
          <w:sz w:val="24"/>
          <w:szCs w:val="24"/>
        </w:rPr>
      </w:pPr>
      <w:bookmarkStart w:id="33" w:name="_Toc446789135"/>
      <w:r w:rsidRPr="00336BB7">
        <w:rPr>
          <w:sz w:val="24"/>
          <w:szCs w:val="24"/>
        </w:rPr>
        <w:lastRenderedPageBreak/>
        <w:t>Conclusion: Guaranteeing Jobs to Revitalize American Democracy</w:t>
      </w:r>
      <w:bookmarkEnd w:id="33"/>
    </w:p>
    <w:p w14:paraId="23E3D6FC" w14:textId="77777777" w:rsidR="00B84936" w:rsidRDefault="001D1521">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A universal and movement-building undertaking like the job guarantee would empower Americans to see public policy, propelled by demands from frontline communities, as an instrument to solve structural problems as a collective. By improving work conditions, elevating compensation, increasing purchasing power, serving as a stimulus during economic downturns, and positioning government programs to serve the needs of all of its people, instead of only the top income and wealth brackets, the federal jobs guarantee would have the effect of revitalizing American democracy. These intersectional and structural improvements would dispel the prevalent New Gilded Age notion that people are disposable by re-humanizing people and animating the public. With its transformative “public purpose” (</w:t>
      </w:r>
      <w:proofErr w:type="spellStart"/>
      <w:r>
        <w:rPr>
          <w:rFonts w:ascii="Times New Roman" w:eastAsia="Times New Roman" w:hAnsi="Times New Roman" w:cs="Times New Roman"/>
          <w:color w:val="000000"/>
        </w:rPr>
        <w:t>Tcherneva</w:t>
      </w:r>
      <w:proofErr w:type="spellEnd"/>
      <w:r>
        <w:rPr>
          <w:rFonts w:ascii="Times New Roman" w:eastAsia="Times New Roman" w:hAnsi="Times New Roman" w:cs="Times New Roman"/>
          <w:color w:val="000000"/>
        </w:rPr>
        <w:t>, 2018) of achieving 100 percent renewable energy, healthcare for the elderly and the disabled, public early childhood education, eldercare, a greening and repair of infrastructure, and protection and expansion of national parks, it would take back employment as a revitalized public sphere where job creation goes hand-in-hand with shared social responsibility (Giroux, 2008, p. 613), thus heralding a new time period of a more dignified life for all Americans in the 21st century.</w:t>
      </w:r>
    </w:p>
    <w:p w14:paraId="76BB583C" w14:textId="77777777" w:rsidR="00B84936" w:rsidRDefault="00B84936">
      <w:pPr>
        <w:spacing w:line="480" w:lineRule="auto"/>
        <w:rPr>
          <w:rFonts w:ascii="Times New Roman" w:eastAsia="Times New Roman" w:hAnsi="Times New Roman" w:cs="Times New Roman"/>
        </w:rPr>
      </w:pPr>
    </w:p>
    <w:p w14:paraId="0C34FC12" w14:textId="77777777" w:rsidR="001D1521" w:rsidRDefault="001D1521">
      <w:pPr>
        <w:spacing w:line="276" w:lineRule="auto"/>
        <w:rPr>
          <w:rFonts w:ascii="Times New Roman" w:eastAsia="Times New Roman" w:hAnsi="Times New Roman" w:cs="Times New Roman"/>
          <w:b/>
        </w:rPr>
      </w:pPr>
    </w:p>
    <w:p w14:paraId="67B70532" w14:textId="77777777" w:rsidR="001D1521" w:rsidRDefault="001D1521">
      <w:pPr>
        <w:spacing w:line="276" w:lineRule="auto"/>
        <w:rPr>
          <w:rFonts w:ascii="Times New Roman" w:eastAsia="Times New Roman" w:hAnsi="Times New Roman" w:cs="Times New Roman"/>
          <w:b/>
        </w:rPr>
      </w:pPr>
    </w:p>
    <w:p w14:paraId="734F3404" w14:textId="77777777" w:rsidR="001D1521" w:rsidRDefault="001D1521">
      <w:pPr>
        <w:spacing w:line="276" w:lineRule="auto"/>
        <w:rPr>
          <w:rFonts w:ascii="Times New Roman" w:eastAsia="Times New Roman" w:hAnsi="Times New Roman" w:cs="Times New Roman"/>
          <w:b/>
        </w:rPr>
      </w:pPr>
    </w:p>
    <w:p w14:paraId="408B6A06" w14:textId="77777777" w:rsidR="001D1521" w:rsidRDefault="001D1521">
      <w:pPr>
        <w:spacing w:line="276" w:lineRule="auto"/>
        <w:rPr>
          <w:rFonts w:ascii="Times New Roman" w:eastAsia="Times New Roman" w:hAnsi="Times New Roman" w:cs="Times New Roman"/>
          <w:b/>
        </w:rPr>
      </w:pPr>
    </w:p>
    <w:p w14:paraId="3F6F49A9" w14:textId="77777777" w:rsidR="001D1521" w:rsidRDefault="001D1521">
      <w:pPr>
        <w:spacing w:line="276" w:lineRule="auto"/>
        <w:rPr>
          <w:rFonts w:ascii="Times New Roman" w:eastAsia="Times New Roman" w:hAnsi="Times New Roman" w:cs="Times New Roman"/>
          <w:b/>
        </w:rPr>
      </w:pPr>
    </w:p>
    <w:p w14:paraId="2B69BE4C" w14:textId="77777777" w:rsidR="001D1521" w:rsidRDefault="001D1521">
      <w:pPr>
        <w:spacing w:line="276" w:lineRule="auto"/>
        <w:rPr>
          <w:rFonts w:ascii="Times New Roman" w:eastAsia="Times New Roman" w:hAnsi="Times New Roman" w:cs="Times New Roman"/>
          <w:b/>
        </w:rPr>
      </w:pPr>
    </w:p>
    <w:p w14:paraId="12B644A6" w14:textId="77777777" w:rsidR="001D1521" w:rsidRDefault="001D1521">
      <w:pPr>
        <w:spacing w:line="276" w:lineRule="auto"/>
        <w:rPr>
          <w:rFonts w:ascii="Times New Roman" w:eastAsia="Times New Roman" w:hAnsi="Times New Roman" w:cs="Times New Roman"/>
          <w:b/>
        </w:rPr>
      </w:pPr>
    </w:p>
    <w:p w14:paraId="75746261" w14:textId="77777777" w:rsidR="001D1521" w:rsidRDefault="001D1521">
      <w:pPr>
        <w:spacing w:line="276" w:lineRule="auto"/>
        <w:rPr>
          <w:rFonts w:ascii="Times New Roman" w:eastAsia="Times New Roman" w:hAnsi="Times New Roman" w:cs="Times New Roman"/>
          <w:b/>
        </w:rPr>
      </w:pPr>
    </w:p>
    <w:p w14:paraId="0CEF076C" w14:textId="77777777" w:rsidR="001D1521" w:rsidRDefault="001D1521">
      <w:pPr>
        <w:spacing w:line="276" w:lineRule="auto"/>
        <w:rPr>
          <w:rFonts w:ascii="Times New Roman" w:eastAsia="Times New Roman" w:hAnsi="Times New Roman" w:cs="Times New Roman"/>
          <w:b/>
        </w:rPr>
      </w:pPr>
    </w:p>
    <w:p w14:paraId="48FC682A" w14:textId="77777777" w:rsidR="001D1521" w:rsidRDefault="001D1521">
      <w:pPr>
        <w:spacing w:line="276" w:lineRule="auto"/>
        <w:rPr>
          <w:rFonts w:ascii="Times New Roman" w:eastAsia="Times New Roman" w:hAnsi="Times New Roman" w:cs="Times New Roman"/>
          <w:b/>
        </w:rPr>
      </w:pPr>
    </w:p>
    <w:p w14:paraId="1634FA5D" w14:textId="77777777" w:rsidR="001D1521" w:rsidRDefault="001D1521">
      <w:pPr>
        <w:spacing w:line="276" w:lineRule="auto"/>
        <w:rPr>
          <w:rFonts w:ascii="Times New Roman" w:eastAsia="Times New Roman" w:hAnsi="Times New Roman" w:cs="Times New Roman"/>
          <w:b/>
        </w:rPr>
      </w:pPr>
    </w:p>
    <w:p w14:paraId="097572DE" w14:textId="77777777" w:rsidR="001D1521" w:rsidRDefault="001D1521">
      <w:pPr>
        <w:spacing w:line="276" w:lineRule="auto"/>
        <w:rPr>
          <w:rFonts w:ascii="Times New Roman" w:eastAsia="Times New Roman" w:hAnsi="Times New Roman" w:cs="Times New Roman"/>
          <w:b/>
        </w:rPr>
      </w:pPr>
    </w:p>
    <w:p w14:paraId="79C46126" w14:textId="77777777" w:rsidR="001D1521" w:rsidRDefault="001D1521">
      <w:pPr>
        <w:spacing w:line="276" w:lineRule="auto"/>
        <w:rPr>
          <w:rFonts w:ascii="Times New Roman" w:eastAsia="Times New Roman" w:hAnsi="Times New Roman" w:cs="Times New Roman"/>
          <w:b/>
        </w:rPr>
      </w:pPr>
    </w:p>
    <w:p w14:paraId="7DCFD8FA" w14:textId="77777777" w:rsidR="001D1521" w:rsidRDefault="001D1521">
      <w:pPr>
        <w:spacing w:line="276" w:lineRule="auto"/>
        <w:rPr>
          <w:rFonts w:ascii="Times New Roman" w:eastAsia="Times New Roman" w:hAnsi="Times New Roman" w:cs="Times New Roman"/>
          <w:b/>
        </w:rPr>
      </w:pPr>
    </w:p>
    <w:p w14:paraId="29C3D77F" w14:textId="77777777" w:rsidR="001D1521" w:rsidRDefault="001D1521">
      <w:pPr>
        <w:spacing w:line="276" w:lineRule="auto"/>
        <w:rPr>
          <w:rFonts w:ascii="Times New Roman" w:eastAsia="Times New Roman" w:hAnsi="Times New Roman" w:cs="Times New Roman"/>
          <w:b/>
        </w:rPr>
      </w:pPr>
    </w:p>
    <w:p w14:paraId="592EF389" w14:textId="77777777" w:rsidR="001D1521" w:rsidRDefault="001D1521">
      <w:pPr>
        <w:spacing w:line="276" w:lineRule="auto"/>
        <w:rPr>
          <w:rFonts w:ascii="Times New Roman" w:eastAsia="Times New Roman" w:hAnsi="Times New Roman" w:cs="Times New Roman"/>
          <w:b/>
        </w:rPr>
      </w:pPr>
    </w:p>
    <w:p w14:paraId="7941A4C9" w14:textId="77777777" w:rsidR="001D1521" w:rsidRDefault="001D1521">
      <w:pPr>
        <w:spacing w:line="276" w:lineRule="auto"/>
        <w:rPr>
          <w:rFonts w:ascii="Times New Roman" w:eastAsia="Times New Roman" w:hAnsi="Times New Roman" w:cs="Times New Roman"/>
          <w:b/>
        </w:rPr>
      </w:pPr>
    </w:p>
    <w:p w14:paraId="665BA0F0" w14:textId="77777777" w:rsidR="001D1521" w:rsidRDefault="001D1521">
      <w:pPr>
        <w:spacing w:line="276" w:lineRule="auto"/>
        <w:rPr>
          <w:rFonts w:ascii="Times New Roman" w:eastAsia="Times New Roman" w:hAnsi="Times New Roman" w:cs="Times New Roman"/>
          <w:b/>
        </w:rPr>
      </w:pPr>
    </w:p>
    <w:p w14:paraId="643A0302" w14:textId="77777777" w:rsidR="001D1521" w:rsidRDefault="001D1521">
      <w:pPr>
        <w:spacing w:line="276" w:lineRule="auto"/>
        <w:rPr>
          <w:rFonts w:ascii="Times New Roman" w:eastAsia="Times New Roman" w:hAnsi="Times New Roman" w:cs="Times New Roman"/>
          <w:b/>
        </w:rPr>
      </w:pPr>
    </w:p>
    <w:p w14:paraId="20924C2E" w14:textId="77777777" w:rsidR="001D1521" w:rsidRDefault="001D1521">
      <w:pPr>
        <w:spacing w:line="276" w:lineRule="auto"/>
        <w:rPr>
          <w:rFonts w:ascii="Times New Roman" w:eastAsia="Times New Roman" w:hAnsi="Times New Roman" w:cs="Times New Roman"/>
          <w:b/>
        </w:rPr>
      </w:pPr>
    </w:p>
    <w:p w14:paraId="27813C22" w14:textId="77777777" w:rsidR="001D1521" w:rsidRDefault="001D1521">
      <w:pPr>
        <w:spacing w:line="276" w:lineRule="auto"/>
        <w:rPr>
          <w:rFonts w:ascii="Times New Roman" w:eastAsia="Times New Roman" w:hAnsi="Times New Roman" w:cs="Times New Roman"/>
          <w:b/>
        </w:rPr>
      </w:pPr>
    </w:p>
    <w:p w14:paraId="23EC9967" w14:textId="77777777" w:rsidR="001D1521" w:rsidRDefault="001D1521">
      <w:pPr>
        <w:spacing w:line="276" w:lineRule="auto"/>
        <w:rPr>
          <w:rFonts w:ascii="Times New Roman" w:eastAsia="Times New Roman" w:hAnsi="Times New Roman" w:cs="Times New Roman"/>
          <w:b/>
        </w:rPr>
      </w:pPr>
    </w:p>
    <w:p w14:paraId="46C5CEF9" w14:textId="77777777" w:rsidR="001D1521" w:rsidRDefault="001D1521">
      <w:pPr>
        <w:spacing w:line="276" w:lineRule="auto"/>
        <w:rPr>
          <w:rFonts w:ascii="Times New Roman" w:eastAsia="Times New Roman" w:hAnsi="Times New Roman" w:cs="Times New Roman"/>
          <w:b/>
        </w:rPr>
      </w:pPr>
    </w:p>
    <w:p w14:paraId="2DA1F608" w14:textId="77777777" w:rsidR="00F562F3" w:rsidRDefault="00F562F3">
      <w:pPr>
        <w:spacing w:line="276" w:lineRule="auto"/>
        <w:rPr>
          <w:rFonts w:ascii="Times New Roman" w:eastAsia="Times New Roman" w:hAnsi="Times New Roman" w:cs="Times New Roman"/>
          <w:b/>
        </w:rPr>
      </w:pPr>
    </w:p>
    <w:p w14:paraId="39686700" w14:textId="77777777" w:rsidR="001D1521" w:rsidRDefault="001D1521">
      <w:pPr>
        <w:spacing w:line="276" w:lineRule="auto"/>
        <w:rPr>
          <w:rFonts w:ascii="Times New Roman" w:eastAsia="Times New Roman" w:hAnsi="Times New Roman" w:cs="Times New Roman"/>
          <w:b/>
        </w:rPr>
      </w:pPr>
    </w:p>
    <w:p w14:paraId="75443986" w14:textId="77777777" w:rsidR="001D1521" w:rsidRDefault="001D1521">
      <w:pPr>
        <w:spacing w:line="276" w:lineRule="auto"/>
        <w:rPr>
          <w:rFonts w:ascii="Times New Roman" w:eastAsia="Times New Roman" w:hAnsi="Times New Roman" w:cs="Times New Roman"/>
          <w:b/>
        </w:rPr>
      </w:pPr>
    </w:p>
    <w:p w14:paraId="555FB14E" w14:textId="77777777" w:rsidR="001D1521" w:rsidRDefault="001D1521">
      <w:pPr>
        <w:spacing w:line="276" w:lineRule="auto"/>
        <w:rPr>
          <w:rFonts w:ascii="Times New Roman" w:eastAsia="Times New Roman" w:hAnsi="Times New Roman" w:cs="Times New Roman"/>
          <w:b/>
        </w:rPr>
      </w:pPr>
    </w:p>
    <w:p w14:paraId="5321DF44" w14:textId="77777777" w:rsidR="00B84936" w:rsidRPr="00F562F3" w:rsidRDefault="001D1521" w:rsidP="00F30C77">
      <w:pPr>
        <w:pStyle w:val="Heading1"/>
        <w:rPr>
          <w:sz w:val="24"/>
          <w:szCs w:val="24"/>
        </w:rPr>
      </w:pPr>
      <w:bookmarkStart w:id="34" w:name="_Toc446789136"/>
      <w:r w:rsidRPr="00F562F3">
        <w:rPr>
          <w:sz w:val="24"/>
          <w:szCs w:val="24"/>
        </w:rPr>
        <w:t>Chapter 4  - Economic Inequality and Democracy in the Workplace</w:t>
      </w:r>
      <w:bookmarkEnd w:id="34"/>
      <w:r w:rsidRPr="00F562F3">
        <w:rPr>
          <w:sz w:val="24"/>
          <w:szCs w:val="24"/>
        </w:rPr>
        <w:t xml:space="preserve"> </w:t>
      </w:r>
    </w:p>
    <w:p w14:paraId="557F1D0D" w14:textId="77777777" w:rsidR="00B84936" w:rsidRDefault="00B84936">
      <w:pPr>
        <w:spacing w:line="276" w:lineRule="auto"/>
        <w:rPr>
          <w:rFonts w:ascii="Times New Roman" w:eastAsia="Times New Roman" w:hAnsi="Times New Roman" w:cs="Times New Roman"/>
        </w:rPr>
      </w:pPr>
    </w:p>
    <w:p w14:paraId="088A6467" w14:textId="77777777" w:rsidR="00B84936" w:rsidRPr="00F562F3" w:rsidRDefault="001D1521" w:rsidP="00F30C77">
      <w:pPr>
        <w:pStyle w:val="Heading2"/>
        <w:rPr>
          <w:sz w:val="24"/>
          <w:szCs w:val="24"/>
        </w:rPr>
      </w:pPr>
      <w:bookmarkStart w:id="35" w:name="_Toc446789137"/>
      <w:r w:rsidRPr="00F562F3">
        <w:rPr>
          <w:sz w:val="24"/>
          <w:szCs w:val="24"/>
        </w:rPr>
        <w:t>Introduction</w:t>
      </w:r>
      <w:bookmarkEnd w:id="35"/>
    </w:p>
    <w:p w14:paraId="403A6D61" w14:textId="77777777" w:rsidR="00B84936" w:rsidRDefault="00B84936">
      <w:pPr>
        <w:spacing w:line="276" w:lineRule="auto"/>
        <w:rPr>
          <w:rFonts w:ascii="Times New Roman" w:eastAsia="Times New Roman" w:hAnsi="Times New Roman" w:cs="Times New Roman"/>
        </w:rPr>
      </w:pPr>
    </w:p>
    <w:p w14:paraId="1C82F14A" w14:textId="77777777" w:rsidR="00B84936" w:rsidRDefault="001D1521" w:rsidP="00F562F3">
      <w:pPr>
        <w:spacing w:line="480" w:lineRule="auto"/>
        <w:ind w:firstLine="720"/>
        <w:rPr>
          <w:rFonts w:ascii="Times New Roman" w:eastAsia="Times New Roman" w:hAnsi="Times New Roman" w:cs="Times New Roman"/>
        </w:rPr>
      </w:pPr>
      <w:r>
        <w:rPr>
          <w:rFonts w:ascii="Times New Roman" w:eastAsia="Times New Roman" w:hAnsi="Times New Roman" w:cs="Times New Roman"/>
        </w:rPr>
        <w:t>Through the decline of labor unions as a case study, this chapter analyzes the macroeconomic trajectory of the New Gilded Age. It then explores the relationship between Diversity and Inclusion and Labor Relations at the organizational level within the macroeconomic backdrop of a shrinking middle class, increasing income and wealth inequality, and racial and gender economic disparities. It then proceeds to analyze and recommend the Workplace Democracy Act, an intersectional public policy proposal designed to re-strengthen labor unions, which would lift wages, advocate for gender equity, and foster interracial working class solidarity in the New Gilded Age.</w:t>
      </w:r>
    </w:p>
    <w:p w14:paraId="666F6F8F" w14:textId="77777777" w:rsidR="00B84936" w:rsidRPr="00F562F3" w:rsidRDefault="001D1521" w:rsidP="00F30C77">
      <w:pPr>
        <w:pStyle w:val="Heading2"/>
        <w:rPr>
          <w:sz w:val="24"/>
          <w:szCs w:val="24"/>
        </w:rPr>
      </w:pPr>
      <w:bookmarkStart w:id="36" w:name="_Toc446789138"/>
      <w:r w:rsidRPr="00F562F3">
        <w:rPr>
          <w:sz w:val="24"/>
          <w:szCs w:val="24"/>
        </w:rPr>
        <w:t>A Return to the Gilded Age: Income and Wealth Concentration</w:t>
      </w:r>
      <w:bookmarkEnd w:id="36"/>
    </w:p>
    <w:p w14:paraId="5C17AC52" w14:textId="77777777" w:rsidR="00B84936" w:rsidRDefault="00B84936">
      <w:pPr>
        <w:spacing w:line="276" w:lineRule="auto"/>
        <w:ind w:firstLine="720"/>
        <w:rPr>
          <w:rFonts w:ascii="Times New Roman" w:eastAsia="Times New Roman" w:hAnsi="Times New Roman" w:cs="Times New Roman"/>
        </w:rPr>
      </w:pPr>
    </w:p>
    <w:p w14:paraId="133AAACC"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During the Gilded Age and into the roaring 1920s, the share of national income of the very wealthy stacked at approximately 9 to 11 percent of total national income. The New Deal and post-World War II U.S. until the early 1970s saw the share of total U.S. income of the very wealthy dip to 3 to 4 percent and 1 percent respectively as middle class income rose, however predominantly only for the White middle class since shared prosperity across racial lines remain to be the unfinished work of the New Deal. Due to financial deregulation, austerity measures, and decline of labor unions in the 1970s, the shares of total national income for the top 0.1 percent and top 0.01 percent increased to Gilded Age levels at around 11 percent and 5 percent respectively in 2017, nearly 10 years after the 2008 Great Recession.</w:t>
      </w:r>
    </w:p>
    <w:p w14:paraId="4CB701E4" w14:textId="77777777" w:rsidR="00B84936" w:rsidRDefault="001D1521">
      <w:pPr>
        <w:spacing w:line="276"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6CB63BEB" wp14:editId="26258ED3">
            <wp:extent cx="4210050" cy="321589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210050" cy="3215890"/>
                    </a:xfrm>
                    <a:prstGeom prst="rect">
                      <a:avLst/>
                    </a:prstGeom>
                    <a:ln/>
                  </pic:spPr>
                </pic:pic>
              </a:graphicData>
            </a:graphic>
          </wp:inline>
        </w:drawing>
      </w:r>
    </w:p>
    <w:p w14:paraId="6A5C19F3" w14:textId="77777777" w:rsidR="008E087E" w:rsidRDefault="008E087E">
      <w:pPr>
        <w:spacing w:line="276" w:lineRule="auto"/>
        <w:jc w:val="center"/>
        <w:rPr>
          <w:rFonts w:ascii="Times New Roman" w:eastAsia="Times New Roman" w:hAnsi="Times New Roman" w:cs="Times New Roman"/>
        </w:rPr>
      </w:pPr>
    </w:p>
    <w:p w14:paraId="23D060FF" w14:textId="77777777" w:rsidR="00B84936" w:rsidRDefault="00F562F3">
      <w:pPr>
        <w:spacing w:line="276" w:lineRule="auto"/>
        <w:jc w:val="center"/>
        <w:rPr>
          <w:rFonts w:ascii="Times New Roman" w:eastAsia="Times New Roman" w:hAnsi="Times New Roman" w:cs="Times New Roman"/>
        </w:rPr>
      </w:pPr>
      <w:r>
        <w:rPr>
          <w:rFonts w:ascii="Times New Roman" w:eastAsia="Times New Roman" w:hAnsi="Times New Roman" w:cs="Times New Roman"/>
        </w:rPr>
        <w:t>Figure 5 (</w:t>
      </w:r>
      <w:proofErr w:type="spellStart"/>
      <w:r>
        <w:rPr>
          <w:rFonts w:ascii="Times New Roman" w:eastAsia="Times New Roman" w:hAnsi="Times New Roman" w:cs="Times New Roman"/>
        </w:rPr>
        <w:t>Saez</w:t>
      </w:r>
      <w:proofErr w:type="spellEnd"/>
      <w:r>
        <w:rPr>
          <w:rFonts w:ascii="Times New Roman" w:eastAsia="Times New Roman" w:hAnsi="Times New Roman" w:cs="Times New Roman"/>
        </w:rPr>
        <w:t>, 2017, p.10)</w:t>
      </w:r>
    </w:p>
    <w:p w14:paraId="67BD75C6" w14:textId="77777777" w:rsidR="008E087E" w:rsidRDefault="008E087E">
      <w:pPr>
        <w:spacing w:line="276" w:lineRule="auto"/>
        <w:jc w:val="center"/>
        <w:rPr>
          <w:rFonts w:ascii="Times New Roman" w:eastAsia="Times New Roman" w:hAnsi="Times New Roman" w:cs="Times New Roman"/>
        </w:rPr>
      </w:pPr>
    </w:p>
    <w:p w14:paraId="0C25CFF6" w14:textId="77777777" w:rsidR="00B84936" w:rsidRDefault="001D1521">
      <w:pPr>
        <w:spacing w:line="276" w:lineRule="auto"/>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09E4F039" wp14:editId="2EE07DB2">
            <wp:extent cx="5486400" cy="38989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486400" cy="3898900"/>
                    </a:xfrm>
                    <a:prstGeom prst="rect">
                      <a:avLst/>
                    </a:prstGeom>
                    <a:ln/>
                  </pic:spPr>
                </pic:pic>
              </a:graphicData>
            </a:graphic>
          </wp:inline>
        </w:drawing>
      </w:r>
    </w:p>
    <w:p w14:paraId="21A7C21F" w14:textId="77777777" w:rsidR="00B84936" w:rsidRDefault="00B84936">
      <w:pPr>
        <w:spacing w:line="276" w:lineRule="auto"/>
        <w:jc w:val="center"/>
        <w:rPr>
          <w:rFonts w:ascii="Times New Roman" w:eastAsia="Times New Roman" w:hAnsi="Times New Roman" w:cs="Times New Roman"/>
        </w:rPr>
      </w:pPr>
    </w:p>
    <w:p w14:paraId="3BCEEA1E" w14:textId="77777777" w:rsidR="00B84936" w:rsidRDefault="001D1521" w:rsidP="00F562F3">
      <w:pPr>
        <w:spacing w:line="276" w:lineRule="auto"/>
        <w:jc w:val="center"/>
        <w:rPr>
          <w:rFonts w:ascii="Times New Roman" w:eastAsia="Times New Roman" w:hAnsi="Times New Roman" w:cs="Times New Roman"/>
        </w:rPr>
      </w:pPr>
      <w:r>
        <w:rPr>
          <w:rFonts w:ascii="Times New Roman" w:eastAsia="Times New Roman" w:hAnsi="Times New Roman" w:cs="Times New Roman"/>
        </w:rPr>
        <w:t>(Figure 6, Roser &amp; Ortiz-Ospina, 2016)</w:t>
      </w:r>
    </w:p>
    <w:p w14:paraId="0BF845FC"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From the 1920s to the present, wealth inequality followed a U-shaped trajectory (Figure 5, </w:t>
      </w:r>
      <w:proofErr w:type="spellStart"/>
      <w:r>
        <w:rPr>
          <w:rFonts w:ascii="Times New Roman" w:eastAsia="Times New Roman" w:hAnsi="Times New Roman" w:cs="Times New Roman"/>
        </w:rPr>
        <w:t>Saez</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Zucman</w:t>
      </w:r>
      <w:proofErr w:type="spellEnd"/>
      <w:r>
        <w:rPr>
          <w:rFonts w:ascii="Times New Roman" w:eastAsia="Times New Roman" w:hAnsi="Times New Roman" w:cs="Times New Roman"/>
        </w:rPr>
        <w:t xml:space="preserve">, 2014; Figure 6, </w:t>
      </w:r>
      <w:proofErr w:type="spellStart"/>
      <w:r>
        <w:rPr>
          <w:rFonts w:ascii="Times New Roman" w:eastAsia="Times New Roman" w:hAnsi="Times New Roman" w:cs="Times New Roman"/>
        </w:rPr>
        <w:t>Roser</w:t>
      </w:r>
      <w:proofErr w:type="spellEnd"/>
      <w:r>
        <w:rPr>
          <w:rFonts w:ascii="Times New Roman" w:eastAsia="Times New Roman" w:hAnsi="Times New Roman" w:cs="Times New Roman"/>
        </w:rPr>
        <w:t xml:space="preserve"> &amp; Ortiz-</w:t>
      </w:r>
      <w:proofErr w:type="spellStart"/>
      <w:r>
        <w:rPr>
          <w:rFonts w:ascii="Times New Roman" w:eastAsia="Times New Roman" w:hAnsi="Times New Roman" w:cs="Times New Roman"/>
        </w:rPr>
        <w:t>Ospina</w:t>
      </w:r>
      <w:proofErr w:type="spellEnd"/>
      <w:r>
        <w:rPr>
          <w:rFonts w:ascii="Times New Roman" w:eastAsia="Times New Roman" w:hAnsi="Times New Roman" w:cs="Times New Roman"/>
        </w:rPr>
        <w:t xml:space="preserve">, 2016), with inequality weaning through the Great Depression until the 1980s, then steadily increasing since. By the second half of the 1920s, the top 10 percent owned 84 percent of the national wealth. By the 2010s, the wealthiest Americans had a share of the nation’s wealth at a size nearly identical to rival wealth inequality in the late 1920s, at higher levels of inequality </w:t>
      </w:r>
      <w:proofErr w:type="gramStart"/>
      <w:r>
        <w:rPr>
          <w:rFonts w:ascii="Times New Roman" w:eastAsia="Times New Roman" w:hAnsi="Times New Roman" w:cs="Times New Roman"/>
        </w:rPr>
        <w:t>compared</w:t>
      </w:r>
      <w:proofErr w:type="gramEnd"/>
      <w:r>
        <w:rPr>
          <w:rFonts w:ascii="Times New Roman" w:eastAsia="Times New Roman" w:hAnsi="Times New Roman" w:cs="Times New Roman"/>
        </w:rPr>
        <w:t xml:space="preserve"> to other English speaking countries with similar U-shaped trajectories (Figure 5, </w:t>
      </w:r>
      <w:proofErr w:type="spellStart"/>
      <w:r>
        <w:rPr>
          <w:rFonts w:ascii="Times New Roman" w:eastAsia="Times New Roman" w:hAnsi="Times New Roman" w:cs="Times New Roman"/>
        </w:rPr>
        <w:t>Saez</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Zucman</w:t>
      </w:r>
      <w:proofErr w:type="spellEnd"/>
      <w:r>
        <w:rPr>
          <w:rFonts w:ascii="Times New Roman" w:eastAsia="Times New Roman" w:hAnsi="Times New Roman" w:cs="Times New Roman"/>
        </w:rPr>
        <w:t xml:space="preserve">, 2014; Figure 6, </w:t>
      </w:r>
      <w:proofErr w:type="spellStart"/>
      <w:r>
        <w:rPr>
          <w:rFonts w:ascii="Times New Roman" w:eastAsia="Times New Roman" w:hAnsi="Times New Roman" w:cs="Times New Roman"/>
        </w:rPr>
        <w:t>Roser</w:t>
      </w:r>
      <w:proofErr w:type="spellEnd"/>
      <w:r>
        <w:rPr>
          <w:rFonts w:ascii="Times New Roman" w:eastAsia="Times New Roman" w:hAnsi="Times New Roman" w:cs="Times New Roman"/>
        </w:rPr>
        <w:t xml:space="preserve"> &amp; Ortiz-</w:t>
      </w:r>
      <w:proofErr w:type="spellStart"/>
      <w:r>
        <w:rPr>
          <w:rFonts w:ascii="Times New Roman" w:eastAsia="Times New Roman" w:hAnsi="Times New Roman" w:cs="Times New Roman"/>
        </w:rPr>
        <w:t>Ospina</w:t>
      </w:r>
      <w:proofErr w:type="spellEnd"/>
      <w:r>
        <w:rPr>
          <w:rFonts w:ascii="Times New Roman" w:eastAsia="Times New Roman" w:hAnsi="Times New Roman" w:cs="Times New Roman"/>
        </w:rPr>
        <w:t xml:space="preserve">, 2016). </w:t>
      </w:r>
    </w:p>
    <w:p w14:paraId="4EA19A28" w14:textId="77777777" w:rsidR="00B84936" w:rsidRDefault="001D1521" w:rsidP="00F562F3">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 retrospective examination of income levels of the top 1 percent and the bottom 50 percent of earners from 1980 through 2016 demonstrates that the percentage share of national income of the top 1 percent increased from approximately 11 percent in 1980 to </w:t>
      </w:r>
      <w:r>
        <w:rPr>
          <w:rFonts w:ascii="Times New Roman" w:eastAsia="Times New Roman" w:hAnsi="Times New Roman" w:cs="Times New Roman"/>
        </w:rPr>
        <w:lastRenderedPageBreak/>
        <w:t xml:space="preserve">20 percent in 2016. Simultaneous to this development, when the top 1 percent’s share of national income doubled, the bottom 50 percent of earners saw their national income share dip from approximately 21 to 13 percent (Figure 7, World Inequality Lab, 2018). The top 1 percent amassed, nearly double the share of national wealth than 163 million Americans. Putting this income and wealth inequality into perspective, a fifth of Americans “have zero or negative net worth” (Collins &amp; Hoxie, 2017, p. 2), with over 30 percent of Black households and 27 percent of Latino households having zero or negative net worth. These “underwater” households, who have zero net assets or more liabilities than assets, have to live paycheck-to-paycheck or borrow money as their means of sustenance. This economic </w:t>
      </w:r>
      <w:proofErr w:type="spellStart"/>
      <w:r>
        <w:rPr>
          <w:rFonts w:ascii="Times New Roman" w:eastAsia="Times New Roman" w:hAnsi="Times New Roman" w:cs="Times New Roman"/>
        </w:rPr>
        <w:t>precarity</w:t>
      </w:r>
      <w:proofErr w:type="spellEnd"/>
      <w:r>
        <w:rPr>
          <w:rFonts w:ascii="Times New Roman" w:eastAsia="Times New Roman" w:hAnsi="Times New Roman" w:cs="Times New Roman"/>
        </w:rPr>
        <w:t xml:space="preserve"> from a racial and socioeconomic standpoint is simultaneous to the three wealthiest people in the U.S., namely, Bill Gates, Jeff Bezos, and Warren Buffett, owning more wealth than the entire bottom half of the population combined, a total of 160 million people or 63 million households (Collins &amp; Hoxie, 2017, p. 2).</w:t>
      </w:r>
    </w:p>
    <w:p w14:paraId="28A3C08E" w14:textId="77777777" w:rsidR="00B84936" w:rsidRDefault="001D1521">
      <w:pPr>
        <w:spacing w:line="276"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7542D7F9" wp14:editId="20646225">
            <wp:extent cx="5486400" cy="36195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486400" cy="3619500"/>
                    </a:xfrm>
                    <a:prstGeom prst="rect">
                      <a:avLst/>
                    </a:prstGeom>
                    <a:ln/>
                  </pic:spPr>
                </pic:pic>
              </a:graphicData>
            </a:graphic>
          </wp:inline>
        </w:drawing>
      </w:r>
    </w:p>
    <w:p w14:paraId="2D1EE120" w14:textId="77777777" w:rsidR="00B84936" w:rsidRDefault="001D1521">
      <w:pPr>
        <w:spacing w:line="276" w:lineRule="auto"/>
        <w:jc w:val="center"/>
        <w:rPr>
          <w:rFonts w:ascii="Times New Roman" w:eastAsia="Times New Roman" w:hAnsi="Times New Roman" w:cs="Times New Roman"/>
        </w:rPr>
      </w:pPr>
      <w:r>
        <w:rPr>
          <w:rFonts w:ascii="Times New Roman" w:eastAsia="Times New Roman" w:hAnsi="Times New Roman" w:cs="Times New Roman"/>
        </w:rPr>
        <w:t>Figure 7 (World Inequality Lab, 2018)</w:t>
      </w:r>
    </w:p>
    <w:p w14:paraId="14AF64CA" w14:textId="77777777" w:rsidR="00B84936" w:rsidRDefault="00B84936">
      <w:pPr>
        <w:spacing w:line="276" w:lineRule="auto"/>
        <w:rPr>
          <w:rFonts w:ascii="Times New Roman" w:eastAsia="Times New Roman" w:hAnsi="Times New Roman" w:cs="Times New Roman"/>
        </w:rPr>
      </w:pPr>
    </w:p>
    <w:p w14:paraId="27BA5CE5" w14:textId="77777777" w:rsidR="00B84936" w:rsidRDefault="001D1521">
      <w:pPr>
        <w:spacing w:line="276"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4615F47E" wp14:editId="53515173">
            <wp:extent cx="5486400" cy="31496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486400" cy="3149600"/>
                    </a:xfrm>
                    <a:prstGeom prst="rect">
                      <a:avLst/>
                    </a:prstGeom>
                    <a:ln/>
                  </pic:spPr>
                </pic:pic>
              </a:graphicData>
            </a:graphic>
          </wp:inline>
        </w:drawing>
      </w:r>
    </w:p>
    <w:p w14:paraId="338A89EB" w14:textId="77777777" w:rsidR="00B84936" w:rsidRDefault="001D1521">
      <w:pPr>
        <w:spacing w:line="276" w:lineRule="auto"/>
        <w:jc w:val="center"/>
        <w:rPr>
          <w:rFonts w:ascii="Times New Roman" w:eastAsia="Times New Roman" w:hAnsi="Times New Roman" w:cs="Times New Roman"/>
        </w:rPr>
      </w:pPr>
      <w:r>
        <w:rPr>
          <w:rFonts w:ascii="Times New Roman" w:eastAsia="Times New Roman" w:hAnsi="Times New Roman" w:cs="Times New Roman"/>
        </w:rPr>
        <w:t>Figure 8 (World Inequality Lab, 2018)</w:t>
      </w:r>
    </w:p>
    <w:p w14:paraId="64D9D635" w14:textId="77777777" w:rsidR="00B84936" w:rsidRDefault="00B84936">
      <w:pPr>
        <w:spacing w:line="276" w:lineRule="auto"/>
        <w:rPr>
          <w:rFonts w:ascii="Times New Roman" w:eastAsia="Times New Roman" w:hAnsi="Times New Roman" w:cs="Times New Roman"/>
        </w:rPr>
      </w:pPr>
    </w:p>
    <w:p w14:paraId="13FBA74B" w14:textId="77777777" w:rsidR="00B84936" w:rsidRDefault="001D1521">
      <w:pPr>
        <w:spacing w:line="480" w:lineRule="auto"/>
        <w:rPr>
          <w:rFonts w:ascii="Times New Roman" w:eastAsia="Times New Roman" w:hAnsi="Times New Roman" w:cs="Times New Roman"/>
        </w:rPr>
      </w:pPr>
      <w:r>
        <w:rPr>
          <w:rFonts w:ascii="Times New Roman" w:eastAsia="Times New Roman" w:hAnsi="Times New Roman" w:cs="Times New Roman"/>
        </w:rPr>
        <w:t xml:space="preserve">Placing this 36-year American macroeconomic trend in a global context, juxtaposition with Western Europe paints a vastly different picture. The U.S. and the European Union </w:t>
      </w:r>
      <w:r>
        <w:rPr>
          <w:rFonts w:ascii="Times New Roman" w:eastAsia="Times New Roman" w:hAnsi="Times New Roman" w:cs="Times New Roman"/>
        </w:rPr>
        <w:lastRenderedPageBreak/>
        <w:t xml:space="preserve">have had similar levels of development, size, and exposure to globalization and technologies since the 1980s. However, since then, the two have had fundamentally diverging inequality trajectories due to varying policies, such as less progressive taxation, unequal education, falling minimum wage, among other policy decisions. </w:t>
      </w:r>
    </w:p>
    <w:p w14:paraId="384D9B46"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Europe similarly witnessed a decline in percent share of the national income of the bottom 50 percent and an increase for the top 1 percent (Figure 8, World Inequality Lab, 2018). Despite this uptick in inequality, Western European income inequality increases were slight compared to the U.S., and continental Europe in particular does not have the same U-shaped inequality trajectory that the U.S. exhibits (Figure 6, </w:t>
      </w:r>
      <w:proofErr w:type="spellStart"/>
      <w:r>
        <w:rPr>
          <w:rFonts w:ascii="Times New Roman" w:eastAsia="Times New Roman" w:hAnsi="Times New Roman" w:cs="Times New Roman"/>
        </w:rPr>
        <w:t>Roser</w:t>
      </w:r>
      <w:proofErr w:type="spellEnd"/>
      <w:r>
        <w:rPr>
          <w:rFonts w:ascii="Times New Roman" w:eastAsia="Times New Roman" w:hAnsi="Times New Roman" w:cs="Times New Roman"/>
        </w:rPr>
        <w:t xml:space="preserve"> &amp; Ortiz-</w:t>
      </w:r>
      <w:proofErr w:type="spellStart"/>
      <w:r>
        <w:rPr>
          <w:rFonts w:ascii="Times New Roman" w:eastAsia="Times New Roman" w:hAnsi="Times New Roman" w:cs="Times New Roman"/>
        </w:rPr>
        <w:t>Ospina</w:t>
      </w:r>
      <w:proofErr w:type="spellEnd"/>
      <w:r>
        <w:rPr>
          <w:rFonts w:ascii="Times New Roman" w:eastAsia="Times New Roman" w:hAnsi="Times New Roman" w:cs="Times New Roman"/>
        </w:rPr>
        <w:t>, 2016). The bottom 50 percent of Western Europeans owned about 23 to 24 percent of national income in 1980, identical to Americans’ 23 percent in the same year. Yet, the share of national income for the bottom half of Western European earners remained relatively the same, only dipping to 22 percent in 2016, while the bottom half of Americans in 2016 owned 13 percent. The top 1 percent in Europe, however, began at 10 percent in 1980 to approximately 12 percent in 2016, compared to the U.S. top 1 percent starting at 11 percent in 1980 and nearly doubling to 20 percent in 2018. This doubling occurred while the bottom half of Americans saw their share of national income shrink by half (Figure 7, World Inequality Lab, 2018). Conversely, the bottom half of Western Europeans saw their share more-or-less preserved over 30 years without fundamentally increasing the share of national income of the top 1 percent. These divergent trajectories of these two similar regions highlight the significance of policy in determining the economic future populations.</w:t>
      </w:r>
    </w:p>
    <w:p w14:paraId="144A9AA8" w14:textId="77777777" w:rsidR="00F562F3" w:rsidRDefault="00F562F3">
      <w:pPr>
        <w:spacing w:line="480" w:lineRule="auto"/>
        <w:ind w:firstLine="720"/>
        <w:rPr>
          <w:rFonts w:ascii="Times New Roman" w:eastAsia="Times New Roman" w:hAnsi="Times New Roman" w:cs="Times New Roman"/>
        </w:rPr>
      </w:pPr>
    </w:p>
    <w:p w14:paraId="0D1BEACA" w14:textId="77777777" w:rsidR="00B84936" w:rsidRPr="00F562F3" w:rsidRDefault="001D1521" w:rsidP="00F30C77">
      <w:pPr>
        <w:pStyle w:val="Heading2"/>
        <w:rPr>
          <w:sz w:val="24"/>
          <w:szCs w:val="24"/>
        </w:rPr>
      </w:pPr>
      <w:bookmarkStart w:id="37" w:name="_Toc446789139"/>
      <w:r w:rsidRPr="00F562F3">
        <w:rPr>
          <w:sz w:val="24"/>
          <w:szCs w:val="24"/>
        </w:rPr>
        <w:lastRenderedPageBreak/>
        <w:t>The Decline of Unions and Weakening of the Middle Class</w:t>
      </w:r>
      <w:bookmarkEnd w:id="37"/>
    </w:p>
    <w:p w14:paraId="030AED00" w14:textId="77777777" w:rsidR="00B84936" w:rsidRDefault="00B84936">
      <w:pPr>
        <w:spacing w:line="276" w:lineRule="auto"/>
        <w:rPr>
          <w:rFonts w:ascii="Times New Roman" w:eastAsia="Times New Roman" w:hAnsi="Times New Roman" w:cs="Times New Roman"/>
          <w:b/>
        </w:rPr>
      </w:pPr>
    </w:p>
    <w:p w14:paraId="5532D385" w14:textId="77777777" w:rsidR="00B84936" w:rsidRDefault="001D1521">
      <w:pPr>
        <w:spacing w:line="276" w:lineRule="auto"/>
        <w:jc w:val="center"/>
        <w:rPr>
          <w:rFonts w:ascii="Times New Roman" w:eastAsia="Times New Roman" w:hAnsi="Times New Roman" w:cs="Times New Roman"/>
          <w:b/>
        </w:rPr>
      </w:pPr>
      <w:r>
        <w:rPr>
          <w:rFonts w:ascii="Times New Roman" w:eastAsia="Times New Roman" w:hAnsi="Times New Roman" w:cs="Times New Roman"/>
          <w:noProof/>
        </w:rPr>
        <w:drawing>
          <wp:inline distT="114300" distB="114300" distL="114300" distR="114300" wp14:anchorId="71AE9426" wp14:editId="51765ACF">
            <wp:extent cx="4057650" cy="3772418"/>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057650" cy="3772418"/>
                    </a:xfrm>
                    <a:prstGeom prst="rect">
                      <a:avLst/>
                    </a:prstGeom>
                    <a:ln/>
                  </pic:spPr>
                </pic:pic>
              </a:graphicData>
            </a:graphic>
          </wp:inline>
        </w:drawing>
      </w:r>
    </w:p>
    <w:p w14:paraId="19E969D7" w14:textId="77777777" w:rsidR="00B84936" w:rsidRDefault="001D1521">
      <w:pPr>
        <w:spacing w:line="276" w:lineRule="auto"/>
        <w:jc w:val="center"/>
        <w:rPr>
          <w:rFonts w:ascii="Times New Roman" w:eastAsia="Times New Roman" w:hAnsi="Times New Roman" w:cs="Times New Roman"/>
        </w:rPr>
      </w:pPr>
      <w:r>
        <w:rPr>
          <w:rFonts w:ascii="Times New Roman" w:eastAsia="Times New Roman" w:hAnsi="Times New Roman" w:cs="Times New Roman"/>
        </w:rPr>
        <w:t>Figure 9 (Gordon, 2012)</w:t>
      </w:r>
    </w:p>
    <w:p w14:paraId="2A8E2364" w14:textId="77777777" w:rsidR="00B84936" w:rsidRDefault="00B84936">
      <w:pPr>
        <w:spacing w:line="276" w:lineRule="auto"/>
        <w:jc w:val="center"/>
        <w:rPr>
          <w:rFonts w:ascii="Times New Roman" w:eastAsia="Times New Roman" w:hAnsi="Times New Roman" w:cs="Times New Roman"/>
        </w:rPr>
      </w:pPr>
    </w:p>
    <w:p w14:paraId="29F07557"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t>In the 1910s, the share of the unionized workforce hovered just above 10 percent. In 1918, 40 percent of the share of national income was going to the richest 10 percent, a share that increased in the 1920s. In the 1930s, the New Deal, President Franklin Roosevelt’s series of landmark legislation designed to lift the U.S. out of the Great Depression, won workers basic rights to collectively bargain, allowed union membership to increase exponentially, and led to increased economic equality. Due to the New Deal, the 1940s through the 1970s saw prosperity shared broadly, with around 30 percent of American workers in a union (</w:t>
      </w:r>
      <w:proofErr w:type="spellStart"/>
      <w:r>
        <w:rPr>
          <w:rFonts w:ascii="Times New Roman" w:eastAsia="Times New Roman" w:hAnsi="Times New Roman" w:cs="Times New Roman"/>
        </w:rPr>
        <w:t>Denice</w:t>
      </w:r>
      <w:proofErr w:type="spellEnd"/>
      <w:r>
        <w:rPr>
          <w:rFonts w:ascii="Times New Roman" w:eastAsia="Times New Roman" w:hAnsi="Times New Roman" w:cs="Times New Roman"/>
        </w:rPr>
        <w:t xml:space="preserve"> &amp; Rosenfeld, 2018; Fortin et al., 2019; Freeman &amp; </w:t>
      </w:r>
      <w:proofErr w:type="spellStart"/>
      <w:r>
        <w:rPr>
          <w:rFonts w:ascii="Times New Roman" w:eastAsia="Times New Roman" w:hAnsi="Times New Roman" w:cs="Times New Roman"/>
        </w:rPr>
        <w:t>Medoff</w:t>
      </w:r>
      <w:proofErr w:type="spellEnd"/>
      <w:r>
        <w:rPr>
          <w:rFonts w:ascii="Times New Roman" w:eastAsia="Times New Roman" w:hAnsi="Times New Roman" w:cs="Times New Roman"/>
        </w:rPr>
        <w:t xml:space="preserve">, 1984). However, beginning in the 1970s, unions met formidable opposition in the workplace, the judicial branch, and in public policy—a series of concerted efforts that </w:t>
      </w:r>
      <w:r>
        <w:rPr>
          <w:rFonts w:ascii="Times New Roman" w:eastAsia="Times New Roman" w:hAnsi="Times New Roman" w:cs="Times New Roman"/>
        </w:rPr>
        <w:lastRenderedPageBreak/>
        <w:t xml:space="preserve">precipitated to drastic declines in union membership and to a regression of income inequality to levels </w:t>
      </w:r>
      <w:proofErr w:type="spellStart"/>
      <w:r>
        <w:rPr>
          <w:rFonts w:ascii="Times New Roman" w:eastAsia="Times New Roman" w:hAnsi="Times New Roman" w:cs="Times New Roman"/>
        </w:rPr>
        <w:t>unwitnessed</w:t>
      </w:r>
      <w:proofErr w:type="spellEnd"/>
      <w:r>
        <w:rPr>
          <w:rFonts w:ascii="Times New Roman" w:eastAsia="Times New Roman" w:hAnsi="Times New Roman" w:cs="Times New Roman"/>
        </w:rPr>
        <w:t xml:space="preserve"> since the 1920s (Figure 9, Gordon 2012).</w:t>
      </w:r>
    </w:p>
    <w:p w14:paraId="08D2656C" w14:textId="77777777" w:rsidR="00B84936" w:rsidRDefault="001D1521">
      <w:pPr>
        <w:spacing w:before="240" w:after="240" w:line="276"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44868B58" wp14:editId="789C8821">
            <wp:extent cx="5291138" cy="3050076"/>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291138" cy="3050076"/>
                    </a:xfrm>
                    <a:prstGeom prst="rect">
                      <a:avLst/>
                    </a:prstGeom>
                    <a:ln/>
                  </pic:spPr>
                </pic:pic>
              </a:graphicData>
            </a:graphic>
          </wp:inline>
        </w:drawing>
      </w:r>
    </w:p>
    <w:p w14:paraId="0A899969" w14:textId="77777777" w:rsidR="00B84936" w:rsidRDefault="001D1521">
      <w:pPr>
        <w:spacing w:line="276" w:lineRule="auto"/>
        <w:jc w:val="center"/>
        <w:rPr>
          <w:rFonts w:ascii="Times New Roman" w:eastAsia="Times New Roman" w:hAnsi="Times New Roman" w:cs="Times New Roman"/>
        </w:rPr>
      </w:pPr>
      <w:r>
        <w:rPr>
          <w:rFonts w:ascii="Times New Roman" w:eastAsia="Times New Roman" w:hAnsi="Times New Roman" w:cs="Times New Roman"/>
        </w:rPr>
        <w:t>Figure 10 (Nunn et al., 2019, p.3)</w:t>
      </w:r>
    </w:p>
    <w:p w14:paraId="5BCEF4F5" w14:textId="77777777" w:rsidR="00B84936" w:rsidRDefault="00B84936">
      <w:pPr>
        <w:spacing w:line="276" w:lineRule="auto"/>
        <w:rPr>
          <w:rFonts w:ascii="Times New Roman" w:eastAsia="Times New Roman" w:hAnsi="Times New Roman" w:cs="Times New Roman"/>
        </w:rPr>
      </w:pPr>
    </w:p>
    <w:p w14:paraId="2D985477"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t>The passage of union-friendly legislation, such as the National Labor Relations Act of 1935, led to dramatic increases in unionization rates and thus fortified the middle class, while legislation such as the Taft-Hartley Act of 1947, which curtailed the right to organize and bargain collectively by restricting labor organizing tactics, gave the President increased authority over striking workers, and empowered companies to control labor agreements, led to decreases in unionization rates (Figure 10, Nunn et al., 2019, p.3).</w:t>
      </w:r>
    </w:p>
    <w:p w14:paraId="47ED1D91" w14:textId="77777777" w:rsidR="00B84936" w:rsidRDefault="001D1521">
      <w:pPr>
        <w:spacing w:line="480" w:lineRule="auto"/>
        <w:ind w:firstLine="720"/>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281F6009" wp14:editId="56B41176">
            <wp:extent cx="5038415" cy="4652963"/>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038415" cy="4652963"/>
                    </a:xfrm>
                    <a:prstGeom prst="rect">
                      <a:avLst/>
                    </a:prstGeom>
                    <a:ln/>
                  </pic:spPr>
                </pic:pic>
              </a:graphicData>
            </a:graphic>
          </wp:inline>
        </w:drawing>
      </w:r>
    </w:p>
    <w:p w14:paraId="6E941053" w14:textId="77777777" w:rsidR="00B84936" w:rsidRDefault="001D1521">
      <w:pPr>
        <w:spacing w:line="276" w:lineRule="auto"/>
        <w:jc w:val="center"/>
        <w:rPr>
          <w:rFonts w:ascii="Times New Roman" w:eastAsia="Times New Roman" w:hAnsi="Times New Roman" w:cs="Times New Roman"/>
        </w:rPr>
      </w:pPr>
      <w:r>
        <w:rPr>
          <w:rFonts w:ascii="Times New Roman" w:eastAsia="Times New Roman" w:hAnsi="Times New Roman" w:cs="Times New Roman"/>
        </w:rPr>
        <w:t>Figure 11 (</w:t>
      </w: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xml:space="preserve"> &amp; Miller, 2013)</w:t>
      </w:r>
    </w:p>
    <w:p w14:paraId="41433963" w14:textId="77777777" w:rsidR="00B84936" w:rsidRDefault="00B84936">
      <w:pPr>
        <w:spacing w:line="480" w:lineRule="auto"/>
        <w:ind w:firstLine="720"/>
        <w:rPr>
          <w:rFonts w:ascii="Times New Roman" w:eastAsia="Times New Roman" w:hAnsi="Times New Roman" w:cs="Times New Roman"/>
        </w:rPr>
      </w:pPr>
    </w:p>
    <w:p w14:paraId="4AFD60E8" w14:textId="77777777" w:rsidR="00B84936" w:rsidRDefault="001D1521">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1960s, labor unions began to decline precipitously with only 10.5 percent of union membership, a figure that mirrors unionization rate figures from the Gilded Age (Figure 10, Nunn et al., 2019, p.3). Between 1967 and 2012, union membership declined from 28.3 percent of all workers to 11.3 percent. During this same time frame, the middle 60 percent of households witnessed a share of national income decrease from 52.3 to 45.7 percent (Figure 11, </w:t>
      </w: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xml:space="preserve"> &amp; Miller, 2013). As suggested by this rapid decline of union membership correlation with the decrease in middle class share of aggregate income, the presence of fewer unions in the workplace is a demonstrated catalyst of increased income </w:t>
      </w:r>
      <w:r>
        <w:rPr>
          <w:rFonts w:ascii="Times New Roman" w:eastAsia="Times New Roman" w:hAnsi="Times New Roman" w:cs="Times New Roman"/>
        </w:rPr>
        <w:lastRenderedPageBreak/>
        <w:t xml:space="preserve">inequality and a weaker middle class (Figure 11, </w:t>
      </w: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xml:space="preserve"> &amp; Miller, 2013; Card et al., 2004, p. 519). This strong negative correlation between the middle 60 percent of household’s share of national income and union membership suggests that the preservation and cultivation of strong labor unions would be transformational in developing a robust middle class. </w:t>
      </w:r>
    </w:p>
    <w:p w14:paraId="757B8B3B" w14:textId="77777777" w:rsidR="00F562F3" w:rsidRDefault="00F562F3">
      <w:pPr>
        <w:spacing w:line="480" w:lineRule="auto"/>
        <w:ind w:firstLine="720"/>
        <w:rPr>
          <w:rFonts w:ascii="Times New Roman" w:eastAsia="Times New Roman" w:hAnsi="Times New Roman" w:cs="Times New Roman"/>
          <w:b/>
        </w:rPr>
      </w:pPr>
    </w:p>
    <w:p w14:paraId="1F99464E" w14:textId="77777777" w:rsidR="00B84936" w:rsidRPr="00F562F3" w:rsidRDefault="001D1521" w:rsidP="00F30C77">
      <w:pPr>
        <w:pStyle w:val="Heading2"/>
        <w:rPr>
          <w:sz w:val="24"/>
          <w:szCs w:val="24"/>
        </w:rPr>
      </w:pPr>
      <w:bookmarkStart w:id="38" w:name="_Toc446789140"/>
      <w:r w:rsidRPr="00F562F3">
        <w:rPr>
          <w:sz w:val="24"/>
          <w:szCs w:val="24"/>
        </w:rPr>
        <w:t>Employee Resource Group Limitations</w:t>
      </w:r>
      <w:bookmarkEnd w:id="38"/>
      <w:r w:rsidRPr="00F562F3">
        <w:rPr>
          <w:sz w:val="24"/>
          <w:szCs w:val="24"/>
        </w:rPr>
        <w:t xml:space="preserve"> </w:t>
      </w:r>
    </w:p>
    <w:p w14:paraId="562AD927" w14:textId="77777777" w:rsidR="00B84936" w:rsidRDefault="001D1521">
      <w:pPr>
        <w:spacing w:before="240" w:after="240" w:line="48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In order to elevate the voice of underserved communities in the workplace, the Diversity and Inclusion function has concentrated on creating employee resource groups. Employee resource groups serve as platforms for employees to shape organizational strategy as it affects their particular demographic community (</w:t>
      </w:r>
      <w:proofErr w:type="spellStart"/>
      <w:r>
        <w:rPr>
          <w:rFonts w:ascii="Times New Roman" w:eastAsia="Times New Roman" w:hAnsi="Times New Roman" w:cs="Times New Roman"/>
        </w:rPr>
        <w:t>Welbourne</w:t>
      </w:r>
      <w:proofErr w:type="spellEnd"/>
      <w:r>
        <w:rPr>
          <w:rFonts w:ascii="Times New Roman" w:eastAsia="Times New Roman" w:hAnsi="Times New Roman" w:cs="Times New Roman"/>
        </w:rPr>
        <w:t xml:space="preserve"> et al., 2017). While Diversity and Inclusion has contributed to employee empowerment in advancing inclusion through employee resource groups, the latter structurally lacks access to formal leverage powers, such as legally binding contracts. Additionally, as employee resource groups report to management and since most, if not all members, are in “at-will” employment positions, where workers can be legally terminated for no reason at all (Legal Information Institute, 2020b), employee resource groups are not structurally empowered to organize strikes in the same way that labor unions can. </w:t>
      </w:r>
    </w:p>
    <w:p w14:paraId="44D99D8F" w14:textId="77777777" w:rsidR="00F562F3" w:rsidRDefault="00F562F3">
      <w:pPr>
        <w:spacing w:before="240" w:after="240" w:line="480" w:lineRule="auto"/>
        <w:rPr>
          <w:rFonts w:ascii="Times New Roman" w:eastAsia="Times New Roman" w:hAnsi="Times New Roman" w:cs="Times New Roman"/>
        </w:rPr>
      </w:pPr>
    </w:p>
    <w:p w14:paraId="6B7E6278" w14:textId="77777777" w:rsidR="00B84936" w:rsidRPr="00F562F3" w:rsidRDefault="001D1521" w:rsidP="00F30C77">
      <w:pPr>
        <w:pStyle w:val="Heading2"/>
        <w:rPr>
          <w:sz w:val="24"/>
          <w:szCs w:val="24"/>
        </w:rPr>
      </w:pPr>
      <w:bookmarkStart w:id="39" w:name="_Toc446789141"/>
      <w:r w:rsidRPr="00F562F3">
        <w:rPr>
          <w:sz w:val="24"/>
          <w:szCs w:val="24"/>
        </w:rPr>
        <w:t>Diversity and Inclusion as Labor Relations Strategy</w:t>
      </w:r>
      <w:bookmarkEnd w:id="39"/>
    </w:p>
    <w:p w14:paraId="6A948888"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While it may not be the principal objective of Diversity and Inclusion, the function contributes to Labor Relations in the broader Human Resources strategy. In </w:t>
      </w:r>
      <w:r>
        <w:rPr>
          <w:rFonts w:ascii="Times New Roman" w:eastAsia="Times New Roman" w:hAnsi="Times New Roman" w:cs="Times New Roman"/>
        </w:rPr>
        <w:lastRenderedPageBreak/>
        <w:t>serving as a platform to amplify employee voice, employee resource groups have the net effect of appeasing employee dissatisfaction enough in order to prevent them from organizing. Diverting worker energy from union organizing and to employee resource groups would result to depriving workers of protections, ensure that equalizing compensation and providing benefits remains fully at management’s volition, and maintaining the country’s “at-will” hire and fire culture (Harcourt et al., 2013; Head &amp; Lucas, 2004, p. 239; Freeman, 2007). This pacification of workers as a union avoidance strategy would channel workers away from forming labor unions that otherwise would have better empowered them, contractually and legally through the National Labor Relations Board, in achieving collective aims. Human Resources can channel both Diversity and Inclusion and Labor Relations functions towards union avoidance efforts, such as utilizing diversity training with Labor Relations, diversity leadership development by Learning &amp; Development, and other Diversity and Inclusion collaborations, as part of the broader trend to “keep employees engaged in diversity &amp; inclusion” as Human Resources’ conduit in maintaining a “union-proof” organization (</w:t>
      </w:r>
      <w:proofErr w:type="spellStart"/>
      <w:r>
        <w:rPr>
          <w:rFonts w:ascii="Times New Roman" w:eastAsia="Times New Roman" w:hAnsi="Times New Roman" w:cs="Times New Roman"/>
        </w:rPr>
        <w:t>UnionProof</w:t>
      </w:r>
      <w:proofErr w:type="spellEnd"/>
      <w:r>
        <w:rPr>
          <w:rFonts w:ascii="Times New Roman" w:eastAsia="Times New Roman" w:hAnsi="Times New Roman" w:cs="Times New Roman"/>
        </w:rPr>
        <w:t>, 2020).</w:t>
      </w:r>
    </w:p>
    <w:p w14:paraId="5F46BBD2" w14:textId="77777777" w:rsidR="00F562F3" w:rsidRDefault="00F562F3">
      <w:pPr>
        <w:spacing w:before="240" w:after="240" w:line="480" w:lineRule="auto"/>
        <w:ind w:firstLine="720"/>
        <w:rPr>
          <w:rFonts w:ascii="Times New Roman" w:eastAsia="Times New Roman" w:hAnsi="Times New Roman" w:cs="Times New Roman"/>
        </w:rPr>
      </w:pPr>
    </w:p>
    <w:p w14:paraId="37A04F24" w14:textId="77777777" w:rsidR="00B84936" w:rsidRPr="00F562F3" w:rsidRDefault="001D1521" w:rsidP="00F30C77">
      <w:pPr>
        <w:pStyle w:val="Heading2"/>
        <w:rPr>
          <w:sz w:val="24"/>
          <w:szCs w:val="24"/>
        </w:rPr>
      </w:pPr>
      <w:bookmarkStart w:id="40" w:name="_Toc446789142"/>
      <w:r w:rsidRPr="00F562F3">
        <w:rPr>
          <w:sz w:val="24"/>
          <w:szCs w:val="24"/>
        </w:rPr>
        <w:t>Intersectional Policy Consideration: Democracy in the Workplace</w:t>
      </w:r>
      <w:bookmarkEnd w:id="40"/>
    </w:p>
    <w:p w14:paraId="1C08E87B"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Given that the Diversity and Inclusion amplification of employee voice through employee resource groups is superseded by higher management priorities such as at-will employment (Legal Information Institute, 2020b) and enervated by the absence of legally </w:t>
      </w:r>
      <w:proofErr w:type="gramStart"/>
      <w:r>
        <w:rPr>
          <w:rFonts w:ascii="Times New Roman" w:eastAsia="Times New Roman" w:hAnsi="Times New Roman" w:cs="Times New Roman"/>
        </w:rPr>
        <w:t>binding</w:t>
      </w:r>
      <w:proofErr w:type="gramEnd"/>
      <w:r>
        <w:rPr>
          <w:rFonts w:ascii="Times New Roman" w:eastAsia="Times New Roman" w:hAnsi="Times New Roman" w:cs="Times New Roman"/>
        </w:rPr>
        <w:t xml:space="preserve"> contracts, an intersectional and more effective approach in advocating for worker needs, especially from a socioeconomic perspective and their gender and racial </w:t>
      </w:r>
      <w:r>
        <w:rPr>
          <w:rFonts w:ascii="Times New Roman" w:eastAsia="Times New Roman" w:hAnsi="Times New Roman" w:cs="Times New Roman"/>
        </w:rPr>
        <w:lastRenderedPageBreak/>
        <w:t xml:space="preserve">intersections, is the re-cultivation of labor unions. Labor unions emerge as the sufficiently powerful agent in advocating for higher and fairer incomes and rebuilding the middle class. The Workplace Democracy Act (the “Act” hereafter), as envisioned and proposed by U.S. Senator from Vermont Bernie Sanders (2019b; McCarthy, 2019, p. 71; </w:t>
      </w:r>
      <w:proofErr w:type="spellStart"/>
      <w:r>
        <w:rPr>
          <w:rFonts w:ascii="Times New Roman" w:eastAsia="Times New Roman" w:hAnsi="Times New Roman" w:cs="Times New Roman"/>
        </w:rPr>
        <w:t>Eidlin</w:t>
      </w:r>
      <w:proofErr w:type="spellEnd"/>
      <w:r>
        <w:rPr>
          <w:rFonts w:ascii="Times New Roman" w:eastAsia="Times New Roman" w:hAnsi="Times New Roman" w:cs="Times New Roman"/>
        </w:rPr>
        <w:t xml:space="preserve">, 2019, </w:t>
      </w:r>
      <w:proofErr w:type="spellStart"/>
      <w:r>
        <w:rPr>
          <w:rFonts w:ascii="Times New Roman" w:eastAsia="Times New Roman" w:hAnsi="Times New Roman" w:cs="Times New Roman"/>
        </w:rPr>
        <w:t>Goldshan</w:t>
      </w:r>
      <w:proofErr w:type="spellEnd"/>
      <w:r>
        <w:rPr>
          <w:rFonts w:ascii="Times New Roman" w:eastAsia="Times New Roman" w:hAnsi="Times New Roman" w:cs="Times New Roman"/>
        </w:rPr>
        <w:t xml:space="preserve">, 2019) and the progressive movement, is the blueprint in rebuilding the American working class and democratizing the workplace for workers. </w:t>
      </w:r>
    </w:p>
    <w:p w14:paraId="1CCB6657" w14:textId="77777777" w:rsidR="00B84936" w:rsidRPr="00F562F3" w:rsidRDefault="001D1521" w:rsidP="00F30C77">
      <w:pPr>
        <w:pStyle w:val="Heading2"/>
        <w:rPr>
          <w:sz w:val="24"/>
          <w:szCs w:val="24"/>
        </w:rPr>
      </w:pPr>
      <w:bookmarkStart w:id="41" w:name="_Toc446789143"/>
      <w:r w:rsidRPr="00F562F3">
        <w:rPr>
          <w:sz w:val="24"/>
          <w:szCs w:val="24"/>
        </w:rPr>
        <w:t>The Unionization Process Simplified</w:t>
      </w:r>
      <w:bookmarkEnd w:id="41"/>
    </w:p>
    <w:p w14:paraId="4221DF2A"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The Workplace Democracy Act would allow workers to vote for a union using a majority sign up process through a card-check system where a majority of eligible workers would sign union cards that authorize union representation. This provision was a fundamental component of the Employee Free Choice Act (</w:t>
      </w:r>
      <w:proofErr w:type="spellStart"/>
      <w:r>
        <w:rPr>
          <w:rFonts w:ascii="Times New Roman" w:eastAsia="Times New Roman" w:hAnsi="Times New Roman" w:cs="Times New Roman"/>
        </w:rPr>
        <w:t>Hagedorn</w:t>
      </w:r>
      <w:proofErr w:type="spellEnd"/>
      <w:r>
        <w:rPr>
          <w:rFonts w:ascii="Times New Roman" w:eastAsia="Times New Roman" w:hAnsi="Times New Roman" w:cs="Times New Roman"/>
        </w:rPr>
        <w:t xml:space="preserve">, 2016), a key provision that organized labor demanded from the early Barack Obama presidency. This change would be a simplification of current labor law that mandates workers to undergo a drawn-out two-step election process, the first of which must demonstrate that at least 30 percent of the proposed bargaining unit supports an election. Workers must then wait for the second to be held, which must demonstrate a majority vote. Many employers, cognizant of unionization underway, implement union-busting strategies at this critical organizing time (Von </w:t>
      </w:r>
      <w:proofErr w:type="spellStart"/>
      <w:r>
        <w:rPr>
          <w:rFonts w:ascii="Times New Roman" w:eastAsia="Times New Roman" w:hAnsi="Times New Roman" w:cs="Times New Roman"/>
        </w:rPr>
        <w:t>Wilpertt</w:t>
      </w:r>
      <w:proofErr w:type="spellEnd"/>
      <w:r>
        <w:rPr>
          <w:rFonts w:ascii="Times New Roman" w:eastAsia="Times New Roman" w:hAnsi="Times New Roman" w:cs="Times New Roman"/>
        </w:rPr>
        <w:t xml:space="preserve">, 2017) in order to foreclose union formation. A card-check way of unionizing would allow workers to freely organize without management’s intimidation and threats, while also making the unionization process simpler for workers. </w:t>
      </w:r>
    </w:p>
    <w:p w14:paraId="287B13A5"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Workplace Democracy Plan would pave the way for either the union or the company to request compulsory mediation if they fail to achieve an agreement within 90 days. If both still have not reached an agreement after 30 days of compulsory mediation, </w:t>
      </w:r>
      <w:r>
        <w:rPr>
          <w:rFonts w:ascii="Times New Roman" w:eastAsia="Times New Roman" w:hAnsi="Times New Roman" w:cs="Times New Roman"/>
        </w:rPr>
        <w:lastRenderedPageBreak/>
        <w:t>either the union or the company would be allowed to submit the remaining issues to a binding third-party arbitration. The Society for Human Resource Management (SHRM) has voiced opposition to these “first contract” provisions, arguing that the mandatory binding arbitration would curtail HR’s, management’s, and employees’ ability to shape the terms of workplace contracts. SHRM also argued that honoring the first contract “would take away employees’ voice in the workplace twice—by taking away employees’ right to a private vote on unionization and disallowing employees a chance to ratify new union contracts'' (Society for Human Resource Management, 2020). These counter-arguments by SHRM would preserve the status quo and inhibit the likelihood of a formation of a union in the first place. It would also cast motivational doubt in new union members, as first contracts are often deliberately drawn out by management as a union avoidance strategy in order to foster uncertainty and frustration amongst workers during the unionization process (</w:t>
      </w:r>
      <w:proofErr w:type="spellStart"/>
      <w:r>
        <w:rPr>
          <w:rFonts w:ascii="Times New Roman" w:eastAsia="Times New Roman" w:hAnsi="Times New Roman" w:cs="Times New Roman"/>
        </w:rPr>
        <w:t>McNicholas</w:t>
      </w:r>
      <w:proofErr w:type="spellEnd"/>
      <w:r>
        <w:rPr>
          <w:rFonts w:ascii="Times New Roman" w:eastAsia="Times New Roman" w:hAnsi="Times New Roman" w:cs="Times New Roman"/>
        </w:rPr>
        <w:t xml:space="preserve"> et al., 2019; Logan, 2006; Logan, 2004; </w:t>
      </w:r>
      <w:proofErr w:type="spellStart"/>
      <w:r>
        <w:rPr>
          <w:rFonts w:ascii="Times New Roman" w:eastAsia="Times New Roman" w:hAnsi="Times New Roman" w:cs="Times New Roman"/>
        </w:rPr>
        <w:t>Gunnigle</w:t>
      </w:r>
      <w:proofErr w:type="spellEnd"/>
      <w:r>
        <w:rPr>
          <w:rFonts w:ascii="Times New Roman" w:eastAsia="Times New Roman" w:hAnsi="Times New Roman" w:cs="Times New Roman"/>
        </w:rPr>
        <w:t xml:space="preserve"> et al., 2009).</w:t>
      </w:r>
    </w:p>
    <w:p w14:paraId="14AD5C10" w14:textId="0D561A83"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Workplace Democracy Act would also decrease union avoidance training for workers. In these meetings, which typically occur in tandem with active unionization campaigns, employers are brought in to meet with supervisors and at times with employees. Employers would simulate through “what if” scenarios where workers may lose their job should they unionize. The Workplace Democracy Act would ensure that </w:t>
      </w:r>
      <w:proofErr w:type="gramStart"/>
      <w:r>
        <w:rPr>
          <w:rFonts w:ascii="Times New Roman" w:eastAsia="Times New Roman" w:hAnsi="Times New Roman" w:cs="Times New Roman"/>
        </w:rPr>
        <w:t xml:space="preserve">these “captive audience” meetings </w:t>
      </w:r>
      <w:r w:rsidR="00AE696A">
        <w:rPr>
          <w:rFonts w:ascii="Times New Roman" w:eastAsia="Times New Roman" w:hAnsi="Times New Roman" w:cs="Times New Roman"/>
        </w:rPr>
        <w:t>could not</w:t>
      </w:r>
      <w:r>
        <w:rPr>
          <w:rFonts w:ascii="Times New Roman" w:eastAsia="Times New Roman" w:hAnsi="Times New Roman" w:cs="Times New Roman"/>
        </w:rPr>
        <w:t xml:space="preserve"> be mandated by management</w:t>
      </w:r>
      <w:proofErr w:type="gramEnd"/>
      <w:r>
        <w:rPr>
          <w:rFonts w:ascii="Times New Roman" w:eastAsia="Times New Roman" w:hAnsi="Times New Roman" w:cs="Times New Roman"/>
        </w:rPr>
        <w:t>.</w:t>
      </w:r>
    </w:p>
    <w:p w14:paraId="59B1915A" w14:textId="77777777" w:rsidR="00F562F3" w:rsidRDefault="00F562F3">
      <w:pPr>
        <w:spacing w:before="240" w:after="240" w:line="480" w:lineRule="auto"/>
        <w:ind w:firstLine="720"/>
        <w:rPr>
          <w:rFonts w:ascii="Times New Roman" w:eastAsia="Times New Roman" w:hAnsi="Times New Roman" w:cs="Times New Roman"/>
        </w:rPr>
      </w:pPr>
    </w:p>
    <w:p w14:paraId="0C2204BD" w14:textId="77777777" w:rsidR="00F562F3" w:rsidRDefault="00F562F3">
      <w:pPr>
        <w:spacing w:before="240" w:after="240" w:line="480" w:lineRule="auto"/>
        <w:ind w:firstLine="720"/>
        <w:rPr>
          <w:rFonts w:ascii="Times New Roman" w:eastAsia="Times New Roman" w:hAnsi="Times New Roman" w:cs="Times New Roman"/>
        </w:rPr>
      </w:pPr>
    </w:p>
    <w:p w14:paraId="101C6E60" w14:textId="77777777" w:rsidR="00B84936" w:rsidRPr="00F562F3" w:rsidRDefault="001D1521" w:rsidP="00F30C77">
      <w:pPr>
        <w:pStyle w:val="Heading2"/>
        <w:rPr>
          <w:sz w:val="24"/>
          <w:szCs w:val="24"/>
        </w:rPr>
      </w:pPr>
      <w:bookmarkStart w:id="42" w:name="_Toc446789144"/>
      <w:r w:rsidRPr="00F562F3">
        <w:rPr>
          <w:sz w:val="24"/>
          <w:szCs w:val="24"/>
        </w:rPr>
        <w:lastRenderedPageBreak/>
        <w:t>Expand Union Eligibility &amp; Protections</w:t>
      </w:r>
      <w:bookmarkEnd w:id="42"/>
    </w:p>
    <w:p w14:paraId="2DC316B1" w14:textId="77777777" w:rsidR="00B84936" w:rsidRDefault="001D1521">
      <w:pPr>
        <w:spacing w:before="240" w:after="240" w:line="480" w:lineRule="auto"/>
        <w:ind w:firstLine="720"/>
        <w:rPr>
          <w:rFonts w:ascii="Times New Roman" w:eastAsia="Times New Roman" w:hAnsi="Times New Roman" w:cs="Times New Roman"/>
          <w:b/>
        </w:rPr>
      </w:pPr>
      <w:r>
        <w:rPr>
          <w:rFonts w:ascii="Times New Roman" w:eastAsia="Times New Roman" w:hAnsi="Times New Roman" w:cs="Times New Roman"/>
        </w:rPr>
        <w:t>The Act would eliminate “Right-to-Work” laws that curtail the growth of unions, deprive unions of funds (</w:t>
      </w:r>
      <w:proofErr w:type="spellStart"/>
      <w:r>
        <w:rPr>
          <w:rFonts w:ascii="Times New Roman" w:eastAsia="Times New Roman" w:hAnsi="Times New Roman" w:cs="Times New Roman"/>
        </w:rPr>
        <w:t>FindLaw</w:t>
      </w:r>
      <w:proofErr w:type="spellEnd"/>
      <w:r>
        <w:rPr>
          <w:rFonts w:ascii="Times New Roman" w:eastAsia="Times New Roman" w:hAnsi="Times New Roman" w:cs="Times New Roman"/>
        </w:rPr>
        <w:t xml:space="preserve">, 2020), and encourage union members to view their </w:t>
      </w:r>
      <w:proofErr w:type="gramStart"/>
      <w:r>
        <w:rPr>
          <w:rFonts w:ascii="Times New Roman" w:eastAsia="Times New Roman" w:hAnsi="Times New Roman" w:cs="Times New Roman"/>
        </w:rPr>
        <w:t>membership to the union as a mere transaction as opposed to cross-racial working class solidarity.</w:t>
      </w:r>
      <w:proofErr w:type="gramEnd"/>
      <w:r>
        <w:rPr>
          <w:rFonts w:ascii="Times New Roman" w:eastAsia="Times New Roman" w:hAnsi="Times New Roman" w:cs="Times New Roman"/>
        </w:rPr>
        <w:t xml:space="preserve"> Additionally, the Workplace Democracy Act would respond to the employment challenges in the “gig economy,” where workers are erroneously classified as “independent contractors” on a 1099 form and non-supervising workers are categorized as “managers.” Employers use this legal misclassification in order to avoid payroll taxes, withhold benefits, and ensure that those </w:t>
      </w:r>
      <w:proofErr w:type="spellStart"/>
      <w:r>
        <w:rPr>
          <w:rFonts w:ascii="Times New Roman" w:eastAsia="Times New Roman" w:hAnsi="Times New Roman" w:cs="Times New Roman"/>
        </w:rPr>
        <w:t>miscategorized</w:t>
      </w:r>
      <w:proofErr w:type="spellEnd"/>
      <w:r>
        <w:rPr>
          <w:rFonts w:ascii="Times New Roman" w:eastAsia="Times New Roman" w:hAnsi="Times New Roman" w:cs="Times New Roman"/>
        </w:rPr>
        <w:t xml:space="preserve"> remain ineligible for union rights. This purposeful misclassification also exempts those affected from federal labor protections, such as the Fair Labor Standards Act, which mandates overtime pay. Ensuring that independent contractors and non-supervising managers are properly classified would ensure improved ability to unionize, while securing benefits and increased legal protections. Moreover, the Workplace Democracy Act would prevent large corporations from using franchise agreements or service subcontracting in order to exempt </w:t>
      </w:r>
      <w:proofErr w:type="gramStart"/>
      <w:r>
        <w:rPr>
          <w:rFonts w:ascii="Times New Roman" w:eastAsia="Times New Roman" w:hAnsi="Times New Roman" w:cs="Times New Roman"/>
        </w:rPr>
        <w:t>themselves</w:t>
      </w:r>
      <w:proofErr w:type="gramEnd"/>
      <w:r>
        <w:rPr>
          <w:rFonts w:ascii="Times New Roman" w:eastAsia="Times New Roman" w:hAnsi="Times New Roman" w:cs="Times New Roman"/>
        </w:rPr>
        <w:t xml:space="preserve"> from collectively bargaining with workers. Closing these loopholes would be transformative in unionizing the fast food industry, cell phone companies with non-union licensed retailers, and those </w:t>
      </w:r>
      <w:proofErr w:type="spellStart"/>
      <w:r>
        <w:rPr>
          <w:rFonts w:ascii="Times New Roman" w:eastAsia="Times New Roman" w:hAnsi="Times New Roman" w:cs="Times New Roman"/>
        </w:rPr>
        <w:t>miscategorized</w:t>
      </w:r>
      <w:proofErr w:type="spellEnd"/>
      <w:r>
        <w:rPr>
          <w:rFonts w:ascii="Times New Roman" w:eastAsia="Times New Roman" w:hAnsi="Times New Roman" w:cs="Times New Roman"/>
        </w:rPr>
        <w:t xml:space="preserve"> and in the “gig economy.” </w:t>
      </w:r>
    </w:p>
    <w:p w14:paraId="304A5885"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Agricultural and domestic workers were exempted from the right to unionize under the 1935 National Labor Relations Act. At the time, President Roosevelt realized that many working class people of color worked as domestic workers and in agriculture, and he wanted to appease White segregationists in exchange for their New Deal support (Lewis, 2019a). The Workplace Democracy Plan would eliminate these loopholes that </w:t>
      </w:r>
      <w:r>
        <w:rPr>
          <w:rFonts w:ascii="Times New Roman" w:eastAsia="Times New Roman" w:hAnsi="Times New Roman" w:cs="Times New Roman"/>
        </w:rPr>
        <w:lastRenderedPageBreak/>
        <w:t>withheld domestic and agricultural workers from labor protections and would ensure that many working class people of color have the right to unionize.</w:t>
      </w:r>
    </w:p>
    <w:p w14:paraId="2F32C673" w14:textId="77777777" w:rsidR="001D1521" w:rsidRDefault="001D1521">
      <w:pPr>
        <w:spacing w:before="240" w:after="240" w:line="480" w:lineRule="auto"/>
        <w:ind w:firstLine="720"/>
        <w:rPr>
          <w:rFonts w:ascii="Times New Roman" w:eastAsia="Times New Roman" w:hAnsi="Times New Roman" w:cs="Times New Roman"/>
        </w:rPr>
      </w:pPr>
    </w:p>
    <w:p w14:paraId="49F40557" w14:textId="77777777" w:rsidR="00B84936" w:rsidRPr="00F562F3" w:rsidRDefault="001D1521" w:rsidP="00F30C77">
      <w:pPr>
        <w:pStyle w:val="Heading2"/>
        <w:rPr>
          <w:sz w:val="24"/>
          <w:szCs w:val="24"/>
        </w:rPr>
      </w:pPr>
      <w:bookmarkStart w:id="43" w:name="_Toc446789145"/>
      <w:r w:rsidRPr="00F562F3">
        <w:rPr>
          <w:sz w:val="24"/>
          <w:szCs w:val="24"/>
        </w:rPr>
        <w:t>Increase Union Negotiating Power</w:t>
      </w:r>
      <w:bookmarkEnd w:id="43"/>
    </w:p>
    <w:p w14:paraId="317DB319" w14:textId="77777777" w:rsidR="00B84936" w:rsidRDefault="001D1521">
      <w:pPr>
        <w:spacing w:before="240" w:after="240" w:line="480" w:lineRule="auto"/>
        <w:ind w:firstLine="720"/>
        <w:rPr>
          <w:rFonts w:ascii="Times New Roman" w:eastAsia="Times New Roman" w:hAnsi="Times New Roman" w:cs="Times New Roman"/>
          <w:b/>
        </w:rPr>
      </w:pPr>
      <w:r>
        <w:rPr>
          <w:rFonts w:ascii="Times New Roman" w:eastAsia="Times New Roman" w:hAnsi="Times New Roman" w:cs="Times New Roman"/>
        </w:rPr>
        <w:t>The Workplace Democracy Act would also create minimum union rights for all public workers. The Act would grant federal workers the right to strike and remove penalties when they do. Having no right to strike would deprive federal workers of significant leverage in collective bargaining and enforcing contracts. In the public sector, bargaining law is administered on a state-by-state basis, and many states, predominantly in the South, have moved to impede or outright prohibit public sector unionization. For example, in K-12 and higher education, six states prohibit K-12 teachers from bargaining completely. Tennessee allows limited bargaining for K-12 teachers but prohibits administrative support staff bargaining. In some states like Wisconsin, Iowa, and Missouri, unions are limited on what they are able to bargain over, and these states require regular recertification union elections for unions to continue their bargaining rights (Flanders &amp; Tunney, 2019; Iowa Public Employment Relations Board, 2019).</w:t>
      </w:r>
    </w:p>
    <w:p w14:paraId="3E4C8D6A" w14:textId="40CF386A"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The A</w:t>
      </w:r>
      <w:r w:rsidR="00BD0DD1">
        <w:rPr>
          <w:rFonts w:ascii="Times New Roman" w:eastAsia="Times New Roman" w:hAnsi="Times New Roman" w:cs="Times New Roman"/>
        </w:rPr>
        <w:t>c</w:t>
      </w:r>
      <w:r>
        <w:rPr>
          <w:rFonts w:ascii="Times New Roman" w:eastAsia="Times New Roman" w:hAnsi="Times New Roman" w:cs="Times New Roman"/>
        </w:rPr>
        <w:t xml:space="preserve">t would additionally ensure that striking workers </w:t>
      </w:r>
      <w:proofErr w:type="gramStart"/>
      <w:r>
        <w:rPr>
          <w:rFonts w:ascii="Times New Roman" w:eastAsia="Times New Roman" w:hAnsi="Times New Roman" w:cs="Times New Roman"/>
        </w:rPr>
        <w:t>cannot</w:t>
      </w:r>
      <w:proofErr w:type="gramEnd"/>
      <w:r>
        <w:rPr>
          <w:rFonts w:ascii="Times New Roman" w:eastAsia="Times New Roman" w:hAnsi="Times New Roman" w:cs="Times New Roman"/>
        </w:rPr>
        <w:t xml:space="preserve"> be permanently replaced. Current labor law distinguishes between economic strikes, such as those geared towards obtaining concessions on wages, benefits, and conditions of employment, versus strikes against unfair labor practices (ULPs) Most unions regard economic strikes as a gamble since employers can permanently hire “scabs” to break the strike. In an ULP strike, however, employers cannot permanently replace striking workers, and a </w:t>
      </w:r>
      <w:r>
        <w:rPr>
          <w:rFonts w:ascii="Times New Roman" w:eastAsia="Times New Roman" w:hAnsi="Times New Roman" w:cs="Times New Roman"/>
        </w:rPr>
        <w:lastRenderedPageBreak/>
        <w:t>documented ULP must be filed to the National Labor Relations Bureau first. The Workplace Democracy Act would codify into labor law that irrespective of the type of strike, striking workers cannot be permanently replaced (Lewis, 2019b). With job security protection during the strike process, this provision would provide greater reassurance to workers and endow unions with a formidable bargaining tool.</w:t>
      </w:r>
    </w:p>
    <w:p w14:paraId="19D9F25A"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Furthermore, the Act would reauthorize secondary boycotts in order to strengthen union bargaining. Before the anti-union 1947 Taft-Hartley Act was passed, unions had been able to pressure suppliers and other businesses through pickets and boycotts. Secondary boycotts entail pickets or boycotts of an employer with which a union does not have a dispute. It is intended to induce the employer to halt business with another employer with which the labor union does have a dispute. For example, if a grocery chain’s workers are on strike, a secondary boycott would involve their union discouraging a delivery drivers’ union from moving the products of the chain’s largest food supply companies (Legal Information Institute, 2020a). The Act would repeal the Taft-Hartley prohibition of secondary boycotts in order to allow unions to use this tactic that would increase </w:t>
      </w:r>
      <w:proofErr w:type="gramStart"/>
      <w:r>
        <w:rPr>
          <w:rFonts w:ascii="Times New Roman" w:eastAsia="Times New Roman" w:hAnsi="Times New Roman" w:cs="Times New Roman"/>
        </w:rPr>
        <w:t>their</w:t>
      </w:r>
      <w:proofErr w:type="gramEnd"/>
      <w:r>
        <w:rPr>
          <w:rFonts w:ascii="Times New Roman" w:eastAsia="Times New Roman" w:hAnsi="Times New Roman" w:cs="Times New Roman"/>
        </w:rPr>
        <w:t xml:space="preserve"> bargaining power.</w:t>
      </w:r>
    </w:p>
    <w:p w14:paraId="59332E2D" w14:textId="77777777" w:rsidR="00F562F3" w:rsidRDefault="00F562F3">
      <w:pPr>
        <w:spacing w:before="240" w:after="240" w:line="480" w:lineRule="auto"/>
        <w:ind w:firstLine="720"/>
        <w:rPr>
          <w:rFonts w:ascii="Times New Roman" w:eastAsia="Times New Roman" w:hAnsi="Times New Roman" w:cs="Times New Roman"/>
        </w:rPr>
      </w:pPr>
    </w:p>
    <w:p w14:paraId="1B7F5921" w14:textId="77777777" w:rsidR="00B84936" w:rsidRPr="00F562F3" w:rsidRDefault="001D1521" w:rsidP="00F30C77">
      <w:pPr>
        <w:pStyle w:val="Heading2"/>
        <w:rPr>
          <w:sz w:val="24"/>
          <w:szCs w:val="24"/>
        </w:rPr>
      </w:pPr>
      <w:bookmarkStart w:id="44" w:name="_Toc446789146"/>
      <w:r w:rsidRPr="00F562F3">
        <w:rPr>
          <w:sz w:val="24"/>
          <w:szCs w:val="24"/>
        </w:rPr>
        <w:t>Honor Existing Commitments to Workers</w:t>
      </w:r>
      <w:bookmarkEnd w:id="44"/>
    </w:p>
    <w:p w14:paraId="7F8B0639"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During mergers and acquisitions, the Workplace Democracy Act would mandate new management to honor collective bargaining agreements already in place for the lifetime of the agreement. This would prevent opportunities for new management to decrease wages and extract further concessions from workers. The Workplace </w:t>
      </w:r>
      <w:r>
        <w:rPr>
          <w:rFonts w:ascii="Times New Roman" w:eastAsia="Times New Roman" w:hAnsi="Times New Roman" w:cs="Times New Roman"/>
        </w:rPr>
        <w:lastRenderedPageBreak/>
        <w:t>Democracy Act would also safeguard multiemployer pension plans, which are funded by union members employed by multiple employers. These plans are at risk of underfunding or tied to high-risk investments, and they were compromised during the 2008 Great Recession and due to declining union membership. To improve sustainability over time, payouts were cut, inclusive of those for current retirees. The Workplace Democracy Act would improve the solvency of multiemployer pension plans by taxing the wealthy to maintain union pension commitments.</w:t>
      </w:r>
    </w:p>
    <w:p w14:paraId="137AC49A" w14:textId="77777777" w:rsidR="00F562F3" w:rsidRDefault="00F562F3">
      <w:pPr>
        <w:spacing w:before="240" w:after="240" w:line="480" w:lineRule="auto"/>
        <w:ind w:firstLine="720"/>
        <w:rPr>
          <w:rFonts w:ascii="Times New Roman" w:eastAsia="Times New Roman" w:hAnsi="Times New Roman" w:cs="Times New Roman"/>
        </w:rPr>
      </w:pPr>
    </w:p>
    <w:p w14:paraId="67D50037" w14:textId="77777777" w:rsidR="00B84936" w:rsidRPr="00F562F3" w:rsidRDefault="001D1521" w:rsidP="00F30C77">
      <w:pPr>
        <w:pStyle w:val="Heading2"/>
        <w:rPr>
          <w:sz w:val="24"/>
          <w:szCs w:val="24"/>
        </w:rPr>
      </w:pPr>
      <w:bookmarkStart w:id="45" w:name="_Toc446789147"/>
      <w:r w:rsidRPr="00F562F3">
        <w:rPr>
          <w:sz w:val="24"/>
          <w:szCs w:val="24"/>
        </w:rPr>
        <w:t>Mandate and Incentivize Good Employer Behavior</w:t>
      </w:r>
      <w:bookmarkEnd w:id="45"/>
    </w:p>
    <w:p w14:paraId="717627A0" w14:textId="77777777" w:rsidR="00B84936" w:rsidRDefault="001D1521">
      <w:pPr>
        <w:spacing w:before="240" w:after="240" w:line="480" w:lineRule="auto"/>
        <w:ind w:firstLine="720"/>
        <w:rPr>
          <w:rFonts w:ascii="Times New Roman" w:eastAsia="Times New Roman" w:hAnsi="Times New Roman" w:cs="Times New Roman"/>
          <w:b/>
        </w:rPr>
      </w:pPr>
      <w:r>
        <w:rPr>
          <w:rFonts w:ascii="Times New Roman" w:eastAsia="Times New Roman" w:hAnsi="Times New Roman" w:cs="Times New Roman"/>
        </w:rPr>
        <w:t>The Workplace Democracy Act would ensure that corporations that benefit from federal contracts, such as military contractors and colleges and universities, would allow the government to revoke or deny union contracts to employers that pay wages below a living wage, outsource jobs overseas, engage in union-busting, deny good benefits, and pay high CEO salaries. This leverage to revoke and deny federal contracts would create an incentive for companies to better treat workers and the labor unions that represent them.</w:t>
      </w:r>
    </w:p>
    <w:p w14:paraId="5CDB29AC"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The Act would likewise eliminate “at-will” employment (Legal Information Institute, 2020b), the predominant employment type in the country where employers can fire their workers for any reason or no reason at all, except for those protected by legislation such as the Civil Rights Act and the Americans with Disabilities Act and other protected classes (</w:t>
      </w:r>
      <w:proofErr w:type="spellStart"/>
      <w:r>
        <w:rPr>
          <w:rFonts w:ascii="Times New Roman" w:eastAsia="Times New Roman" w:hAnsi="Times New Roman" w:cs="Times New Roman"/>
        </w:rPr>
        <w:t>Muhl</w:t>
      </w:r>
      <w:proofErr w:type="spellEnd"/>
      <w:r>
        <w:rPr>
          <w:rFonts w:ascii="Times New Roman" w:eastAsia="Times New Roman" w:hAnsi="Times New Roman" w:cs="Times New Roman"/>
        </w:rPr>
        <w:t xml:space="preserve">, 2001). The Act would institute a “just cause” standard of employment where workers can only be discharged for serious, work and performance </w:t>
      </w:r>
      <w:r>
        <w:rPr>
          <w:rFonts w:ascii="Times New Roman" w:eastAsia="Times New Roman" w:hAnsi="Times New Roman" w:cs="Times New Roman"/>
        </w:rPr>
        <w:lastRenderedPageBreak/>
        <w:t xml:space="preserve">related reasons (Falcone, 2016). Employers would have to implement punitive action that matches the alleged infraction and cannot jump from a first infraction to firing. While “just cause” is common in most union contracts, it has to be bargained, and employers often mandate probationary periods early in one’s employment. “Just cause” employment would provide increased job security, while ensuring that workers can organize with lessened fear of retaliation. </w:t>
      </w:r>
    </w:p>
    <w:p w14:paraId="5EDA91C3"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National Labor Relations Board has standard restrictions on what employers are unable to do lawfully when workers are organizing to form a union. Summed up in the acronym TIPS by the Society for Human Resource Management, employers are unable to threaten, intimidate, promise, or </w:t>
      </w:r>
      <w:proofErr w:type="spellStart"/>
      <w:r>
        <w:rPr>
          <w:rFonts w:ascii="Times New Roman" w:eastAsia="Times New Roman" w:hAnsi="Times New Roman" w:cs="Times New Roman"/>
        </w:rPr>
        <w:t>surveil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Purdie</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Rhollans</w:t>
      </w:r>
      <w:proofErr w:type="spellEnd"/>
      <w:r>
        <w:rPr>
          <w:rFonts w:ascii="Times New Roman" w:eastAsia="Times New Roman" w:hAnsi="Times New Roman" w:cs="Times New Roman"/>
        </w:rPr>
        <w:t xml:space="preserve">, 2016). While this protection exists, employers are still able to maneuver union-busting tactics. In response, the National Labor Relations Bureau in 2016 proposed a “persuader rule,” which mandates employers to disclose to the Department of Labor the advice that employers receive on activities that persuade workers not to unionize (Smith, 2018). In July 2018, the Trump administration’s Labor Department issued a final rule that rescinded the persuader rule (Office of Labor-Management Standards, 2018; Hutchinson &amp; </w:t>
      </w:r>
      <w:proofErr w:type="spellStart"/>
      <w:r>
        <w:rPr>
          <w:rFonts w:ascii="Times New Roman" w:eastAsia="Times New Roman" w:hAnsi="Times New Roman" w:cs="Times New Roman"/>
        </w:rPr>
        <w:t>Meisburg</w:t>
      </w:r>
      <w:proofErr w:type="spellEnd"/>
      <w:r>
        <w:rPr>
          <w:rFonts w:ascii="Times New Roman" w:eastAsia="Times New Roman" w:hAnsi="Times New Roman" w:cs="Times New Roman"/>
        </w:rPr>
        <w:t xml:space="preserve">, 2018). The Workplace Democracy Act would restore the persuader rule and further strengthen its mandate by requiring employers to report to the Department of Labor the methods they used to reach workers and their expenditures on anti-unionization drives. This increased transparency would lend the government visibility on union avoidance tactics and precisely how much management values </w:t>
      </w:r>
      <w:proofErr w:type="gramStart"/>
      <w:r>
        <w:rPr>
          <w:rFonts w:ascii="Times New Roman" w:eastAsia="Times New Roman" w:hAnsi="Times New Roman" w:cs="Times New Roman"/>
        </w:rPr>
        <w:t>union-busting</w:t>
      </w:r>
      <w:proofErr w:type="gramEnd"/>
      <w:r>
        <w:rPr>
          <w:rFonts w:ascii="Times New Roman" w:eastAsia="Times New Roman" w:hAnsi="Times New Roman" w:cs="Times New Roman"/>
        </w:rPr>
        <w:t xml:space="preserve"> monetarily.</w:t>
      </w:r>
    </w:p>
    <w:p w14:paraId="0216BD5C" w14:textId="77777777" w:rsidR="00F562F3" w:rsidRDefault="00F562F3">
      <w:pPr>
        <w:spacing w:before="240" w:after="240" w:line="480" w:lineRule="auto"/>
        <w:ind w:firstLine="720"/>
        <w:rPr>
          <w:rFonts w:ascii="Times New Roman" w:eastAsia="Times New Roman" w:hAnsi="Times New Roman" w:cs="Times New Roman"/>
        </w:rPr>
      </w:pPr>
    </w:p>
    <w:p w14:paraId="3D6B2BE4" w14:textId="77777777" w:rsidR="00B84936" w:rsidRPr="00F562F3" w:rsidRDefault="001D1521" w:rsidP="00F30C77">
      <w:pPr>
        <w:pStyle w:val="Heading2"/>
        <w:rPr>
          <w:sz w:val="24"/>
          <w:szCs w:val="24"/>
        </w:rPr>
      </w:pPr>
      <w:bookmarkStart w:id="46" w:name="_Toc446789148"/>
      <w:r w:rsidRPr="00F562F3">
        <w:rPr>
          <w:sz w:val="24"/>
          <w:szCs w:val="24"/>
        </w:rPr>
        <w:lastRenderedPageBreak/>
        <w:t>Create Wage Boards to Set Sector-Based Wages</w:t>
      </w:r>
      <w:bookmarkEnd w:id="46"/>
      <w:r w:rsidRPr="00F562F3">
        <w:rPr>
          <w:sz w:val="24"/>
          <w:szCs w:val="24"/>
        </w:rPr>
        <w:t xml:space="preserve"> </w:t>
      </w:r>
    </w:p>
    <w:p w14:paraId="537FAFE2"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Presently, American collective bargaining occurs in a specific workplace with </w:t>
      </w:r>
      <w:proofErr w:type="gramStart"/>
      <w:r>
        <w:rPr>
          <w:rFonts w:ascii="Times New Roman" w:eastAsia="Times New Roman" w:hAnsi="Times New Roman" w:cs="Times New Roman"/>
        </w:rPr>
        <w:t>unions</w:t>
      </w:r>
      <w:proofErr w:type="gramEnd"/>
      <w:r>
        <w:rPr>
          <w:rFonts w:ascii="Times New Roman" w:eastAsia="Times New Roman" w:hAnsi="Times New Roman" w:cs="Times New Roman"/>
        </w:rPr>
        <w:t xml:space="preserve"> being certified as the “bargaining agent” for particular “bargaining units,” and collective bargaining agreements are specific to those bargaining units. For example, if a hospital has locations in two different cities, workers in one facility can unionize but does not mean that workers in the other city are unionized as well. Additionally, there could be two similar hospitals in the same city with similar operations and could be represented by the same union but operated by different corporations; these two unionized hospitals would be under two different union contracts. This system is juxtaposed to </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 bargaining where unions would bargain with employers, frequently with government involvement, and this group would negotiate and set sector-wide standards (</w:t>
      </w:r>
      <w:proofErr w:type="spellStart"/>
      <w:r>
        <w:rPr>
          <w:rFonts w:ascii="Times New Roman" w:eastAsia="Times New Roman" w:hAnsi="Times New Roman" w:cs="Times New Roman"/>
        </w:rPr>
        <w:t>Marginston</w:t>
      </w:r>
      <w:proofErr w:type="spellEnd"/>
      <w:r>
        <w:rPr>
          <w:rFonts w:ascii="Times New Roman" w:eastAsia="Times New Roman" w:hAnsi="Times New Roman" w:cs="Times New Roman"/>
        </w:rPr>
        <w:t xml:space="preserve"> et al., 2003; </w:t>
      </w:r>
      <w:proofErr w:type="spellStart"/>
      <w:r>
        <w:rPr>
          <w:rFonts w:ascii="Times New Roman" w:eastAsia="Times New Roman" w:hAnsi="Times New Roman" w:cs="Times New Roman"/>
        </w:rPr>
        <w:t>Bercusson</w:t>
      </w:r>
      <w:proofErr w:type="spellEnd"/>
      <w:r>
        <w:rPr>
          <w:rFonts w:ascii="Times New Roman" w:eastAsia="Times New Roman" w:hAnsi="Times New Roman" w:cs="Times New Roman"/>
        </w:rPr>
        <w:t xml:space="preserve">, 1993; </w:t>
      </w:r>
      <w:proofErr w:type="spellStart"/>
      <w:r>
        <w:rPr>
          <w:rFonts w:ascii="Times New Roman" w:eastAsia="Times New Roman" w:hAnsi="Times New Roman" w:cs="Times New Roman"/>
        </w:rPr>
        <w:t>Traxler</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Brandl</w:t>
      </w:r>
      <w:proofErr w:type="spellEnd"/>
      <w:r>
        <w:rPr>
          <w:rFonts w:ascii="Times New Roman" w:eastAsia="Times New Roman" w:hAnsi="Times New Roman" w:cs="Times New Roman"/>
        </w:rPr>
        <w:t>, 2012). Under the Workplace Democracy Plan, the U.S. would shift to a limited sector-wide bargaining in the private sector by creating wage boards, where employers would bargain with unions in order to set sector wage standards (</w:t>
      </w:r>
      <w:proofErr w:type="spellStart"/>
      <w:r>
        <w:rPr>
          <w:rFonts w:ascii="Times New Roman" w:eastAsia="Times New Roman" w:hAnsi="Times New Roman" w:cs="Times New Roman"/>
        </w:rPr>
        <w:t>Dube</w:t>
      </w:r>
      <w:proofErr w:type="spellEnd"/>
      <w:r>
        <w:rPr>
          <w:rFonts w:ascii="Times New Roman" w:eastAsia="Times New Roman" w:hAnsi="Times New Roman" w:cs="Times New Roman"/>
        </w:rPr>
        <w:t xml:space="preserve">, 2019; </w:t>
      </w:r>
      <w:proofErr w:type="spellStart"/>
      <w:r>
        <w:rPr>
          <w:rFonts w:ascii="Times New Roman" w:eastAsia="Times New Roman" w:hAnsi="Times New Roman" w:cs="Times New Roman"/>
        </w:rPr>
        <w:t>Andrias</w:t>
      </w:r>
      <w:proofErr w:type="spellEnd"/>
      <w:r>
        <w:rPr>
          <w:rFonts w:ascii="Times New Roman" w:eastAsia="Times New Roman" w:hAnsi="Times New Roman" w:cs="Times New Roman"/>
        </w:rPr>
        <w:t xml:space="preserve">, 2016; </w:t>
      </w:r>
      <w:proofErr w:type="spellStart"/>
      <w:r>
        <w:rPr>
          <w:rFonts w:ascii="Times New Roman" w:eastAsia="Times New Roman" w:hAnsi="Times New Roman" w:cs="Times New Roman"/>
        </w:rPr>
        <w:t>Wallerstein</w:t>
      </w:r>
      <w:proofErr w:type="spellEnd"/>
      <w:r>
        <w:rPr>
          <w:rFonts w:ascii="Times New Roman" w:eastAsia="Times New Roman" w:hAnsi="Times New Roman" w:cs="Times New Roman"/>
        </w:rPr>
        <w:t xml:space="preserve"> et al., 1997). All levels of government ranging from local, to state, and national would have the right to establish their own minimum wage, and states would be prohibited from restricting local governments from setting their own higher minimum wage. Allowing states and cities to enact stronger labor standards and prohibiting higher-level jurisdictions from preempting state and local laws that expand workers’ rights would ensure that the expanded National Labor Relations Act and Employee Retirement Income Security Act would serve as the floor, not the ceiling, for labor standards.</w:t>
      </w:r>
    </w:p>
    <w:p w14:paraId="648B4AB7" w14:textId="58D50135"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Wage boards would serve as additional reinforcements of federal, state, and local level minimum wage laws in existence. They would also enable unions to apply a slate of minimum wages to a large swath of the labor market. For example, Australia has wage boards that determine the compensation of approximately 25 percent of the entire labor market (</w:t>
      </w: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2018). Having an effect similar to increasing the minimum wage, wage boards have the net effect of lifting compensation, not only at the bottom compensation quartiles but also at the middle segments of the income distribution (</w:t>
      </w:r>
      <w:proofErr w:type="spellStart"/>
      <w:r>
        <w:rPr>
          <w:rFonts w:ascii="Times New Roman" w:eastAsia="Times New Roman" w:hAnsi="Times New Roman" w:cs="Times New Roman"/>
        </w:rPr>
        <w:t>Dube</w:t>
      </w:r>
      <w:proofErr w:type="spellEnd"/>
      <w:r>
        <w:rPr>
          <w:rFonts w:ascii="Times New Roman" w:eastAsia="Times New Roman" w:hAnsi="Times New Roman" w:cs="Times New Roman"/>
        </w:rPr>
        <w:t xml:space="preserve">, 2019). This increasing pay at the bottom and </w:t>
      </w:r>
      <w:r w:rsidR="006D53F9">
        <w:rPr>
          <w:rFonts w:ascii="Times New Roman" w:eastAsia="Times New Roman" w:hAnsi="Times New Roman" w:cs="Times New Roman"/>
        </w:rPr>
        <w:t>middle-income</w:t>
      </w:r>
      <w:r>
        <w:rPr>
          <w:rFonts w:ascii="Times New Roman" w:eastAsia="Times New Roman" w:hAnsi="Times New Roman" w:cs="Times New Roman"/>
        </w:rPr>
        <w:t xml:space="preserve"> brackets would thus have the effect of not only lifting many Americans out of poverty and rebuilding the middle class but would also ensure that when the middle class is rebuilt, working and middle class incomes are continuously underpinned systemically through the wage board system. </w:t>
      </w:r>
    </w:p>
    <w:p w14:paraId="4EBE319C"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Politically, the wage board practice has the historical backdrop of some European countries not having a national minimum wage law as they instead rely on wage boards to create wage floors at the industry or occupational levels (</w:t>
      </w:r>
      <w:proofErr w:type="spellStart"/>
      <w:r>
        <w:rPr>
          <w:rFonts w:ascii="Times New Roman" w:eastAsia="Times New Roman" w:hAnsi="Times New Roman" w:cs="Times New Roman"/>
        </w:rPr>
        <w:t>Dolado</w:t>
      </w:r>
      <w:proofErr w:type="spellEnd"/>
      <w:r>
        <w:rPr>
          <w:rFonts w:ascii="Times New Roman" w:eastAsia="Times New Roman" w:hAnsi="Times New Roman" w:cs="Times New Roman"/>
        </w:rPr>
        <w:t xml:space="preserve"> et al., 1996). In the U.S. context, given that there is conservative resistance to lift the minimum wage, wage boards would continue to have the impact of serving as a de-facto increased minimum wage for a considerable portion of the country, which would simultaneously lift middle income levels (</w:t>
      </w:r>
      <w:proofErr w:type="spellStart"/>
      <w:r>
        <w:rPr>
          <w:rFonts w:ascii="Times New Roman" w:eastAsia="Times New Roman" w:hAnsi="Times New Roman" w:cs="Times New Roman"/>
        </w:rPr>
        <w:t>Dube</w:t>
      </w:r>
      <w:proofErr w:type="spellEnd"/>
      <w:r>
        <w:rPr>
          <w:rFonts w:ascii="Times New Roman" w:eastAsia="Times New Roman" w:hAnsi="Times New Roman" w:cs="Times New Roman"/>
        </w:rPr>
        <w:t xml:space="preserve">, 2019; Figure 11, </w:t>
      </w: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xml:space="preserve"> &amp; Miller, 2013). Wage boards would serve either complementarily as a reinforcement of the minimum wage or as a temporary substitute to it. </w:t>
      </w:r>
    </w:p>
    <w:p w14:paraId="7182136C" w14:textId="77777777" w:rsidR="00F562F3" w:rsidRDefault="00F562F3">
      <w:pPr>
        <w:spacing w:before="240" w:after="240" w:line="480" w:lineRule="auto"/>
        <w:ind w:firstLine="720"/>
        <w:rPr>
          <w:rFonts w:ascii="Times New Roman" w:eastAsia="Times New Roman" w:hAnsi="Times New Roman" w:cs="Times New Roman"/>
        </w:rPr>
      </w:pPr>
    </w:p>
    <w:p w14:paraId="263009B3" w14:textId="77777777" w:rsidR="00F562F3" w:rsidRDefault="00F562F3">
      <w:pPr>
        <w:spacing w:before="240" w:after="240" w:line="480" w:lineRule="auto"/>
        <w:ind w:firstLine="720"/>
        <w:rPr>
          <w:rFonts w:ascii="Times New Roman" w:eastAsia="Times New Roman" w:hAnsi="Times New Roman" w:cs="Times New Roman"/>
        </w:rPr>
      </w:pPr>
    </w:p>
    <w:p w14:paraId="1BF0EE6C" w14:textId="77777777" w:rsidR="00B84936" w:rsidRPr="00F562F3" w:rsidRDefault="001D1521" w:rsidP="00F30C77">
      <w:pPr>
        <w:pStyle w:val="Heading2"/>
        <w:rPr>
          <w:sz w:val="24"/>
          <w:szCs w:val="24"/>
        </w:rPr>
      </w:pPr>
      <w:bookmarkStart w:id="47" w:name="_Toc446789149"/>
      <w:r w:rsidRPr="00F562F3">
        <w:rPr>
          <w:sz w:val="24"/>
          <w:szCs w:val="24"/>
        </w:rPr>
        <w:lastRenderedPageBreak/>
        <w:t>Labor &amp; Single Payer Universal Healthcare</w:t>
      </w:r>
      <w:bookmarkEnd w:id="47"/>
    </w:p>
    <w:p w14:paraId="04F76946"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During collective bargaining, management often pits healthcare and compensation against one another, coercing unionized workers to select either compensation increases or maintained healthcare costs. Similar to non-union healthcare plans, however, per-visit co-payments, regular premium contributions, and annual deductibles continue to be standard in negotiated healthcare plans. The Workplace Democracy Act would work in tandem with Medicare for All, the progressive movement’s proposal for single payer universal healthcare in the U.S. (Galvani et al., 2020), which would eliminate these types of out-of-pocket costs to workers, thus resulting in savings for unions and workers, while driving down costs and ensuring coverage for everyone nationwide (Marmot, 2013, p. 1227).</w:t>
      </w:r>
    </w:p>
    <w:p w14:paraId="228E5336"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Single payer universal healthcare would take healthcare discussions off bargaining agendas and give workers increased leverage in demanding higher wages (Sanders, 2019a). The Workplace Democracy Act would require employers, as supervised by the National Labor Relations Bureau, to shift some of their healthcare costs savings as wage increases, thus ensuring that as healthcare costs for employers and unions are reduced by single payer universal healthcare, the savings would translate as direct wage increases for workers. </w:t>
      </w:r>
    </w:p>
    <w:p w14:paraId="491AFB9C" w14:textId="77777777" w:rsidR="00F562F3" w:rsidRDefault="00F562F3">
      <w:pPr>
        <w:spacing w:before="240" w:after="240" w:line="480" w:lineRule="auto"/>
        <w:ind w:firstLine="720"/>
        <w:rPr>
          <w:rFonts w:ascii="Times New Roman" w:eastAsia="Times New Roman" w:hAnsi="Times New Roman" w:cs="Times New Roman"/>
        </w:rPr>
      </w:pPr>
    </w:p>
    <w:p w14:paraId="2B3363F8" w14:textId="77777777" w:rsidR="00B84936" w:rsidRPr="00F562F3" w:rsidRDefault="001D1521" w:rsidP="00F30C77">
      <w:pPr>
        <w:pStyle w:val="Heading2"/>
        <w:rPr>
          <w:sz w:val="24"/>
          <w:szCs w:val="24"/>
        </w:rPr>
      </w:pPr>
      <w:bookmarkStart w:id="48" w:name="_Toc446789150"/>
      <w:r w:rsidRPr="00F562F3">
        <w:rPr>
          <w:sz w:val="24"/>
          <w:szCs w:val="24"/>
        </w:rPr>
        <w:t xml:space="preserve">Future Opportunities: Full </w:t>
      </w:r>
      <w:proofErr w:type="spellStart"/>
      <w:r w:rsidRPr="00F562F3">
        <w:rPr>
          <w:sz w:val="24"/>
          <w:szCs w:val="24"/>
        </w:rPr>
        <w:t>Sectoral</w:t>
      </w:r>
      <w:proofErr w:type="spellEnd"/>
      <w:r w:rsidRPr="00F562F3">
        <w:rPr>
          <w:sz w:val="24"/>
          <w:szCs w:val="24"/>
        </w:rPr>
        <w:t xml:space="preserve"> Bargaining</w:t>
      </w:r>
      <w:bookmarkEnd w:id="48"/>
    </w:p>
    <w:p w14:paraId="6D8EE1D4"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Workplace Democracy Act’s proposal for limited </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 bargaining through wage boards mirrors the dominant Labor Relations practice found in France, Spain, the </w:t>
      </w:r>
      <w:r>
        <w:rPr>
          <w:rFonts w:ascii="Times New Roman" w:eastAsia="Times New Roman" w:hAnsi="Times New Roman" w:cs="Times New Roman"/>
        </w:rPr>
        <w:lastRenderedPageBreak/>
        <w:t xml:space="preserve">Netherlands, and Germany, among others, where management, union representatives, and government officials meet in tripartite meetings to negotiate wages, benefits, and other </w:t>
      </w:r>
      <w:proofErr w:type="gramStart"/>
      <w:r>
        <w:rPr>
          <w:rFonts w:ascii="Times New Roman" w:eastAsia="Times New Roman" w:hAnsi="Times New Roman" w:cs="Times New Roman"/>
        </w:rPr>
        <w:t>sector</w:t>
      </w:r>
      <w:proofErr w:type="gramEnd"/>
      <w:r>
        <w:rPr>
          <w:rFonts w:ascii="Times New Roman" w:eastAsia="Times New Roman" w:hAnsi="Times New Roman" w:cs="Times New Roman"/>
        </w:rPr>
        <w:t xml:space="preserve">-based issues (Nunn, 2019, p. 13). The Act would work under a strengthened framework of the National Labor Relations Act. Since wage boards do not constitute a full shift to sector-based federation bargaining that leads to one singular contract. Collective bargaining agreements would remain at the worksite level on other non-wage matters, such as vacation days, sick days, and other benefits. In order to push negotiations up to the </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-level, a more progressive consideration beyond the Workplace Democracy Act would entail full </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 bargaining through union and employer federations. This more comprehensive shift would create a Labor Relations environment where employers exhibit less union resistance. No individual organization would have a pressing incentive to oppose unionization as the individual employer no longer bargains at the worksite-level and since all employers in that given sector would be bound by the same contract and outcomes (</w:t>
      </w:r>
      <w:proofErr w:type="spellStart"/>
      <w:r>
        <w:rPr>
          <w:rFonts w:ascii="Times New Roman" w:eastAsia="Times New Roman" w:hAnsi="Times New Roman" w:cs="Times New Roman"/>
        </w:rPr>
        <w:t>Dube</w:t>
      </w:r>
      <w:proofErr w:type="spellEnd"/>
      <w:r>
        <w:rPr>
          <w:rFonts w:ascii="Times New Roman" w:eastAsia="Times New Roman" w:hAnsi="Times New Roman" w:cs="Times New Roman"/>
        </w:rPr>
        <w:t xml:space="preserve">, 2019). Full </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 bargaining would also shift bargaining away from the worksite level to the </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 level, meaning that there would be fewer parties in negotiations and arbitrations. This higher-level bargaining and fewer number of stakeholders would ensure that the National Labor Relations Board would be more empowered in monitoring legal compliance to union contracts and labor laws and could more adequately lend itself as support for negotiations and dispute settlements as they arise between management and labor unions.</w:t>
      </w:r>
    </w:p>
    <w:p w14:paraId="1D7A7FD3" w14:textId="77777777" w:rsidR="00F562F3" w:rsidRDefault="00F562F3">
      <w:pPr>
        <w:spacing w:before="240" w:after="240" w:line="480" w:lineRule="auto"/>
        <w:ind w:firstLine="720"/>
        <w:rPr>
          <w:rFonts w:ascii="Times New Roman" w:eastAsia="Times New Roman" w:hAnsi="Times New Roman" w:cs="Times New Roman"/>
        </w:rPr>
      </w:pPr>
    </w:p>
    <w:p w14:paraId="7F86743A" w14:textId="77777777" w:rsidR="00F562F3" w:rsidRDefault="00F562F3">
      <w:pPr>
        <w:spacing w:before="240" w:after="240" w:line="480" w:lineRule="auto"/>
        <w:ind w:firstLine="720"/>
        <w:rPr>
          <w:rFonts w:ascii="Times New Roman" w:eastAsia="Times New Roman" w:hAnsi="Times New Roman" w:cs="Times New Roman"/>
        </w:rPr>
      </w:pPr>
    </w:p>
    <w:p w14:paraId="6425C636" w14:textId="77777777" w:rsidR="00B84936" w:rsidRPr="00F562F3" w:rsidRDefault="001D1521" w:rsidP="00F30C77">
      <w:pPr>
        <w:pStyle w:val="Heading2"/>
        <w:rPr>
          <w:sz w:val="24"/>
          <w:szCs w:val="24"/>
        </w:rPr>
      </w:pPr>
      <w:bookmarkStart w:id="49" w:name="_Toc446789151"/>
      <w:r w:rsidRPr="00F562F3">
        <w:rPr>
          <w:sz w:val="24"/>
          <w:szCs w:val="24"/>
        </w:rPr>
        <w:lastRenderedPageBreak/>
        <w:t>The Intersectional Legacy of the Civil Rights &amp; Labor Movements</w:t>
      </w:r>
      <w:bookmarkEnd w:id="49"/>
    </w:p>
    <w:p w14:paraId="1831EA40"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nexus between economic and racial justice is a legacy of pivotal movements in U.S. history. In February 1968, the deaths of two sanitation workers, poor working conditions, and insufficient pay propelled sanitation workers in Memphis, Tennessee to go on strike with the objective of forcing the Memphis city government to negotiate. In face of sacrificing their already low pay during the strike, and despite Memphis Mayor Henry Loeb who declared the sanitation strike </w:t>
      </w:r>
      <w:proofErr w:type="gramStart"/>
      <w:r>
        <w:rPr>
          <w:rFonts w:ascii="Times New Roman" w:eastAsia="Times New Roman" w:hAnsi="Times New Roman" w:cs="Times New Roman"/>
        </w:rPr>
        <w:t>illegal,</w:t>
      </w:r>
      <w:proofErr w:type="gramEnd"/>
      <w:r>
        <w:rPr>
          <w:rFonts w:ascii="Times New Roman" w:eastAsia="Times New Roman" w:hAnsi="Times New Roman" w:cs="Times New Roman"/>
        </w:rPr>
        <w:t xml:space="preserve"> the sanitation workers went on strike for hours daily for 65 days. </w:t>
      </w:r>
      <w:proofErr w:type="spellStart"/>
      <w:r>
        <w:rPr>
          <w:rFonts w:ascii="Times New Roman" w:eastAsia="Times New Roman" w:hAnsi="Times New Roman" w:cs="Times New Roman"/>
        </w:rPr>
        <w:t>Maced</w:t>
      </w:r>
      <w:proofErr w:type="spellEnd"/>
      <w:r>
        <w:rPr>
          <w:rFonts w:ascii="Times New Roman" w:eastAsia="Times New Roman" w:hAnsi="Times New Roman" w:cs="Times New Roman"/>
        </w:rPr>
        <w:t xml:space="preserve">, clubbed, and tear-gassed by the police, civil rights organizer Dr. Martin Luther King, Jr. visited Memphis in support of the strike, and it was during this visit to support the sanitation worker strike when Dr. King was murdered on a motel balcony. The sanitation strike exemplifies the intertwining of the struggles for racial and economic justice as coalitional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in the U.S. </w:t>
      </w:r>
    </w:p>
    <w:p w14:paraId="4DF44A8D" w14:textId="77777777" w:rsidR="00F562F3" w:rsidRDefault="00F562F3">
      <w:pPr>
        <w:spacing w:before="240" w:after="240" w:line="480" w:lineRule="auto"/>
        <w:ind w:firstLine="720"/>
        <w:rPr>
          <w:rFonts w:ascii="Times New Roman" w:eastAsia="Times New Roman" w:hAnsi="Times New Roman" w:cs="Times New Roman"/>
        </w:rPr>
      </w:pPr>
    </w:p>
    <w:p w14:paraId="2FDCF0FE" w14:textId="77777777" w:rsidR="00B84936" w:rsidRPr="00F562F3" w:rsidRDefault="001D1521" w:rsidP="00F30C77">
      <w:pPr>
        <w:pStyle w:val="Heading2"/>
        <w:rPr>
          <w:sz w:val="24"/>
          <w:szCs w:val="24"/>
        </w:rPr>
      </w:pPr>
      <w:bookmarkStart w:id="50" w:name="_Toc446789152"/>
      <w:r w:rsidRPr="00F562F3">
        <w:rPr>
          <w:sz w:val="24"/>
          <w:szCs w:val="24"/>
        </w:rPr>
        <w:t>The Role of Labor Unions in Bridging Racial, Gender, and Economic Disparities</w:t>
      </w:r>
      <w:bookmarkEnd w:id="50"/>
    </w:p>
    <w:p w14:paraId="4A161E15"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Today, labor unions bring forth the improved ability to better close pay gaps from a racial, socioeconomic, and gender perspective. Particularly, Black women in unionized positions are paid 94.9 percent of what Black men make, while non-union Black women make only 91 percent compared to what non-union men make (</w:t>
      </w:r>
      <w:proofErr w:type="spellStart"/>
      <w:r>
        <w:rPr>
          <w:rFonts w:ascii="Times New Roman" w:eastAsia="Times New Roman" w:hAnsi="Times New Roman" w:cs="Times New Roman"/>
        </w:rPr>
        <w:t>McNicholas</w:t>
      </w:r>
      <w:proofErr w:type="spellEnd"/>
      <w:r>
        <w:rPr>
          <w:rFonts w:ascii="Times New Roman" w:eastAsia="Times New Roman" w:hAnsi="Times New Roman" w:cs="Times New Roman"/>
        </w:rPr>
        <w:t xml:space="preserve"> &amp; Jones, 2018). Additionally, unions assist in elevating the compensation of women broadly and Black and Latino workers, all of whose wages trail White men pay. Black workers are the most represented by unions out of all racial categories at 14.5 percent for ages 18 to 64 covered by a union contract (</w:t>
      </w:r>
      <w:proofErr w:type="spellStart"/>
      <w:r>
        <w:rPr>
          <w:rFonts w:ascii="Times New Roman" w:eastAsia="Times New Roman" w:hAnsi="Times New Roman" w:cs="Times New Roman"/>
        </w:rPr>
        <w:t>Bivens</w:t>
      </w:r>
      <w:proofErr w:type="spellEnd"/>
      <w:r>
        <w:rPr>
          <w:rFonts w:ascii="Times New Roman" w:eastAsia="Times New Roman" w:hAnsi="Times New Roman" w:cs="Times New Roman"/>
        </w:rPr>
        <w:t xml:space="preserve"> et al., 2017). For Black union workers with less than a high school education, they carry a 19.6 percent wage advantage over non-union </w:t>
      </w:r>
      <w:r>
        <w:rPr>
          <w:rFonts w:ascii="Times New Roman" w:eastAsia="Times New Roman" w:hAnsi="Times New Roman" w:cs="Times New Roman"/>
        </w:rPr>
        <w:lastRenderedPageBreak/>
        <w:t>workers, and are 23.4 percent and 25.2 percent more likely to have health insurance and a retirement plan than if not in a union (</w:t>
      </w:r>
      <w:proofErr w:type="spellStart"/>
      <w:r>
        <w:rPr>
          <w:rFonts w:ascii="Times New Roman" w:eastAsia="Times New Roman" w:hAnsi="Times New Roman" w:cs="Times New Roman"/>
        </w:rPr>
        <w:t>Bucknor</w:t>
      </w:r>
      <w:proofErr w:type="spellEnd"/>
      <w:r>
        <w:rPr>
          <w:rFonts w:ascii="Times New Roman" w:eastAsia="Times New Roman" w:hAnsi="Times New Roman" w:cs="Times New Roman"/>
        </w:rPr>
        <w:t>, 2016, p. 14). Among Black workers, Black immigrants also enjoy a higher unionization rate than U.S.-born peers (</w:t>
      </w:r>
      <w:proofErr w:type="spellStart"/>
      <w:r>
        <w:rPr>
          <w:rFonts w:ascii="Times New Roman" w:eastAsia="Times New Roman" w:hAnsi="Times New Roman" w:cs="Times New Roman"/>
        </w:rPr>
        <w:t>Bucknor</w:t>
      </w:r>
      <w:proofErr w:type="spellEnd"/>
      <w:r>
        <w:rPr>
          <w:rFonts w:ascii="Times New Roman" w:eastAsia="Times New Roman" w:hAnsi="Times New Roman" w:cs="Times New Roman"/>
        </w:rPr>
        <w:t>, 2016, p. 14), with 23.9 percent immigrant Black workers unionized versus 22.9 percent of U.S.-born Black workers. By standardizing compensation rates among workers in similar positions and narrowing compensation gaps between workers with different skill levels (Freeman, 1980), labor unions have been an instrumental catalyst in combating overall wage inequality and the Black and White wage gap specifically (</w:t>
      </w:r>
      <w:proofErr w:type="spellStart"/>
      <w:r>
        <w:rPr>
          <w:rFonts w:ascii="Times New Roman" w:eastAsia="Times New Roman" w:hAnsi="Times New Roman" w:cs="Times New Roman"/>
        </w:rPr>
        <w:t>Bucknor</w:t>
      </w:r>
      <w:proofErr w:type="spellEnd"/>
      <w:r>
        <w:rPr>
          <w:rFonts w:ascii="Times New Roman" w:eastAsia="Times New Roman" w:hAnsi="Times New Roman" w:cs="Times New Roman"/>
        </w:rPr>
        <w:t xml:space="preserve">, 2016, p. 17). </w:t>
      </w:r>
    </w:p>
    <w:p w14:paraId="4D8CF55A"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While the overall unionization rate decreased 48 percent from 23 percent in 1983 to 12 percent in 2015, the de-unionization rate for Black workers stacked at 56 percent (from 32 percent in unionized roles in 1983 to 14 percent in 2015). This steep de-unionization trend in the New Gilded Age resulted in lower rates of economic upward mobility for Black workers compared to Whites (</w:t>
      </w:r>
      <w:proofErr w:type="spellStart"/>
      <w:r>
        <w:rPr>
          <w:rFonts w:ascii="Times New Roman" w:eastAsia="Times New Roman" w:hAnsi="Times New Roman" w:cs="Times New Roman"/>
        </w:rPr>
        <w:t>Chetty</w:t>
      </w:r>
      <w:proofErr w:type="spellEnd"/>
      <w:r>
        <w:rPr>
          <w:rFonts w:ascii="Times New Roman" w:eastAsia="Times New Roman" w:hAnsi="Times New Roman" w:cs="Times New Roman"/>
        </w:rPr>
        <w:t xml:space="preserve"> et al., 2018), and widened the Black and White wage gap (</w:t>
      </w:r>
      <w:proofErr w:type="spellStart"/>
      <w:r>
        <w:rPr>
          <w:rFonts w:ascii="Times New Roman" w:eastAsia="Times New Roman" w:hAnsi="Times New Roman" w:cs="Times New Roman"/>
        </w:rPr>
        <w:t>Bucknor</w:t>
      </w:r>
      <w:proofErr w:type="spellEnd"/>
      <w:r>
        <w:rPr>
          <w:rFonts w:ascii="Times New Roman" w:eastAsia="Times New Roman" w:hAnsi="Times New Roman" w:cs="Times New Roman"/>
        </w:rPr>
        <w:t xml:space="preserve">, 2016, p. 18). The assault on unions thus disproportionately impacted people of color (John-Paul Ferguson, cited in </w:t>
      </w:r>
      <w:proofErr w:type="spellStart"/>
      <w:r>
        <w:rPr>
          <w:rFonts w:ascii="Times New Roman" w:eastAsia="Times New Roman" w:hAnsi="Times New Roman" w:cs="Times New Roman"/>
        </w:rPr>
        <w:t>Bucknor</w:t>
      </w:r>
      <w:proofErr w:type="spellEnd"/>
      <w:r>
        <w:rPr>
          <w:rFonts w:ascii="Times New Roman" w:eastAsia="Times New Roman" w:hAnsi="Times New Roman" w:cs="Times New Roman"/>
        </w:rPr>
        <w:t xml:space="preserve">, 2016). From an intersectional lens, the re-cultivation of labor unions in improving workplace protections would have a transformative impact on the working class, people of color, women, immigrants, and their intersections. </w:t>
      </w:r>
    </w:p>
    <w:p w14:paraId="33AD62D9" w14:textId="77777777" w:rsidR="00F562F3" w:rsidRDefault="00F562F3">
      <w:pPr>
        <w:spacing w:before="240" w:after="240" w:line="480" w:lineRule="auto"/>
        <w:ind w:firstLine="720"/>
        <w:rPr>
          <w:rFonts w:ascii="Times New Roman" w:eastAsia="Times New Roman" w:hAnsi="Times New Roman" w:cs="Times New Roman"/>
        </w:rPr>
      </w:pPr>
    </w:p>
    <w:p w14:paraId="1DB600EA" w14:textId="77777777" w:rsidR="00F562F3" w:rsidRDefault="00F562F3">
      <w:pPr>
        <w:spacing w:before="240" w:after="240" w:line="480" w:lineRule="auto"/>
        <w:ind w:firstLine="720"/>
        <w:rPr>
          <w:rFonts w:ascii="Times New Roman" w:eastAsia="Times New Roman" w:hAnsi="Times New Roman" w:cs="Times New Roman"/>
        </w:rPr>
      </w:pPr>
    </w:p>
    <w:p w14:paraId="6A4DE1EE" w14:textId="77777777" w:rsidR="00B84936" w:rsidRPr="00F562F3" w:rsidRDefault="001D1521" w:rsidP="00F30C77">
      <w:pPr>
        <w:pStyle w:val="Heading2"/>
        <w:rPr>
          <w:sz w:val="24"/>
          <w:szCs w:val="24"/>
        </w:rPr>
      </w:pPr>
      <w:bookmarkStart w:id="51" w:name="_Toc446789153"/>
      <w:r w:rsidRPr="00F562F3">
        <w:rPr>
          <w:sz w:val="24"/>
          <w:szCs w:val="24"/>
        </w:rPr>
        <w:lastRenderedPageBreak/>
        <w:t>Conclusion: Racial Justice, Interracial Working Class Solidarity, and Gender Equity</w:t>
      </w:r>
      <w:bookmarkEnd w:id="51"/>
    </w:p>
    <w:p w14:paraId="48E147E5"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early 20th century, anti-union organizer Vance Muse popularized the term “Right-to-Work,” the anti-union doctrine and legislation responsible for de-unionization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the U.S. that deprive unions of needed financial resources by guaranteeing in legislation that no person can be compelled to join a union or pay union dues as a condition of employment and by prohibiting collective bargaining agreements that require the hiring of unionized workers only (</w:t>
      </w:r>
      <w:proofErr w:type="spellStart"/>
      <w:r>
        <w:rPr>
          <w:rFonts w:ascii="Times New Roman" w:eastAsia="Times New Roman" w:hAnsi="Times New Roman" w:cs="Times New Roman"/>
        </w:rPr>
        <w:t>FindLaw</w:t>
      </w:r>
      <w:proofErr w:type="spellEnd"/>
      <w:r>
        <w:rPr>
          <w:rFonts w:ascii="Times New Roman" w:eastAsia="Times New Roman" w:hAnsi="Times New Roman" w:cs="Times New Roman"/>
        </w:rPr>
        <w:t xml:space="preserve">, 2020). As an anti-labor advocate and segregationist who proudly said in a 1936 Senate committee hearing “I am a Southerner and I am for white supremacy” (Gayle, 2018), Vance Muse was driven by his predilection for White supremacy in his anti-union organizing. Muse’s 1944 Right-to-Work campaign literature distributed to White Arkansans stated: “white women and white men will be forced into organizations [labor unions] with black African apes whom they will have to call ‘brother’ or lose their jobs” (Gayle, 2018). To Muse, pitting working class Whites and African Americans against each other was key to advancing the interests of White supremacists and corporations. In halting unionization by sabotaging interracial working class solidarity as a divide and conquer strategy, Muse reproduced Black racial subjugation and advocated for the continued suppression of both Black and White working class wages (Gayle, 2018). </w:t>
      </w:r>
    </w:p>
    <w:p w14:paraId="058FED45"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Muse’s legacy lived on with 12 states instituting “Right-to-Work” laws by 1950 at the time of his death. Reed Larson, in the mid-1950s, continued this pro-corporate and White supremacist legacy as leader of the National Right-to-Work Committee and the National Right-to-Work Legal Foundation. He was a member of the John Birch Society, which staunchly opposed the Civil Rights Movement and alleged that desegregation </w:t>
      </w:r>
      <w:r>
        <w:rPr>
          <w:rFonts w:ascii="Times New Roman" w:eastAsia="Times New Roman" w:hAnsi="Times New Roman" w:cs="Times New Roman"/>
        </w:rPr>
        <w:lastRenderedPageBreak/>
        <w:t xml:space="preserve">efforts were a communist, anti-capitalist plot (Toy, Jr., 2004). “Right-to-Work” and anti-unionization campaigns stem from this strategy of dividing working class Whites and people of color in order to advance White supremacy and corporate interests. Since labor unions promote compensation equality between people of color and Whites and serve as catalysts of elevating working class people by propelling them into the middle class, labor unions and social movements emerge as spaces with coalitional possibilities in solidarity work across racial and gender lines. This ability of labor unions to uplift communities of color, working class communities, and those with lower levels of education makes labor unions and social movements as the catalysts and the milieus of </w:t>
      </w:r>
      <w:proofErr w:type="spellStart"/>
      <w:r>
        <w:rPr>
          <w:rFonts w:ascii="Times New Roman" w:eastAsia="Times New Roman" w:hAnsi="Times New Roman" w:cs="Times New Roman"/>
        </w:rPr>
        <w:t>intersectionality’s</w:t>
      </w:r>
      <w:proofErr w:type="spellEnd"/>
      <w:r>
        <w:rPr>
          <w:rFonts w:ascii="Times New Roman" w:eastAsia="Times New Roman" w:hAnsi="Times New Roman" w:cs="Times New Roman"/>
        </w:rPr>
        <w:t xml:space="preserve"> anti-racist and feminist commitments (Combahee River Collective, 2000; Crenshaw, 1991; </w:t>
      </w:r>
      <w:proofErr w:type="spellStart"/>
      <w:r>
        <w:rPr>
          <w:rFonts w:ascii="Times New Roman" w:eastAsia="Times New Roman" w:hAnsi="Times New Roman" w:cs="Times New Roman"/>
        </w:rPr>
        <w:t>Carasthathis</w:t>
      </w:r>
      <w:proofErr w:type="spellEnd"/>
      <w:r>
        <w:rPr>
          <w:rFonts w:ascii="Times New Roman" w:eastAsia="Times New Roman" w:hAnsi="Times New Roman" w:cs="Times New Roman"/>
        </w:rPr>
        <w:t xml:space="preserve">, 2016; </w:t>
      </w:r>
      <w:proofErr w:type="spellStart"/>
      <w:r>
        <w:rPr>
          <w:rFonts w:ascii="Times New Roman" w:eastAsia="Times New Roman" w:hAnsi="Times New Roman" w:cs="Times New Roman"/>
        </w:rPr>
        <w:t>Sidler</w:t>
      </w:r>
      <w:proofErr w:type="spellEnd"/>
      <w:r>
        <w:rPr>
          <w:rFonts w:ascii="Times New Roman" w:eastAsia="Times New Roman" w:hAnsi="Times New Roman" w:cs="Times New Roman"/>
        </w:rPr>
        <w:t xml:space="preserve">, 1997; </w:t>
      </w:r>
      <w:proofErr w:type="spellStart"/>
      <w:r>
        <w:rPr>
          <w:rFonts w:ascii="Times New Roman" w:eastAsia="Times New Roman" w:hAnsi="Times New Roman" w:cs="Times New Roman"/>
        </w:rPr>
        <w:t>Lugones</w:t>
      </w:r>
      <w:proofErr w:type="spellEnd"/>
      <w:r>
        <w:rPr>
          <w:rFonts w:ascii="Times New Roman" w:eastAsia="Times New Roman" w:hAnsi="Times New Roman" w:cs="Times New Roman"/>
        </w:rPr>
        <w:t>, 2010) in democratizing the workplace as a participatory public sphere (Giroux, 2008).</w:t>
      </w:r>
    </w:p>
    <w:p w14:paraId="7D8E11B5" w14:textId="77777777" w:rsidR="00B84936" w:rsidRDefault="001D1521">
      <w:pPr>
        <w:spacing w:before="240" w:after="24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Strengthening labor unions is equally significant for third-wave feminism. Starting in the early 1990s, around the same time when </w:t>
      </w:r>
      <w:proofErr w:type="spellStart"/>
      <w:r>
        <w:rPr>
          <w:rFonts w:ascii="Times New Roman" w:eastAsia="Times New Roman" w:hAnsi="Times New Roman" w:cs="Times New Roman"/>
        </w:rPr>
        <w:t>Kimberlé</w:t>
      </w:r>
      <w:proofErr w:type="spellEnd"/>
      <w:r>
        <w:rPr>
          <w:rFonts w:ascii="Times New Roman" w:eastAsia="Times New Roman" w:hAnsi="Times New Roman" w:cs="Times New Roman"/>
        </w:rPr>
        <w:t xml:space="preserve"> Crenshaw coined the term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third-wave feminism responded to the shortcomings of feminism’s second-wave in the 1960s through the 1980s. Third-wave feminism underscored that the second-wave overly emphasized the experiences of upper middle class White women (Combahee River Collective, 2000; </w:t>
      </w:r>
      <w:proofErr w:type="spellStart"/>
      <w:r>
        <w:rPr>
          <w:rFonts w:ascii="Times New Roman" w:eastAsia="Times New Roman" w:hAnsi="Times New Roman" w:cs="Times New Roman"/>
        </w:rPr>
        <w:t>Carasthathis</w:t>
      </w:r>
      <w:proofErr w:type="spellEnd"/>
      <w:r>
        <w:rPr>
          <w:rFonts w:ascii="Times New Roman" w:eastAsia="Times New Roman" w:hAnsi="Times New Roman" w:cs="Times New Roman"/>
        </w:rPr>
        <w:t xml:space="preserve">, 2016; Crenshaw, 1991). Third-wave feminism instead </w:t>
      </w:r>
      <w:proofErr w:type="spellStart"/>
      <w:r>
        <w:rPr>
          <w:rFonts w:ascii="Times New Roman" w:eastAsia="Times New Roman" w:hAnsi="Times New Roman" w:cs="Times New Roman"/>
        </w:rPr>
        <w:t>lended</w:t>
      </w:r>
      <w:proofErr w:type="spellEnd"/>
      <w:r>
        <w:rPr>
          <w:rFonts w:ascii="Times New Roman" w:eastAsia="Times New Roman" w:hAnsi="Times New Roman" w:cs="Times New Roman"/>
        </w:rPr>
        <w:t xml:space="preserve"> its focus on casting the lives of women as intersectional, showcasing how race, ethnicity, class, gender, religion, nationality, among other aspects of one’s identity interlock and are at the crux of feminism (Heywood, 2006; Mann &amp; Huffman, 2005; Snyder, 2008). Third-wave feminism emerged out of the larger macroeconomic backdrop of the New Gilded Age and had to face austere economic </w:t>
      </w:r>
      <w:r>
        <w:rPr>
          <w:rFonts w:ascii="Times New Roman" w:eastAsia="Times New Roman" w:hAnsi="Times New Roman" w:cs="Times New Roman"/>
        </w:rPr>
        <w:lastRenderedPageBreak/>
        <w:t>conditions starting in the 1980s that “destabilized employment for both men and women” (</w:t>
      </w:r>
      <w:proofErr w:type="spellStart"/>
      <w:r>
        <w:rPr>
          <w:rFonts w:ascii="Times New Roman" w:eastAsia="Times New Roman" w:hAnsi="Times New Roman" w:cs="Times New Roman"/>
        </w:rPr>
        <w:t>Sidler</w:t>
      </w:r>
      <w:proofErr w:type="spellEnd"/>
      <w:r>
        <w:rPr>
          <w:rFonts w:ascii="Times New Roman" w:eastAsia="Times New Roman" w:hAnsi="Times New Roman" w:cs="Times New Roman"/>
        </w:rPr>
        <w:t>, 1997, p. 27), characterized by increasing debt, unemployment, a shrinking middle class, and decreased social mobility. Intersectional feminism, as conceptualized through the third-wave, has coalitional potential with the cultivation of labor unions and how they equalize and improve wages, fight for sick days, vacation days, parental leave, retirement security, and childcare, among other benefits. These union-based advocacy and democratized reclamation of the workplace for the marginalized falls in line with the third-wave’s intersectional feminist commitments of gender equity, racial justice, and interracial working class solidarity (</w:t>
      </w:r>
      <w:proofErr w:type="spellStart"/>
      <w:r>
        <w:rPr>
          <w:rFonts w:ascii="Times New Roman" w:eastAsia="Times New Roman" w:hAnsi="Times New Roman" w:cs="Times New Roman"/>
        </w:rPr>
        <w:t>Lugones</w:t>
      </w:r>
      <w:proofErr w:type="spellEnd"/>
      <w:r>
        <w:rPr>
          <w:rFonts w:ascii="Times New Roman" w:eastAsia="Times New Roman" w:hAnsi="Times New Roman" w:cs="Times New Roman"/>
        </w:rPr>
        <w:t xml:space="preserve">, 2010; </w:t>
      </w:r>
      <w:proofErr w:type="spellStart"/>
      <w:r>
        <w:rPr>
          <w:rFonts w:ascii="Times New Roman" w:eastAsia="Times New Roman" w:hAnsi="Times New Roman" w:cs="Times New Roman"/>
        </w:rPr>
        <w:t>Carasthathis</w:t>
      </w:r>
      <w:proofErr w:type="spellEnd"/>
      <w:r>
        <w:rPr>
          <w:rFonts w:ascii="Times New Roman" w:eastAsia="Times New Roman" w:hAnsi="Times New Roman" w:cs="Times New Roman"/>
        </w:rPr>
        <w:t>, 2016, Crenshaw, 1991; Hancock, 2007).</w:t>
      </w:r>
    </w:p>
    <w:p w14:paraId="4E4A3BF2" w14:textId="77777777" w:rsidR="001D1521" w:rsidRDefault="001D1521">
      <w:pPr>
        <w:spacing w:before="240" w:after="240" w:line="480" w:lineRule="auto"/>
        <w:ind w:firstLine="720"/>
        <w:rPr>
          <w:rFonts w:ascii="Times New Roman" w:eastAsia="Times New Roman" w:hAnsi="Times New Roman" w:cs="Times New Roman"/>
        </w:rPr>
      </w:pPr>
    </w:p>
    <w:p w14:paraId="10EAA209" w14:textId="77777777" w:rsidR="001D1521" w:rsidRDefault="001D1521">
      <w:pPr>
        <w:spacing w:before="240" w:after="240" w:line="480" w:lineRule="auto"/>
        <w:ind w:firstLine="720"/>
        <w:rPr>
          <w:rFonts w:ascii="Times New Roman" w:eastAsia="Times New Roman" w:hAnsi="Times New Roman" w:cs="Times New Roman"/>
        </w:rPr>
      </w:pPr>
    </w:p>
    <w:p w14:paraId="1456F50F" w14:textId="77777777" w:rsidR="001D1521" w:rsidRDefault="001D1521">
      <w:pPr>
        <w:spacing w:before="240" w:after="240" w:line="480" w:lineRule="auto"/>
        <w:ind w:firstLine="720"/>
        <w:rPr>
          <w:rFonts w:ascii="Times New Roman" w:eastAsia="Times New Roman" w:hAnsi="Times New Roman" w:cs="Times New Roman"/>
        </w:rPr>
      </w:pPr>
    </w:p>
    <w:p w14:paraId="6704065B" w14:textId="77777777" w:rsidR="001D1521" w:rsidRDefault="001D1521">
      <w:pPr>
        <w:spacing w:before="240" w:after="240" w:line="480" w:lineRule="auto"/>
        <w:ind w:firstLine="720"/>
        <w:rPr>
          <w:rFonts w:ascii="Times New Roman" w:eastAsia="Times New Roman" w:hAnsi="Times New Roman" w:cs="Times New Roman"/>
        </w:rPr>
      </w:pPr>
    </w:p>
    <w:p w14:paraId="2074BCF5" w14:textId="77777777" w:rsidR="00F562F3" w:rsidRDefault="00F562F3">
      <w:pPr>
        <w:spacing w:before="240" w:after="240" w:line="480" w:lineRule="auto"/>
        <w:ind w:firstLine="720"/>
        <w:rPr>
          <w:rFonts w:ascii="Times New Roman" w:eastAsia="Times New Roman" w:hAnsi="Times New Roman" w:cs="Times New Roman"/>
        </w:rPr>
      </w:pPr>
    </w:p>
    <w:p w14:paraId="3981CC0F" w14:textId="77777777" w:rsidR="00F562F3" w:rsidRDefault="00F562F3">
      <w:pPr>
        <w:spacing w:before="240" w:after="240" w:line="480" w:lineRule="auto"/>
        <w:ind w:firstLine="720"/>
        <w:rPr>
          <w:rFonts w:ascii="Times New Roman" w:eastAsia="Times New Roman" w:hAnsi="Times New Roman" w:cs="Times New Roman"/>
        </w:rPr>
      </w:pPr>
    </w:p>
    <w:p w14:paraId="437E391C" w14:textId="77777777" w:rsidR="00F562F3" w:rsidRDefault="00F562F3">
      <w:pPr>
        <w:spacing w:before="240" w:after="240" w:line="480" w:lineRule="auto"/>
        <w:ind w:firstLine="720"/>
        <w:rPr>
          <w:rFonts w:ascii="Times New Roman" w:eastAsia="Times New Roman" w:hAnsi="Times New Roman" w:cs="Times New Roman"/>
        </w:rPr>
      </w:pPr>
    </w:p>
    <w:p w14:paraId="5C61C2F5" w14:textId="77777777" w:rsidR="00F562F3" w:rsidRDefault="00F562F3">
      <w:pPr>
        <w:spacing w:before="240" w:after="240" w:line="480" w:lineRule="auto"/>
        <w:ind w:firstLine="720"/>
        <w:rPr>
          <w:rFonts w:ascii="Times New Roman" w:eastAsia="Times New Roman" w:hAnsi="Times New Roman" w:cs="Times New Roman"/>
        </w:rPr>
      </w:pPr>
    </w:p>
    <w:p w14:paraId="4D781063" w14:textId="77777777" w:rsidR="00B84936" w:rsidRDefault="00B84936">
      <w:pPr>
        <w:spacing w:after="240"/>
        <w:rPr>
          <w:rFonts w:ascii="Times New Roman" w:eastAsia="Times New Roman" w:hAnsi="Times New Roman" w:cs="Times New Roman"/>
        </w:rPr>
      </w:pPr>
    </w:p>
    <w:p w14:paraId="7E9C2AB6" w14:textId="77777777" w:rsidR="006D53F9" w:rsidRDefault="006D53F9">
      <w:pPr>
        <w:spacing w:after="240"/>
        <w:rPr>
          <w:rFonts w:ascii="Times New Roman" w:eastAsia="Times New Roman" w:hAnsi="Times New Roman" w:cs="Times New Roman"/>
        </w:rPr>
      </w:pPr>
    </w:p>
    <w:p w14:paraId="12197DEF" w14:textId="77777777" w:rsidR="00B84936" w:rsidRPr="00F562F3" w:rsidRDefault="001D1521" w:rsidP="00F30C77">
      <w:pPr>
        <w:pStyle w:val="Heading1"/>
        <w:rPr>
          <w:sz w:val="24"/>
          <w:szCs w:val="24"/>
        </w:rPr>
      </w:pPr>
      <w:bookmarkStart w:id="52" w:name="_Toc446789154"/>
      <w:r w:rsidRPr="00F562F3">
        <w:rPr>
          <w:sz w:val="24"/>
          <w:szCs w:val="24"/>
        </w:rPr>
        <w:t>Chapter 5 - Conclusion</w:t>
      </w:r>
      <w:bookmarkEnd w:id="52"/>
    </w:p>
    <w:p w14:paraId="7700F6BD" w14:textId="77777777" w:rsidR="00B84936" w:rsidRDefault="00B84936">
      <w:pPr>
        <w:spacing w:line="276" w:lineRule="auto"/>
        <w:rPr>
          <w:rFonts w:ascii="Times New Roman" w:eastAsia="Times New Roman" w:hAnsi="Times New Roman" w:cs="Times New Roman"/>
          <w:sz w:val="22"/>
          <w:szCs w:val="22"/>
        </w:rPr>
      </w:pPr>
    </w:p>
    <w:p w14:paraId="7B06A459" w14:textId="77777777" w:rsidR="00B84936" w:rsidRPr="00F562F3" w:rsidRDefault="001D1521" w:rsidP="00F30C77">
      <w:pPr>
        <w:pStyle w:val="Heading2"/>
        <w:rPr>
          <w:sz w:val="24"/>
          <w:szCs w:val="24"/>
        </w:rPr>
      </w:pPr>
      <w:bookmarkStart w:id="53" w:name="_Toc446789155"/>
      <w:r w:rsidRPr="00F562F3">
        <w:rPr>
          <w:sz w:val="24"/>
          <w:szCs w:val="24"/>
        </w:rPr>
        <w:t>Background and Research Questions</w:t>
      </w:r>
      <w:bookmarkEnd w:id="53"/>
    </w:p>
    <w:p w14:paraId="48DBD58E" w14:textId="77777777" w:rsidR="00B84936" w:rsidRDefault="00B84936">
      <w:pPr>
        <w:spacing w:line="276" w:lineRule="auto"/>
        <w:rPr>
          <w:rFonts w:ascii="Times New Roman" w:eastAsia="Times New Roman" w:hAnsi="Times New Roman" w:cs="Times New Roman"/>
          <w:sz w:val="22"/>
          <w:szCs w:val="22"/>
        </w:rPr>
      </w:pPr>
    </w:p>
    <w:p w14:paraId="349C7FBB"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From the 1980s through the present day, the U.S. has experienced income and wealth inequality that rivals levels from the Gilded Age. During this time frame, labor unions experienced a significant decrease in membership concurrent to declines in the middle class share of national income by half, while the 1 percent share of national income doubled. The emergence of financial deregulation, public sector and social program austerity, and contraction in union membership were driving factors of these macroeconomic social inequalities. </w:t>
      </w:r>
    </w:p>
    <w:p w14:paraId="72DCE5EC"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Amidst these larger macroeconomic forces, the Diversity and Inclusion function in organizations has responded with innovative and cross-functional attempts to uplift underserved communities. The driving research questions of this study are as follows: How and to what extent do Diversity and Inclusion interventions at the organizational level address social and economic inequalities in the New Gilded Age? In light of the strengths and limitations of Diversity and Inclusion interventions, how could intersectional public policy fill in where Diversity and Inclusion falls short in eliminating the social and economic inequalities of the New Gilded Age?</w:t>
      </w:r>
    </w:p>
    <w:p w14:paraId="1F6D8965" w14:textId="77777777" w:rsidR="00B84936" w:rsidRDefault="00B84936">
      <w:pPr>
        <w:spacing w:line="480" w:lineRule="auto"/>
        <w:ind w:firstLine="720"/>
        <w:rPr>
          <w:rFonts w:ascii="Times New Roman" w:eastAsia="Times New Roman" w:hAnsi="Times New Roman" w:cs="Times New Roman"/>
          <w:sz w:val="22"/>
          <w:szCs w:val="22"/>
        </w:rPr>
      </w:pPr>
    </w:p>
    <w:p w14:paraId="483CA881" w14:textId="77777777" w:rsidR="00B84936" w:rsidRPr="00F562F3" w:rsidRDefault="001D1521" w:rsidP="00F30C77">
      <w:pPr>
        <w:pStyle w:val="Heading2"/>
        <w:rPr>
          <w:sz w:val="24"/>
          <w:szCs w:val="24"/>
        </w:rPr>
      </w:pPr>
      <w:bookmarkStart w:id="54" w:name="_Toc446789156"/>
      <w:r w:rsidRPr="00F562F3">
        <w:rPr>
          <w:sz w:val="24"/>
          <w:szCs w:val="24"/>
        </w:rPr>
        <w:t>Methodology, Theoretical Approach, and Findings</w:t>
      </w:r>
      <w:bookmarkEnd w:id="54"/>
    </w:p>
    <w:p w14:paraId="5A193B46"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 addressing these two principal research questions, this study takes up a textual approach to cultural analysis as its qualitative methodology. This methodology excavates interpretations by making connections between text and context and finding their import and ramifications on broader society. </w:t>
      </w:r>
      <w:proofErr w:type="spellStart"/>
      <w:r>
        <w:rPr>
          <w:rFonts w:ascii="Times New Roman" w:eastAsia="Times New Roman" w:hAnsi="Times New Roman" w:cs="Times New Roman"/>
          <w:sz w:val="22"/>
          <w:szCs w:val="22"/>
        </w:rPr>
        <w:t>USing</w:t>
      </w:r>
      <w:proofErr w:type="spellEnd"/>
      <w:r>
        <w:rPr>
          <w:rFonts w:ascii="Times New Roman" w:eastAsia="Times New Roman" w:hAnsi="Times New Roman" w:cs="Times New Roman"/>
          <w:sz w:val="22"/>
          <w:szCs w:val="22"/>
        </w:rPr>
        <w:t xml:space="preserve"> this textual approach to cultural analysis enables contextualization and signification from Diversity and Inclusion interventions and public policy </w:t>
      </w:r>
      <w:r>
        <w:rPr>
          <w:rFonts w:ascii="Times New Roman" w:eastAsia="Times New Roman" w:hAnsi="Times New Roman" w:cs="Times New Roman"/>
          <w:sz w:val="22"/>
          <w:szCs w:val="22"/>
        </w:rPr>
        <w:lastRenderedPageBreak/>
        <w:t xml:space="preserve">proposals within the larger social, political, and economic paradigm of the New Gilded Age. This study also borrows from Black and second-wave feminism’s concept of </w:t>
      </w:r>
      <w:proofErr w:type="spellStart"/>
      <w:r>
        <w:rPr>
          <w:rFonts w:ascii="Times New Roman" w:eastAsia="Times New Roman" w:hAnsi="Times New Roman" w:cs="Times New Roman"/>
          <w:sz w:val="22"/>
          <w:szCs w:val="22"/>
        </w:rPr>
        <w:t>intersectionality</w:t>
      </w:r>
      <w:proofErr w:type="spellEnd"/>
      <w:r>
        <w:rPr>
          <w:rFonts w:ascii="Times New Roman" w:eastAsia="Times New Roman" w:hAnsi="Times New Roman" w:cs="Times New Roman"/>
          <w:sz w:val="22"/>
          <w:szCs w:val="22"/>
        </w:rPr>
        <w:t xml:space="preserve">, their seminal contribution to social and cultural theory. Focusing on </w:t>
      </w:r>
      <w:proofErr w:type="spellStart"/>
      <w:r>
        <w:rPr>
          <w:rFonts w:ascii="Times New Roman" w:eastAsia="Times New Roman" w:hAnsi="Times New Roman" w:cs="Times New Roman"/>
          <w:sz w:val="22"/>
          <w:szCs w:val="22"/>
        </w:rPr>
        <w:t>intersectionality’s</w:t>
      </w:r>
      <w:proofErr w:type="spellEnd"/>
      <w:r>
        <w:rPr>
          <w:rFonts w:ascii="Times New Roman" w:eastAsia="Times New Roman" w:hAnsi="Times New Roman" w:cs="Times New Roman"/>
          <w:sz w:val="22"/>
          <w:szCs w:val="22"/>
        </w:rPr>
        <w:t xml:space="preserve"> coalitional potential across communities, this study unearths racial, socioeconomic, and gender disparities and illuminate coalitional possibilities among social movements as a way forward in advocating for intersectional solutions to solve New Gilded Age problems and to fundamentally revitalize American democracy and civic life. </w:t>
      </w:r>
    </w:p>
    <w:p w14:paraId="1503C12D"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With textual cultural analysis as my methodology and </w:t>
      </w:r>
      <w:proofErr w:type="spellStart"/>
      <w:r>
        <w:rPr>
          <w:rFonts w:ascii="Times New Roman" w:eastAsia="Times New Roman" w:hAnsi="Times New Roman" w:cs="Times New Roman"/>
          <w:sz w:val="22"/>
          <w:szCs w:val="22"/>
        </w:rPr>
        <w:t>intersectionality</w:t>
      </w:r>
      <w:proofErr w:type="spellEnd"/>
      <w:r>
        <w:rPr>
          <w:rFonts w:ascii="Times New Roman" w:eastAsia="Times New Roman" w:hAnsi="Times New Roman" w:cs="Times New Roman"/>
          <w:sz w:val="22"/>
          <w:szCs w:val="22"/>
        </w:rPr>
        <w:t xml:space="preserve"> as my theoretical approach, this study’s two case studies adopt these lenses to assess diversity pipeline programs and employee resource groups. While these Diversity and Inclusion interventions have been novel organizationally, they nevertheless have limitations and cannot be approached at the organizational level alone in order to have substantial and sustained impact </w:t>
      </w:r>
      <w:proofErr w:type="spellStart"/>
      <w:r>
        <w:rPr>
          <w:rFonts w:ascii="Times New Roman" w:eastAsia="Times New Roman" w:hAnsi="Times New Roman" w:cs="Times New Roman"/>
          <w:sz w:val="22"/>
          <w:szCs w:val="22"/>
        </w:rPr>
        <w:t>vis</w:t>
      </w:r>
      <w:proofErr w:type="spellEnd"/>
      <w:r>
        <w:rPr>
          <w:rFonts w:ascii="Times New Roman" w:eastAsia="Times New Roman" w:hAnsi="Times New Roman" w:cs="Times New Roman"/>
          <w:sz w:val="22"/>
          <w:szCs w:val="22"/>
        </w:rPr>
        <w:t>-a-</w:t>
      </w:r>
      <w:proofErr w:type="spellStart"/>
      <w:r>
        <w:rPr>
          <w:rFonts w:ascii="Times New Roman" w:eastAsia="Times New Roman" w:hAnsi="Times New Roman" w:cs="Times New Roman"/>
          <w:sz w:val="22"/>
          <w:szCs w:val="22"/>
        </w:rPr>
        <w:t>vis</w:t>
      </w:r>
      <w:proofErr w:type="spellEnd"/>
      <w:r>
        <w:rPr>
          <w:rFonts w:ascii="Times New Roman" w:eastAsia="Times New Roman" w:hAnsi="Times New Roman" w:cs="Times New Roman"/>
          <w:sz w:val="22"/>
          <w:szCs w:val="22"/>
        </w:rPr>
        <w:t xml:space="preserve"> larger structural inequalities. Going beyond the organizational level and into policy, each of the two case studies delves into public policy analysis of proposals that would better structurally address the racial, gender, and socioeconomic oppressions that exist in the New Gilded Age from an intersectional perspective. The Federal Jobs Guarantee and the Workplace Democracy Act serve as two exemplary solutions that would lift compensation, rebuild the middle class, and advance gender equity, racial justice, and interracial working class solidarity. In doing so, they would reclaim employment and the workplace as a revitalized public good that workers can democratically join and actively participate in. </w:t>
      </w:r>
    </w:p>
    <w:p w14:paraId="4C169F88"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While the Federal Jobs Guarantee and the Workplace Democracy Act would enact monumental restructuring of the U.S. economy and transformation of the workplace, they nevertheless have further opportunities for improvement. The Federal Jobs Guarantee could be supplemented by a no strings attached Universal Basic Income and other strong social programs in order to ensure that vulnerable populations, such as children, the elderly, the sick, the homeless, veterans, single parents, youth in foster care, and those with physical and mental </w:t>
      </w:r>
      <w:r>
        <w:rPr>
          <w:rFonts w:ascii="Times New Roman" w:eastAsia="Times New Roman" w:hAnsi="Times New Roman" w:cs="Times New Roman"/>
          <w:sz w:val="22"/>
          <w:szCs w:val="22"/>
        </w:rPr>
        <w:lastRenderedPageBreak/>
        <w:t xml:space="preserve">disabilities continue to receive adequate financial governmental support and live with dignity, even if they are not able to work. While the Workplace Democracy Act would serve to fundamentally fortify labor rights and workers through wage boards, they do not go far enough to address the fact that in the U.S. union contracts are done at the worksite level. Preserving work-site level union contracts has the sustained effect of structurally incentivizing management to pursue organizational level union-busting strategies as their efforts to do so have a direct impact on the union contract as the relevant bargaining unit is a part of their own employee population. From the government’s perspective, this plethora of collective bargaining agreements makes it cumbersome for the National Labor Relations Board to maintain oversight for legal compliance to the union contract and labor laws and regulations. To supplement wage boards, a comprehensive shift to </w:t>
      </w:r>
      <w:proofErr w:type="spellStart"/>
      <w:r>
        <w:rPr>
          <w:rFonts w:ascii="Times New Roman" w:eastAsia="Times New Roman" w:hAnsi="Times New Roman" w:cs="Times New Roman"/>
          <w:sz w:val="22"/>
          <w:szCs w:val="22"/>
        </w:rPr>
        <w:t>sectoral</w:t>
      </w:r>
      <w:proofErr w:type="spellEnd"/>
      <w:r>
        <w:rPr>
          <w:rFonts w:ascii="Times New Roman" w:eastAsia="Times New Roman" w:hAnsi="Times New Roman" w:cs="Times New Roman"/>
          <w:sz w:val="22"/>
          <w:szCs w:val="22"/>
        </w:rPr>
        <w:t xml:space="preserve"> bargaining where one collective bargaining agreement sets standards sector-wide would mean less management attempts at union avoidance and more effective governmental oversight and assistance in negotiations and arbitrations due to fewer union contracts for the government to monitor.</w:t>
      </w:r>
    </w:p>
    <w:p w14:paraId="1AF3097D" w14:textId="77777777" w:rsidR="00B84936" w:rsidRDefault="00B84936">
      <w:pPr>
        <w:spacing w:line="480" w:lineRule="auto"/>
        <w:rPr>
          <w:rFonts w:ascii="Times New Roman" w:eastAsia="Times New Roman" w:hAnsi="Times New Roman" w:cs="Times New Roman"/>
          <w:sz w:val="22"/>
          <w:szCs w:val="22"/>
        </w:rPr>
      </w:pPr>
    </w:p>
    <w:p w14:paraId="78BFB528" w14:textId="77777777" w:rsidR="00B84936" w:rsidRPr="00F562F3" w:rsidRDefault="001D1521" w:rsidP="00F30C77">
      <w:pPr>
        <w:pStyle w:val="Heading2"/>
        <w:rPr>
          <w:sz w:val="24"/>
          <w:szCs w:val="24"/>
        </w:rPr>
      </w:pPr>
      <w:bookmarkStart w:id="55" w:name="_Toc446789157"/>
      <w:r w:rsidRPr="00F562F3">
        <w:rPr>
          <w:sz w:val="24"/>
          <w:szCs w:val="24"/>
        </w:rPr>
        <w:t>Recommendations</w:t>
      </w:r>
      <w:bookmarkEnd w:id="55"/>
    </w:p>
    <w:p w14:paraId="6D95BAF0"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This research holds implications for Diversity and Inclusion practitioners, organizational leaders, Human Resource and Talent Management professionals, labor union organizers, public policy analysts, and legislators. The shortcomings of organizational responses to macroeconomic trends of the New Gilded Age signify that bold and systemic structural changes would have to be considered, such as the Federal Jobs Guarantee and the Workplace Democracy Plan, in order to foster an enabling structural environment that achieves lasting social change for communities that the New Gilded Age has rendered disposable. </w:t>
      </w:r>
    </w:p>
    <w:p w14:paraId="24316953" w14:textId="77777777" w:rsidR="00B84936" w:rsidRDefault="001D1521">
      <w:pPr>
        <w:numPr>
          <w:ilvl w:val="0"/>
          <w:numId w:val="4"/>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Increase scope of the Diversity and Inclusion function, advocate for increased head count &amp; constantly embed social transformation and environmental sustainability into the organizational bottom line. </w:t>
      </w:r>
    </w:p>
    <w:p w14:paraId="16A24A6E" w14:textId="77777777" w:rsidR="00B84936" w:rsidRDefault="001D1521">
      <w:pPr>
        <w:numPr>
          <w:ilvl w:val="0"/>
          <w:numId w:val="4"/>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Leverage strategic partnerships with community non-profit organizations in order to advance Diversity and Inclusion’s scope and social impact beyond the immediate confines of the organization</w:t>
      </w:r>
    </w:p>
    <w:p w14:paraId="6B0E170E"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Advocate for policies at the organizational and public policy levels predicated on the basis of universal access and equitable outcomes, such as the Federal Jobs Guarantee, single payer universal healthcare through Medicare for All, cancellation of medical debt and student debt, universal childcare, the Green New Deal, among other proposals</w:t>
      </w:r>
    </w:p>
    <w:p w14:paraId="16975DAA"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Advocate for policies at the organizational and public policy levels that would advance racial, gender, and working class solidarity in order to foster broad alliances and explore coalitional possibilities that serve as core political commitments of </w:t>
      </w:r>
      <w:proofErr w:type="spellStart"/>
      <w:r>
        <w:rPr>
          <w:rFonts w:ascii="Times New Roman" w:eastAsia="Times New Roman" w:hAnsi="Times New Roman" w:cs="Times New Roman"/>
          <w:sz w:val="22"/>
          <w:szCs w:val="22"/>
        </w:rPr>
        <w:t>intersectionality</w:t>
      </w:r>
      <w:proofErr w:type="spellEnd"/>
    </w:p>
    <w:p w14:paraId="47F0F3B0"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Advocate for Universal Basic Income that would reinforce, not replace, existing social programs. As a supplement to having guaranteed federal jobs, Universal Basic Income would enable underserved populations unable to work to live with dignity</w:t>
      </w:r>
    </w:p>
    <w:p w14:paraId="01C171DF"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Leverage the constitutional freedom of assembly and engage in petition drives, direct action, and electoral politics in order to pressure civil servants to support union-friendly legislative bills, such as the creation of wage boards, curtailing right-to-work legislation, and the Workplace Democracy Act</w:t>
      </w:r>
    </w:p>
    <w:p w14:paraId="753A1DB3"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When driving for change, highlight intersectional impact of status quo policies and how they disproportionately oppress communities from a racial, gender, and socioeconomic perspective, among other identities</w:t>
      </w:r>
    </w:p>
    <w:p w14:paraId="519243E1"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Propose bold policy solutions from an intersectional perspective that would strengthen multiple communities and movements. For example, demanding a 100 percent transition to renewable energy by 2030 through a federal jobs guarantee focused on greening and </w:t>
      </w:r>
      <w:r>
        <w:rPr>
          <w:rFonts w:ascii="Times New Roman" w:eastAsia="Times New Roman" w:hAnsi="Times New Roman" w:cs="Times New Roman"/>
          <w:sz w:val="22"/>
          <w:szCs w:val="22"/>
        </w:rPr>
        <w:lastRenderedPageBreak/>
        <w:t>rebuilding U.S. infrastructure and services and investing the benefits of these jobs to underserved communities, such as working class communities, communities with predominantly people of color, and in partnership with and to serve American Indian nations and overseas colonies like Puerto Rico, Guam, American Samoa, Northern Mariana Islands, and the U.S. Virgin Islands, would serve as intersectional policy solutions from a racial justice, environmental justice, and decolonization framework</w:t>
      </w:r>
    </w:p>
    <w:p w14:paraId="7342F636"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Coalesce with existing social movements, such as the Movement for Black Lives, Migrant Justice organizing, labor unions, the Me Too movement, climate justice, and the re-emergence of American democratic socialism (</w:t>
      </w:r>
      <w:proofErr w:type="spellStart"/>
      <w:r>
        <w:rPr>
          <w:rFonts w:ascii="Times New Roman" w:eastAsia="Times New Roman" w:hAnsi="Times New Roman" w:cs="Times New Roman"/>
          <w:sz w:val="22"/>
          <w:szCs w:val="22"/>
        </w:rPr>
        <w:t>equitablent</w:t>
      </w:r>
      <w:proofErr w:type="spellEnd"/>
      <w:r>
        <w:rPr>
          <w:rFonts w:ascii="Times New Roman" w:eastAsia="Times New Roman" w:hAnsi="Times New Roman" w:cs="Times New Roman"/>
          <w:sz w:val="22"/>
          <w:szCs w:val="22"/>
        </w:rPr>
        <w:t xml:space="preserve"> to social democracy) through the progressive movement in order to form broad coalitions, obtain input from diverse front line communities, and use those grassroots insights to drive proposals from an intersectional lens</w:t>
      </w:r>
    </w:p>
    <w:p w14:paraId="6AEC6FE6"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Establish relationships with international partners and consult comparative research literature in order to learn global macro-level trends, explore and borrow time and tested solutions, and obtain global benchmarks to identify gaps and evaluate progress and effectiveness</w:t>
      </w:r>
    </w:p>
    <w:p w14:paraId="0B8DB52E" w14:textId="77777777" w:rsidR="00B84936" w:rsidRDefault="001D1521">
      <w:pPr>
        <w:numPr>
          <w:ilvl w:val="0"/>
          <w:numId w:val="3"/>
        </w:numPr>
        <w:spacing w:line="48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Continually integrate class consciousness in intersectional analysis as class critique is a central tenet of third-wave feminism’s methodological commitments to </w:t>
      </w:r>
      <w:proofErr w:type="spellStart"/>
      <w:r>
        <w:rPr>
          <w:rFonts w:ascii="Times New Roman" w:eastAsia="Times New Roman" w:hAnsi="Times New Roman" w:cs="Times New Roman"/>
          <w:sz w:val="22"/>
          <w:szCs w:val="22"/>
        </w:rPr>
        <w:t>intersectionality</w:t>
      </w:r>
      <w:proofErr w:type="spellEnd"/>
    </w:p>
    <w:p w14:paraId="566C6B78" w14:textId="77777777" w:rsidR="00B84936" w:rsidRDefault="00B84936">
      <w:pPr>
        <w:spacing w:line="276" w:lineRule="auto"/>
        <w:rPr>
          <w:rFonts w:ascii="Times New Roman" w:eastAsia="Times New Roman" w:hAnsi="Times New Roman" w:cs="Times New Roman"/>
          <w:sz w:val="22"/>
          <w:szCs w:val="22"/>
        </w:rPr>
      </w:pPr>
    </w:p>
    <w:p w14:paraId="1863B88E" w14:textId="77777777" w:rsidR="00B84936" w:rsidRDefault="00B84936">
      <w:pPr>
        <w:spacing w:line="276" w:lineRule="auto"/>
        <w:rPr>
          <w:rFonts w:ascii="Times New Roman" w:eastAsia="Times New Roman" w:hAnsi="Times New Roman" w:cs="Times New Roman"/>
          <w:sz w:val="22"/>
          <w:szCs w:val="22"/>
        </w:rPr>
      </w:pPr>
    </w:p>
    <w:p w14:paraId="44ABF0E2" w14:textId="77777777" w:rsidR="00B84936" w:rsidRPr="00F562F3" w:rsidRDefault="001D1521" w:rsidP="00F30C77">
      <w:pPr>
        <w:pStyle w:val="Heading2"/>
        <w:rPr>
          <w:sz w:val="24"/>
          <w:szCs w:val="24"/>
        </w:rPr>
      </w:pPr>
      <w:bookmarkStart w:id="56" w:name="_Toc446789158"/>
      <w:r w:rsidRPr="00F562F3">
        <w:rPr>
          <w:sz w:val="24"/>
          <w:szCs w:val="24"/>
        </w:rPr>
        <w:t>Methodological Limitations and Future Research</w:t>
      </w:r>
      <w:bookmarkEnd w:id="56"/>
    </w:p>
    <w:p w14:paraId="1344EB04" w14:textId="77777777" w:rsidR="00B84936" w:rsidRDefault="00B84936">
      <w:pPr>
        <w:spacing w:line="480" w:lineRule="auto"/>
        <w:ind w:firstLine="720"/>
        <w:rPr>
          <w:rFonts w:ascii="Times New Roman" w:eastAsia="Times New Roman" w:hAnsi="Times New Roman" w:cs="Times New Roman"/>
          <w:sz w:val="22"/>
          <w:szCs w:val="22"/>
        </w:rPr>
      </w:pPr>
    </w:p>
    <w:p w14:paraId="55F8B4EB"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This study was performed using analysis of primary and secondary sources with signification excavated from a qualitative perspective. Qualitatively, no interviews or ethnographic accounts were performed. While this study examines organizational examples across various Human Resources functions, such as Talent Acquisition, Labor Relations, and </w:t>
      </w:r>
      <w:r>
        <w:rPr>
          <w:rFonts w:ascii="Times New Roman" w:eastAsia="Times New Roman" w:hAnsi="Times New Roman" w:cs="Times New Roman"/>
          <w:sz w:val="22"/>
          <w:szCs w:val="22"/>
        </w:rPr>
        <w:lastRenderedPageBreak/>
        <w:t>Learning and Development, alternative studies could hone in on one singular function like Finance, Product Development, or Marketing and how Diversity and Inclusion intervenes in these organizational functions. Another take on this study could involve a more direct approach and focus on one particular organization as case study, while other research could focus beyond the organizational level and instead on a specific sector.</w:t>
      </w:r>
    </w:p>
    <w:p w14:paraId="41418B9D"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From an intersectional policy standpoint, this study exemplifies intersectional public policy recommendations through case studies of the Federal Jobs Guarantee and the Workplace Democracy Act and their significance in uplifting communities at their intersections within the larger macroeconomic context of the New Gilded Age. Beyond these two proposals, there are also other public policy considerations that could ameliorate the effects of the New Gilded Age from an intersectional perspective. Future research could focus on additional progressive movement proposals, such as Medicare for All in establishing single payer universal healthcare, its central role in eliminating health, racial, gender, economic, immigrant, and generational disparities, its socio-historical signification from a Black Power social movement perspective, and global cross-regional or cross-national comparisons with other OECD countries. Another policy consideration that could be studied is a wealth tax with the larger backdrop of increasing productivity, stagnant or decreasing pay, and the disappearance of jobs due to automation and robotics and its impacts from a racial, gender, educational, geographic lens. Another topic that could be pursued in the future is </w:t>
      </w:r>
      <w:proofErr w:type="gramStart"/>
      <w:r>
        <w:rPr>
          <w:rFonts w:ascii="Times New Roman" w:eastAsia="Times New Roman" w:hAnsi="Times New Roman" w:cs="Times New Roman"/>
          <w:sz w:val="22"/>
          <w:szCs w:val="22"/>
        </w:rPr>
        <w:t>a no</w:t>
      </w:r>
      <w:proofErr w:type="gramEnd"/>
      <w:r>
        <w:rPr>
          <w:rFonts w:ascii="Times New Roman" w:eastAsia="Times New Roman" w:hAnsi="Times New Roman" w:cs="Times New Roman"/>
          <w:sz w:val="22"/>
          <w:szCs w:val="22"/>
        </w:rPr>
        <w:t xml:space="preserve">-strings attached universal basic income in order to combat economic </w:t>
      </w:r>
      <w:proofErr w:type="spellStart"/>
      <w:r>
        <w:rPr>
          <w:rFonts w:ascii="Times New Roman" w:eastAsia="Times New Roman" w:hAnsi="Times New Roman" w:cs="Times New Roman"/>
          <w:sz w:val="22"/>
          <w:szCs w:val="22"/>
        </w:rPr>
        <w:t>precarity</w:t>
      </w:r>
      <w:proofErr w:type="spellEnd"/>
      <w:r>
        <w:rPr>
          <w:rFonts w:ascii="Times New Roman" w:eastAsia="Times New Roman" w:hAnsi="Times New Roman" w:cs="Times New Roman"/>
          <w:sz w:val="22"/>
          <w:szCs w:val="22"/>
        </w:rPr>
        <w:t xml:space="preserve">, gender inequality, underemployment, malnutrition, housing instability, and its socio-historical legacy from the Civil Rights Movement. Yet another could be a study of the role that labor unions play in advocating for progressive proposals such as a 4-day </w:t>
      </w:r>
      <w:proofErr w:type="gramStart"/>
      <w:r>
        <w:rPr>
          <w:rFonts w:ascii="Times New Roman" w:eastAsia="Times New Roman" w:hAnsi="Times New Roman" w:cs="Times New Roman"/>
          <w:sz w:val="22"/>
          <w:szCs w:val="22"/>
        </w:rPr>
        <w:t>work week</w:t>
      </w:r>
      <w:proofErr w:type="gramEnd"/>
      <w:r>
        <w:rPr>
          <w:rFonts w:ascii="Times New Roman" w:eastAsia="Times New Roman" w:hAnsi="Times New Roman" w:cs="Times New Roman"/>
          <w:sz w:val="22"/>
          <w:szCs w:val="22"/>
        </w:rPr>
        <w:t xml:space="preserve"> for similar pay or no emails outside formal work hours and their impacts on performance, productivity, and gender and racial disparities. The latter could involve connecting the dots to the pivotal role that labor unions had in the creation of the 40-hour work week, the weekend, child </w:t>
      </w:r>
      <w:r>
        <w:rPr>
          <w:rFonts w:ascii="Times New Roman" w:eastAsia="Times New Roman" w:hAnsi="Times New Roman" w:cs="Times New Roman"/>
          <w:sz w:val="22"/>
          <w:szCs w:val="22"/>
        </w:rPr>
        <w:lastRenderedPageBreak/>
        <w:t>labor laws, occupational health and workplace safety laws, and in advocating for workplace accommodations that created transformative impacts across communities.</w:t>
      </w:r>
    </w:p>
    <w:p w14:paraId="0A95E3A0" w14:textId="77777777" w:rsidR="001D1521" w:rsidRDefault="001D1521">
      <w:pPr>
        <w:spacing w:line="480" w:lineRule="auto"/>
        <w:ind w:firstLine="720"/>
        <w:rPr>
          <w:rFonts w:ascii="Times New Roman" w:eastAsia="Times New Roman" w:hAnsi="Times New Roman" w:cs="Times New Roman"/>
          <w:sz w:val="22"/>
          <w:szCs w:val="22"/>
        </w:rPr>
      </w:pPr>
    </w:p>
    <w:p w14:paraId="334A1F95" w14:textId="77777777" w:rsidR="00B84936" w:rsidRDefault="00B84936">
      <w:pPr>
        <w:spacing w:line="480" w:lineRule="auto"/>
        <w:rPr>
          <w:rFonts w:ascii="Times New Roman" w:eastAsia="Times New Roman" w:hAnsi="Times New Roman" w:cs="Times New Roman"/>
          <w:sz w:val="22"/>
          <w:szCs w:val="22"/>
        </w:rPr>
      </w:pPr>
    </w:p>
    <w:p w14:paraId="3DAA6248" w14:textId="77777777" w:rsidR="00B84936" w:rsidRPr="00F562F3" w:rsidRDefault="001D1521" w:rsidP="00F30C77">
      <w:pPr>
        <w:pStyle w:val="Heading2"/>
        <w:rPr>
          <w:sz w:val="24"/>
          <w:szCs w:val="24"/>
        </w:rPr>
      </w:pPr>
      <w:bookmarkStart w:id="57" w:name="_Toc446789159"/>
      <w:r w:rsidRPr="00F562F3">
        <w:rPr>
          <w:sz w:val="24"/>
          <w:szCs w:val="24"/>
        </w:rPr>
        <w:t>Historical Origins and Future Possibilities</w:t>
      </w:r>
      <w:bookmarkEnd w:id="57"/>
    </w:p>
    <w:p w14:paraId="4C89451D" w14:textId="77777777" w:rsidR="00B84936" w:rsidRDefault="001D1521">
      <w:pPr>
        <w:spacing w:line="480" w:lineRule="auto"/>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 structurally improving the lives of intersectional communities, the Federal Jobs Guarantee and Workplace Democracy Act dispel the dehumanizing notion of the marginalized as disposable in the New Gilded Age. These two case studies serve as intersectional public policy solutions in that they bridge disparities </w:t>
      </w:r>
      <w:proofErr w:type="spellStart"/>
      <w:r>
        <w:rPr>
          <w:rFonts w:ascii="Times New Roman" w:eastAsia="Times New Roman" w:hAnsi="Times New Roman" w:cs="Times New Roman"/>
          <w:sz w:val="22"/>
          <w:szCs w:val="22"/>
        </w:rPr>
        <w:t>ntersectionally</w:t>
      </w:r>
      <w:proofErr w:type="spellEnd"/>
      <w:r>
        <w:rPr>
          <w:rFonts w:ascii="Times New Roman" w:eastAsia="Times New Roman" w:hAnsi="Times New Roman" w:cs="Times New Roman"/>
          <w:sz w:val="22"/>
          <w:szCs w:val="22"/>
        </w:rPr>
        <w:t xml:space="preserve"> and fulfill the coalitional potential and political pursuit of </w:t>
      </w:r>
      <w:proofErr w:type="spellStart"/>
      <w:r>
        <w:rPr>
          <w:rFonts w:ascii="Times New Roman" w:eastAsia="Times New Roman" w:hAnsi="Times New Roman" w:cs="Times New Roman"/>
          <w:sz w:val="22"/>
          <w:szCs w:val="22"/>
        </w:rPr>
        <w:t>intersectionality</w:t>
      </w:r>
      <w:proofErr w:type="spellEnd"/>
      <w:r>
        <w:rPr>
          <w:rFonts w:ascii="Times New Roman" w:eastAsia="Times New Roman" w:hAnsi="Times New Roman" w:cs="Times New Roman"/>
          <w:sz w:val="22"/>
          <w:szCs w:val="22"/>
        </w:rPr>
        <w:t xml:space="preserve"> as conceptualized in its Black feminist origins. These intersectional public policy solutions serve as the present’s guiding light towards coalition-building possibilities that honor the legacies of social movements’ shared advocacy and inter-group solidarity, while articulating a bold vision forward into a new, more equitable, and just future. </w:t>
      </w:r>
    </w:p>
    <w:p w14:paraId="492D4506" w14:textId="77777777" w:rsidR="001D1521" w:rsidRDefault="001D1521">
      <w:pPr>
        <w:spacing w:line="480" w:lineRule="auto"/>
        <w:ind w:firstLine="720"/>
        <w:rPr>
          <w:rFonts w:ascii="Times New Roman" w:eastAsia="Times New Roman" w:hAnsi="Times New Roman" w:cs="Times New Roman"/>
          <w:sz w:val="22"/>
          <w:szCs w:val="22"/>
        </w:rPr>
      </w:pPr>
    </w:p>
    <w:p w14:paraId="68BDC8B3" w14:textId="77777777" w:rsidR="001D1521" w:rsidRDefault="001D1521">
      <w:pPr>
        <w:spacing w:line="480" w:lineRule="auto"/>
        <w:ind w:firstLine="720"/>
        <w:rPr>
          <w:rFonts w:ascii="Times New Roman" w:eastAsia="Times New Roman" w:hAnsi="Times New Roman" w:cs="Times New Roman"/>
          <w:sz w:val="22"/>
          <w:szCs w:val="22"/>
        </w:rPr>
      </w:pPr>
    </w:p>
    <w:p w14:paraId="53C96CD8" w14:textId="77777777" w:rsidR="001D1521" w:rsidRDefault="001D1521">
      <w:pPr>
        <w:spacing w:line="480" w:lineRule="auto"/>
        <w:ind w:firstLine="720"/>
        <w:rPr>
          <w:rFonts w:ascii="Times New Roman" w:eastAsia="Times New Roman" w:hAnsi="Times New Roman" w:cs="Times New Roman"/>
          <w:sz w:val="22"/>
          <w:szCs w:val="22"/>
        </w:rPr>
      </w:pPr>
    </w:p>
    <w:p w14:paraId="716170EF" w14:textId="77777777" w:rsidR="001D1521" w:rsidRDefault="001D1521">
      <w:pPr>
        <w:spacing w:line="480" w:lineRule="auto"/>
        <w:ind w:firstLine="720"/>
        <w:rPr>
          <w:rFonts w:ascii="Times New Roman" w:eastAsia="Times New Roman" w:hAnsi="Times New Roman" w:cs="Times New Roman"/>
          <w:sz w:val="22"/>
          <w:szCs w:val="22"/>
        </w:rPr>
      </w:pPr>
    </w:p>
    <w:p w14:paraId="42367231" w14:textId="77777777" w:rsidR="001D1521" w:rsidRDefault="001D1521" w:rsidP="00F562F3">
      <w:pPr>
        <w:spacing w:line="480" w:lineRule="auto"/>
        <w:rPr>
          <w:rFonts w:ascii="Times New Roman" w:eastAsia="Times New Roman" w:hAnsi="Times New Roman" w:cs="Times New Roman"/>
          <w:sz w:val="22"/>
          <w:szCs w:val="22"/>
        </w:rPr>
      </w:pPr>
    </w:p>
    <w:p w14:paraId="3DC794E6" w14:textId="77777777" w:rsidR="00F562F3" w:rsidRDefault="00F562F3" w:rsidP="00F562F3">
      <w:pPr>
        <w:spacing w:line="480" w:lineRule="auto"/>
        <w:rPr>
          <w:rFonts w:ascii="Times New Roman" w:eastAsia="Times New Roman" w:hAnsi="Times New Roman" w:cs="Times New Roman"/>
          <w:sz w:val="22"/>
          <w:szCs w:val="22"/>
        </w:rPr>
      </w:pPr>
    </w:p>
    <w:p w14:paraId="2CA7FFE4" w14:textId="77777777" w:rsidR="001D1521" w:rsidRDefault="001D1521">
      <w:pPr>
        <w:spacing w:line="480" w:lineRule="auto"/>
        <w:ind w:firstLine="720"/>
        <w:rPr>
          <w:rFonts w:ascii="Times New Roman" w:eastAsia="Times New Roman" w:hAnsi="Times New Roman" w:cs="Times New Roman"/>
          <w:sz w:val="22"/>
          <w:szCs w:val="22"/>
        </w:rPr>
      </w:pPr>
    </w:p>
    <w:p w14:paraId="44109A7B" w14:textId="77777777" w:rsidR="001D1521" w:rsidRDefault="001D1521">
      <w:pPr>
        <w:spacing w:line="480" w:lineRule="auto"/>
        <w:ind w:firstLine="720"/>
        <w:rPr>
          <w:rFonts w:ascii="Times New Roman" w:eastAsia="Times New Roman" w:hAnsi="Times New Roman" w:cs="Times New Roman"/>
          <w:sz w:val="22"/>
          <w:szCs w:val="22"/>
        </w:rPr>
      </w:pPr>
    </w:p>
    <w:p w14:paraId="4C03338E" w14:textId="77777777" w:rsidR="001D1521" w:rsidRDefault="001D1521">
      <w:pPr>
        <w:spacing w:line="480" w:lineRule="auto"/>
        <w:ind w:firstLine="720"/>
        <w:rPr>
          <w:rFonts w:ascii="Times New Roman" w:eastAsia="Times New Roman" w:hAnsi="Times New Roman" w:cs="Times New Roman"/>
          <w:sz w:val="22"/>
          <w:szCs w:val="22"/>
        </w:rPr>
      </w:pPr>
    </w:p>
    <w:p w14:paraId="31DDA461" w14:textId="77777777" w:rsidR="001D1521" w:rsidRDefault="001D1521">
      <w:pPr>
        <w:spacing w:line="480" w:lineRule="auto"/>
        <w:ind w:firstLine="720"/>
        <w:rPr>
          <w:rFonts w:ascii="Times New Roman" w:eastAsia="Times New Roman" w:hAnsi="Times New Roman" w:cs="Times New Roman"/>
          <w:sz w:val="22"/>
          <w:szCs w:val="22"/>
        </w:rPr>
      </w:pPr>
    </w:p>
    <w:p w14:paraId="481F8DDD" w14:textId="77777777" w:rsidR="006D53F9" w:rsidRDefault="006D53F9">
      <w:pPr>
        <w:spacing w:line="480" w:lineRule="auto"/>
        <w:ind w:firstLine="720"/>
        <w:rPr>
          <w:rFonts w:ascii="Times New Roman" w:eastAsia="Times New Roman" w:hAnsi="Times New Roman" w:cs="Times New Roman"/>
          <w:sz w:val="22"/>
          <w:szCs w:val="22"/>
        </w:rPr>
      </w:pPr>
    </w:p>
    <w:p w14:paraId="7D9239F6" w14:textId="77777777" w:rsidR="006D53F9" w:rsidRDefault="006D53F9">
      <w:pPr>
        <w:spacing w:line="480" w:lineRule="auto"/>
        <w:ind w:firstLine="720"/>
        <w:rPr>
          <w:rFonts w:ascii="Times New Roman" w:eastAsia="Times New Roman" w:hAnsi="Times New Roman" w:cs="Times New Roman"/>
          <w:sz w:val="22"/>
          <w:szCs w:val="22"/>
        </w:rPr>
      </w:pPr>
    </w:p>
    <w:p w14:paraId="6DC69B09" w14:textId="77777777" w:rsidR="006D53F9" w:rsidRDefault="006D53F9">
      <w:pPr>
        <w:spacing w:line="480" w:lineRule="auto"/>
        <w:ind w:firstLine="720"/>
        <w:rPr>
          <w:rFonts w:ascii="Times New Roman" w:eastAsia="Times New Roman" w:hAnsi="Times New Roman" w:cs="Times New Roman"/>
          <w:sz w:val="22"/>
          <w:szCs w:val="22"/>
        </w:rPr>
      </w:pPr>
    </w:p>
    <w:p w14:paraId="77368E18" w14:textId="77777777" w:rsidR="006D53F9" w:rsidRDefault="006D53F9">
      <w:pPr>
        <w:spacing w:line="480" w:lineRule="auto"/>
        <w:ind w:firstLine="720"/>
        <w:rPr>
          <w:rFonts w:ascii="Times New Roman" w:eastAsia="Times New Roman" w:hAnsi="Times New Roman" w:cs="Times New Roman"/>
          <w:sz w:val="22"/>
          <w:szCs w:val="22"/>
        </w:rPr>
      </w:pPr>
    </w:p>
    <w:p w14:paraId="1EF7F641" w14:textId="77777777" w:rsidR="00B84936" w:rsidRDefault="00B84936">
      <w:pPr>
        <w:spacing w:after="240"/>
        <w:rPr>
          <w:rFonts w:ascii="Times New Roman" w:eastAsia="Times New Roman" w:hAnsi="Times New Roman" w:cs="Times New Roman"/>
        </w:rPr>
      </w:pPr>
    </w:p>
    <w:p w14:paraId="29AEED5D" w14:textId="77777777" w:rsidR="00B84936" w:rsidRPr="00F562F3" w:rsidRDefault="001D1521" w:rsidP="00F562F3">
      <w:pPr>
        <w:pStyle w:val="Heading1"/>
        <w:jc w:val="center"/>
        <w:rPr>
          <w:sz w:val="24"/>
          <w:szCs w:val="24"/>
        </w:rPr>
      </w:pPr>
      <w:bookmarkStart w:id="58" w:name="_Toc446789160"/>
      <w:r w:rsidRPr="00F562F3">
        <w:rPr>
          <w:sz w:val="24"/>
          <w:szCs w:val="24"/>
        </w:rPr>
        <w:lastRenderedPageBreak/>
        <w:t>References</w:t>
      </w:r>
      <w:bookmarkEnd w:id="58"/>
    </w:p>
    <w:p w14:paraId="36D4C2C8" w14:textId="77777777" w:rsidR="00B84936" w:rsidRDefault="001D1521">
      <w:pPr>
        <w:rPr>
          <w:rFonts w:ascii="Times New Roman" w:eastAsia="Times New Roman" w:hAnsi="Times New Roman" w:cs="Times New Roman"/>
        </w:rPr>
      </w:pPr>
      <w:r>
        <w:rPr>
          <w:rFonts w:ascii="Times New Roman" w:eastAsia="Times New Roman" w:hAnsi="Times New Roman" w:cs="Times New Roman"/>
          <w:color w:val="000000"/>
        </w:rPr>
        <w:t xml:space="preserve">        </w:t>
      </w:r>
    </w:p>
    <w:p w14:paraId="4D1782BA" w14:textId="77777777" w:rsidR="00F269C6" w:rsidRDefault="001D1521">
      <w:pPr>
        <w:rPr>
          <w:rFonts w:ascii="Times New Roman" w:eastAsia="Times New Roman" w:hAnsi="Times New Roman" w:cs="Times New Roman"/>
          <w:i/>
        </w:rPr>
      </w:pPr>
      <w:r>
        <w:rPr>
          <w:rFonts w:ascii="Times New Roman" w:eastAsia="Times New Roman" w:hAnsi="Times New Roman" w:cs="Times New Roman"/>
        </w:rPr>
        <w:t xml:space="preserve">Alexander, M. (2012). </w:t>
      </w:r>
      <w:r>
        <w:rPr>
          <w:rFonts w:ascii="Times New Roman" w:eastAsia="Times New Roman" w:hAnsi="Times New Roman" w:cs="Times New Roman"/>
          <w:i/>
        </w:rPr>
        <w:t xml:space="preserve">The New Jim Crow: Mass Incarceration in the Age of </w:t>
      </w:r>
    </w:p>
    <w:p w14:paraId="1B413CC3" w14:textId="19FF01B9" w:rsidR="00B84936" w:rsidRDefault="001D1521" w:rsidP="00F269C6">
      <w:pPr>
        <w:ind w:firstLine="720"/>
        <w:rPr>
          <w:rFonts w:ascii="Times New Roman" w:eastAsia="Times New Roman" w:hAnsi="Times New Roman" w:cs="Times New Roman"/>
        </w:rPr>
      </w:pPr>
      <w:r>
        <w:rPr>
          <w:rFonts w:ascii="Times New Roman" w:eastAsia="Times New Roman" w:hAnsi="Times New Roman" w:cs="Times New Roman"/>
          <w:i/>
        </w:rPr>
        <w:t>Colorblindness</w:t>
      </w:r>
      <w:r>
        <w:rPr>
          <w:rFonts w:ascii="Times New Roman" w:eastAsia="Times New Roman" w:hAnsi="Times New Roman" w:cs="Times New Roman"/>
        </w:rPr>
        <w:t>, New York: The New Press. </w:t>
      </w:r>
    </w:p>
    <w:p w14:paraId="30C4D0F8" w14:textId="77777777" w:rsidR="00B84936" w:rsidRDefault="00B84936">
      <w:pPr>
        <w:rPr>
          <w:rFonts w:ascii="Times New Roman" w:eastAsia="Times New Roman" w:hAnsi="Times New Roman" w:cs="Times New Roman"/>
        </w:rPr>
      </w:pPr>
    </w:p>
    <w:p w14:paraId="66F1DC1D" w14:textId="77777777" w:rsidR="00F269C6" w:rsidRDefault="001D1521">
      <w:pPr>
        <w:rPr>
          <w:rFonts w:ascii="Times New Roman" w:eastAsia="Times New Roman" w:hAnsi="Times New Roman" w:cs="Times New Roman"/>
        </w:rPr>
      </w:pPr>
      <w:proofErr w:type="gramStart"/>
      <w:r>
        <w:rPr>
          <w:rFonts w:ascii="Times New Roman" w:eastAsia="Times New Roman" w:hAnsi="Times New Roman" w:cs="Times New Roman"/>
        </w:rPr>
        <w:t>Amalgamated Clothing Workers of America.</w:t>
      </w:r>
      <w:proofErr w:type="gramEnd"/>
      <w:r>
        <w:rPr>
          <w:rFonts w:ascii="Times New Roman" w:eastAsia="Times New Roman" w:hAnsi="Times New Roman" w:cs="Times New Roman"/>
        </w:rPr>
        <w:t xml:space="preserve"> (1929). “Amalgamated Workers of </w:t>
      </w:r>
    </w:p>
    <w:p w14:paraId="0991828E" w14:textId="6796306E" w:rsidR="00B84936" w:rsidRDefault="001D1521" w:rsidP="00F269C6">
      <w:pPr>
        <w:ind w:left="720"/>
        <w:rPr>
          <w:rFonts w:ascii="Times New Roman" w:eastAsia="Times New Roman" w:hAnsi="Times New Roman" w:cs="Times New Roman"/>
        </w:rPr>
      </w:pPr>
      <w:r>
        <w:rPr>
          <w:rFonts w:ascii="Times New Roman" w:eastAsia="Times New Roman" w:hAnsi="Times New Roman" w:cs="Times New Roman"/>
        </w:rPr>
        <w:t xml:space="preserve">America, Local 125,” </w:t>
      </w:r>
      <w:r>
        <w:rPr>
          <w:rFonts w:ascii="Times New Roman" w:eastAsia="Times New Roman" w:hAnsi="Times New Roman" w:cs="Times New Roman"/>
          <w:i/>
        </w:rPr>
        <w:t>University of Massachusetts Special Collections and University Archives</w:t>
      </w:r>
      <w:r>
        <w:rPr>
          <w:rFonts w:ascii="Times New Roman" w:eastAsia="Times New Roman" w:hAnsi="Times New Roman" w:cs="Times New Roman"/>
        </w:rPr>
        <w:t>, Available online: </w:t>
      </w:r>
      <w:hyperlink r:id="rId22">
        <w:r>
          <w:rPr>
            <w:rFonts w:ascii="Times New Roman" w:eastAsia="Times New Roman" w:hAnsi="Times New Roman" w:cs="Times New Roman"/>
            <w:color w:val="1155CC"/>
            <w:u w:val="single"/>
          </w:rPr>
          <w:t>http://scua.library.umass.edu/ead/mums001</w:t>
        </w:r>
      </w:hyperlink>
      <w:r>
        <w:rPr>
          <w:rFonts w:ascii="Times New Roman" w:eastAsia="Times New Roman" w:hAnsi="Times New Roman" w:cs="Times New Roman"/>
        </w:rPr>
        <w:t>, [Accessed 3 January 2020]. </w:t>
      </w:r>
    </w:p>
    <w:p w14:paraId="2E4A2780" w14:textId="77777777" w:rsidR="00B84936" w:rsidRDefault="00B84936">
      <w:pPr>
        <w:spacing w:line="276" w:lineRule="auto"/>
        <w:rPr>
          <w:rFonts w:ascii="Times New Roman" w:eastAsia="Times New Roman" w:hAnsi="Times New Roman" w:cs="Times New Roman"/>
        </w:rPr>
      </w:pPr>
    </w:p>
    <w:p w14:paraId="07CCDB62" w14:textId="77777777" w:rsidR="00F269C6" w:rsidRDefault="001D1521">
      <w:pPr>
        <w:spacing w:line="276" w:lineRule="auto"/>
        <w:rPr>
          <w:rFonts w:ascii="Times New Roman" w:eastAsia="Times New Roman" w:hAnsi="Times New Roman" w:cs="Times New Roman"/>
        </w:rPr>
      </w:pPr>
      <w:proofErr w:type="spellStart"/>
      <w:r>
        <w:rPr>
          <w:rFonts w:ascii="Times New Roman" w:eastAsia="Times New Roman" w:hAnsi="Times New Roman" w:cs="Times New Roman"/>
        </w:rPr>
        <w:t>Andrias</w:t>
      </w:r>
      <w:proofErr w:type="spellEnd"/>
      <w:r>
        <w:rPr>
          <w:rFonts w:ascii="Times New Roman" w:eastAsia="Times New Roman" w:hAnsi="Times New Roman" w:cs="Times New Roman"/>
        </w:rPr>
        <w:t xml:space="preserve">, K. (2016). </w:t>
      </w:r>
      <w:proofErr w:type="gramStart"/>
      <w:r>
        <w:rPr>
          <w:rFonts w:ascii="Times New Roman" w:eastAsia="Times New Roman" w:hAnsi="Times New Roman" w:cs="Times New Roman"/>
        </w:rPr>
        <w:t xml:space="preserve">“The New Labor Law,” </w:t>
      </w:r>
      <w:r>
        <w:rPr>
          <w:rFonts w:ascii="Times New Roman" w:eastAsia="Times New Roman" w:hAnsi="Times New Roman" w:cs="Times New Roman"/>
          <w:i/>
        </w:rPr>
        <w:t>The Yale Law Journal</w:t>
      </w:r>
      <w:r>
        <w:rPr>
          <w:rFonts w:ascii="Times New Roman" w:eastAsia="Times New Roman" w:hAnsi="Times New Roman" w:cs="Times New Roman"/>
        </w:rPr>
        <w:t>, Vol. 126, No. 1, pp.</w:t>
      </w:r>
      <w:proofErr w:type="gramEnd"/>
      <w:r>
        <w:rPr>
          <w:rFonts w:ascii="Times New Roman" w:eastAsia="Times New Roman" w:hAnsi="Times New Roman" w:cs="Times New Roman"/>
        </w:rPr>
        <w:t xml:space="preserve"> </w:t>
      </w:r>
    </w:p>
    <w:p w14:paraId="6DDA2FE4" w14:textId="2FC70DBF" w:rsidR="00B84936" w:rsidRDefault="001D1521" w:rsidP="00F269C6">
      <w:pPr>
        <w:spacing w:line="276" w:lineRule="auto"/>
        <w:ind w:left="720"/>
        <w:rPr>
          <w:rFonts w:ascii="Times New Roman" w:eastAsia="Times New Roman" w:hAnsi="Times New Roman" w:cs="Times New Roman"/>
        </w:rPr>
      </w:pPr>
      <w:r>
        <w:rPr>
          <w:rFonts w:ascii="Times New Roman" w:eastAsia="Times New Roman" w:hAnsi="Times New Roman" w:cs="Times New Roman"/>
        </w:rPr>
        <w:t xml:space="preserve">1-261, Available online: </w:t>
      </w:r>
      <w:hyperlink r:id="rId23" w:history="1">
        <w:r w:rsidR="00F269C6" w:rsidRPr="00296892">
          <w:rPr>
            <w:rStyle w:val="Hyperlink"/>
            <w:rFonts w:ascii="Times New Roman" w:eastAsia="Times New Roman" w:hAnsi="Times New Roman" w:cs="Times New Roman"/>
          </w:rPr>
          <w:t>https://www.yalelawjournal.org/article/the-new-labor-law#_ftnref297</w:t>
        </w:r>
      </w:hyperlink>
      <w:r>
        <w:rPr>
          <w:rFonts w:ascii="Times New Roman" w:eastAsia="Times New Roman" w:hAnsi="Times New Roman" w:cs="Times New Roman"/>
        </w:rPr>
        <w:t>, [Accessed 18 February 2020].</w:t>
      </w:r>
    </w:p>
    <w:p w14:paraId="666C2839" w14:textId="77777777" w:rsidR="00B84936" w:rsidRDefault="00B84936">
      <w:pPr>
        <w:rPr>
          <w:rFonts w:ascii="Times New Roman" w:eastAsia="Times New Roman" w:hAnsi="Times New Roman" w:cs="Times New Roman"/>
        </w:rPr>
      </w:pPr>
    </w:p>
    <w:p w14:paraId="15D1249F" w14:textId="77777777" w:rsidR="00F269C6" w:rsidRDefault="001D1521">
      <w:pPr>
        <w:rPr>
          <w:rFonts w:ascii="Times New Roman" w:eastAsia="Times New Roman" w:hAnsi="Times New Roman" w:cs="Times New Roman"/>
        </w:rPr>
      </w:pPr>
      <w:r>
        <w:rPr>
          <w:rFonts w:ascii="Times New Roman" w:eastAsia="Times New Roman" w:hAnsi="Times New Roman" w:cs="Times New Roman"/>
        </w:rPr>
        <w:t xml:space="preserve">Associated Press. (2008). “A First: 1 in 100 Americans Jailed,” </w:t>
      </w:r>
      <w:r>
        <w:rPr>
          <w:rFonts w:ascii="Times New Roman" w:eastAsia="Times New Roman" w:hAnsi="Times New Roman" w:cs="Times New Roman"/>
          <w:i/>
        </w:rPr>
        <w:t>MSNBC.com</w:t>
      </w:r>
      <w:r>
        <w:rPr>
          <w:rFonts w:ascii="Times New Roman" w:eastAsia="Times New Roman" w:hAnsi="Times New Roman" w:cs="Times New Roman"/>
        </w:rPr>
        <w:t xml:space="preserve">, Available </w:t>
      </w:r>
    </w:p>
    <w:p w14:paraId="5E501036" w14:textId="1376A3EF" w:rsidR="00B84936" w:rsidRDefault="001D1521" w:rsidP="00F269C6">
      <w:pPr>
        <w:ind w:left="720"/>
        <w:rPr>
          <w:rFonts w:ascii="Times New Roman" w:eastAsia="Times New Roman" w:hAnsi="Times New Roman" w:cs="Times New Roman"/>
        </w:rPr>
      </w:pP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w:t>
      </w:r>
      <w:hyperlink r:id="rId24">
        <w:r>
          <w:rPr>
            <w:rFonts w:ascii="Times New Roman" w:eastAsia="Times New Roman" w:hAnsi="Times New Roman" w:cs="Times New Roman"/>
            <w:color w:val="1155CC"/>
            <w:u w:val="single"/>
          </w:rPr>
          <w:t>http://www.msnbc.msn.com/id/23392251/print/1/displaymode/1098/</w:t>
        </w:r>
      </w:hyperlink>
      <w:r>
        <w:rPr>
          <w:rFonts w:ascii="Times New Roman" w:eastAsia="Times New Roman" w:hAnsi="Times New Roman" w:cs="Times New Roman"/>
        </w:rPr>
        <w:t>, [Accessed 18 December 2019].</w:t>
      </w:r>
    </w:p>
    <w:p w14:paraId="408ACAF9" w14:textId="77777777" w:rsidR="00B84936" w:rsidRDefault="00B84936">
      <w:pPr>
        <w:rPr>
          <w:rFonts w:ascii="Times New Roman" w:eastAsia="Times New Roman" w:hAnsi="Times New Roman" w:cs="Times New Roman"/>
        </w:rPr>
      </w:pPr>
    </w:p>
    <w:p w14:paraId="497BB5D4" w14:textId="77777777" w:rsidR="00F269C6" w:rsidRDefault="001D1521">
      <w:pPr>
        <w:rPr>
          <w:rFonts w:ascii="Times New Roman" w:eastAsia="Times New Roman" w:hAnsi="Times New Roman" w:cs="Times New Roman"/>
        </w:rPr>
      </w:pPr>
      <w:proofErr w:type="spellStart"/>
      <w:r>
        <w:rPr>
          <w:rFonts w:ascii="Times New Roman" w:eastAsia="Times New Roman" w:hAnsi="Times New Roman" w:cs="Times New Roman"/>
        </w:rPr>
        <w:t>Baiman</w:t>
      </w:r>
      <w:proofErr w:type="spellEnd"/>
      <w:r>
        <w:rPr>
          <w:rFonts w:ascii="Times New Roman" w:eastAsia="Times New Roman" w:hAnsi="Times New Roman" w:cs="Times New Roman"/>
        </w:rPr>
        <w:t xml:space="preserve">, R., Barclay, B., Hollander, S., </w:t>
      </w:r>
      <w:proofErr w:type="spellStart"/>
      <w:r>
        <w:rPr>
          <w:rFonts w:ascii="Times New Roman" w:eastAsia="Times New Roman" w:hAnsi="Times New Roman" w:cs="Times New Roman"/>
        </w:rPr>
        <w:t>Kurban</w:t>
      </w:r>
      <w:proofErr w:type="spellEnd"/>
      <w:r>
        <w:rPr>
          <w:rFonts w:ascii="Times New Roman" w:eastAsia="Times New Roman" w:hAnsi="Times New Roman" w:cs="Times New Roman"/>
        </w:rPr>
        <w:t xml:space="preserve">, H., </w:t>
      </w:r>
      <w:proofErr w:type="spellStart"/>
      <w:r>
        <w:rPr>
          <w:rFonts w:ascii="Times New Roman" w:eastAsia="Times New Roman" w:hAnsi="Times New Roman" w:cs="Times New Roman"/>
        </w:rPr>
        <w:t>Persky</w:t>
      </w:r>
      <w:proofErr w:type="spellEnd"/>
      <w:r>
        <w:rPr>
          <w:rFonts w:ascii="Times New Roman" w:eastAsia="Times New Roman" w:hAnsi="Times New Roman" w:cs="Times New Roman"/>
        </w:rPr>
        <w:t xml:space="preserve">, J., Redmond, E., &amp; </w:t>
      </w:r>
    </w:p>
    <w:p w14:paraId="279986C1" w14:textId="29FB7416" w:rsidR="00B84936" w:rsidRDefault="001D1521" w:rsidP="00F269C6">
      <w:pPr>
        <w:ind w:left="720"/>
        <w:rPr>
          <w:rFonts w:ascii="Times New Roman" w:eastAsia="Times New Roman" w:hAnsi="Times New Roman" w:cs="Times New Roman"/>
        </w:rPr>
      </w:pPr>
      <w:r>
        <w:rPr>
          <w:rFonts w:ascii="Times New Roman" w:eastAsia="Times New Roman" w:hAnsi="Times New Roman" w:cs="Times New Roman"/>
        </w:rPr>
        <w:t xml:space="preserve">Rothenberg, M. (2012). “A Permanent Jobs Program for the U.S.: Economic Restructuring to Meet Human Needs,” </w:t>
      </w:r>
      <w:r>
        <w:rPr>
          <w:rFonts w:ascii="Times New Roman" w:eastAsia="Times New Roman" w:hAnsi="Times New Roman" w:cs="Times New Roman"/>
          <w:i/>
        </w:rPr>
        <w:t>The Review of Black Political Economy</w:t>
      </w:r>
      <w:r>
        <w:rPr>
          <w:rFonts w:ascii="Times New Roman" w:eastAsia="Times New Roman" w:hAnsi="Times New Roman" w:cs="Times New Roman"/>
        </w:rPr>
        <w:t xml:space="preserve">, Vol. 39, No. 1, pp. 29-41, Available online: </w:t>
      </w:r>
      <w:hyperlink r:id="rId25">
        <w:r>
          <w:rPr>
            <w:rFonts w:ascii="Times New Roman" w:eastAsia="Times New Roman" w:hAnsi="Times New Roman" w:cs="Times New Roman"/>
            <w:color w:val="0000FF"/>
            <w:u w:val="single"/>
          </w:rPr>
          <w:t>https://www.researchgate.net/publication/225365312_A_Permanent_Jobs_Program_for_the_US_Economic_Restructuring_to_Meet_Human_Needs</w:t>
        </w:r>
      </w:hyperlink>
      <w:r>
        <w:rPr>
          <w:rFonts w:ascii="Times New Roman" w:eastAsia="Times New Roman" w:hAnsi="Times New Roman" w:cs="Times New Roman"/>
        </w:rPr>
        <w:t>, [Accessed 10 March 2020].</w:t>
      </w:r>
    </w:p>
    <w:p w14:paraId="47D35ADA" w14:textId="77777777" w:rsidR="00B84936" w:rsidRDefault="00B84936">
      <w:pPr>
        <w:rPr>
          <w:rFonts w:ascii="Times New Roman" w:eastAsia="Times New Roman" w:hAnsi="Times New Roman" w:cs="Times New Roman"/>
        </w:rPr>
      </w:pPr>
    </w:p>
    <w:p w14:paraId="2EA14350" w14:textId="77777777" w:rsidR="00F269C6" w:rsidRDefault="001D1521">
      <w:pPr>
        <w:rPr>
          <w:rFonts w:ascii="Times New Roman" w:eastAsia="Times New Roman" w:hAnsi="Times New Roman" w:cs="Times New Roman"/>
        </w:rPr>
      </w:pPr>
      <w:proofErr w:type="gramStart"/>
      <w:r>
        <w:rPr>
          <w:rFonts w:ascii="Times New Roman" w:eastAsia="Times New Roman" w:hAnsi="Times New Roman" w:cs="Times New Roman"/>
        </w:rPr>
        <w:t>Beatty, J. (2008).</w:t>
      </w:r>
      <w:proofErr w:type="gramEnd"/>
      <w:r>
        <w:rPr>
          <w:rFonts w:ascii="Times New Roman" w:eastAsia="Times New Roman" w:hAnsi="Times New Roman" w:cs="Times New Roman"/>
        </w:rPr>
        <w:t xml:space="preserve"> </w:t>
      </w:r>
      <w:r>
        <w:rPr>
          <w:rFonts w:ascii="Times New Roman" w:eastAsia="Times New Roman" w:hAnsi="Times New Roman" w:cs="Times New Roman"/>
          <w:i/>
        </w:rPr>
        <w:t>Age of Betrayal: The Triumph of Money in America, 1865-1900</w:t>
      </w:r>
      <w:r>
        <w:rPr>
          <w:rFonts w:ascii="Times New Roman" w:eastAsia="Times New Roman" w:hAnsi="Times New Roman" w:cs="Times New Roman"/>
        </w:rPr>
        <w:t xml:space="preserve">, New </w:t>
      </w:r>
    </w:p>
    <w:p w14:paraId="125134A4" w14:textId="7BA02D4C" w:rsidR="00B84936" w:rsidRDefault="001D1521" w:rsidP="00F269C6">
      <w:pPr>
        <w:ind w:firstLine="720"/>
        <w:rPr>
          <w:rFonts w:ascii="Times New Roman" w:eastAsia="Times New Roman" w:hAnsi="Times New Roman" w:cs="Times New Roman"/>
        </w:rPr>
      </w:pPr>
      <w:r>
        <w:rPr>
          <w:rFonts w:ascii="Times New Roman" w:eastAsia="Times New Roman" w:hAnsi="Times New Roman" w:cs="Times New Roman"/>
        </w:rPr>
        <w:t>York: Vintage. </w:t>
      </w:r>
    </w:p>
    <w:p w14:paraId="505D2A14" w14:textId="77777777" w:rsidR="00B84936" w:rsidRDefault="00B84936">
      <w:pPr>
        <w:spacing w:line="276" w:lineRule="auto"/>
        <w:rPr>
          <w:rFonts w:ascii="Times New Roman" w:eastAsia="Times New Roman" w:hAnsi="Times New Roman" w:cs="Times New Roman"/>
        </w:rPr>
      </w:pPr>
    </w:p>
    <w:p w14:paraId="4AF6C9A0" w14:textId="77777777" w:rsidR="00F269C6" w:rsidRDefault="001D1521" w:rsidP="00F269C6">
      <w:pPr>
        <w:spacing w:line="276" w:lineRule="auto"/>
        <w:rPr>
          <w:rFonts w:ascii="Times New Roman" w:eastAsia="Times New Roman" w:hAnsi="Times New Roman" w:cs="Times New Roman"/>
          <w:i/>
        </w:rPr>
      </w:pPr>
      <w:proofErr w:type="spellStart"/>
      <w:r>
        <w:rPr>
          <w:rFonts w:ascii="Times New Roman" w:eastAsia="Times New Roman" w:hAnsi="Times New Roman" w:cs="Times New Roman"/>
        </w:rPr>
        <w:t>Bercusson</w:t>
      </w:r>
      <w:proofErr w:type="spellEnd"/>
      <w:r>
        <w:rPr>
          <w:rFonts w:ascii="Times New Roman" w:eastAsia="Times New Roman" w:hAnsi="Times New Roman" w:cs="Times New Roman"/>
        </w:rPr>
        <w:t xml:space="preserve">, B. (1993). “European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Law and </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 Bargaining,” </w:t>
      </w:r>
      <w:r>
        <w:rPr>
          <w:rFonts w:ascii="Times New Roman" w:eastAsia="Times New Roman" w:hAnsi="Times New Roman" w:cs="Times New Roman"/>
          <w:i/>
        </w:rPr>
        <w:t xml:space="preserve">Industrial </w:t>
      </w:r>
    </w:p>
    <w:p w14:paraId="21242B71" w14:textId="78A1D344" w:rsidR="00B84936" w:rsidRDefault="001D1521" w:rsidP="00F269C6">
      <w:pPr>
        <w:spacing w:line="276" w:lineRule="auto"/>
        <w:ind w:left="720"/>
        <w:rPr>
          <w:rFonts w:ascii="Times New Roman" w:eastAsia="Times New Roman" w:hAnsi="Times New Roman" w:cs="Times New Roman"/>
        </w:rPr>
      </w:pPr>
      <w:r>
        <w:rPr>
          <w:rFonts w:ascii="Times New Roman" w:eastAsia="Times New Roman" w:hAnsi="Times New Roman" w:cs="Times New Roman"/>
          <w:i/>
        </w:rPr>
        <w:t>Relations Journal</w:t>
      </w:r>
      <w:r>
        <w:rPr>
          <w:rFonts w:ascii="Times New Roman" w:eastAsia="Times New Roman" w:hAnsi="Times New Roman" w:cs="Times New Roman"/>
        </w:rPr>
        <w:t xml:space="preserve">, Vol. 24, </w:t>
      </w:r>
      <w:proofErr w:type="gramStart"/>
      <w:r>
        <w:rPr>
          <w:rFonts w:ascii="Times New Roman" w:eastAsia="Times New Roman" w:hAnsi="Times New Roman" w:cs="Times New Roman"/>
        </w:rPr>
        <w:t>No</w:t>
      </w:r>
      <w:proofErr w:type="gramEnd"/>
      <w:r>
        <w:rPr>
          <w:rFonts w:ascii="Times New Roman" w:eastAsia="Times New Roman" w:hAnsi="Times New Roman" w:cs="Times New Roman"/>
        </w:rPr>
        <w:t xml:space="preserve">. 4, Available online: </w:t>
      </w:r>
      <w:hyperlink r:id="rId26">
        <w:r>
          <w:rPr>
            <w:rFonts w:ascii="Times New Roman" w:eastAsia="Times New Roman" w:hAnsi="Times New Roman" w:cs="Times New Roman"/>
            <w:color w:val="1155CC"/>
            <w:u w:val="single"/>
          </w:rPr>
          <w:t>https://doi.org/10.1111/j.1468-2338.1993.tb00679.x</w:t>
        </w:r>
      </w:hyperlink>
      <w:r>
        <w:rPr>
          <w:rFonts w:ascii="Times New Roman" w:eastAsia="Times New Roman" w:hAnsi="Times New Roman" w:cs="Times New Roman"/>
        </w:rPr>
        <w:t xml:space="preserve">, [Accessed 22 February 2020]. </w:t>
      </w:r>
    </w:p>
    <w:p w14:paraId="03A3504B" w14:textId="77777777" w:rsidR="00B84936" w:rsidRDefault="00B84936">
      <w:pPr>
        <w:rPr>
          <w:rFonts w:ascii="Times New Roman" w:eastAsia="Times New Roman" w:hAnsi="Times New Roman" w:cs="Times New Roman"/>
        </w:rPr>
      </w:pPr>
    </w:p>
    <w:p w14:paraId="2B4BF03D"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Bernstein, N. (2007).</w:t>
      </w:r>
      <w:proofErr w:type="gramEnd"/>
      <w:r>
        <w:rPr>
          <w:rFonts w:ascii="Times New Roman" w:eastAsia="Times New Roman" w:hAnsi="Times New Roman" w:cs="Times New Roman"/>
        </w:rPr>
        <w:t xml:space="preserve"> </w:t>
      </w:r>
      <w:r>
        <w:rPr>
          <w:rFonts w:ascii="Times New Roman" w:eastAsia="Times New Roman" w:hAnsi="Times New Roman" w:cs="Times New Roman"/>
          <w:i/>
        </w:rPr>
        <w:t>All Alone in the World: Children of the Incarcerated</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New York: The New Press. </w:t>
      </w:r>
    </w:p>
    <w:p w14:paraId="1B4C2755" w14:textId="77777777" w:rsidR="00B84936" w:rsidRDefault="00B84936">
      <w:pPr>
        <w:rPr>
          <w:rFonts w:ascii="Times New Roman" w:eastAsia="Times New Roman" w:hAnsi="Times New Roman" w:cs="Times New Roman"/>
        </w:rPr>
      </w:pPr>
    </w:p>
    <w:p w14:paraId="538DB32E"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Berube</w:t>
      </w:r>
      <w:proofErr w:type="spellEnd"/>
      <w:r>
        <w:rPr>
          <w:rFonts w:ascii="Times New Roman" w:eastAsia="Times New Roman" w:hAnsi="Times New Roman" w:cs="Times New Roman"/>
        </w:rPr>
        <w:t xml:space="preserve">, C. (2008). </w:t>
      </w:r>
      <w:r>
        <w:rPr>
          <w:rFonts w:ascii="Times New Roman" w:eastAsia="Times New Roman" w:hAnsi="Times New Roman" w:cs="Times New Roman"/>
          <w:i/>
        </w:rPr>
        <w:t>The Unfinished Quest: The Plight of the Progressive Science Education in the Age of Standards</w:t>
      </w:r>
      <w:r>
        <w:rPr>
          <w:rFonts w:ascii="Times New Roman" w:eastAsia="Times New Roman" w:hAnsi="Times New Roman" w:cs="Times New Roman"/>
        </w:rPr>
        <w:t>, Charlotte, North Carolina: Information Age Publishing.</w:t>
      </w:r>
    </w:p>
    <w:p w14:paraId="6742340C" w14:textId="77777777" w:rsidR="00CA61F0" w:rsidRDefault="00CA61F0" w:rsidP="00CA61F0">
      <w:pPr>
        <w:ind w:left="720" w:hanging="720"/>
        <w:rPr>
          <w:rFonts w:ascii="Times New Roman" w:eastAsia="Times New Roman" w:hAnsi="Times New Roman" w:cs="Times New Roman"/>
        </w:rPr>
      </w:pPr>
    </w:p>
    <w:p w14:paraId="7E1FDA9A"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Bishwakarma</w:t>
      </w:r>
      <w:proofErr w:type="spellEnd"/>
      <w:r>
        <w:rPr>
          <w:rFonts w:ascii="Times New Roman" w:eastAsia="Times New Roman" w:hAnsi="Times New Roman" w:cs="Times New Roman"/>
        </w:rPr>
        <w:t xml:space="preserve">, R., Hunt, A. &amp; </w:t>
      </w:r>
      <w:proofErr w:type="spellStart"/>
      <w:r>
        <w:rPr>
          <w:rFonts w:ascii="Times New Roman" w:eastAsia="Times New Roman" w:hAnsi="Times New Roman" w:cs="Times New Roman"/>
        </w:rPr>
        <w:t>Zajicek</w:t>
      </w:r>
      <w:proofErr w:type="spellEnd"/>
      <w:r>
        <w:rPr>
          <w:rFonts w:ascii="Times New Roman" w:eastAsia="Times New Roman" w:hAnsi="Times New Roman" w:cs="Times New Roman"/>
        </w:rPr>
        <w:t xml:space="preserve">, A. (2007). </w:t>
      </w:r>
      <w:proofErr w:type="spellStart"/>
      <w:proofErr w:type="gramStart"/>
      <w:r>
        <w:rPr>
          <w:rFonts w:ascii="Times New Roman" w:eastAsia="Times New Roman" w:hAnsi="Times New Roman" w:cs="Times New Roman"/>
          <w:i/>
        </w:rPr>
        <w:t>Intersectionality</w:t>
      </w:r>
      <w:proofErr w:type="spellEnd"/>
      <w:r>
        <w:rPr>
          <w:rFonts w:ascii="Times New Roman" w:eastAsia="Times New Roman" w:hAnsi="Times New Roman" w:cs="Times New Roman"/>
          <w:i/>
        </w:rPr>
        <w:t xml:space="preserve"> and Informed Policy</w:t>
      </w:r>
      <w:r>
        <w:rPr>
          <w:rFonts w:ascii="Times New Roman" w:eastAsia="Times New Roman" w:hAnsi="Times New Roman" w:cs="Times New Roman"/>
        </w:rPr>
        <w:t>, Manuscript.</w:t>
      </w:r>
      <w:proofErr w:type="gramEnd"/>
      <w:r>
        <w:rPr>
          <w:rFonts w:ascii="Times New Roman" w:eastAsia="Times New Roman" w:hAnsi="Times New Roman" w:cs="Times New Roman"/>
        </w:rPr>
        <w:t> </w:t>
      </w:r>
    </w:p>
    <w:p w14:paraId="27123F8E" w14:textId="77777777" w:rsidR="00B84936" w:rsidRDefault="001D1521" w:rsidP="00CA61F0">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Bivens</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Engdahl</w:t>
      </w:r>
      <w:proofErr w:type="spellEnd"/>
      <w:r>
        <w:rPr>
          <w:rFonts w:ascii="Times New Roman" w:eastAsia="Times New Roman" w:hAnsi="Times New Roman" w:cs="Times New Roman"/>
        </w:rPr>
        <w:t xml:space="preserve">, L., Gould, E., </w:t>
      </w:r>
      <w:proofErr w:type="spellStart"/>
      <w:r>
        <w:rPr>
          <w:rFonts w:ascii="Times New Roman" w:eastAsia="Times New Roman" w:hAnsi="Times New Roman" w:cs="Times New Roman"/>
        </w:rPr>
        <w:t>Kroeger</w:t>
      </w:r>
      <w:proofErr w:type="spellEnd"/>
      <w:r>
        <w:rPr>
          <w:rFonts w:ascii="Times New Roman" w:eastAsia="Times New Roman" w:hAnsi="Times New Roman" w:cs="Times New Roman"/>
        </w:rPr>
        <w:t xml:space="preserve">, T., </w:t>
      </w:r>
      <w:proofErr w:type="spellStart"/>
      <w:r>
        <w:rPr>
          <w:rFonts w:ascii="Times New Roman" w:eastAsia="Times New Roman" w:hAnsi="Times New Roman" w:cs="Times New Roman"/>
        </w:rPr>
        <w:t>McNicholas</w:t>
      </w:r>
      <w:proofErr w:type="spellEnd"/>
      <w:r>
        <w:rPr>
          <w:rFonts w:ascii="Times New Roman" w:eastAsia="Times New Roman" w:hAnsi="Times New Roman" w:cs="Times New Roman"/>
        </w:rPr>
        <w:t xml:space="preserve">, C., </w:t>
      </w:r>
      <w:proofErr w:type="spellStart"/>
      <w:r>
        <w:rPr>
          <w:rFonts w:ascii="Times New Roman" w:eastAsia="Times New Roman" w:hAnsi="Times New Roman" w:cs="Times New Roman"/>
        </w:rPr>
        <w:t>Mishel</w:t>
      </w:r>
      <w:proofErr w:type="spellEnd"/>
      <w:r>
        <w:rPr>
          <w:rFonts w:ascii="Times New Roman" w:eastAsia="Times New Roman" w:hAnsi="Times New Roman" w:cs="Times New Roman"/>
        </w:rPr>
        <w:t xml:space="preserve">, L., </w:t>
      </w:r>
      <w:proofErr w:type="spellStart"/>
      <w:r>
        <w:rPr>
          <w:rFonts w:ascii="Times New Roman" w:eastAsia="Times New Roman" w:hAnsi="Times New Roman" w:cs="Times New Roman"/>
        </w:rPr>
        <w:t>Mokhiber</w:t>
      </w:r>
      <w:proofErr w:type="spellEnd"/>
      <w:r>
        <w:rPr>
          <w:rFonts w:ascii="Times New Roman" w:eastAsia="Times New Roman" w:hAnsi="Times New Roman" w:cs="Times New Roman"/>
        </w:rPr>
        <w:t xml:space="preserve">, Z., </w:t>
      </w:r>
      <w:proofErr w:type="spellStart"/>
      <w:r>
        <w:rPr>
          <w:rFonts w:ascii="Times New Roman" w:eastAsia="Times New Roman" w:hAnsi="Times New Roman" w:cs="Times New Roman"/>
        </w:rPr>
        <w:t>Shierholz</w:t>
      </w:r>
      <w:proofErr w:type="spellEnd"/>
      <w:r>
        <w:rPr>
          <w:rFonts w:ascii="Times New Roman" w:eastAsia="Times New Roman" w:hAnsi="Times New Roman" w:cs="Times New Roman"/>
        </w:rPr>
        <w:t xml:space="preserve">, H., von </w:t>
      </w:r>
      <w:proofErr w:type="spellStart"/>
      <w:r>
        <w:rPr>
          <w:rFonts w:ascii="Times New Roman" w:eastAsia="Times New Roman" w:hAnsi="Times New Roman" w:cs="Times New Roman"/>
        </w:rPr>
        <w:t>Wilpert</w:t>
      </w:r>
      <w:proofErr w:type="spellEnd"/>
      <w:r>
        <w:rPr>
          <w:rFonts w:ascii="Times New Roman" w:eastAsia="Times New Roman" w:hAnsi="Times New Roman" w:cs="Times New Roman"/>
        </w:rPr>
        <w:t xml:space="preserve">, M., </w:t>
      </w:r>
      <w:proofErr w:type="spellStart"/>
      <w:r>
        <w:rPr>
          <w:rFonts w:ascii="Times New Roman" w:eastAsia="Times New Roman" w:hAnsi="Times New Roman" w:cs="Times New Roman"/>
        </w:rPr>
        <w:t>Zipperer</w:t>
      </w:r>
      <w:proofErr w:type="spellEnd"/>
      <w:r>
        <w:rPr>
          <w:rFonts w:ascii="Times New Roman" w:eastAsia="Times New Roman" w:hAnsi="Times New Roman" w:cs="Times New Roman"/>
        </w:rPr>
        <w:t>, B., &amp; Wilson, V. (2017).</w:t>
      </w:r>
      <w:proofErr w:type="gramEnd"/>
      <w:r>
        <w:rPr>
          <w:rFonts w:ascii="Times New Roman" w:eastAsia="Times New Roman" w:hAnsi="Times New Roman" w:cs="Times New Roman"/>
        </w:rPr>
        <w:t xml:space="preserve"> “How </w:t>
      </w:r>
      <w:proofErr w:type="gramStart"/>
      <w:r>
        <w:rPr>
          <w:rFonts w:ascii="Times New Roman" w:eastAsia="Times New Roman" w:hAnsi="Times New Roman" w:cs="Times New Roman"/>
        </w:rPr>
        <w:t>Today</w:t>
      </w:r>
      <w:proofErr w:type="gramEnd"/>
      <w:r>
        <w:rPr>
          <w:rFonts w:ascii="Times New Roman" w:eastAsia="Times New Roman" w:hAnsi="Times New Roman" w:cs="Times New Roman"/>
        </w:rPr>
        <w:t xml:space="preserve">’s </w:t>
      </w:r>
      <w:r>
        <w:rPr>
          <w:rFonts w:ascii="Times New Roman" w:eastAsia="Times New Roman" w:hAnsi="Times New Roman" w:cs="Times New Roman"/>
        </w:rPr>
        <w:lastRenderedPageBreak/>
        <w:t xml:space="preserve">Unions Help Working People,” </w:t>
      </w:r>
      <w:r>
        <w:rPr>
          <w:rFonts w:ascii="Times New Roman" w:eastAsia="Times New Roman" w:hAnsi="Times New Roman" w:cs="Times New Roman"/>
          <w:i/>
        </w:rPr>
        <w:t>Economic Policy Institute</w:t>
      </w:r>
      <w:r>
        <w:rPr>
          <w:rFonts w:ascii="Times New Roman" w:eastAsia="Times New Roman" w:hAnsi="Times New Roman" w:cs="Times New Roman"/>
        </w:rPr>
        <w:t xml:space="preserve">, Available online: </w:t>
      </w:r>
      <w:hyperlink r:id="rId27">
        <w:r>
          <w:rPr>
            <w:rFonts w:ascii="Times New Roman" w:eastAsia="Times New Roman" w:hAnsi="Times New Roman" w:cs="Times New Roman"/>
            <w:color w:val="1155CC"/>
            <w:u w:val="single"/>
          </w:rPr>
          <w:t>https://www.epi.org/files/pdf/133275.pdf</w:t>
        </w:r>
      </w:hyperlink>
      <w:r>
        <w:rPr>
          <w:rFonts w:ascii="Times New Roman" w:eastAsia="Times New Roman" w:hAnsi="Times New Roman" w:cs="Times New Roman"/>
        </w:rPr>
        <w:t xml:space="preserve">, [Accessed 20 February 2020]. </w:t>
      </w:r>
    </w:p>
    <w:p w14:paraId="021CFCF0" w14:textId="77777777" w:rsidR="00B84936" w:rsidRDefault="00B84936">
      <w:pPr>
        <w:spacing w:line="276" w:lineRule="auto"/>
        <w:rPr>
          <w:rFonts w:ascii="Times New Roman" w:eastAsia="Times New Roman" w:hAnsi="Times New Roman" w:cs="Times New Roman"/>
        </w:rPr>
      </w:pPr>
    </w:p>
    <w:p w14:paraId="2D202834"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Buchholz, K. (2019). “Black Women’s Equal Pay Day: The Gender Pay Gap Visualized,” </w:t>
      </w:r>
      <w:proofErr w:type="spellStart"/>
      <w:r>
        <w:rPr>
          <w:rFonts w:ascii="Times New Roman" w:eastAsia="Times New Roman" w:hAnsi="Times New Roman" w:cs="Times New Roman"/>
          <w:i/>
        </w:rPr>
        <w:t>Statista</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Available online: </w:t>
      </w:r>
      <w:hyperlink r:id="rId28">
        <w:r>
          <w:rPr>
            <w:rFonts w:ascii="Times New Roman" w:eastAsia="Times New Roman" w:hAnsi="Times New Roman" w:cs="Times New Roman"/>
            <w:color w:val="1155CC"/>
            <w:u w:val="single"/>
          </w:rPr>
          <w:t>https://www.statista.com/chart/3958/gender-pay-gap-by-ethnicity/</w:t>
        </w:r>
      </w:hyperlink>
      <w:r>
        <w:rPr>
          <w:rFonts w:ascii="Times New Roman" w:eastAsia="Times New Roman" w:hAnsi="Times New Roman" w:cs="Times New Roman"/>
        </w:rPr>
        <w:t xml:space="preserve">, [Accessed 10 February 2020]. </w:t>
      </w:r>
    </w:p>
    <w:p w14:paraId="45B32264" w14:textId="77777777" w:rsidR="00B84936" w:rsidRDefault="00B84936">
      <w:pPr>
        <w:spacing w:line="276" w:lineRule="auto"/>
        <w:rPr>
          <w:rFonts w:ascii="Times New Roman" w:eastAsia="Times New Roman" w:hAnsi="Times New Roman" w:cs="Times New Roman"/>
        </w:rPr>
      </w:pPr>
    </w:p>
    <w:p w14:paraId="043B3C76"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Bucknor</w:t>
      </w:r>
      <w:proofErr w:type="spellEnd"/>
      <w:r>
        <w:rPr>
          <w:rFonts w:ascii="Times New Roman" w:eastAsia="Times New Roman" w:hAnsi="Times New Roman" w:cs="Times New Roman"/>
        </w:rPr>
        <w:t xml:space="preserve">, C. (2016). “Black Workers, Unions, and Inequality,” </w:t>
      </w:r>
      <w:r>
        <w:rPr>
          <w:rFonts w:ascii="Times New Roman" w:eastAsia="Times New Roman" w:hAnsi="Times New Roman" w:cs="Times New Roman"/>
          <w:i/>
        </w:rPr>
        <w:t xml:space="preserve">Center for Economic and Policy </w:t>
      </w:r>
      <w:r w:rsidRPr="00CA61F0">
        <w:rPr>
          <w:rFonts w:ascii="Times New Roman" w:eastAsia="Times New Roman" w:hAnsi="Times New Roman" w:cs="Times New Roman"/>
        </w:rPr>
        <w:t>Research</w:t>
      </w:r>
      <w:r>
        <w:rPr>
          <w:rFonts w:ascii="Times New Roman" w:eastAsia="Times New Roman" w:hAnsi="Times New Roman" w:cs="Times New Roman"/>
        </w:rPr>
        <w:t xml:space="preserve">, Available online: </w:t>
      </w:r>
      <w:hyperlink r:id="rId29">
        <w:r>
          <w:rPr>
            <w:rFonts w:ascii="Times New Roman" w:eastAsia="Times New Roman" w:hAnsi="Times New Roman" w:cs="Times New Roman"/>
            <w:color w:val="1155CC"/>
            <w:u w:val="single"/>
          </w:rPr>
          <w:t>https://cepr.net/images/stories/reports/black-workers-unions-2016-08.pdf?v=2</w:t>
        </w:r>
      </w:hyperlink>
      <w:r>
        <w:rPr>
          <w:rFonts w:ascii="Times New Roman" w:eastAsia="Times New Roman" w:hAnsi="Times New Roman" w:cs="Times New Roman"/>
        </w:rPr>
        <w:t xml:space="preserve">, [Accessed 20 February 2020]. </w:t>
      </w:r>
    </w:p>
    <w:p w14:paraId="6F8B1E15" w14:textId="77777777" w:rsidR="00B84936" w:rsidRDefault="00B84936">
      <w:pPr>
        <w:rPr>
          <w:rFonts w:ascii="Times New Roman" w:eastAsia="Times New Roman" w:hAnsi="Times New Roman" w:cs="Times New Roman"/>
        </w:rPr>
      </w:pPr>
    </w:p>
    <w:p w14:paraId="470DF3B4"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Butterfield, S. (2018).</w:t>
      </w:r>
      <w:proofErr w:type="gramEnd"/>
      <w:r>
        <w:rPr>
          <w:rFonts w:ascii="Times New Roman" w:eastAsia="Times New Roman" w:hAnsi="Times New Roman" w:cs="Times New Roman"/>
        </w:rPr>
        <w:t xml:space="preserve"> “Slack </w:t>
      </w:r>
      <w:proofErr w:type="gramStart"/>
      <w:r>
        <w:rPr>
          <w:rFonts w:ascii="Times New Roman" w:eastAsia="Times New Roman" w:hAnsi="Times New Roman" w:cs="Times New Roman"/>
        </w:rPr>
        <w:t>Has</w:t>
      </w:r>
      <w:proofErr w:type="gramEnd"/>
      <w:r>
        <w:rPr>
          <w:rFonts w:ascii="Times New Roman" w:eastAsia="Times New Roman" w:hAnsi="Times New Roman" w:cs="Times New Roman"/>
        </w:rPr>
        <w:t xml:space="preserve"> an ‘Open, Experimental Approach’ to Diversity, CEO Says,” </w:t>
      </w:r>
      <w:r w:rsidRPr="00CA61F0">
        <w:rPr>
          <w:rFonts w:ascii="Times New Roman" w:eastAsia="Times New Roman" w:hAnsi="Times New Roman" w:cs="Times New Roman"/>
        </w:rPr>
        <w:t>Bloomberg</w:t>
      </w:r>
      <w:r>
        <w:rPr>
          <w:rFonts w:ascii="Times New Roman" w:eastAsia="Times New Roman" w:hAnsi="Times New Roman" w:cs="Times New Roman"/>
          <w:i/>
        </w:rPr>
        <w:t xml:space="preserve"> Markets and Finance - YouTube</w:t>
      </w:r>
      <w:r>
        <w:rPr>
          <w:rFonts w:ascii="Times New Roman" w:eastAsia="Times New Roman" w:hAnsi="Times New Roman" w:cs="Times New Roman"/>
        </w:rPr>
        <w:t xml:space="preserve">, Available online: </w:t>
      </w:r>
      <w:hyperlink r:id="rId30">
        <w:r>
          <w:rPr>
            <w:rFonts w:ascii="Times New Roman" w:eastAsia="Times New Roman" w:hAnsi="Times New Roman" w:cs="Times New Roman"/>
            <w:color w:val="1155CC"/>
            <w:u w:val="single"/>
          </w:rPr>
          <w:t>https://www.youtube.com/watch?v=JpZij4inrIc</w:t>
        </w:r>
      </w:hyperlink>
      <w:r>
        <w:rPr>
          <w:rFonts w:ascii="Times New Roman" w:eastAsia="Times New Roman" w:hAnsi="Times New Roman" w:cs="Times New Roman"/>
        </w:rPr>
        <w:t>, [Accessed 21 December 2019]. </w:t>
      </w:r>
    </w:p>
    <w:p w14:paraId="0EBAD2A5" w14:textId="77777777" w:rsidR="00CA61F0" w:rsidRDefault="00CA61F0" w:rsidP="00CA61F0">
      <w:pPr>
        <w:ind w:left="720" w:hanging="720"/>
        <w:rPr>
          <w:rFonts w:ascii="Times New Roman" w:eastAsia="Times New Roman" w:hAnsi="Times New Roman" w:cs="Times New Roman"/>
        </w:rPr>
      </w:pPr>
    </w:p>
    <w:p w14:paraId="7D4B25C4"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Canadian Research Institute for the Advancement of Women. (2006).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Feminist Frameworks: An Emerging Vision,” Available online: </w:t>
      </w:r>
      <w:hyperlink r:id="rId31">
        <w:r>
          <w:rPr>
            <w:rFonts w:ascii="Times New Roman" w:eastAsia="Times New Roman" w:hAnsi="Times New Roman" w:cs="Times New Roman"/>
            <w:color w:val="1155CC"/>
            <w:u w:val="single"/>
          </w:rPr>
          <w:t>http://www.criaw-icref.ca</w:t>
        </w:r>
      </w:hyperlink>
      <w:r>
        <w:rPr>
          <w:rFonts w:ascii="Times New Roman" w:eastAsia="Times New Roman" w:hAnsi="Times New Roman" w:cs="Times New Roman"/>
        </w:rPr>
        <w:t>, [Accessed 12 December 2019]. </w:t>
      </w:r>
    </w:p>
    <w:p w14:paraId="302FAB5B" w14:textId="77777777" w:rsidR="00CA61F0" w:rsidRDefault="00CA61F0" w:rsidP="00CA61F0">
      <w:pPr>
        <w:ind w:left="720" w:hanging="720"/>
        <w:rPr>
          <w:rFonts w:ascii="Times New Roman" w:eastAsia="Times New Roman" w:hAnsi="Times New Roman" w:cs="Times New Roman"/>
        </w:rPr>
      </w:pPr>
    </w:p>
    <w:p w14:paraId="46F4C730"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Carasthathis</w:t>
      </w:r>
      <w:proofErr w:type="spellEnd"/>
      <w:r>
        <w:rPr>
          <w:rFonts w:ascii="Times New Roman" w:eastAsia="Times New Roman" w:hAnsi="Times New Roman" w:cs="Times New Roman"/>
        </w:rPr>
        <w:t xml:space="preserve">, A. (2016). </w:t>
      </w:r>
      <w:proofErr w:type="spellStart"/>
      <w:r>
        <w:rPr>
          <w:rFonts w:ascii="Times New Roman" w:eastAsia="Times New Roman" w:hAnsi="Times New Roman" w:cs="Times New Roman"/>
          <w:i/>
        </w:rPr>
        <w:t>Intersectionality</w:t>
      </w:r>
      <w:proofErr w:type="spellEnd"/>
      <w:r>
        <w:rPr>
          <w:rFonts w:ascii="Times New Roman" w:eastAsia="Times New Roman" w:hAnsi="Times New Roman" w:cs="Times New Roman"/>
          <w:i/>
        </w:rPr>
        <w:t xml:space="preserve">: Origins, Contestations, </w:t>
      </w:r>
      <w:proofErr w:type="gramStart"/>
      <w:r>
        <w:rPr>
          <w:rFonts w:ascii="Times New Roman" w:eastAsia="Times New Roman" w:hAnsi="Times New Roman" w:cs="Times New Roman"/>
          <w:i/>
        </w:rPr>
        <w:t>Horizons</w:t>
      </w:r>
      <w:proofErr w:type="gramEnd"/>
      <w:r>
        <w:rPr>
          <w:rFonts w:ascii="Times New Roman" w:eastAsia="Times New Roman" w:hAnsi="Times New Roman" w:cs="Times New Roman"/>
          <w:i/>
        </w:rPr>
        <w:t xml:space="preserve">. Expanding </w:t>
      </w:r>
      <w:r w:rsidRPr="00CA61F0">
        <w:rPr>
          <w:rFonts w:ascii="Times New Roman" w:eastAsia="Times New Roman" w:hAnsi="Times New Roman" w:cs="Times New Roman"/>
        </w:rPr>
        <w:t>Frontiers</w:t>
      </w:r>
      <w:r>
        <w:rPr>
          <w:rFonts w:ascii="Times New Roman" w:eastAsia="Times New Roman" w:hAnsi="Times New Roman" w:cs="Times New Roman"/>
          <w:i/>
        </w:rPr>
        <w:t xml:space="preserve"> Interdisciplinary Approaches to Studies of Women, Gender, and Sexuality, </w:t>
      </w:r>
      <w:r>
        <w:rPr>
          <w:rFonts w:ascii="Times New Roman" w:eastAsia="Times New Roman" w:hAnsi="Times New Roman" w:cs="Times New Roman"/>
        </w:rPr>
        <w:t>Lincoln, Nebraska: University of Nebraska Press.</w:t>
      </w:r>
    </w:p>
    <w:p w14:paraId="2FCD8A5E" w14:textId="77777777" w:rsidR="00CA61F0" w:rsidRDefault="00CA61F0" w:rsidP="00CA61F0">
      <w:pPr>
        <w:ind w:left="720" w:hanging="720"/>
        <w:rPr>
          <w:rFonts w:ascii="Times New Roman" w:eastAsia="Times New Roman" w:hAnsi="Times New Roman" w:cs="Times New Roman"/>
        </w:rPr>
      </w:pPr>
    </w:p>
    <w:p w14:paraId="378A675C"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 xml:space="preserve">Card, D., </w:t>
      </w:r>
      <w:proofErr w:type="spellStart"/>
      <w:r>
        <w:rPr>
          <w:rFonts w:ascii="Times New Roman" w:eastAsia="Times New Roman" w:hAnsi="Times New Roman" w:cs="Times New Roman"/>
        </w:rPr>
        <w:t>Lemiuex</w:t>
      </w:r>
      <w:proofErr w:type="spellEnd"/>
      <w:r>
        <w:rPr>
          <w:rFonts w:ascii="Times New Roman" w:eastAsia="Times New Roman" w:hAnsi="Times New Roman" w:cs="Times New Roman"/>
        </w:rPr>
        <w:t>, T., &amp; Riddell, W.C. (2004).</w:t>
      </w:r>
      <w:proofErr w:type="gramEnd"/>
      <w:r>
        <w:rPr>
          <w:rFonts w:ascii="Times New Roman" w:eastAsia="Times New Roman" w:hAnsi="Times New Roman" w:cs="Times New Roman"/>
        </w:rPr>
        <w:t xml:space="preserve"> “Unions and Wage Inequality,” </w:t>
      </w:r>
      <w:r>
        <w:rPr>
          <w:rFonts w:ascii="Times New Roman" w:eastAsia="Times New Roman" w:hAnsi="Times New Roman" w:cs="Times New Roman"/>
          <w:i/>
        </w:rPr>
        <w:t>Journal of Labor Research</w:t>
      </w:r>
      <w:r>
        <w:rPr>
          <w:rFonts w:ascii="Times New Roman" w:eastAsia="Times New Roman" w:hAnsi="Times New Roman" w:cs="Times New Roman"/>
        </w:rPr>
        <w:t xml:space="preserve">, Vol. 25, No. 4, pp. 519-559. </w:t>
      </w:r>
    </w:p>
    <w:p w14:paraId="53AC15FA" w14:textId="77777777" w:rsidR="00B84936" w:rsidRDefault="00B84936">
      <w:pPr>
        <w:rPr>
          <w:rFonts w:ascii="Times New Roman" w:eastAsia="Times New Roman" w:hAnsi="Times New Roman" w:cs="Times New Roman"/>
        </w:rPr>
      </w:pPr>
    </w:p>
    <w:p w14:paraId="0BD404B2"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Cashman</w:t>
      </w:r>
      <w:proofErr w:type="spellEnd"/>
      <w:r>
        <w:rPr>
          <w:rFonts w:ascii="Times New Roman" w:eastAsia="Times New Roman" w:hAnsi="Times New Roman" w:cs="Times New Roman"/>
        </w:rPr>
        <w:t xml:space="preserve">, S.D. (1993). </w:t>
      </w:r>
      <w:r>
        <w:rPr>
          <w:rFonts w:ascii="Times New Roman" w:eastAsia="Times New Roman" w:hAnsi="Times New Roman" w:cs="Times New Roman"/>
          <w:i/>
        </w:rPr>
        <w:t>America in the Gilded Age: From the Death of Lincoln to the Rise of Theodore Roosevelt</w:t>
      </w:r>
      <w:r>
        <w:rPr>
          <w:rFonts w:ascii="Times New Roman" w:eastAsia="Times New Roman" w:hAnsi="Times New Roman" w:cs="Times New Roman"/>
        </w:rPr>
        <w:t>, New York: New York University Press.</w:t>
      </w:r>
    </w:p>
    <w:p w14:paraId="5FC4D137" w14:textId="77777777" w:rsidR="00B84936" w:rsidRDefault="00B84936">
      <w:pPr>
        <w:rPr>
          <w:rFonts w:ascii="Times New Roman" w:eastAsia="Times New Roman" w:hAnsi="Times New Roman" w:cs="Times New Roman"/>
        </w:rPr>
      </w:pPr>
    </w:p>
    <w:p w14:paraId="1C9B1FCC"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Centers for Disease Control and Prevention.</w:t>
      </w:r>
      <w:proofErr w:type="gramEnd"/>
      <w:r>
        <w:rPr>
          <w:rFonts w:ascii="Times New Roman" w:eastAsia="Times New Roman" w:hAnsi="Times New Roman" w:cs="Times New Roman"/>
        </w:rPr>
        <w:t xml:space="preserve"> (2019). “The Social-Ecological Model,” </w:t>
      </w:r>
      <w:r>
        <w:rPr>
          <w:rFonts w:ascii="Times New Roman" w:eastAsia="Times New Roman" w:hAnsi="Times New Roman" w:cs="Times New Roman"/>
          <w:i/>
        </w:rPr>
        <w:t>Centers for Disease Control</w:t>
      </w:r>
      <w:r>
        <w:rPr>
          <w:rFonts w:ascii="Times New Roman" w:eastAsia="Times New Roman" w:hAnsi="Times New Roman" w:cs="Times New Roman"/>
        </w:rPr>
        <w:t xml:space="preserve">, Available online: </w:t>
      </w:r>
      <w:hyperlink r:id="rId32">
        <w:r>
          <w:rPr>
            <w:rFonts w:ascii="Times New Roman" w:eastAsia="Times New Roman" w:hAnsi="Times New Roman" w:cs="Times New Roman"/>
            <w:color w:val="1155CC"/>
            <w:u w:val="single"/>
          </w:rPr>
          <w:t>https://www.cdc.gov/violenceprevention/publichealthissue/social-ecologicalmodel.html?CDC_AA_refVal=https%3A%2F%2Fwww.cdc.gov%2Fviolenceprevention%2Foverview%2Fsocial-ecologicalmodel.html</w:t>
        </w:r>
      </w:hyperlink>
      <w:r>
        <w:rPr>
          <w:rFonts w:ascii="Times New Roman" w:eastAsia="Times New Roman" w:hAnsi="Times New Roman" w:cs="Times New Roman"/>
        </w:rPr>
        <w:t>, [Accessed 2 January 2020].</w:t>
      </w:r>
    </w:p>
    <w:p w14:paraId="23A1DD0A" w14:textId="77777777" w:rsidR="00CA61F0" w:rsidRDefault="00CA61F0" w:rsidP="00CA61F0">
      <w:pPr>
        <w:ind w:left="720" w:hanging="720"/>
        <w:rPr>
          <w:rFonts w:ascii="Times New Roman" w:eastAsia="Times New Roman" w:hAnsi="Times New Roman" w:cs="Times New Roman"/>
        </w:rPr>
      </w:pPr>
    </w:p>
    <w:p w14:paraId="061F8F68"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Chetty</w:t>
      </w:r>
      <w:proofErr w:type="spellEnd"/>
      <w:r>
        <w:rPr>
          <w:rFonts w:ascii="Times New Roman" w:eastAsia="Times New Roman" w:hAnsi="Times New Roman" w:cs="Times New Roman"/>
        </w:rPr>
        <w:t xml:space="preserve">, R., </w:t>
      </w:r>
      <w:proofErr w:type="spellStart"/>
      <w:r>
        <w:rPr>
          <w:rFonts w:ascii="Times New Roman" w:eastAsia="Times New Roman" w:hAnsi="Times New Roman" w:cs="Times New Roman"/>
        </w:rPr>
        <w:t>Hendren</w:t>
      </w:r>
      <w:proofErr w:type="spellEnd"/>
      <w:r>
        <w:rPr>
          <w:rFonts w:ascii="Times New Roman" w:eastAsia="Times New Roman" w:hAnsi="Times New Roman" w:cs="Times New Roman"/>
        </w:rPr>
        <w:t xml:space="preserve">, N., Jones, M., &amp; Porter, S. (2018). “Race and Economic Opportunity in the United States: An Intergenerational Perspective.” Working Paper No. 24441, </w:t>
      </w:r>
      <w:r>
        <w:rPr>
          <w:rFonts w:ascii="Times New Roman" w:eastAsia="Times New Roman" w:hAnsi="Times New Roman" w:cs="Times New Roman"/>
          <w:i/>
        </w:rPr>
        <w:t>The National Bureau of Economic Research</w:t>
      </w:r>
      <w:r>
        <w:rPr>
          <w:rFonts w:ascii="Times New Roman" w:eastAsia="Times New Roman" w:hAnsi="Times New Roman" w:cs="Times New Roman"/>
        </w:rPr>
        <w:t xml:space="preserve">. Available online: </w:t>
      </w:r>
      <w:hyperlink r:id="rId33">
        <w:r>
          <w:rPr>
            <w:rFonts w:ascii="Times New Roman" w:eastAsia="Times New Roman" w:hAnsi="Times New Roman" w:cs="Times New Roman"/>
            <w:color w:val="1155CC"/>
            <w:u w:val="single"/>
          </w:rPr>
          <w:t>https://www.nber.org/papers/w24441</w:t>
        </w:r>
      </w:hyperlink>
      <w:r>
        <w:rPr>
          <w:rFonts w:ascii="Times New Roman" w:eastAsia="Times New Roman" w:hAnsi="Times New Roman" w:cs="Times New Roman"/>
        </w:rPr>
        <w:t xml:space="preserve">, [Accessed 22 February 2020]. </w:t>
      </w:r>
    </w:p>
    <w:p w14:paraId="13A99F67" w14:textId="77777777" w:rsidR="00CA61F0" w:rsidRDefault="00CA61F0" w:rsidP="00CA61F0">
      <w:pPr>
        <w:ind w:left="720" w:hanging="720"/>
        <w:rPr>
          <w:rFonts w:ascii="Times New Roman" w:eastAsia="Times New Roman" w:hAnsi="Times New Roman" w:cs="Times New Roman"/>
        </w:rPr>
      </w:pPr>
    </w:p>
    <w:p w14:paraId="03CD4866"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Child and Adolescent Health Measurement Initiative. (2016). </w:t>
      </w:r>
      <w:r>
        <w:rPr>
          <w:rFonts w:ascii="Times New Roman" w:eastAsia="Times New Roman" w:hAnsi="Times New Roman" w:cs="Times New Roman"/>
          <w:i/>
        </w:rPr>
        <w:t>Bloomberg School of Public Health</w:t>
      </w:r>
      <w:r>
        <w:rPr>
          <w:rFonts w:ascii="Times New Roman" w:eastAsia="Times New Roman" w:hAnsi="Times New Roman" w:cs="Times New Roman"/>
        </w:rPr>
        <w:t xml:space="preserve">, Baltimore, Maryland: Johns Hopkins University, Available online: </w:t>
      </w:r>
      <w:hyperlink r:id="rId34">
        <w:r>
          <w:rPr>
            <w:rFonts w:ascii="Times New Roman" w:eastAsia="Times New Roman" w:hAnsi="Times New Roman" w:cs="Times New Roman"/>
            <w:color w:val="1155CC"/>
            <w:u w:val="single"/>
          </w:rPr>
          <w:t>https://www.jhsph.edu/departments/population-family-and-reproductive-health/child-adolescent-health-measurement-initiative/</w:t>
        </w:r>
      </w:hyperlink>
      <w:r>
        <w:rPr>
          <w:rFonts w:ascii="Times New Roman" w:eastAsia="Times New Roman" w:hAnsi="Times New Roman" w:cs="Times New Roman"/>
        </w:rPr>
        <w:t>, [Accessed 23 December 2019].</w:t>
      </w:r>
    </w:p>
    <w:p w14:paraId="755F2CB2" w14:textId="77777777" w:rsidR="00B84936" w:rsidRDefault="00B84936">
      <w:pPr>
        <w:rPr>
          <w:rFonts w:ascii="Times New Roman" w:eastAsia="Times New Roman" w:hAnsi="Times New Roman" w:cs="Times New Roman"/>
        </w:rPr>
      </w:pPr>
    </w:p>
    <w:p w14:paraId="5F4298FB"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lastRenderedPageBreak/>
        <w:t>City of Philadelphia.</w:t>
      </w:r>
      <w:proofErr w:type="gramEnd"/>
      <w:r>
        <w:rPr>
          <w:rFonts w:ascii="Times New Roman" w:eastAsia="Times New Roman" w:hAnsi="Times New Roman" w:cs="Times New Roman"/>
        </w:rPr>
        <w:t xml:space="preserve"> (2020). Fair Chance Hiring Initiative, </w:t>
      </w:r>
      <w:r>
        <w:rPr>
          <w:rFonts w:ascii="Times New Roman" w:eastAsia="Times New Roman" w:hAnsi="Times New Roman" w:cs="Times New Roman"/>
          <w:i/>
        </w:rPr>
        <w:t>City of Philadelphia Employer Services</w:t>
      </w:r>
      <w:r>
        <w:rPr>
          <w:rFonts w:ascii="Times New Roman" w:eastAsia="Times New Roman" w:hAnsi="Times New Roman" w:cs="Times New Roman"/>
        </w:rPr>
        <w:t xml:space="preserve">, </w:t>
      </w:r>
      <w:proofErr w:type="gramStart"/>
      <w:r>
        <w:rPr>
          <w:rFonts w:ascii="Times New Roman" w:eastAsia="Times New Roman" w:hAnsi="Times New Roman" w:cs="Times New Roman"/>
        </w:rPr>
        <w:t>Available</w:t>
      </w:r>
      <w:proofErr w:type="gramEnd"/>
      <w:r>
        <w:rPr>
          <w:rFonts w:ascii="Times New Roman" w:eastAsia="Times New Roman" w:hAnsi="Times New Roman" w:cs="Times New Roman"/>
        </w:rPr>
        <w:t xml:space="preserve"> online: </w:t>
      </w:r>
      <w:hyperlink r:id="rId35">
        <w:r>
          <w:rPr>
            <w:rFonts w:ascii="Times New Roman" w:eastAsia="Times New Roman" w:hAnsi="Times New Roman" w:cs="Times New Roman"/>
            <w:color w:val="1155CC"/>
            <w:u w:val="single"/>
          </w:rPr>
          <w:t>https://www.phila.gov/rise/employer/Pages/Initiative.aspx</w:t>
        </w:r>
      </w:hyperlink>
      <w:r>
        <w:rPr>
          <w:rFonts w:ascii="Times New Roman" w:eastAsia="Times New Roman" w:hAnsi="Times New Roman" w:cs="Times New Roman"/>
        </w:rPr>
        <w:t>, [Accessed 2 January 2020]. </w:t>
      </w:r>
    </w:p>
    <w:p w14:paraId="18F3B9D1" w14:textId="77777777" w:rsidR="00B84936" w:rsidRDefault="00B84936">
      <w:pPr>
        <w:spacing w:line="276" w:lineRule="auto"/>
        <w:rPr>
          <w:rFonts w:ascii="Times New Roman" w:eastAsia="Times New Roman" w:hAnsi="Times New Roman" w:cs="Times New Roman"/>
        </w:rPr>
      </w:pPr>
    </w:p>
    <w:p w14:paraId="592C383A"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Colins</w:t>
      </w:r>
      <w:proofErr w:type="spellEnd"/>
      <w:r>
        <w:rPr>
          <w:rFonts w:ascii="Times New Roman" w:eastAsia="Times New Roman" w:hAnsi="Times New Roman" w:cs="Times New Roman"/>
        </w:rPr>
        <w:t xml:space="preserve">, C. &amp; Hoxie, J. (2017). “Billionaire Bonanza: The Forbes 400 and the Rest of Us,” </w:t>
      </w:r>
      <w:r>
        <w:rPr>
          <w:rFonts w:ascii="Times New Roman" w:eastAsia="Times New Roman" w:hAnsi="Times New Roman" w:cs="Times New Roman"/>
          <w:i/>
        </w:rPr>
        <w:t>Institute for Policy Studies</w:t>
      </w:r>
      <w:r>
        <w:rPr>
          <w:rFonts w:ascii="Times New Roman" w:eastAsia="Times New Roman" w:hAnsi="Times New Roman" w:cs="Times New Roman"/>
        </w:rPr>
        <w:t xml:space="preserve">, Available online: </w:t>
      </w:r>
      <w:hyperlink r:id="rId36">
        <w:r>
          <w:rPr>
            <w:rFonts w:ascii="Times New Roman" w:eastAsia="Times New Roman" w:hAnsi="Times New Roman" w:cs="Times New Roman"/>
            <w:color w:val="1155CC"/>
            <w:u w:val="single"/>
          </w:rPr>
          <w:t>https://inequality.org/wp-content/uploads/2017/11/BILLIONAIRE-BONANZA-2017-Embargoed.pdf</w:t>
        </w:r>
      </w:hyperlink>
      <w:r>
        <w:rPr>
          <w:rFonts w:ascii="Times New Roman" w:eastAsia="Times New Roman" w:hAnsi="Times New Roman" w:cs="Times New Roman"/>
        </w:rPr>
        <w:t>, [Accessed 23 January 2020].</w:t>
      </w:r>
    </w:p>
    <w:p w14:paraId="5BE28AA5" w14:textId="77777777" w:rsidR="00CA61F0" w:rsidRDefault="00CA61F0" w:rsidP="00CA61F0">
      <w:pPr>
        <w:ind w:left="720" w:hanging="720"/>
        <w:rPr>
          <w:rFonts w:ascii="Times New Roman" w:eastAsia="Times New Roman" w:hAnsi="Times New Roman" w:cs="Times New Roman"/>
        </w:rPr>
      </w:pPr>
    </w:p>
    <w:p w14:paraId="1075F6D8"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Collins, P.H. (2019). </w:t>
      </w:r>
      <w:proofErr w:type="spellStart"/>
      <w:proofErr w:type="gramStart"/>
      <w:r w:rsidRPr="00CA61F0">
        <w:rPr>
          <w:rFonts w:ascii="Times New Roman" w:eastAsia="Times New Roman" w:hAnsi="Times New Roman" w:cs="Times New Roman"/>
        </w:rPr>
        <w:t>Intersectionality</w:t>
      </w:r>
      <w:proofErr w:type="spellEnd"/>
      <w:r>
        <w:rPr>
          <w:rFonts w:ascii="Times New Roman" w:eastAsia="Times New Roman" w:hAnsi="Times New Roman" w:cs="Times New Roman"/>
          <w:i/>
        </w:rPr>
        <w:t xml:space="preserve"> as Critical Social Theory</w:t>
      </w:r>
      <w:r>
        <w:rPr>
          <w:rFonts w:ascii="Times New Roman" w:eastAsia="Times New Roman" w:hAnsi="Times New Roman" w:cs="Times New Roman"/>
        </w:rPr>
        <w:t>.</w:t>
      </w:r>
      <w:proofErr w:type="gramEnd"/>
      <w:r>
        <w:rPr>
          <w:rFonts w:ascii="Times New Roman" w:eastAsia="Times New Roman" w:hAnsi="Times New Roman" w:cs="Times New Roman"/>
        </w:rPr>
        <w:t xml:space="preserve"> Durham: Duke University Press.</w:t>
      </w:r>
    </w:p>
    <w:p w14:paraId="58C5462C" w14:textId="77777777" w:rsidR="00CA61F0" w:rsidRDefault="00CA61F0" w:rsidP="00CA61F0">
      <w:pPr>
        <w:ind w:left="720" w:hanging="720"/>
        <w:rPr>
          <w:rFonts w:ascii="Times New Roman" w:eastAsia="Times New Roman" w:hAnsi="Times New Roman" w:cs="Times New Roman"/>
        </w:rPr>
      </w:pPr>
    </w:p>
    <w:p w14:paraId="188B73EB"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Collins, P.H. &amp; Bilge, S. (2016). </w:t>
      </w:r>
      <w:proofErr w:type="spellStart"/>
      <w:r>
        <w:rPr>
          <w:rFonts w:ascii="Times New Roman" w:eastAsia="Times New Roman" w:hAnsi="Times New Roman" w:cs="Times New Roman"/>
          <w:i/>
        </w:rPr>
        <w:t>Intersectionality</w:t>
      </w:r>
      <w:proofErr w:type="spellEnd"/>
      <w:r>
        <w:rPr>
          <w:rFonts w:ascii="Times New Roman" w:eastAsia="Times New Roman" w:hAnsi="Times New Roman" w:cs="Times New Roman"/>
          <w:i/>
        </w:rPr>
        <w:t xml:space="preserve"> (Key Concepts)</w:t>
      </w:r>
      <w:r>
        <w:rPr>
          <w:rFonts w:ascii="Times New Roman" w:eastAsia="Times New Roman" w:hAnsi="Times New Roman" w:cs="Times New Roman"/>
        </w:rPr>
        <w:t>, Cambridge: Polity.</w:t>
      </w:r>
    </w:p>
    <w:p w14:paraId="3CBDC7CF" w14:textId="77777777" w:rsidR="00CA61F0" w:rsidRDefault="00CA61F0" w:rsidP="00CA61F0">
      <w:pPr>
        <w:ind w:left="720" w:hanging="720"/>
        <w:rPr>
          <w:rFonts w:ascii="Times New Roman" w:eastAsia="Times New Roman" w:hAnsi="Times New Roman" w:cs="Times New Roman"/>
        </w:rPr>
      </w:pPr>
    </w:p>
    <w:p w14:paraId="38EAC1BB"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Combahee River Collective.</w:t>
      </w:r>
      <w:proofErr w:type="gramEnd"/>
      <w:r>
        <w:rPr>
          <w:rFonts w:ascii="Times New Roman" w:eastAsia="Times New Roman" w:hAnsi="Times New Roman" w:cs="Times New Roman"/>
        </w:rPr>
        <w:t xml:space="preserve"> (2000). “Combahee River Collective Statement.” In Smith, B., (</w:t>
      </w:r>
      <w:proofErr w:type="spellStart"/>
      <w:r>
        <w:rPr>
          <w:rFonts w:ascii="Times New Roman" w:eastAsia="Times New Roman" w:hAnsi="Times New Roman" w:cs="Times New Roman"/>
        </w:rPr>
        <w:t>ed</w:t>
      </w:r>
      <w:proofErr w:type="spellEnd"/>
      <w:r>
        <w:rPr>
          <w:rFonts w:ascii="Times New Roman" w:eastAsia="Times New Roman" w:hAnsi="Times New Roman" w:cs="Times New Roman"/>
        </w:rPr>
        <w:t xml:space="preserve">) </w:t>
      </w:r>
      <w:r>
        <w:rPr>
          <w:rFonts w:ascii="Times New Roman" w:eastAsia="Times New Roman" w:hAnsi="Times New Roman" w:cs="Times New Roman"/>
          <w:i/>
        </w:rPr>
        <w:t>Home Girls: A Black Feminist Anthology,</w:t>
      </w:r>
      <w:r>
        <w:rPr>
          <w:rFonts w:ascii="Times New Roman" w:eastAsia="Times New Roman" w:hAnsi="Times New Roman" w:cs="Times New Roman"/>
        </w:rPr>
        <w:t xml:space="preserve"> </w:t>
      </w:r>
      <w:proofErr w:type="gramStart"/>
      <w:r>
        <w:rPr>
          <w:rFonts w:ascii="Times New Roman" w:eastAsia="Times New Roman" w:hAnsi="Times New Roman" w:cs="Times New Roman"/>
        </w:rPr>
        <w:t>New</w:t>
      </w:r>
      <w:proofErr w:type="gramEnd"/>
      <w:r>
        <w:rPr>
          <w:rFonts w:ascii="Times New Roman" w:eastAsia="Times New Roman" w:hAnsi="Times New Roman" w:cs="Times New Roman"/>
        </w:rPr>
        <w:t xml:space="preserve"> Brunswick, New Jersey: Rutgers University Press.</w:t>
      </w:r>
    </w:p>
    <w:p w14:paraId="57A7361A" w14:textId="77777777" w:rsidR="00CA61F0" w:rsidRDefault="00CA61F0" w:rsidP="00CA61F0">
      <w:pPr>
        <w:ind w:left="720" w:hanging="720"/>
        <w:rPr>
          <w:rFonts w:ascii="Times New Roman" w:eastAsia="Times New Roman" w:hAnsi="Times New Roman" w:cs="Times New Roman"/>
        </w:rPr>
      </w:pPr>
    </w:p>
    <w:p w14:paraId="21170817"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Crain, M., Poster, W., &amp; Cherry, M. (2016).</w:t>
      </w:r>
      <w:proofErr w:type="gramEnd"/>
      <w:r>
        <w:rPr>
          <w:rFonts w:ascii="Times New Roman" w:eastAsia="Times New Roman" w:hAnsi="Times New Roman" w:cs="Times New Roman"/>
        </w:rPr>
        <w:t xml:space="preserve"> </w:t>
      </w:r>
      <w:r>
        <w:rPr>
          <w:rFonts w:ascii="Times New Roman" w:eastAsia="Times New Roman" w:hAnsi="Times New Roman" w:cs="Times New Roman"/>
          <w:i/>
        </w:rPr>
        <w:t>Invisible Labor: Hidden Work in the Contemporary World</w:t>
      </w:r>
      <w:r>
        <w:rPr>
          <w:rFonts w:ascii="Times New Roman" w:eastAsia="Times New Roman" w:hAnsi="Times New Roman" w:cs="Times New Roman"/>
        </w:rPr>
        <w:t xml:space="preserve">, Berkeley, California: University of California Press. </w:t>
      </w:r>
    </w:p>
    <w:p w14:paraId="0B9E1614" w14:textId="77777777" w:rsidR="00B84936" w:rsidRDefault="00B84936">
      <w:pPr>
        <w:rPr>
          <w:rFonts w:ascii="Times New Roman" w:eastAsia="Times New Roman" w:hAnsi="Times New Roman" w:cs="Times New Roman"/>
        </w:rPr>
      </w:pPr>
    </w:p>
    <w:p w14:paraId="4AC1A7D3"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Crenshaw, K.W. (1991).</w:t>
      </w:r>
      <w:proofErr w:type="gramEnd"/>
      <w:r>
        <w:rPr>
          <w:rFonts w:ascii="Times New Roman" w:eastAsia="Times New Roman" w:hAnsi="Times New Roman" w:cs="Times New Roman"/>
        </w:rPr>
        <w:t xml:space="preserve"> “Mapping the Margins: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Identity Politics, and Violence against Women of Color,” </w:t>
      </w:r>
      <w:r>
        <w:rPr>
          <w:rFonts w:ascii="Times New Roman" w:eastAsia="Times New Roman" w:hAnsi="Times New Roman" w:cs="Times New Roman"/>
          <w:i/>
        </w:rPr>
        <w:t xml:space="preserve">Stanford Law Review, </w:t>
      </w:r>
      <w:r>
        <w:rPr>
          <w:rFonts w:ascii="Times New Roman" w:eastAsia="Times New Roman" w:hAnsi="Times New Roman" w:cs="Times New Roman"/>
        </w:rPr>
        <w:t xml:space="preserve">Vol. 43, No. 6, pp. 1241-1299, Available online: </w:t>
      </w:r>
      <w:hyperlink r:id="rId37">
        <w:r>
          <w:rPr>
            <w:rFonts w:ascii="Times New Roman" w:eastAsia="Times New Roman" w:hAnsi="Times New Roman" w:cs="Times New Roman"/>
            <w:color w:val="0000FF"/>
            <w:u w:val="single"/>
          </w:rPr>
          <w:t>https://www.jstor.org/stable/1229039</w:t>
        </w:r>
      </w:hyperlink>
      <w:r>
        <w:rPr>
          <w:rFonts w:ascii="Times New Roman" w:eastAsia="Times New Roman" w:hAnsi="Times New Roman" w:cs="Times New Roman"/>
        </w:rPr>
        <w:t>, [Accessed 14 December 2019].</w:t>
      </w:r>
    </w:p>
    <w:p w14:paraId="02502A17" w14:textId="77777777" w:rsidR="00B84936" w:rsidRDefault="00B84936">
      <w:pPr>
        <w:rPr>
          <w:rFonts w:ascii="Times New Roman" w:eastAsia="Times New Roman" w:hAnsi="Times New Roman" w:cs="Times New Roman"/>
        </w:rPr>
      </w:pPr>
    </w:p>
    <w:p w14:paraId="14160817" w14:textId="77777777" w:rsidR="00CA61F0"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Davies, D., &amp; Dodd, J. (2002). “Qualitative Research and The Question of Rigor,” </w:t>
      </w:r>
      <w:r>
        <w:rPr>
          <w:rFonts w:ascii="Times New Roman" w:eastAsia="Times New Roman" w:hAnsi="Times New Roman" w:cs="Times New Roman"/>
          <w:i/>
        </w:rPr>
        <w:t>Qualitative Health Research</w:t>
      </w:r>
      <w:r>
        <w:rPr>
          <w:rFonts w:ascii="Times New Roman" w:eastAsia="Times New Roman" w:hAnsi="Times New Roman" w:cs="Times New Roman"/>
        </w:rPr>
        <w:t xml:space="preserve">, Vol. 12, No. 2, pp. 279-289, Available online: </w:t>
      </w:r>
      <w:hyperlink r:id="rId38">
        <w:r>
          <w:rPr>
            <w:rFonts w:ascii="Times New Roman" w:eastAsia="Times New Roman" w:hAnsi="Times New Roman" w:cs="Times New Roman"/>
            <w:color w:val="0000FF"/>
            <w:u w:val="single"/>
          </w:rPr>
          <w:t>https://doi.org/10.1177/104973230201200211</w:t>
        </w:r>
      </w:hyperlink>
      <w:r>
        <w:rPr>
          <w:rFonts w:ascii="Times New Roman" w:eastAsia="Times New Roman" w:hAnsi="Times New Roman" w:cs="Times New Roman"/>
        </w:rPr>
        <w:t>, [Accessed 18 December 2019].    </w:t>
      </w:r>
    </w:p>
    <w:p w14:paraId="586B5F10" w14:textId="2C411DB8"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 </w:t>
      </w:r>
    </w:p>
    <w:p w14:paraId="2A2AD730"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Dolado</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Kramarz</w:t>
      </w:r>
      <w:proofErr w:type="spellEnd"/>
      <w:r>
        <w:rPr>
          <w:rFonts w:ascii="Times New Roman" w:eastAsia="Times New Roman" w:hAnsi="Times New Roman" w:cs="Times New Roman"/>
        </w:rPr>
        <w:t xml:space="preserve">, F., </w:t>
      </w:r>
      <w:proofErr w:type="spellStart"/>
      <w:r>
        <w:rPr>
          <w:rFonts w:ascii="Times New Roman" w:eastAsia="Times New Roman" w:hAnsi="Times New Roman" w:cs="Times New Roman"/>
        </w:rPr>
        <w:t>Machin</w:t>
      </w:r>
      <w:proofErr w:type="spellEnd"/>
      <w:r>
        <w:rPr>
          <w:rFonts w:ascii="Times New Roman" w:eastAsia="Times New Roman" w:hAnsi="Times New Roman" w:cs="Times New Roman"/>
        </w:rPr>
        <w:t xml:space="preserve">, S., Manning, A., Margolis, D., </w:t>
      </w:r>
      <w:proofErr w:type="spellStart"/>
      <w:r>
        <w:rPr>
          <w:rFonts w:ascii="Times New Roman" w:eastAsia="Times New Roman" w:hAnsi="Times New Roman" w:cs="Times New Roman"/>
        </w:rPr>
        <w:t>Teulings</w:t>
      </w:r>
      <w:proofErr w:type="spellEnd"/>
      <w:r>
        <w:rPr>
          <w:rFonts w:ascii="Times New Roman" w:eastAsia="Times New Roman" w:hAnsi="Times New Roman" w:cs="Times New Roman"/>
        </w:rPr>
        <w:t xml:space="preserve">, C., </w:t>
      </w:r>
      <w:proofErr w:type="gramStart"/>
      <w:r>
        <w:rPr>
          <w:rFonts w:ascii="Times New Roman" w:eastAsia="Times New Roman" w:hAnsi="Times New Roman" w:cs="Times New Roman"/>
        </w:rPr>
        <w:t>Saint-Paul</w:t>
      </w:r>
      <w:proofErr w:type="gramEnd"/>
      <w:r>
        <w:rPr>
          <w:rFonts w:ascii="Times New Roman" w:eastAsia="Times New Roman" w:hAnsi="Times New Roman" w:cs="Times New Roman"/>
        </w:rPr>
        <w:t>, G. &amp; Keen, M. (1996). “The Economic Impact of Minimum Wages in Europe</w:t>
      </w:r>
      <w:r>
        <w:rPr>
          <w:rFonts w:ascii="Times New Roman" w:eastAsia="Times New Roman" w:hAnsi="Times New Roman" w:cs="Times New Roman"/>
          <w:i/>
        </w:rPr>
        <w:t>,” Economic Policy</w:t>
      </w:r>
      <w:r>
        <w:rPr>
          <w:rFonts w:ascii="Times New Roman" w:eastAsia="Times New Roman" w:hAnsi="Times New Roman" w:cs="Times New Roman"/>
        </w:rPr>
        <w:t xml:space="preserve"> 11 (23): 317-372. </w:t>
      </w:r>
    </w:p>
    <w:p w14:paraId="6CABC0F2" w14:textId="77777777" w:rsidR="00CA61F0" w:rsidRDefault="00CA61F0" w:rsidP="00CA61F0">
      <w:pPr>
        <w:ind w:left="720" w:hanging="720"/>
        <w:rPr>
          <w:rFonts w:ascii="Times New Roman" w:eastAsia="Times New Roman" w:hAnsi="Times New Roman" w:cs="Times New Roman"/>
        </w:rPr>
      </w:pPr>
    </w:p>
    <w:p w14:paraId="488E05E8"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Dube</w:t>
      </w:r>
      <w:proofErr w:type="spellEnd"/>
      <w:r>
        <w:rPr>
          <w:rFonts w:ascii="Times New Roman" w:eastAsia="Times New Roman" w:hAnsi="Times New Roman" w:cs="Times New Roman"/>
        </w:rPr>
        <w:t xml:space="preserve">, A. (2019). “Using Wage Boards to Raise Pay,” Policy Brief 4, Economics for Inclusive Prosperity, Available online: </w:t>
      </w:r>
      <w:hyperlink r:id="rId39">
        <w:r>
          <w:rPr>
            <w:rFonts w:ascii="Times New Roman" w:eastAsia="Times New Roman" w:hAnsi="Times New Roman" w:cs="Times New Roman"/>
            <w:color w:val="1155CC"/>
            <w:u w:val="single"/>
          </w:rPr>
          <w:t>https://econfip.org/policy-brief/using-wage-boards-to-raise-pay/#</w:t>
        </w:r>
      </w:hyperlink>
      <w:r>
        <w:rPr>
          <w:rFonts w:ascii="Times New Roman" w:eastAsia="Times New Roman" w:hAnsi="Times New Roman" w:cs="Times New Roman"/>
        </w:rPr>
        <w:t>, [Accessed 19 February 2020].</w:t>
      </w:r>
    </w:p>
    <w:p w14:paraId="240253C0" w14:textId="77777777" w:rsidR="00CA61F0" w:rsidRDefault="00CA61F0" w:rsidP="00CA61F0">
      <w:pPr>
        <w:ind w:left="720" w:hanging="720"/>
        <w:rPr>
          <w:rFonts w:ascii="Times New Roman" w:eastAsia="Times New Roman" w:hAnsi="Times New Roman" w:cs="Times New Roman"/>
        </w:rPr>
      </w:pPr>
    </w:p>
    <w:p w14:paraId="0B857B56"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Eidlin</w:t>
      </w:r>
      <w:proofErr w:type="spellEnd"/>
      <w:r>
        <w:rPr>
          <w:rFonts w:ascii="Times New Roman" w:eastAsia="Times New Roman" w:hAnsi="Times New Roman" w:cs="Times New Roman"/>
        </w:rPr>
        <w:t xml:space="preserve">, B. (2019). “Bernie’s Plan for Workplace Democracy is the Boldest Presidential Plan for Workers’ Rights Ever,” </w:t>
      </w:r>
      <w:r>
        <w:rPr>
          <w:rFonts w:ascii="Times New Roman" w:eastAsia="Times New Roman" w:hAnsi="Times New Roman" w:cs="Times New Roman"/>
          <w:i/>
        </w:rPr>
        <w:t>Jacobin Magazine</w:t>
      </w:r>
      <w:r>
        <w:rPr>
          <w:rFonts w:ascii="Times New Roman" w:eastAsia="Times New Roman" w:hAnsi="Times New Roman" w:cs="Times New Roman"/>
        </w:rPr>
        <w:t xml:space="preserve">, Available online: </w:t>
      </w:r>
      <w:hyperlink r:id="rId40">
        <w:r>
          <w:rPr>
            <w:rFonts w:ascii="Times New Roman" w:eastAsia="Times New Roman" w:hAnsi="Times New Roman" w:cs="Times New Roman"/>
            <w:color w:val="1155CC"/>
            <w:u w:val="single"/>
          </w:rPr>
          <w:t>https://www.jacobinmag.com/2019/08/bernie-sanders-labor-unions-proposal-workplace-democracy</w:t>
        </w:r>
      </w:hyperlink>
      <w:r>
        <w:rPr>
          <w:rFonts w:ascii="Times New Roman" w:eastAsia="Times New Roman" w:hAnsi="Times New Roman" w:cs="Times New Roman"/>
        </w:rPr>
        <w:t xml:space="preserve">, [Accessed 11 January 2020]. </w:t>
      </w:r>
    </w:p>
    <w:p w14:paraId="646FEB08" w14:textId="77777777" w:rsidR="00CA61F0" w:rsidRDefault="00CA61F0" w:rsidP="00CA61F0">
      <w:pPr>
        <w:ind w:left="720" w:hanging="720"/>
        <w:rPr>
          <w:rFonts w:ascii="Times New Roman" w:eastAsia="Times New Roman" w:hAnsi="Times New Roman" w:cs="Times New Roman"/>
        </w:rPr>
      </w:pPr>
    </w:p>
    <w:p w14:paraId="1AD954DB"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Eisenhower Foundation Executive Summary.</w:t>
      </w:r>
      <w:proofErr w:type="gramEnd"/>
      <w:r>
        <w:rPr>
          <w:rFonts w:ascii="Times New Roman" w:eastAsia="Times New Roman" w:hAnsi="Times New Roman" w:cs="Times New Roman"/>
        </w:rPr>
        <w:t xml:space="preserve"> (2008). </w:t>
      </w:r>
      <w:r>
        <w:rPr>
          <w:rFonts w:ascii="Times New Roman" w:eastAsia="Times New Roman" w:hAnsi="Times New Roman" w:cs="Times New Roman"/>
          <w:i/>
        </w:rPr>
        <w:t>What Together We Can Do: A Forty Year Update of the National Advisory Commission on Civil Disorders</w:t>
      </w:r>
      <w:r>
        <w:rPr>
          <w:rFonts w:ascii="Times New Roman" w:eastAsia="Times New Roman" w:hAnsi="Times New Roman" w:cs="Times New Roman"/>
        </w:rPr>
        <w:t xml:space="preserve">, Washington </w:t>
      </w:r>
      <w:r>
        <w:rPr>
          <w:rFonts w:ascii="Times New Roman" w:eastAsia="Times New Roman" w:hAnsi="Times New Roman" w:cs="Times New Roman"/>
        </w:rPr>
        <w:lastRenderedPageBreak/>
        <w:t xml:space="preserve">DC: The Eisenhower Foundation. Available online: </w:t>
      </w:r>
      <w:hyperlink r:id="rId41">
        <w:r>
          <w:rPr>
            <w:rFonts w:ascii="Times New Roman" w:eastAsia="Times New Roman" w:hAnsi="Times New Roman" w:cs="Times New Roman"/>
            <w:color w:val="1155CC"/>
            <w:u w:val="single"/>
          </w:rPr>
          <w:t>http://www.eisenhowerfoundation.org/docs/Kerner%2040%20Year%20Update,%20Executive%20Summary.pdf</w:t>
        </w:r>
      </w:hyperlink>
      <w:r>
        <w:rPr>
          <w:rFonts w:ascii="Times New Roman" w:eastAsia="Times New Roman" w:hAnsi="Times New Roman" w:cs="Times New Roman"/>
        </w:rPr>
        <w:t>, [Accessed 20 December 2019]. </w:t>
      </w:r>
    </w:p>
    <w:p w14:paraId="58A8CE9A" w14:textId="77777777" w:rsidR="00CA61F0" w:rsidRDefault="00CA61F0" w:rsidP="00CA61F0">
      <w:pPr>
        <w:ind w:left="720" w:hanging="720"/>
        <w:rPr>
          <w:rFonts w:ascii="Times New Roman" w:eastAsia="Times New Roman" w:hAnsi="Times New Roman" w:cs="Times New Roman"/>
        </w:rPr>
      </w:pPr>
    </w:p>
    <w:p w14:paraId="1E991B65"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Falcone, P. (2016). “Employment-at-Will vs. The Discharge-for-Just-Cause-Only Standard: A Critical Employment Law Distinction,” </w:t>
      </w:r>
      <w:r>
        <w:rPr>
          <w:rFonts w:ascii="Times New Roman" w:eastAsia="Times New Roman" w:hAnsi="Times New Roman" w:cs="Times New Roman"/>
          <w:i/>
        </w:rPr>
        <w:t>Society for Human Resource Management</w:t>
      </w:r>
      <w:r>
        <w:rPr>
          <w:rFonts w:ascii="Times New Roman" w:eastAsia="Times New Roman" w:hAnsi="Times New Roman" w:cs="Times New Roman"/>
        </w:rPr>
        <w:t xml:space="preserve">, Available online: </w:t>
      </w:r>
      <w:hyperlink r:id="rId42">
        <w:r>
          <w:rPr>
            <w:rFonts w:ascii="Times New Roman" w:eastAsia="Times New Roman" w:hAnsi="Times New Roman" w:cs="Times New Roman"/>
            <w:color w:val="1155CC"/>
            <w:u w:val="single"/>
          </w:rPr>
          <w:t>https://www.shrm.org/resourcesandtools/legal-and-compliance/employment-law/pages/employment-at-will.aspx</w:t>
        </w:r>
      </w:hyperlink>
      <w:r>
        <w:rPr>
          <w:rFonts w:ascii="Times New Roman" w:eastAsia="Times New Roman" w:hAnsi="Times New Roman" w:cs="Times New Roman"/>
        </w:rPr>
        <w:t>, [Accessed 18 February 2020].</w:t>
      </w:r>
    </w:p>
    <w:p w14:paraId="1C9A15B3" w14:textId="77777777" w:rsidR="00CA61F0" w:rsidRDefault="00CA61F0" w:rsidP="00CA61F0">
      <w:pPr>
        <w:ind w:left="720" w:hanging="720"/>
        <w:rPr>
          <w:rFonts w:ascii="Times New Roman" w:eastAsia="Times New Roman" w:hAnsi="Times New Roman" w:cs="Times New Roman"/>
        </w:rPr>
      </w:pPr>
    </w:p>
    <w:p w14:paraId="72BCB041"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FindLaw</w:t>
      </w:r>
      <w:proofErr w:type="spellEnd"/>
      <w:r>
        <w:rPr>
          <w:rFonts w:ascii="Times New Roman" w:eastAsia="Times New Roman" w:hAnsi="Times New Roman" w:cs="Times New Roman"/>
        </w:rPr>
        <w:t>. (2020). “What are ‘Right to Work’ Laws</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i/>
        </w:rPr>
        <w:t>FindLaw</w:t>
      </w:r>
      <w:proofErr w:type="spellEnd"/>
      <w:r>
        <w:rPr>
          <w:rFonts w:ascii="Times New Roman" w:eastAsia="Times New Roman" w:hAnsi="Times New Roman" w:cs="Times New Roman"/>
        </w:rPr>
        <w:t xml:space="preserve">, Available online: </w:t>
      </w:r>
      <w:hyperlink r:id="rId43">
        <w:r>
          <w:rPr>
            <w:rFonts w:ascii="Times New Roman" w:eastAsia="Times New Roman" w:hAnsi="Times New Roman" w:cs="Times New Roman"/>
            <w:color w:val="1155CC"/>
            <w:u w:val="single"/>
          </w:rPr>
          <w:t>https://employment.findlaw.com/wages-and-benefits/what-are-right-to-work-laws.html</w:t>
        </w:r>
      </w:hyperlink>
      <w:r>
        <w:rPr>
          <w:rFonts w:ascii="Times New Roman" w:eastAsia="Times New Roman" w:hAnsi="Times New Roman" w:cs="Times New Roman"/>
        </w:rPr>
        <w:t xml:space="preserve">, [Accessed 21 February 2020]. </w:t>
      </w:r>
    </w:p>
    <w:p w14:paraId="2A6B0020" w14:textId="77777777" w:rsidR="00CA61F0" w:rsidRDefault="00CA61F0" w:rsidP="00CA61F0">
      <w:pPr>
        <w:ind w:left="720" w:hanging="720"/>
        <w:rPr>
          <w:rFonts w:ascii="Times New Roman" w:eastAsia="Times New Roman" w:hAnsi="Times New Roman" w:cs="Times New Roman"/>
        </w:rPr>
      </w:pPr>
    </w:p>
    <w:p w14:paraId="4BC2A127"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Flanders, W. &amp; Tunney, L. (2019). “Democracy in the Workplace: Examining Union Recertification in Wisconsin under Act 10,” </w:t>
      </w:r>
      <w:r>
        <w:rPr>
          <w:rFonts w:ascii="Times New Roman" w:eastAsia="Times New Roman" w:hAnsi="Times New Roman" w:cs="Times New Roman"/>
          <w:i/>
        </w:rPr>
        <w:t>Wisconsin Institute for Law &amp; Liberty</w:t>
      </w:r>
      <w:r>
        <w:rPr>
          <w:rFonts w:ascii="Times New Roman" w:eastAsia="Times New Roman" w:hAnsi="Times New Roman" w:cs="Times New Roman"/>
        </w:rPr>
        <w:t xml:space="preserve">, Available online: </w:t>
      </w:r>
      <w:hyperlink r:id="rId44">
        <w:r>
          <w:rPr>
            <w:rFonts w:ascii="Times New Roman" w:eastAsia="Times New Roman" w:hAnsi="Times New Roman" w:cs="Times New Roman"/>
            <w:color w:val="1155CC"/>
            <w:u w:val="single"/>
          </w:rPr>
          <w:t>https://www.will-law.org/wp-content/uploads/2019/11/democracy-in-the-workplace-final.pdf</w:t>
        </w:r>
      </w:hyperlink>
      <w:r>
        <w:rPr>
          <w:rFonts w:ascii="Times New Roman" w:eastAsia="Times New Roman" w:hAnsi="Times New Roman" w:cs="Times New Roman"/>
        </w:rPr>
        <w:t xml:space="preserve">, [Accessed 18 March 2020]. </w:t>
      </w:r>
    </w:p>
    <w:p w14:paraId="65F09487" w14:textId="77777777" w:rsidR="00CA61F0" w:rsidRDefault="00CA61F0" w:rsidP="00CA61F0">
      <w:pPr>
        <w:ind w:left="720" w:hanging="720"/>
        <w:rPr>
          <w:rFonts w:ascii="Times New Roman" w:eastAsia="Times New Roman" w:hAnsi="Times New Roman" w:cs="Times New Roman"/>
        </w:rPr>
      </w:pPr>
    </w:p>
    <w:p w14:paraId="04AD329C" w14:textId="77777777" w:rsidR="00B84936" w:rsidRDefault="001D1521" w:rsidP="00CA61F0">
      <w:pPr>
        <w:ind w:left="720" w:hanging="720"/>
      </w:pPr>
      <w:proofErr w:type="spellStart"/>
      <w:r>
        <w:rPr>
          <w:rFonts w:ascii="Times New Roman" w:eastAsia="Times New Roman" w:hAnsi="Times New Roman" w:cs="Times New Roman"/>
        </w:rPr>
        <w:t>Forstater</w:t>
      </w:r>
      <w:proofErr w:type="spellEnd"/>
      <w:r>
        <w:rPr>
          <w:rFonts w:ascii="Times New Roman" w:eastAsia="Times New Roman" w:hAnsi="Times New Roman" w:cs="Times New Roman"/>
        </w:rPr>
        <w:t xml:space="preserve">, M. (2002). “’Jobs for All: Another Dream of the Rev. Dr. Martin Luther King, Jr.,” </w:t>
      </w:r>
      <w:r>
        <w:rPr>
          <w:rFonts w:ascii="Times New Roman" w:eastAsia="Times New Roman" w:hAnsi="Times New Roman" w:cs="Times New Roman"/>
          <w:i/>
        </w:rPr>
        <w:t>Forum for Social Economics</w:t>
      </w:r>
      <w:r>
        <w:rPr>
          <w:rFonts w:ascii="Times New Roman" w:eastAsia="Times New Roman" w:hAnsi="Times New Roman" w:cs="Times New Roman"/>
        </w:rPr>
        <w:t xml:space="preserve">, Vol. 31, No. 2, pp. 45-52. Available online: </w:t>
      </w:r>
      <w:hyperlink r:id="rId45">
        <w:r>
          <w:rPr>
            <w:rFonts w:ascii="Times New Roman" w:eastAsia="Times New Roman" w:hAnsi="Times New Roman" w:cs="Times New Roman"/>
            <w:color w:val="0000FF"/>
            <w:u w:val="single"/>
          </w:rPr>
          <w:t>https://doi.org/10.1007/BF02779059</w:t>
        </w:r>
      </w:hyperlink>
      <w:r>
        <w:rPr>
          <w:rFonts w:ascii="Times New Roman" w:eastAsia="Times New Roman" w:hAnsi="Times New Roman" w:cs="Times New Roman"/>
        </w:rPr>
        <w:t>, [Accessed</w:t>
      </w:r>
      <w:r>
        <w:t xml:space="preserve"> 10 March 2020].</w:t>
      </w:r>
    </w:p>
    <w:p w14:paraId="33BF7C14" w14:textId="77777777" w:rsidR="00CA61F0" w:rsidRDefault="00CA61F0" w:rsidP="00CA61F0">
      <w:pPr>
        <w:ind w:left="720" w:hanging="720"/>
      </w:pPr>
    </w:p>
    <w:p w14:paraId="037B2B32" w14:textId="77777777" w:rsidR="00B84936" w:rsidRDefault="001D1521" w:rsidP="00CA61F0">
      <w:pPr>
        <w:ind w:left="720" w:hanging="720"/>
        <w:rPr>
          <w:rFonts w:ascii="Times New Roman" w:eastAsia="Times New Roman" w:hAnsi="Times New Roman" w:cs="Times New Roman"/>
        </w:rPr>
      </w:pPr>
      <w:proofErr w:type="gramStart"/>
      <w:r>
        <w:rPr>
          <w:rFonts w:ascii="Times New Roman" w:eastAsia="Times New Roman" w:hAnsi="Times New Roman" w:cs="Times New Roman"/>
        </w:rPr>
        <w:t>Fortin, N.M., Lemieux, T., &amp; Lloyd, N. (2019).</w:t>
      </w:r>
      <w:proofErr w:type="gramEnd"/>
      <w:r>
        <w:rPr>
          <w:rFonts w:ascii="Times New Roman" w:eastAsia="Times New Roman" w:hAnsi="Times New Roman" w:cs="Times New Roman"/>
        </w:rPr>
        <w:t xml:space="preserve"> “Labor Market Institutions and the Distribution of Wages: The Role of Spillover Effects,” Paper prepared for a conference on September 28-29, 2018 in Ann Arbor, Michigan. </w:t>
      </w:r>
    </w:p>
    <w:p w14:paraId="5407E029" w14:textId="77777777" w:rsidR="00CA61F0" w:rsidRDefault="00CA61F0" w:rsidP="00CA61F0">
      <w:pPr>
        <w:ind w:left="720" w:hanging="720"/>
        <w:rPr>
          <w:rFonts w:ascii="Times New Roman" w:eastAsia="Times New Roman" w:hAnsi="Times New Roman" w:cs="Times New Roman"/>
        </w:rPr>
      </w:pPr>
    </w:p>
    <w:p w14:paraId="2734CA33"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Frank, R.H. (2011). </w:t>
      </w:r>
      <w:r>
        <w:rPr>
          <w:rFonts w:ascii="Times New Roman" w:eastAsia="Times New Roman" w:hAnsi="Times New Roman" w:cs="Times New Roman"/>
          <w:i/>
        </w:rPr>
        <w:t>The Darwin Economy: Liberty, Competition, and the Common Good</w:t>
      </w:r>
      <w:r>
        <w:rPr>
          <w:rFonts w:ascii="Times New Roman" w:eastAsia="Times New Roman" w:hAnsi="Times New Roman" w:cs="Times New Roman"/>
        </w:rPr>
        <w:t>, Princeton: Princeton University Press. </w:t>
      </w:r>
    </w:p>
    <w:p w14:paraId="5DE7A32D" w14:textId="77777777" w:rsidR="00CA61F0" w:rsidRDefault="00CA61F0" w:rsidP="00CA61F0">
      <w:pPr>
        <w:ind w:left="720" w:hanging="720"/>
        <w:rPr>
          <w:rFonts w:ascii="Times New Roman" w:eastAsia="Times New Roman" w:hAnsi="Times New Roman" w:cs="Times New Roman"/>
        </w:rPr>
      </w:pPr>
    </w:p>
    <w:p w14:paraId="2F3DC060"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Freeman, R. (1980). “Unionism and the Dispersion of Wages,” </w:t>
      </w:r>
      <w:r>
        <w:rPr>
          <w:rFonts w:ascii="Times New Roman" w:eastAsia="Times New Roman" w:hAnsi="Times New Roman" w:cs="Times New Roman"/>
          <w:i/>
        </w:rPr>
        <w:t>Industrial and Labor Relations Review</w:t>
      </w:r>
      <w:r>
        <w:rPr>
          <w:rFonts w:ascii="Times New Roman" w:eastAsia="Times New Roman" w:hAnsi="Times New Roman" w:cs="Times New Roman"/>
        </w:rPr>
        <w:t xml:space="preserve">, Vol. 32, No. 1, pp. 3-23, Available online: </w:t>
      </w:r>
      <w:hyperlink r:id="rId46">
        <w:r>
          <w:rPr>
            <w:rFonts w:ascii="Times New Roman" w:eastAsia="Times New Roman" w:hAnsi="Times New Roman" w:cs="Times New Roman"/>
            <w:color w:val="1155CC"/>
            <w:u w:val="single"/>
          </w:rPr>
          <w:t>tps://doi.org/10.1177/001979398003400101</w:t>
        </w:r>
      </w:hyperlink>
      <w:r>
        <w:rPr>
          <w:rFonts w:ascii="Times New Roman" w:eastAsia="Times New Roman" w:hAnsi="Times New Roman" w:cs="Times New Roman"/>
        </w:rPr>
        <w:t>, [Accessed 22 February 2020].</w:t>
      </w:r>
    </w:p>
    <w:p w14:paraId="13C063C0" w14:textId="77777777" w:rsidR="00CA61F0" w:rsidRDefault="00CA61F0" w:rsidP="00CA61F0">
      <w:pPr>
        <w:ind w:left="720" w:hanging="720"/>
        <w:rPr>
          <w:rFonts w:ascii="Times New Roman" w:eastAsia="Times New Roman" w:hAnsi="Times New Roman" w:cs="Times New Roman"/>
        </w:rPr>
      </w:pPr>
    </w:p>
    <w:p w14:paraId="6F09DF0A"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Freeman, R. (2007). “Labor Market Institutions Around the World,” </w:t>
      </w:r>
      <w:r>
        <w:rPr>
          <w:rFonts w:ascii="Times New Roman" w:eastAsia="Times New Roman" w:hAnsi="Times New Roman" w:cs="Times New Roman"/>
          <w:i/>
        </w:rPr>
        <w:t>National Bureau of Economic Research</w:t>
      </w:r>
      <w:r>
        <w:rPr>
          <w:rFonts w:ascii="Times New Roman" w:eastAsia="Times New Roman" w:hAnsi="Times New Roman" w:cs="Times New Roman"/>
        </w:rPr>
        <w:t xml:space="preserve">, Working Paper No. 13242, Available online: </w:t>
      </w:r>
      <w:hyperlink r:id="rId47">
        <w:r>
          <w:rPr>
            <w:rFonts w:ascii="Times New Roman" w:eastAsia="Times New Roman" w:hAnsi="Times New Roman" w:cs="Times New Roman"/>
            <w:color w:val="1155CC"/>
            <w:u w:val="single"/>
          </w:rPr>
          <w:t>https://www.nber.org/papers/w13242</w:t>
        </w:r>
      </w:hyperlink>
      <w:r>
        <w:rPr>
          <w:rFonts w:ascii="Times New Roman" w:eastAsia="Times New Roman" w:hAnsi="Times New Roman" w:cs="Times New Roman"/>
        </w:rPr>
        <w:t>, [Accessed 11 February 2020].</w:t>
      </w:r>
    </w:p>
    <w:p w14:paraId="59F4CA50" w14:textId="77777777" w:rsidR="00CA61F0" w:rsidRDefault="00CA61F0" w:rsidP="00CA61F0">
      <w:pPr>
        <w:ind w:left="720" w:hanging="720"/>
        <w:rPr>
          <w:rFonts w:ascii="Times New Roman" w:eastAsia="Times New Roman" w:hAnsi="Times New Roman" w:cs="Times New Roman"/>
        </w:rPr>
      </w:pPr>
    </w:p>
    <w:p w14:paraId="68BE7D5D"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Freeman, R.B. &amp; James, L.M. (1984). </w:t>
      </w:r>
      <w:r>
        <w:rPr>
          <w:rFonts w:ascii="Times New Roman" w:eastAsia="Times New Roman" w:hAnsi="Times New Roman" w:cs="Times New Roman"/>
          <w:i/>
        </w:rPr>
        <w:t>What Do Unions Do</w:t>
      </w:r>
      <w:r>
        <w:rPr>
          <w:rFonts w:ascii="Times New Roman" w:eastAsia="Times New Roman" w:hAnsi="Times New Roman" w:cs="Times New Roman"/>
        </w:rPr>
        <w:t>? New York, NY: Basic Books, Inc.</w:t>
      </w:r>
    </w:p>
    <w:p w14:paraId="6EDC4701" w14:textId="77777777" w:rsidR="00B84936" w:rsidRDefault="001D1521" w:rsidP="00CA61F0">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Fullwiler</w:t>
      </w:r>
      <w:proofErr w:type="spellEnd"/>
      <w:r>
        <w:rPr>
          <w:rFonts w:ascii="Times New Roman" w:eastAsia="Times New Roman" w:hAnsi="Times New Roman" w:cs="Times New Roman"/>
        </w:rPr>
        <w:t>, S. (2007).</w:t>
      </w:r>
      <w:proofErr w:type="gramEnd"/>
      <w:r>
        <w:rPr>
          <w:rFonts w:ascii="Times New Roman" w:eastAsia="Times New Roman" w:hAnsi="Times New Roman" w:cs="Times New Roman"/>
        </w:rPr>
        <w:t xml:space="preserve"> “Macroeconomic Stabilization through an Employer of Last Resort,” </w:t>
      </w:r>
      <w:r>
        <w:rPr>
          <w:rFonts w:ascii="Times New Roman" w:eastAsia="Times New Roman" w:hAnsi="Times New Roman" w:cs="Times New Roman"/>
          <w:i/>
        </w:rPr>
        <w:t>Journal of Economic Issues</w:t>
      </w:r>
      <w:r>
        <w:rPr>
          <w:rFonts w:ascii="Times New Roman" w:eastAsia="Times New Roman" w:hAnsi="Times New Roman" w:cs="Times New Roman"/>
        </w:rPr>
        <w:t xml:space="preserve">, Vol. 41, No. 1, pp. 93-134, Available online: </w:t>
      </w:r>
      <w:hyperlink r:id="rId48">
        <w:r>
          <w:rPr>
            <w:rFonts w:ascii="Times New Roman" w:eastAsia="Times New Roman" w:hAnsi="Times New Roman" w:cs="Times New Roman"/>
            <w:color w:val="0000FF"/>
            <w:u w:val="single"/>
          </w:rPr>
          <w:t>https://papers.ssrn.com/sol3/papers.cfm?abstract_id=1722991</w:t>
        </w:r>
      </w:hyperlink>
      <w:r>
        <w:rPr>
          <w:rFonts w:ascii="Times New Roman" w:eastAsia="Times New Roman" w:hAnsi="Times New Roman" w:cs="Times New Roman"/>
        </w:rPr>
        <w:t>, [Accessed 29 February 2020].</w:t>
      </w:r>
    </w:p>
    <w:p w14:paraId="4D02E18D" w14:textId="77777777" w:rsidR="00CA61F0" w:rsidRDefault="00CA61F0" w:rsidP="00CA61F0">
      <w:pPr>
        <w:ind w:left="720" w:hanging="720"/>
        <w:rPr>
          <w:rFonts w:ascii="Times New Roman" w:eastAsia="Times New Roman" w:hAnsi="Times New Roman" w:cs="Times New Roman"/>
        </w:rPr>
      </w:pPr>
    </w:p>
    <w:p w14:paraId="139CD2A0"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Galvani, A.P., </w:t>
      </w:r>
      <w:proofErr w:type="spellStart"/>
      <w:r>
        <w:rPr>
          <w:rFonts w:ascii="Times New Roman" w:eastAsia="Times New Roman" w:hAnsi="Times New Roman" w:cs="Times New Roman"/>
        </w:rPr>
        <w:t>Parpia</w:t>
      </w:r>
      <w:proofErr w:type="spellEnd"/>
      <w:r>
        <w:rPr>
          <w:rFonts w:ascii="Times New Roman" w:eastAsia="Times New Roman" w:hAnsi="Times New Roman" w:cs="Times New Roman"/>
        </w:rPr>
        <w:t xml:space="preserve">, A.S., Foster, E.M., Singer, B.H., &amp; Fitzpatrick, M.C. (2020). “Improving the Prognosis of Health Care in the USA,” </w:t>
      </w:r>
      <w:r>
        <w:rPr>
          <w:rFonts w:ascii="Times New Roman" w:eastAsia="Times New Roman" w:hAnsi="Times New Roman" w:cs="Times New Roman"/>
          <w:i/>
        </w:rPr>
        <w:t>The Lancet</w:t>
      </w:r>
      <w:r>
        <w:rPr>
          <w:rFonts w:ascii="Times New Roman" w:eastAsia="Times New Roman" w:hAnsi="Times New Roman" w:cs="Times New Roman"/>
        </w:rPr>
        <w:t xml:space="preserve">, Vol. 395, No, 10223, pp. 524-533, Available online: </w:t>
      </w:r>
      <w:hyperlink r:id="rId49">
        <w:r>
          <w:rPr>
            <w:rFonts w:ascii="Times New Roman" w:eastAsia="Times New Roman" w:hAnsi="Times New Roman" w:cs="Times New Roman"/>
            <w:color w:val="1155CC"/>
            <w:u w:val="single"/>
          </w:rPr>
          <w:t>https://doi.org/10.1016/S0140-6736(19)33019-3</w:t>
        </w:r>
      </w:hyperlink>
      <w:r>
        <w:rPr>
          <w:rFonts w:ascii="Times New Roman" w:eastAsia="Times New Roman" w:hAnsi="Times New Roman" w:cs="Times New Roman"/>
        </w:rPr>
        <w:t>, [Accessed 18 February 2020].</w:t>
      </w:r>
    </w:p>
    <w:p w14:paraId="22445B9D" w14:textId="77777777" w:rsidR="00CA61F0" w:rsidRDefault="00CA61F0" w:rsidP="00CA61F0">
      <w:pPr>
        <w:ind w:left="720" w:hanging="720"/>
        <w:rPr>
          <w:rFonts w:ascii="Times New Roman" w:eastAsia="Times New Roman" w:hAnsi="Times New Roman" w:cs="Times New Roman"/>
        </w:rPr>
      </w:pPr>
    </w:p>
    <w:p w14:paraId="0248EEEA"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Gayle, C. (2018). “Unions Brought Black Americans Into the Middle Class. They’re </w:t>
      </w:r>
      <w:proofErr w:type="gramStart"/>
      <w:r>
        <w:rPr>
          <w:rFonts w:ascii="Times New Roman" w:eastAsia="Times New Roman" w:hAnsi="Times New Roman" w:cs="Times New Roman"/>
        </w:rPr>
        <w:t>Now</w:t>
      </w:r>
      <w:proofErr w:type="gramEnd"/>
      <w:r>
        <w:rPr>
          <w:rFonts w:ascii="Times New Roman" w:eastAsia="Times New Roman" w:hAnsi="Times New Roman" w:cs="Times New Roman"/>
        </w:rPr>
        <w:t xml:space="preserve"> Being Decimated,” </w:t>
      </w:r>
      <w:r>
        <w:rPr>
          <w:rFonts w:ascii="Times New Roman" w:eastAsia="Times New Roman" w:hAnsi="Times New Roman" w:cs="Times New Roman"/>
          <w:i/>
        </w:rPr>
        <w:t>The Guardian</w:t>
      </w:r>
      <w:r>
        <w:rPr>
          <w:rFonts w:ascii="Times New Roman" w:eastAsia="Times New Roman" w:hAnsi="Times New Roman" w:cs="Times New Roman"/>
        </w:rPr>
        <w:t xml:space="preserve">, Available online: </w:t>
      </w:r>
      <w:hyperlink r:id="rId50">
        <w:r>
          <w:rPr>
            <w:rFonts w:ascii="Times New Roman" w:eastAsia="Times New Roman" w:hAnsi="Times New Roman" w:cs="Times New Roman"/>
            <w:color w:val="1155CC"/>
            <w:u w:val="single"/>
          </w:rPr>
          <w:t>https://www.theguardian.com/global/2018/aug/14/unions-brought-black-americans-into-the-middle-class-theyre-now-being-decimated</w:t>
        </w:r>
      </w:hyperlink>
      <w:r>
        <w:rPr>
          <w:rFonts w:ascii="Times New Roman" w:eastAsia="Times New Roman" w:hAnsi="Times New Roman" w:cs="Times New Roman"/>
        </w:rPr>
        <w:t xml:space="preserve">, [Accessed 21 February 2020]. </w:t>
      </w:r>
    </w:p>
    <w:p w14:paraId="78DBA7DD" w14:textId="77777777" w:rsidR="00CA61F0" w:rsidRDefault="00CA61F0" w:rsidP="00CA61F0">
      <w:pPr>
        <w:ind w:left="720" w:hanging="720"/>
        <w:rPr>
          <w:rFonts w:ascii="Times New Roman" w:eastAsia="Times New Roman" w:hAnsi="Times New Roman" w:cs="Times New Roman"/>
        </w:rPr>
      </w:pPr>
    </w:p>
    <w:p w14:paraId="43022F9E"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Geertz, Clifford. (1971). </w:t>
      </w:r>
      <w:r>
        <w:rPr>
          <w:rFonts w:ascii="Times New Roman" w:eastAsia="Times New Roman" w:hAnsi="Times New Roman" w:cs="Times New Roman"/>
          <w:i/>
        </w:rPr>
        <w:t>Myth, Symbol, and Culture</w:t>
      </w:r>
      <w:r>
        <w:rPr>
          <w:rFonts w:ascii="Times New Roman" w:eastAsia="Times New Roman" w:hAnsi="Times New Roman" w:cs="Times New Roman"/>
        </w:rPr>
        <w:t>, New York: W.W. Norton.</w:t>
      </w:r>
    </w:p>
    <w:p w14:paraId="45E9AB79" w14:textId="77777777" w:rsidR="00B84936" w:rsidRDefault="001D1521">
      <w:pPr>
        <w:spacing w:before="240" w:after="240"/>
        <w:rPr>
          <w:rFonts w:ascii="Times New Roman" w:eastAsia="Times New Roman" w:hAnsi="Times New Roman" w:cs="Times New Roman"/>
        </w:rPr>
      </w:pPr>
      <w:r>
        <w:rPr>
          <w:rFonts w:ascii="Times New Roman" w:eastAsia="Times New Roman" w:hAnsi="Times New Roman" w:cs="Times New Roman"/>
        </w:rPr>
        <w:t xml:space="preserve">Geertz, Clifford. (1973). </w:t>
      </w:r>
      <w:r>
        <w:rPr>
          <w:rFonts w:ascii="Times New Roman" w:eastAsia="Times New Roman" w:hAnsi="Times New Roman" w:cs="Times New Roman"/>
          <w:i/>
        </w:rPr>
        <w:t>The Interpretation of Culture</w:t>
      </w:r>
      <w:r>
        <w:rPr>
          <w:rFonts w:ascii="Times New Roman" w:eastAsia="Times New Roman" w:hAnsi="Times New Roman" w:cs="Times New Roman"/>
        </w:rPr>
        <w:t>, New York: Basic Books.</w:t>
      </w:r>
    </w:p>
    <w:p w14:paraId="30642117" w14:textId="77777777" w:rsidR="00B84936" w:rsidRDefault="001D1521" w:rsidP="00CA61F0">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Ghandnoosh</w:t>
      </w:r>
      <w:proofErr w:type="spellEnd"/>
      <w:r>
        <w:rPr>
          <w:rFonts w:ascii="Times New Roman" w:eastAsia="Times New Roman" w:hAnsi="Times New Roman" w:cs="Times New Roman"/>
        </w:rPr>
        <w:t>, N. (2017).</w:t>
      </w:r>
      <w:proofErr w:type="gramEnd"/>
      <w:r>
        <w:rPr>
          <w:rFonts w:ascii="Times New Roman" w:eastAsia="Times New Roman" w:hAnsi="Times New Roman" w:cs="Times New Roman"/>
        </w:rPr>
        <w:t xml:space="preserve"> “Minimizing the Maximum: The Case for Shortening All Prison Sentences,” In </w:t>
      </w:r>
      <w:proofErr w:type="spellStart"/>
      <w:r>
        <w:rPr>
          <w:rFonts w:ascii="Times New Roman" w:eastAsia="Times New Roman" w:hAnsi="Times New Roman" w:cs="Times New Roman"/>
        </w:rPr>
        <w:t>Pettus</w:t>
      </w:r>
      <w:proofErr w:type="spellEnd"/>
      <w:r>
        <w:rPr>
          <w:rFonts w:ascii="Times New Roman" w:eastAsia="Times New Roman" w:hAnsi="Times New Roman" w:cs="Times New Roman"/>
        </w:rPr>
        <w:t>-Davis, C. &amp; Epperson, M. (</w:t>
      </w:r>
      <w:proofErr w:type="spellStart"/>
      <w:r>
        <w:rPr>
          <w:rFonts w:ascii="Times New Roman" w:eastAsia="Times New Roman" w:hAnsi="Times New Roman" w:cs="Times New Roman"/>
        </w:rPr>
        <w:t>ed</w:t>
      </w:r>
      <w:proofErr w:type="spellEnd"/>
      <w:r>
        <w:rPr>
          <w:rFonts w:ascii="Times New Roman" w:eastAsia="Times New Roman" w:hAnsi="Times New Roman" w:cs="Times New Roman"/>
        </w:rPr>
        <w:t xml:space="preserve">), </w:t>
      </w:r>
      <w:r>
        <w:rPr>
          <w:rFonts w:ascii="Times New Roman" w:eastAsia="Times New Roman" w:hAnsi="Times New Roman" w:cs="Times New Roman"/>
          <w:i/>
        </w:rPr>
        <w:t xml:space="preserve">Smart </w:t>
      </w:r>
      <w:proofErr w:type="spellStart"/>
      <w:r>
        <w:rPr>
          <w:rFonts w:ascii="Times New Roman" w:eastAsia="Times New Roman" w:hAnsi="Times New Roman" w:cs="Times New Roman"/>
          <w:i/>
        </w:rPr>
        <w:t>Decarceration</w:t>
      </w:r>
      <w:proofErr w:type="spellEnd"/>
      <w:r>
        <w:rPr>
          <w:rFonts w:ascii="Times New Roman" w:eastAsia="Times New Roman" w:hAnsi="Times New Roman" w:cs="Times New Roman"/>
          <w:i/>
        </w:rPr>
        <w:t>: Achieving Criminal Justice Transformation in the 21st Century</w:t>
      </w:r>
      <w:r>
        <w:rPr>
          <w:rFonts w:ascii="Times New Roman" w:eastAsia="Times New Roman" w:hAnsi="Times New Roman" w:cs="Times New Roman"/>
        </w:rPr>
        <w:t>, New York: Oxford University Press, pp. 137-159.</w:t>
      </w:r>
    </w:p>
    <w:p w14:paraId="0757F0AD" w14:textId="77777777" w:rsidR="00CA61F0" w:rsidRDefault="00CA61F0" w:rsidP="00CA61F0">
      <w:pPr>
        <w:ind w:left="720" w:hanging="720"/>
        <w:rPr>
          <w:rFonts w:ascii="Times New Roman" w:eastAsia="Times New Roman" w:hAnsi="Times New Roman" w:cs="Times New Roman"/>
        </w:rPr>
      </w:pPr>
    </w:p>
    <w:p w14:paraId="0C564AEC"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Giroux, H.A. (2008). “Beyond the </w:t>
      </w:r>
      <w:proofErr w:type="spellStart"/>
      <w:r>
        <w:rPr>
          <w:rFonts w:ascii="Times New Roman" w:eastAsia="Times New Roman" w:hAnsi="Times New Roman" w:cs="Times New Roman"/>
        </w:rPr>
        <w:t>Biopolitics</w:t>
      </w:r>
      <w:proofErr w:type="spellEnd"/>
      <w:r>
        <w:rPr>
          <w:rFonts w:ascii="Times New Roman" w:eastAsia="Times New Roman" w:hAnsi="Times New Roman" w:cs="Times New Roman"/>
        </w:rPr>
        <w:t xml:space="preserve"> of Disposability: Rethinking Neoliberalism in the New Gilded Age,” </w:t>
      </w:r>
      <w:r>
        <w:rPr>
          <w:rFonts w:ascii="Times New Roman" w:eastAsia="Times New Roman" w:hAnsi="Times New Roman" w:cs="Times New Roman"/>
          <w:i/>
        </w:rPr>
        <w:t>Social Identities</w:t>
      </w:r>
      <w:r>
        <w:rPr>
          <w:rFonts w:ascii="Times New Roman" w:eastAsia="Times New Roman" w:hAnsi="Times New Roman" w:cs="Times New Roman"/>
        </w:rPr>
        <w:t xml:space="preserve">, Vol. 14, No. 5, pp. 587-620, Available online: </w:t>
      </w:r>
      <w:hyperlink r:id="rId51">
        <w:r>
          <w:rPr>
            <w:rFonts w:ascii="Times New Roman" w:eastAsia="Times New Roman" w:hAnsi="Times New Roman" w:cs="Times New Roman"/>
            <w:color w:val="0000FF"/>
            <w:u w:val="single"/>
          </w:rPr>
          <w:t>https://doi.org/10.1080/13504630802343432</w:t>
        </w:r>
      </w:hyperlink>
      <w:r>
        <w:rPr>
          <w:rFonts w:ascii="Times New Roman" w:eastAsia="Times New Roman" w:hAnsi="Times New Roman" w:cs="Times New Roman"/>
        </w:rPr>
        <w:t>, [Accessed 11 December 2019].</w:t>
      </w:r>
    </w:p>
    <w:p w14:paraId="12CF8353" w14:textId="77777777" w:rsidR="00CA61F0" w:rsidRDefault="00CA61F0" w:rsidP="00CA61F0">
      <w:pPr>
        <w:ind w:left="720" w:hanging="720"/>
        <w:rPr>
          <w:rFonts w:ascii="Times New Roman" w:eastAsia="Times New Roman" w:hAnsi="Times New Roman" w:cs="Times New Roman"/>
        </w:rPr>
      </w:pPr>
    </w:p>
    <w:p w14:paraId="6584F1DC"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Goff, L., </w:t>
      </w:r>
      <w:proofErr w:type="spellStart"/>
      <w:r>
        <w:rPr>
          <w:rFonts w:ascii="Times New Roman" w:eastAsia="Times New Roman" w:hAnsi="Times New Roman" w:cs="Times New Roman"/>
        </w:rPr>
        <w:t>Helliwell</w:t>
      </w:r>
      <w:proofErr w:type="spellEnd"/>
      <w:r>
        <w:rPr>
          <w:rFonts w:ascii="Times New Roman" w:eastAsia="Times New Roman" w:hAnsi="Times New Roman" w:cs="Times New Roman"/>
        </w:rPr>
        <w:t xml:space="preserve">, J.F., </w:t>
      </w:r>
      <w:proofErr w:type="spellStart"/>
      <w:r>
        <w:rPr>
          <w:rFonts w:ascii="Times New Roman" w:eastAsia="Times New Roman" w:hAnsi="Times New Roman" w:cs="Times New Roman"/>
        </w:rPr>
        <w:t>Mayraz</w:t>
      </w:r>
      <w:proofErr w:type="spellEnd"/>
      <w:r>
        <w:rPr>
          <w:rFonts w:ascii="Times New Roman" w:eastAsia="Times New Roman" w:hAnsi="Times New Roman" w:cs="Times New Roman"/>
        </w:rPr>
        <w:t xml:space="preserve">, G. (2018). “Inequality of Subjective Well-Being as a Comprehensive Measure of Inequality,” </w:t>
      </w:r>
      <w:r>
        <w:rPr>
          <w:rFonts w:ascii="Times New Roman" w:eastAsia="Times New Roman" w:hAnsi="Times New Roman" w:cs="Times New Roman"/>
          <w:i/>
        </w:rPr>
        <w:t>Economic Inquiry</w:t>
      </w:r>
      <w:r>
        <w:rPr>
          <w:rFonts w:ascii="Times New Roman" w:eastAsia="Times New Roman" w:hAnsi="Times New Roman" w:cs="Times New Roman"/>
        </w:rPr>
        <w:t>, Vol. 56, No. 4, pp. 2177-2194. </w:t>
      </w:r>
    </w:p>
    <w:p w14:paraId="2BC239D0" w14:textId="77777777" w:rsidR="00CA61F0" w:rsidRDefault="00CA61F0" w:rsidP="00CA61F0">
      <w:pPr>
        <w:ind w:left="720" w:hanging="720"/>
        <w:rPr>
          <w:rFonts w:ascii="Times New Roman" w:eastAsia="Times New Roman" w:hAnsi="Times New Roman" w:cs="Times New Roman"/>
        </w:rPr>
      </w:pPr>
    </w:p>
    <w:p w14:paraId="383F729E"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Goldshan</w:t>
      </w:r>
      <w:proofErr w:type="spellEnd"/>
      <w:r>
        <w:rPr>
          <w:rFonts w:ascii="Times New Roman" w:eastAsia="Times New Roman" w:hAnsi="Times New Roman" w:cs="Times New Roman"/>
        </w:rPr>
        <w:t xml:space="preserve">, T. (2019). “Bernie Sanders’s Ambitious Plan to Double Union Membership, Explained,” </w:t>
      </w:r>
      <w:proofErr w:type="spellStart"/>
      <w:r>
        <w:rPr>
          <w:rFonts w:ascii="Times New Roman" w:eastAsia="Times New Roman" w:hAnsi="Times New Roman" w:cs="Times New Roman"/>
          <w:i/>
        </w:rPr>
        <w:t>Vox</w:t>
      </w:r>
      <w:proofErr w:type="spellEnd"/>
      <w:r>
        <w:rPr>
          <w:rFonts w:ascii="Times New Roman" w:eastAsia="Times New Roman" w:hAnsi="Times New Roman" w:cs="Times New Roman"/>
          <w:i/>
        </w:rPr>
        <w:t xml:space="preserve"> Magazine</w:t>
      </w:r>
      <w:r>
        <w:rPr>
          <w:rFonts w:ascii="Times New Roman" w:eastAsia="Times New Roman" w:hAnsi="Times New Roman" w:cs="Times New Roman"/>
        </w:rPr>
        <w:t xml:space="preserve">, Available online: </w:t>
      </w:r>
      <w:hyperlink r:id="rId52">
        <w:r>
          <w:rPr>
            <w:rFonts w:ascii="Times New Roman" w:eastAsia="Times New Roman" w:hAnsi="Times New Roman" w:cs="Times New Roman"/>
            <w:color w:val="1155CC"/>
            <w:u w:val="single"/>
          </w:rPr>
          <w:t>https://www.vox.com/policy-and-politics/2019/8/21/20826661/bernie-sanders-union-plan-labor-worker-rights-2020</w:t>
        </w:r>
      </w:hyperlink>
      <w:r>
        <w:rPr>
          <w:rFonts w:ascii="Times New Roman" w:eastAsia="Times New Roman" w:hAnsi="Times New Roman" w:cs="Times New Roman"/>
        </w:rPr>
        <w:t>, [Accessed 10 January 2020].</w:t>
      </w:r>
    </w:p>
    <w:p w14:paraId="5530B288" w14:textId="77777777" w:rsidR="00CA61F0" w:rsidRDefault="00CA61F0" w:rsidP="00CA61F0">
      <w:pPr>
        <w:ind w:left="720" w:hanging="720"/>
        <w:rPr>
          <w:rFonts w:ascii="Times New Roman" w:eastAsia="Times New Roman" w:hAnsi="Times New Roman" w:cs="Times New Roman"/>
        </w:rPr>
      </w:pPr>
    </w:p>
    <w:p w14:paraId="751CEE3D" w14:textId="77777777" w:rsidR="00B84936" w:rsidRDefault="001D1521" w:rsidP="00CA61F0">
      <w:pPr>
        <w:ind w:left="720" w:hanging="720"/>
        <w:rPr>
          <w:rFonts w:ascii="Times New Roman" w:eastAsia="Times New Roman" w:hAnsi="Times New Roman" w:cs="Times New Roman"/>
        </w:rPr>
      </w:pPr>
      <w:r>
        <w:rPr>
          <w:rFonts w:ascii="Times New Roman" w:eastAsia="Times New Roman" w:hAnsi="Times New Roman" w:cs="Times New Roman"/>
        </w:rPr>
        <w:t xml:space="preserve">Gordon, C. (2012). “Union Decline and Rising Inequality in Two Charts,” </w:t>
      </w:r>
      <w:r>
        <w:rPr>
          <w:rFonts w:ascii="Times New Roman" w:eastAsia="Times New Roman" w:hAnsi="Times New Roman" w:cs="Times New Roman"/>
          <w:i/>
        </w:rPr>
        <w:t>Economic Policy Institute</w:t>
      </w:r>
      <w:r>
        <w:rPr>
          <w:rFonts w:ascii="Times New Roman" w:eastAsia="Times New Roman" w:hAnsi="Times New Roman" w:cs="Times New Roman"/>
        </w:rPr>
        <w:t xml:space="preserve">, Available online: </w:t>
      </w:r>
      <w:hyperlink r:id="rId53">
        <w:r>
          <w:rPr>
            <w:rFonts w:ascii="Times New Roman" w:eastAsia="Times New Roman" w:hAnsi="Times New Roman" w:cs="Times New Roman"/>
            <w:color w:val="1155CC"/>
            <w:u w:val="single"/>
          </w:rPr>
          <w:t>https://www.epi.org/blog/union-decline-rising-inequality-charts/</w:t>
        </w:r>
      </w:hyperlink>
      <w:r>
        <w:rPr>
          <w:rFonts w:ascii="Times New Roman" w:eastAsia="Times New Roman" w:hAnsi="Times New Roman" w:cs="Times New Roman"/>
        </w:rPr>
        <w:t xml:space="preserve">, [Accessed 30 December 2019]. </w:t>
      </w:r>
    </w:p>
    <w:p w14:paraId="483E00AB" w14:textId="77777777" w:rsidR="00CA61F0" w:rsidRDefault="00CA61F0" w:rsidP="00CA61F0">
      <w:pPr>
        <w:ind w:left="720" w:hanging="720"/>
        <w:rPr>
          <w:rFonts w:ascii="Times New Roman" w:eastAsia="Times New Roman" w:hAnsi="Times New Roman" w:cs="Times New Roman"/>
        </w:rPr>
      </w:pPr>
    </w:p>
    <w:p w14:paraId="71EC8801" w14:textId="77777777" w:rsidR="00B84936" w:rsidRDefault="001D1521" w:rsidP="00CA61F0">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Gotsch</w:t>
      </w:r>
      <w:proofErr w:type="spellEnd"/>
      <w:r>
        <w:rPr>
          <w:rFonts w:ascii="Times New Roman" w:eastAsia="Times New Roman" w:hAnsi="Times New Roman" w:cs="Times New Roman"/>
        </w:rPr>
        <w:t xml:space="preserve">, K. (2018). “Families and Mass Incarceration,” </w:t>
      </w:r>
      <w:r>
        <w:rPr>
          <w:rFonts w:ascii="Times New Roman" w:eastAsia="Times New Roman" w:hAnsi="Times New Roman" w:cs="Times New Roman"/>
          <w:i/>
        </w:rPr>
        <w:t>The Sentencing Project</w:t>
      </w:r>
      <w:r>
        <w:rPr>
          <w:rFonts w:ascii="Times New Roman" w:eastAsia="Times New Roman" w:hAnsi="Times New Roman" w:cs="Times New Roman"/>
        </w:rPr>
        <w:t xml:space="preserve">, Available online: </w:t>
      </w:r>
      <w:hyperlink r:id="rId54">
        <w:r>
          <w:rPr>
            <w:rFonts w:ascii="Times New Roman" w:eastAsia="Times New Roman" w:hAnsi="Times New Roman" w:cs="Times New Roman"/>
            <w:color w:val="1155CC"/>
            <w:u w:val="single"/>
          </w:rPr>
          <w:t>https://www.sentencingproject.org/publications/6148/</w:t>
        </w:r>
      </w:hyperlink>
      <w:r>
        <w:rPr>
          <w:rFonts w:ascii="Times New Roman" w:eastAsia="Times New Roman" w:hAnsi="Times New Roman" w:cs="Times New Roman"/>
        </w:rPr>
        <w:t>, [Accessed 23 December 2019.] </w:t>
      </w:r>
    </w:p>
    <w:p w14:paraId="406418EF" w14:textId="77777777" w:rsidR="00861DF6" w:rsidRDefault="00861DF6" w:rsidP="00CA61F0">
      <w:pPr>
        <w:ind w:left="720" w:hanging="720"/>
        <w:rPr>
          <w:rFonts w:ascii="Times New Roman" w:eastAsia="Times New Roman" w:hAnsi="Times New Roman" w:cs="Times New Roman"/>
        </w:rPr>
      </w:pPr>
    </w:p>
    <w:p w14:paraId="1A2A734B"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Greenblatt, Stephen. (1990)."Culture," in </w:t>
      </w:r>
      <w:proofErr w:type="spellStart"/>
      <w:r>
        <w:rPr>
          <w:rFonts w:ascii="Times New Roman" w:eastAsia="Times New Roman" w:hAnsi="Times New Roman" w:cs="Times New Roman"/>
        </w:rPr>
        <w:t>Lentricchia</w:t>
      </w:r>
      <w:proofErr w:type="spellEnd"/>
      <w:r>
        <w:rPr>
          <w:rFonts w:ascii="Times New Roman" w:eastAsia="Times New Roman" w:hAnsi="Times New Roman" w:cs="Times New Roman"/>
        </w:rPr>
        <w:t>, F. and McLaughlin, T, (</w:t>
      </w:r>
      <w:proofErr w:type="spellStart"/>
      <w:r>
        <w:rPr>
          <w:rFonts w:ascii="Times New Roman" w:eastAsia="Times New Roman" w:hAnsi="Times New Roman" w:cs="Times New Roman"/>
        </w:rPr>
        <w:t>eds</w:t>
      </w:r>
      <w:proofErr w:type="spellEnd"/>
      <w:r>
        <w:rPr>
          <w:rFonts w:ascii="Times New Roman" w:eastAsia="Times New Roman" w:hAnsi="Times New Roman" w:cs="Times New Roman"/>
        </w:rPr>
        <w:t xml:space="preserve">) </w:t>
      </w:r>
      <w:r>
        <w:rPr>
          <w:rFonts w:ascii="Times New Roman" w:eastAsia="Times New Roman" w:hAnsi="Times New Roman" w:cs="Times New Roman"/>
          <w:i/>
        </w:rPr>
        <w:t>Critical Terms for Literary Studies</w:t>
      </w:r>
      <w:r>
        <w:rPr>
          <w:rFonts w:ascii="Times New Roman" w:eastAsia="Times New Roman" w:hAnsi="Times New Roman" w:cs="Times New Roman"/>
        </w:rPr>
        <w:t>, Chicago: University of Chicago Press.</w:t>
      </w:r>
    </w:p>
    <w:p w14:paraId="5B1D5BC5" w14:textId="77777777" w:rsidR="00861DF6" w:rsidRDefault="00861DF6" w:rsidP="00861DF6">
      <w:pPr>
        <w:ind w:left="720" w:hanging="720"/>
        <w:rPr>
          <w:rFonts w:ascii="Times New Roman" w:eastAsia="Times New Roman" w:hAnsi="Times New Roman" w:cs="Times New Roman"/>
        </w:rPr>
      </w:pPr>
    </w:p>
    <w:p w14:paraId="6995D17F"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Grossman, J. (2019). “Fair Labor Standards Act of 1938: Maximum Struggle for a Minimum Wage,” </w:t>
      </w:r>
      <w:r>
        <w:rPr>
          <w:rFonts w:ascii="Times New Roman" w:eastAsia="Times New Roman" w:hAnsi="Times New Roman" w:cs="Times New Roman"/>
          <w:i/>
        </w:rPr>
        <w:t>U.S. Department of Labor</w:t>
      </w:r>
      <w:r>
        <w:rPr>
          <w:rFonts w:ascii="Times New Roman" w:eastAsia="Times New Roman" w:hAnsi="Times New Roman" w:cs="Times New Roman"/>
        </w:rPr>
        <w:t xml:space="preserve">, Available online: </w:t>
      </w:r>
      <w:hyperlink r:id="rId55">
        <w:r>
          <w:rPr>
            <w:rFonts w:ascii="Times New Roman" w:eastAsia="Times New Roman" w:hAnsi="Times New Roman" w:cs="Times New Roman"/>
            <w:color w:val="1155CC"/>
            <w:u w:val="single"/>
          </w:rPr>
          <w:t>https://www.dol.gov/general/aboutdol/history/flsa1938</w:t>
        </w:r>
      </w:hyperlink>
      <w:r>
        <w:rPr>
          <w:rFonts w:ascii="Times New Roman" w:eastAsia="Times New Roman" w:hAnsi="Times New Roman" w:cs="Times New Roman"/>
        </w:rPr>
        <w:t>, [Accessed 29 December 2019].</w:t>
      </w:r>
    </w:p>
    <w:p w14:paraId="2D862644" w14:textId="77777777" w:rsidR="00861DF6" w:rsidRDefault="00861DF6" w:rsidP="00861DF6">
      <w:pPr>
        <w:ind w:left="720" w:hanging="720"/>
        <w:rPr>
          <w:rFonts w:ascii="Times New Roman" w:eastAsia="Times New Roman" w:hAnsi="Times New Roman" w:cs="Times New Roman"/>
        </w:rPr>
      </w:pPr>
    </w:p>
    <w:p w14:paraId="3392D964"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Gunnigle</w:t>
      </w:r>
      <w:proofErr w:type="spellEnd"/>
      <w:r>
        <w:rPr>
          <w:rFonts w:ascii="Times New Roman" w:eastAsia="Times New Roman" w:hAnsi="Times New Roman" w:cs="Times New Roman"/>
        </w:rPr>
        <w:t>, P., Lavelle, J., &amp; McDonnell, A. (2009). “Subtle but Deadly</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Union Avoidance through ‘Double Breasting’ Among Multinational Companies,” </w:t>
      </w:r>
      <w:proofErr w:type="spellStart"/>
      <w:r>
        <w:rPr>
          <w:rFonts w:ascii="Times New Roman" w:eastAsia="Times New Roman" w:hAnsi="Times New Roman" w:cs="Times New Roman"/>
        </w:rPr>
        <w:t>Lewin</w:t>
      </w:r>
      <w:proofErr w:type="spellEnd"/>
      <w:r>
        <w:rPr>
          <w:rFonts w:ascii="Times New Roman" w:eastAsia="Times New Roman" w:hAnsi="Times New Roman" w:cs="Times New Roman"/>
        </w:rPr>
        <w:t xml:space="preserve">, D. &amp; Kaufman, B. (Ed.), </w:t>
      </w:r>
      <w:r>
        <w:rPr>
          <w:rFonts w:ascii="Times New Roman" w:eastAsia="Times New Roman" w:hAnsi="Times New Roman" w:cs="Times New Roman"/>
          <w:i/>
        </w:rPr>
        <w:t>Advances in Industrial &amp; Labor Relations</w:t>
      </w:r>
      <w:r>
        <w:rPr>
          <w:rFonts w:ascii="Times New Roman" w:eastAsia="Times New Roman" w:hAnsi="Times New Roman" w:cs="Times New Roman"/>
        </w:rPr>
        <w:t xml:space="preserve">, Bingley, pp. 51-73. Available online: </w:t>
      </w:r>
      <w:hyperlink r:id="rId56">
        <w:r>
          <w:rPr>
            <w:rFonts w:ascii="Times New Roman" w:eastAsia="Times New Roman" w:hAnsi="Times New Roman" w:cs="Times New Roman"/>
            <w:color w:val="1155CC"/>
            <w:u w:val="single"/>
          </w:rPr>
          <w:t>https://www.emerald.com/insight/content/doi/10.1108/S0742-6186(2009)0000016006/full/html</w:t>
        </w:r>
      </w:hyperlink>
      <w:r>
        <w:rPr>
          <w:rFonts w:ascii="Times New Roman" w:eastAsia="Times New Roman" w:hAnsi="Times New Roman" w:cs="Times New Roman"/>
        </w:rPr>
        <w:t>, [Accessed 26 January 2020].</w:t>
      </w:r>
    </w:p>
    <w:p w14:paraId="0E76DB8B" w14:textId="77777777" w:rsidR="00861DF6" w:rsidRDefault="00861DF6" w:rsidP="00861DF6">
      <w:pPr>
        <w:ind w:left="720" w:hanging="720"/>
        <w:rPr>
          <w:rFonts w:ascii="Times New Roman" w:eastAsia="Times New Roman" w:hAnsi="Times New Roman" w:cs="Times New Roman"/>
        </w:rPr>
      </w:pPr>
    </w:p>
    <w:p w14:paraId="23AAAC85"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Gurchiek</w:t>
      </w:r>
      <w:proofErr w:type="spellEnd"/>
      <w:r>
        <w:rPr>
          <w:rFonts w:ascii="Times New Roman" w:eastAsia="Times New Roman" w:hAnsi="Times New Roman" w:cs="Times New Roman"/>
        </w:rPr>
        <w:t xml:space="preserve">, K. (2018). “Research: Employers Willing to Overlook a Criminal Record to Hire the Right Person,” </w:t>
      </w:r>
      <w:r>
        <w:rPr>
          <w:rFonts w:ascii="Times New Roman" w:eastAsia="Times New Roman" w:hAnsi="Times New Roman" w:cs="Times New Roman"/>
          <w:i/>
        </w:rPr>
        <w:t>Society for Human Resource Management</w:t>
      </w:r>
      <w:r>
        <w:rPr>
          <w:rFonts w:ascii="Times New Roman" w:eastAsia="Times New Roman" w:hAnsi="Times New Roman" w:cs="Times New Roman"/>
        </w:rPr>
        <w:t xml:space="preserve">, Available online: </w:t>
      </w:r>
      <w:hyperlink r:id="rId57">
        <w:r>
          <w:rPr>
            <w:rFonts w:ascii="Times New Roman" w:eastAsia="Times New Roman" w:hAnsi="Times New Roman" w:cs="Times New Roman"/>
            <w:color w:val="1155CC"/>
            <w:u w:val="single"/>
          </w:rPr>
          <w:t>https://www.shrm.org/resourcesandtools/hr-topics/behavioral-competencies/global-and-cultural-effectiveness/pages/research-employers-willing-to-overlook-criminal-record-to-hire-right-person.aspx</w:t>
        </w:r>
      </w:hyperlink>
      <w:r>
        <w:rPr>
          <w:rFonts w:ascii="Times New Roman" w:eastAsia="Times New Roman" w:hAnsi="Times New Roman" w:cs="Times New Roman"/>
        </w:rPr>
        <w:t>, [Accessed 23 December 2019.]</w:t>
      </w:r>
    </w:p>
    <w:p w14:paraId="63A483D9" w14:textId="77777777" w:rsidR="00861DF6" w:rsidRDefault="00861DF6" w:rsidP="00861DF6">
      <w:pPr>
        <w:ind w:left="720" w:hanging="720"/>
        <w:rPr>
          <w:rFonts w:ascii="Times New Roman" w:eastAsia="Times New Roman" w:hAnsi="Times New Roman" w:cs="Times New Roman"/>
        </w:rPr>
      </w:pPr>
    </w:p>
    <w:p w14:paraId="65A91FF7"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Hagedorn</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Paras</w:t>
      </w:r>
      <w:proofErr w:type="spellEnd"/>
      <w:r>
        <w:rPr>
          <w:rFonts w:ascii="Times New Roman" w:eastAsia="Times New Roman" w:hAnsi="Times New Roman" w:cs="Times New Roman"/>
        </w:rPr>
        <w:t xml:space="preserve">, C.A., Greenwich, H., </w:t>
      </w:r>
      <w:proofErr w:type="spellStart"/>
      <w:r>
        <w:rPr>
          <w:rFonts w:ascii="Times New Roman" w:eastAsia="Times New Roman" w:hAnsi="Times New Roman" w:cs="Times New Roman"/>
        </w:rPr>
        <w:t>Hagopian</w:t>
      </w:r>
      <w:proofErr w:type="spellEnd"/>
      <w:r>
        <w:rPr>
          <w:rFonts w:ascii="Times New Roman" w:eastAsia="Times New Roman" w:hAnsi="Times New Roman" w:cs="Times New Roman"/>
        </w:rPr>
        <w:t xml:space="preserve">, A. (2016). “The Role of Labor Unions in Creating Working Conditions that Promote Public Health,” </w:t>
      </w:r>
      <w:r>
        <w:rPr>
          <w:rFonts w:ascii="Times New Roman" w:eastAsia="Times New Roman" w:hAnsi="Times New Roman" w:cs="Times New Roman"/>
          <w:i/>
        </w:rPr>
        <w:t>American Journal of Public Health</w:t>
      </w:r>
      <w:r>
        <w:rPr>
          <w:rFonts w:ascii="Times New Roman" w:eastAsia="Times New Roman" w:hAnsi="Times New Roman" w:cs="Times New Roman"/>
        </w:rPr>
        <w:t xml:space="preserve">, Vol. 106, No. 6, pp. 989-995, Available online: </w:t>
      </w:r>
      <w:hyperlink r:id="rId58">
        <w:r>
          <w:rPr>
            <w:rFonts w:ascii="Times New Roman" w:eastAsia="Times New Roman" w:hAnsi="Times New Roman" w:cs="Times New Roman"/>
            <w:color w:val="1155CC"/>
            <w:u w:val="single"/>
          </w:rPr>
          <w:t>https://www.ncbi.nlm.nih.gov/pmc/articles/PMC4880255/</w:t>
        </w:r>
      </w:hyperlink>
      <w:r>
        <w:rPr>
          <w:rFonts w:ascii="Times New Roman" w:eastAsia="Times New Roman" w:hAnsi="Times New Roman" w:cs="Times New Roman"/>
        </w:rPr>
        <w:t>, [Accessed 22 January 2020].</w:t>
      </w:r>
    </w:p>
    <w:p w14:paraId="396302DC" w14:textId="77777777" w:rsidR="00861DF6" w:rsidRDefault="00861DF6" w:rsidP="00861DF6">
      <w:pPr>
        <w:ind w:left="720" w:hanging="720"/>
        <w:rPr>
          <w:rFonts w:ascii="Times New Roman" w:eastAsia="Times New Roman" w:hAnsi="Times New Roman" w:cs="Times New Roman"/>
        </w:rPr>
      </w:pPr>
    </w:p>
    <w:p w14:paraId="243C22AB"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Hancock, A.M. (2007). “When Multiplication Doesn’t Equal Quick Addition: Examining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as a Research Paradigm,” </w:t>
      </w:r>
      <w:r>
        <w:rPr>
          <w:rFonts w:ascii="Times New Roman" w:eastAsia="Times New Roman" w:hAnsi="Times New Roman" w:cs="Times New Roman"/>
          <w:i/>
        </w:rPr>
        <w:t>Perspectives on Politics</w:t>
      </w:r>
      <w:r>
        <w:rPr>
          <w:rFonts w:ascii="Times New Roman" w:eastAsia="Times New Roman" w:hAnsi="Times New Roman" w:cs="Times New Roman"/>
        </w:rPr>
        <w:t xml:space="preserve">, Vol. 5, No. 1, pp. 63-78, Available online: </w:t>
      </w:r>
      <w:hyperlink r:id="rId59">
        <w:r>
          <w:rPr>
            <w:rFonts w:ascii="Times New Roman" w:eastAsia="Times New Roman" w:hAnsi="Times New Roman" w:cs="Times New Roman"/>
            <w:color w:val="0000FF"/>
            <w:u w:val="single"/>
          </w:rPr>
          <w:t>https://doi.org/10.1017/S1537592707070065</w:t>
        </w:r>
      </w:hyperlink>
      <w:r>
        <w:rPr>
          <w:rFonts w:ascii="Times New Roman" w:eastAsia="Times New Roman" w:hAnsi="Times New Roman" w:cs="Times New Roman"/>
        </w:rPr>
        <w:t>, [Accessed 27 December 2020]. </w:t>
      </w:r>
    </w:p>
    <w:p w14:paraId="26718266" w14:textId="77777777" w:rsidR="00861DF6" w:rsidRDefault="00861DF6" w:rsidP="00861DF6">
      <w:pPr>
        <w:ind w:left="720" w:hanging="720"/>
        <w:rPr>
          <w:rFonts w:ascii="Times New Roman" w:eastAsia="Times New Roman" w:hAnsi="Times New Roman" w:cs="Times New Roman"/>
        </w:rPr>
      </w:pPr>
    </w:p>
    <w:p w14:paraId="320ACF17"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Hankivsky</w:t>
      </w:r>
      <w:proofErr w:type="spellEnd"/>
      <w:r>
        <w:rPr>
          <w:rFonts w:ascii="Times New Roman" w:eastAsia="Times New Roman" w:hAnsi="Times New Roman" w:cs="Times New Roman"/>
        </w:rPr>
        <w:t xml:space="preserve">, O. (2005). “Gender Mainstreaming vs. Diversity Mainstreaming: A Preliminary Examination of the Role and Transformative Potential of Feminist Theory,” </w:t>
      </w:r>
      <w:r>
        <w:rPr>
          <w:rFonts w:ascii="Times New Roman" w:eastAsia="Times New Roman" w:hAnsi="Times New Roman" w:cs="Times New Roman"/>
          <w:i/>
        </w:rPr>
        <w:t xml:space="preserve">Canadian Journal of Political Science, </w:t>
      </w:r>
      <w:r>
        <w:rPr>
          <w:rFonts w:ascii="Times New Roman" w:eastAsia="Times New Roman" w:hAnsi="Times New Roman" w:cs="Times New Roman"/>
        </w:rPr>
        <w:t xml:space="preserve">Vol. 38, pp. 977-1001, Available online: </w:t>
      </w:r>
      <w:hyperlink r:id="rId60">
        <w:r>
          <w:rPr>
            <w:rFonts w:ascii="Times New Roman" w:eastAsia="Times New Roman" w:hAnsi="Times New Roman" w:cs="Times New Roman"/>
            <w:color w:val="1155CC"/>
            <w:u w:val="single"/>
          </w:rPr>
          <w:t>https://www.jstor.org/stable/25165888</w:t>
        </w:r>
      </w:hyperlink>
      <w:r>
        <w:rPr>
          <w:rFonts w:ascii="Times New Roman" w:eastAsia="Times New Roman" w:hAnsi="Times New Roman" w:cs="Times New Roman"/>
        </w:rPr>
        <w:t>, [Accessed 3 January 2020]. </w:t>
      </w:r>
    </w:p>
    <w:p w14:paraId="63B77E71" w14:textId="77777777" w:rsidR="00B84936" w:rsidRDefault="00B84936">
      <w:pPr>
        <w:rPr>
          <w:rFonts w:ascii="Times New Roman" w:eastAsia="Times New Roman" w:hAnsi="Times New Roman" w:cs="Times New Roman"/>
        </w:rPr>
      </w:pPr>
    </w:p>
    <w:p w14:paraId="117AB422"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Hankivsky</w:t>
      </w:r>
      <w:proofErr w:type="spellEnd"/>
      <w:r>
        <w:rPr>
          <w:rFonts w:ascii="Times New Roman" w:eastAsia="Times New Roman" w:hAnsi="Times New Roman" w:cs="Times New Roman"/>
        </w:rPr>
        <w:t>, O. &amp; Cormier, R. (2011).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and Public Policy: Some Lessons from Existing Models,” </w:t>
      </w:r>
      <w:r>
        <w:rPr>
          <w:rFonts w:ascii="Times New Roman" w:eastAsia="Times New Roman" w:hAnsi="Times New Roman" w:cs="Times New Roman"/>
          <w:i/>
        </w:rPr>
        <w:t>Political Research Quarterly</w:t>
      </w:r>
      <w:r>
        <w:rPr>
          <w:rFonts w:ascii="Times New Roman" w:eastAsia="Times New Roman" w:hAnsi="Times New Roman" w:cs="Times New Roman"/>
        </w:rPr>
        <w:t xml:space="preserve">, Vol. 64, No. 1, pp. 217-229, Available online: </w:t>
      </w:r>
      <w:hyperlink r:id="rId61">
        <w:r>
          <w:rPr>
            <w:rFonts w:ascii="Times New Roman" w:eastAsia="Times New Roman" w:hAnsi="Times New Roman" w:cs="Times New Roman"/>
            <w:color w:val="0000FF"/>
            <w:u w:val="single"/>
          </w:rPr>
          <w:t>https://www.jstor.org/stable/41058335</w:t>
        </w:r>
      </w:hyperlink>
      <w:r>
        <w:rPr>
          <w:rFonts w:ascii="Times New Roman" w:eastAsia="Times New Roman" w:hAnsi="Times New Roman" w:cs="Times New Roman"/>
        </w:rPr>
        <w:t>, [Accessed 11 January 2020].</w:t>
      </w:r>
    </w:p>
    <w:p w14:paraId="013A6205" w14:textId="77777777" w:rsidR="00861DF6" w:rsidRDefault="00861DF6" w:rsidP="00861DF6">
      <w:pPr>
        <w:ind w:left="720" w:hanging="720"/>
        <w:rPr>
          <w:rFonts w:ascii="Times New Roman" w:eastAsia="Times New Roman" w:hAnsi="Times New Roman" w:cs="Times New Roman"/>
        </w:rPr>
      </w:pPr>
    </w:p>
    <w:p w14:paraId="2B5D323A"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Hankivsky</w:t>
      </w:r>
      <w:proofErr w:type="spellEnd"/>
      <w:r>
        <w:rPr>
          <w:rFonts w:ascii="Times New Roman" w:eastAsia="Times New Roman" w:hAnsi="Times New Roman" w:cs="Times New Roman"/>
        </w:rPr>
        <w:t xml:space="preserve">, O. &amp; Jordan-Zachery, J.S. (2019). </w:t>
      </w:r>
      <w:r>
        <w:rPr>
          <w:rFonts w:ascii="Times New Roman" w:eastAsia="Times New Roman" w:hAnsi="Times New Roman" w:cs="Times New Roman"/>
          <w:i/>
        </w:rPr>
        <w:t xml:space="preserve">The Palgrave Handbook of </w:t>
      </w:r>
      <w:proofErr w:type="spellStart"/>
      <w:r>
        <w:rPr>
          <w:rFonts w:ascii="Times New Roman" w:eastAsia="Times New Roman" w:hAnsi="Times New Roman" w:cs="Times New Roman"/>
          <w:i/>
        </w:rPr>
        <w:t>Intersectionality</w:t>
      </w:r>
      <w:proofErr w:type="spellEnd"/>
      <w:r>
        <w:rPr>
          <w:rFonts w:ascii="Times New Roman" w:eastAsia="Times New Roman" w:hAnsi="Times New Roman" w:cs="Times New Roman"/>
          <w:i/>
        </w:rPr>
        <w:t xml:space="preserve"> in Public Policy,</w:t>
      </w:r>
      <w:r>
        <w:rPr>
          <w:rFonts w:ascii="Times New Roman" w:eastAsia="Times New Roman" w:hAnsi="Times New Roman" w:cs="Times New Roman"/>
        </w:rPr>
        <w:t xml:space="preserve"> London: Palgrave Macmillan.</w:t>
      </w:r>
    </w:p>
    <w:p w14:paraId="315CA58D"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Harcourt, M., Hannah, M., &amp; Lam, H. (2013).</w:t>
      </w:r>
      <w:proofErr w:type="gramEnd"/>
      <w:r>
        <w:rPr>
          <w:rFonts w:ascii="Times New Roman" w:eastAsia="Times New Roman" w:hAnsi="Times New Roman" w:cs="Times New Roman"/>
        </w:rPr>
        <w:t xml:space="preserve"> “Distributive Justice, Employment-at-Will and Just-Cause Dismissal,” </w:t>
      </w:r>
      <w:r>
        <w:rPr>
          <w:rFonts w:ascii="Times New Roman" w:eastAsia="Times New Roman" w:hAnsi="Times New Roman" w:cs="Times New Roman"/>
          <w:i/>
        </w:rPr>
        <w:t>Journal of Business Ethics</w:t>
      </w:r>
      <w:r>
        <w:rPr>
          <w:rFonts w:ascii="Times New Roman" w:eastAsia="Times New Roman" w:hAnsi="Times New Roman" w:cs="Times New Roman"/>
        </w:rPr>
        <w:t xml:space="preserve">, Vol. 115, No. 2, pp. 311-325, Available online: </w:t>
      </w:r>
      <w:hyperlink r:id="rId62">
        <w:r>
          <w:rPr>
            <w:rFonts w:ascii="Times New Roman" w:eastAsia="Times New Roman" w:hAnsi="Times New Roman" w:cs="Times New Roman"/>
            <w:color w:val="1155CC"/>
            <w:u w:val="single"/>
          </w:rPr>
          <w:t>https://doi.org/10.1007/s10551-012-1400-9</w:t>
        </w:r>
      </w:hyperlink>
      <w:r>
        <w:rPr>
          <w:rFonts w:ascii="Times New Roman" w:eastAsia="Times New Roman" w:hAnsi="Times New Roman" w:cs="Times New Roman"/>
        </w:rPr>
        <w:t>, [Accessed 11 February 2020].</w:t>
      </w:r>
    </w:p>
    <w:p w14:paraId="3BF45D7D" w14:textId="77777777" w:rsidR="00861DF6" w:rsidRDefault="00861DF6" w:rsidP="00861DF6">
      <w:pPr>
        <w:ind w:left="720" w:hanging="720"/>
        <w:rPr>
          <w:rFonts w:ascii="Times New Roman" w:eastAsia="Times New Roman" w:hAnsi="Times New Roman" w:cs="Times New Roman"/>
        </w:rPr>
      </w:pPr>
    </w:p>
    <w:p w14:paraId="4A47DAD4"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Head, J. &amp; Lucas, R. (2004). “Does Individual Employment Legislation Constrain the Ability of Hospitality Employers to ‘Hire and </w:t>
      </w:r>
      <w:proofErr w:type="gramStart"/>
      <w:r>
        <w:rPr>
          <w:rFonts w:ascii="Times New Roman" w:eastAsia="Times New Roman" w:hAnsi="Times New Roman" w:cs="Times New Roman"/>
        </w:rPr>
        <w:t>Fire’?,</w:t>
      </w:r>
      <w:proofErr w:type="gramEnd"/>
      <w:r>
        <w:rPr>
          <w:rFonts w:ascii="Times New Roman" w:eastAsia="Times New Roman" w:hAnsi="Times New Roman" w:cs="Times New Roman"/>
        </w:rPr>
        <w:t xml:space="preserve">” </w:t>
      </w:r>
      <w:r>
        <w:rPr>
          <w:rFonts w:ascii="Times New Roman" w:eastAsia="Times New Roman" w:hAnsi="Times New Roman" w:cs="Times New Roman"/>
          <w:i/>
        </w:rPr>
        <w:t xml:space="preserve">International Journal of </w:t>
      </w:r>
      <w:r>
        <w:rPr>
          <w:rFonts w:ascii="Times New Roman" w:eastAsia="Times New Roman" w:hAnsi="Times New Roman" w:cs="Times New Roman"/>
          <w:i/>
        </w:rPr>
        <w:lastRenderedPageBreak/>
        <w:t>Hospitality Management</w:t>
      </w:r>
      <w:r>
        <w:rPr>
          <w:rFonts w:ascii="Times New Roman" w:eastAsia="Times New Roman" w:hAnsi="Times New Roman" w:cs="Times New Roman"/>
        </w:rPr>
        <w:t xml:space="preserve">, Vol. 23, No. 3, pp. 239-254, Available online: </w:t>
      </w:r>
      <w:hyperlink r:id="rId63">
        <w:r>
          <w:rPr>
            <w:rFonts w:ascii="Times New Roman" w:eastAsia="Times New Roman" w:hAnsi="Times New Roman" w:cs="Times New Roman"/>
            <w:color w:val="1155CC"/>
            <w:u w:val="single"/>
          </w:rPr>
          <w:t>https://doi.org/10.1016/j.ijhm.2003.11.001</w:t>
        </w:r>
      </w:hyperlink>
      <w:r>
        <w:rPr>
          <w:rFonts w:ascii="Times New Roman" w:eastAsia="Times New Roman" w:hAnsi="Times New Roman" w:cs="Times New Roman"/>
        </w:rPr>
        <w:t>, [Accessed 11 February 2020].</w:t>
      </w:r>
    </w:p>
    <w:p w14:paraId="28B369A4" w14:textId="77777777" w:rsidR="00861DF6" w:rsidRDefault="00861DF6" w:rsidP="00861DF6">
      <w:pPr>
        <w:ind w:left="720" w:hanging="720"/>
        <w:rPr>
          <w:rFonts w:ascii="Times New Roman" w:eastAsia="Times New Roman" w:hAnsi="Times New Roman" w:cs="Times New Roman"/>
        </w:rPr>
      </w:pPr>
    </w:p>
    <w:p w14:paraId="41A2D13B"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Helliwell</w:t>
      </w:r>
      <w:proofErr w:type="spellEnd"/>
      <w:r>
        <w:rPr>
          <w:rFonts w:ascii="Times New Roman" w:eastAsia="Times New Roman" w:hAnsi="Times New Roman" w:cs="Times New Roman"/>
        </w:rPr>
        <w:t xml:space="preserve">, J., Layard, R., &amp; Sachs, J. (2019). </w:t>
      </w:r>
      <w:r>
        <w:rPr>
          <w:rFonts w:ascii="Times New Roman" w:eastAsia="Times New Roman" w:hAnsi="Times New Roman" w:cs="Times New Roman"/>
          <w:i/>
        </w:rPr>
        <w:t>World Happiness Report 2019</w:t>
      </w:r>
      <w:r>
        <w:rPr>
          <w:rFonts w:ascii="Times New Roman" w:eastAsia="Times New Roman" w:hAnsi="Times New Roman" w:cs="Times New Roman"/>
        </w:rPr>
        <w:t xml:space="preserve">, New York: United Nations Sustainable Development Solutions Network, Available online: </w:t>
      </w:r>
      <w:hyperlink r:id="rId64">
        <w:r>
          <w:rPr>
            <w:rFonts w:ascii="Times New Roman" w:eastAsia="Times New Roman" w:hAnsi="Times New Roman" w:cs="Times New Roman"/>
            <w:color w:val="1155CC"/>
            <w:u w:val="single"/>
          </w:rPr>
          <w:t>https://worldhappiness.report/ed/2019/</w:t>
        </w:r>
      </w:hyperlink>
      <w:r>
        <w:rPr>
          <w:rFonts w:ascii="Times New Roman" w:eastAsia="Times New Roman" w:hAnsi="Times New Roman" w:cs="Times New Roman"/>
        </w:rPr>
        <w:t>, [Accessed 6 January 2020].</w:t>
      </w:r>
    </w:p>
    <w:p w14:paraId="05E87B45" w14:textId="77777777" w:rsidR="00861DF6" w:rsidRDefault="00861DF6" w:rsidP="00861DF6">
      <w:pPr>
        <w:ind w:left="720" w:hanging="720"/>
        <w:rPr>
          <w:rFonts w:ascii="Times New Roman" w:eastAsia="Times New Roman" w:hAnsi="Times New Roman" w:cs="Times New Roman"/>
        </w:rPr>
      </w:pPr>
    </w:p>
    <w:p w14:paraId="1E419296"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Heywood, L. (2006). </w:t>
      </w:r>
      <w:r>
        <w:rPr>
          <w:rFonts w:ascii="Times New Roman" w:eastAsia="Times New Roman" w:hAnsi="Times New Roman" w:cs="Times New Roman"/>
          <w:i/>
        </w:rPr>
        <w:t>The Women’s Movement Today: An Encyclopedia of Third Wave Feminism</w:t>
      </w:r>
      <w:r>
        <w:rPr>
          <w:rFonts w:ascii="Times New Roman" w:eastAsia="Times New Roman" w:hAnsi="Times New Roman" w:cs="Times New Roman"/>
        </w:rPr>
        <w:t xml:space="preserve">, Vol. 1, </w:t>
      </w:r>
      <w:proofErr w:type="gramStart"/>
      <w:r>
        <w:rPr>
          <w:rFonts w:ascii="Times New Roman" w:eastAsia="Times New Roman" w:hAnsi="Times New Roman" w:cs="Times New Roman"/>
        </w:rPr>
        <w:t>No</w:t>
      </w:r>
      <w:proofErr w:type="gramEnd"/>
      <w:r>
        <w:rPr>
          <w:rFonts w:ascii="Times New Roman" w:eastAsia="Times New Roman" w:hAnsi="Times New Roman" w:cs="Times New Roman"/>
        </w:rPr>
        <w:t xml:space="preserve">. A-Z. Westport, CT: Greenwood. </w:t>
      </w:r>
    </w:p>
    <w:p w14:paraId="42CDAC81" w14:textId="77777777" w:rsidR="00861DF6" w:rsidRDefault="00861DF6" w:rsidP="00861DF6">
      <w:pPr>
        <w:ind w:left="720" w:hanging="720"/>
        <w:rPr>
          <w:rFonts w:ascii="Times New Roman" w:eastAsia="Times New Roman" w:hAnsi="Times New Roman" w:cs="Times New Roman"/>
        </w:rPr>
      </w:pPr>
    </w:p>
    <w:p w14:paraId="54A14947" w14:textId="77777777" w:rsidR="00B84936" w:rsidRDefault="001D1521" w:rsidP="00861DF6">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Hoepfl</w:t>
      </w:r>
      <w:proofErr w:type="spellEnd"/>
      <w:r>
        <w:rPr>
          <w:rFonts w:ascii="Times New Roman" w:eastAsia="Times New Roman" w:hAnsi="Times New Roman" w:cs="Times New Roman"/>
        </w:rPr>
        <w:t>, M. C. (1997).</w:t>
      </w:r>
      <w:proofErr w:type="gramEnd"/>
      <w:r>
        <w:rPr>
          <w:rFonts w:ascii="Times New Roman" w:eastAsia="Times New Roman" w:hAnsi="Times New Roman" w:cs="Times New Roman"/>
        </w:rPr>
        <w:t xml:space="preserve"> “Choosing Qualitative Research: A Primer for Technology Education Researchers.” </w:t>
      </w:r>
      <w:r>
        <w:rPr>
          <w:rFonts w:ascii="Times New Roman" w:eastAsia="Times New Roman" w:hAnsi="Times New Roman" w:cs="Times New Roman"/>
          <w:i/>
        </w:rPr>
        <w:t>Journal of Technology Education</w:t>
      </w:r>
      <w:r>
        <w:rPr>
          <w:rFonts w:ascii="Times New Roman" w:eastAsia="Times New Roman" w:hAnsi="Times New Roman" w:cs="Times New Roman"/>
        </w:rPr>
        <w:t xml:space="preserve">, Vol. 9, No. 2, pp. 47-63. Available online: </w:t>
      </w:r>
      <w:hyperlink r:id="rId65">
        <w:r>
          <w:rPr>
            <w:rFonts w:ascii="Times New Roman" w:eastAsia="Times New Roman" w:hAnsi="Times New Roman" w:cs="Times New Roman"/>
            <w:color w:val="1155CC"/>
            <w:u w:val="single"/>
          </w:rPr>
          <w:t>http://scholar.lib.vt.edu/ejournals/JTE/v9n1/pdf/hoepfl.pdf</w:t>
        </w:r>
      </w:hyperlink>
      <w:r>
        <w:rPr>
          <w:rFonts w:ascii="Times New Roman" w:eastAsia="Times New Roman" w:hAnsi="Times New Roman" w:cs="Times New Roman"/>
        </w:rPr>
        <w:t>, [Accessed 1 December 2019].</w:t>
      </w:r>
    </w:p>
    <w:p w14:paraId="4A84F8E4" w14:textId="77777777" w:rsidR="00B84936" w:rsidRDefault="00B84936">
      <w:pPr>
        <w:rPr>
          <w:rFonts w:ascii="Times New Roman" w:eastAsia="Times New Roman" w:hAnsi="Times New Roman" w:cs="Times New Roman"/>
        </w:rPr>
      </w:pPr>
    </w:p>
    <w:p w14:paraId="6A4D2355"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Hoyt, A. (Producer, Writer, &amp; Director) (1999). </w:t>
      </w:r>
      <w:r>
        <w:rPr>
          <w:rFonts w:ascii="Times New Roman" w:eastAsia="Times New Roman" w:hAnsi="Times New Roman" w:cs="Times New Roman"/>
          <w:i/>
        </w:rPr>
        <w:t>The Richest Man in the World: Andrew Carnegie</w:t>
      </w:r>
      <w:r>
        <w:rPr>
          <w:rFonts w:ascii="Times New Roman" w:eastAsia="Times New Roman" w:hAnsi="Times New Roman" w:cs="Times New Roman"/>
        </w:rPr>
        <w:t xml:space="preserve"> [Film] United States: PBS American Experience.</w:t>
      </w:r>
    </w:p>
    <w:p w14:paraId="2C517249" w14:textId="77777777" w:rsidR="00B84936" w:rsidRDefault="00B84936">
      <w:pPr>
        <w:rPr>
          <w:rFonts w:ascii="Times New Roman" w:eastAsia="Times New Roman" w:hAnsi="Times New Roman" w:cs="Times New Roman"/>
        </w:rPr>
      </w:pPr>
    </w:p>
    <w:p w14:paraId="4B9A1E67"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Hunt, P., Smart, R., </w:t>
      </w:r>
      <w:proofErr w:type="spellStart"/>
      <w:r>
        <w:rPr>
          <w:rFonts w:ascii="Times New Roman" w:eastAsia="Times New Roman" w:hAnsi="Times New Roman" w:cs="Times New Roman"/>
        </w:rPr>
        <w:t>Jonsson</w:t>
      </w:r>
      <w:proofErr w:type="spellEnd"/>
      <w:r>
        <w:rPr>
          <w:rFonts w:ascii="Times New Roman" w:eastAsia="Times New Roman" w:hAnsi="Times New Roman" w:cs="Times New Roman"/>
        </w:rPr>
        <w:t>, L., &amp; Tsang, F. (2018). “Incentivizing Employers to Hire Ex-Offenders: What Policies Are Most Effective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i/>
        </w:rPr>
        <w:t>RAND Corporation</w:t>
      </w:r>
      <w:r>
        <w:rPr>
          <w:rFonts w:ascii="Times New Roman" w:eastAsia="Times New Roman" w:hAnsi="Times New Roman" w:cs="Times New Roman"/>
        </w:rPr>
        <w:t xml:space="preserve">, Available online: </w:t>
      </w:r>
      <w:hyperlink r:id="rId66">
        <w:r>
          <w:rPr>
            <w:rFonts w:ascii="Times New Roman" w:eastAsia="Times New Roman" w:hAnsi="Times New Roman" w:cs="Times New Roman"/>
            <w:color w:val="1155CC"/>
            <w:u w:val="single"/>
          </w:rPr>
          <w:t>https://doi.org/10.7249/RB10003</w:t>
        </w:r>
      </w:hyperlink>
      <w:r>
        <w:rPr>
          <w:rFonts w:ascii="Times New Roman" w:eastAsia="Times New Roman" w:hAnsi="Times New Roman" w:cs="Times New Roman"/>
        </w:rPr>
        <w:t>, [Accessed 22 December 2019]. </w:t>
      </w:r>
    </w:p>
    <w:p w14:paraId="7D5AA8DA" w14:textId="77777777" w:rsidR="00861DF6" w:rsidRDefault="00861DF6" w:rsidP="00861DF6">
      <w:pPr>
        <w:ind w:left="720" w:hanging="720"/>
        <w:rPr>
          <w:rFonts w:ascii="Times New Roman" w:eastAsia="Times New Roman" w:hAnsi="Times New Roman" w:cs="Times New Roman"/>
        </w:rPr>
      </w:pPr>
    </w:p>
    <w:p w14:paraId="728D44FC"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Hutchinson, E.M. &amp; </w:t>
      </w:r>
      <w:proofErr w:type="spellStart"/>
      <w:r>
        <w:rPr>
          <w:rFonts w:ascii="Times New Roman" w:eastAsia="Times New Roman" w:hAnsi="Times New Roman" w:cs="Times New Roman"/>
        </w:rPr>
        <w:t>Meisburg</w:t>
      </w:r>
      <w:proofErr w:type="spellEnd"/>
      <w:r>
        <w:rPr>
          <w:rFonts w:ascii="Times New Roman" w:eastAsia="Times New Roman" w:hAnsi="Times New Roman" w:cs="Times New Roman"/>
        </w:rPr>
        <w:t xml:space="preserve">, R. (2018). “DOL Repeals Obama-Era ‘Persuader Rule’,” </w:t>
      </w:r>
      <w:proofErr w:type="spellStart"/>
      <w:r>
        <w:rPr>
          <w:rFonts w:ascii="Times New Roman" w:eastAsia="Times New Roman" w:hAnsi="Times New Roman" w:cs="Times New Roman"/>
          <w:i/>
        </w:rPr>
        <w:t>Hunton</w:t>
      </w:r>
      <w:proofErr w:type="spellEnd"/>
      <w:r>
        <w:rPr>
          <w:rFonts w:ascii="Times New Roman" w:eastAsia="Times New Roman" w:hAnsi="Times New Roman" w:cs="Times New Roman"/>
          <w:i/>
        </w:rPr>
        <w:t xml:space="preserve"> Employment &amp; Labor Perspectives</w:t>
      </w:r>
      <w:r>
        <w:rPr>
          <w:rFonts w:ascii="Times New Roman" w:eastAsia="Times New Roman" w:hAnsi="Times New Roman" w:cs="Times New Roman"/>
        </w:rPr>
        <w:t xml:space="preserve">, Available online: </w:t>
      </w:r>
      <w:hyperlink r:id="rId67">
        <w:r>
          <w:rPr>
            <w:rFonts w:ascii="Times New Roman" w:eastAsia="Times New Roman" w:hAnsi="Times New Roman" w:cs="Times New Roman"/>
            <w:color w:val="1155CC"/>
            <w:u w:val="single"/>
          </w:rPr>
          <w:t>https://www.huntonlaborblog.com/2018/07/articles/labor-unions/dol-repeals-obama-era-persuader-rule/</w:t>
        </w:r>
      </w:hyperlink>
      <w:r>
        <w:rPr>
          <w:rFonts w:ascii="Times New Roman" w:eastAsia="Times New Roman" w:hAnsi="Times New Roman" w:cs="Times New Roman"/>
        </w:rPr>
        <w:t>, [Accessed 21 February 2020].</w:t>
      </w:r>
    </w:p>
    <w:p w14:paraId="5D11579A" w14:textId="77777777" w:rsidR="00861DF6" w:rsidRDefault="00861DF6" w:rsidP="00861DF6">
      <w:pPr>
        <w:ind w:left="720" w:hanging="720"/>
        <w:rPr>
          <w:rFonts w:ascii="Times New Roman" w:eastAsia="Times New Roman" w:hAnsi="Times New Roman" w:cs="Times New Roman"/>
        </w:rPr>
      </w:pPr>
    </w:p>
    <w:p w14:paraId="309C6325"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Iowa Public Employment Relations Board.</w:t>
      </w:r>
      <w:proofErr w:type="gramEnd"/>
      <w:r>
        <w:rPr>
          <w:rFonts w:ascii="Times New Roman" w:eastAsia="Times New Roman" w:hAnsi="Times New Roman" w:cs="Times New Roman"/>
        </w:rPr>
        <w:t xml:space="preserve"> (2019). “Recertification FAQ’s,” </w:t>
      </w:r>
      <w:r>
        <w:rPr>
          <w:rFonts w:ascii="Times New Roman" w:eastAsia="Times New Roman" w:hAnsi="Times New Roman" w:cs="Times New Roman"/>
          <w:i/>
        </w:rPr>
        <w:t>Iowa.gov</w:t>
      </w:r>
      <w:r>
        <w:rPr>
          <w:rFonts w:ascii="Times New Roman" w:eastAsia="Times New Roman" w:hAnsi="Times New Roman" w:cs="Times New Roman"/>
        </w:rPr>
        <w:t xml:space="preserve">, Available online: </w:t>
      </w:r>
      <w:hyperlink r:id="rId68">
        <w:r>
          <w:rPr>
            <w:rFonts w:ascii="Times New Roman" w:eastAsia="Times New Roman" w:hAnsi="Times New Roman" w:cs="Times New Roman"/>
            <w:color w:val="1155CC"/>
            <w:u w:val="single"/>
          </w:rPr>
          <w:t>https://iowaperb.iowa.gov/recertification-faqs</w:t>
        </w:r>
      </w:hyperlink>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[Accessed 17 March 2020]. </w:t>
      </w:r>
    </w:p>
    <w:p w14:paraId="1A0CA158" w14:textId="77777777" w:rsidR="00861DF6" w:rsidRDefault="00861DF6" w:rsidP="00861DF6">
      <w:pPr>
        <w:ind w:left="720" w:hanging="720"/>
        <w:rPr>
          <w:rFonts w:ascii="Times New Roman" w:eastAsia="Times New Roman" w:hAnsi="Times New Roman" w:cs="Times New Roman"/>
        </w:rPr>
      </w:pPr>
    </w:p>
    <w:p w14:paraId="7A9455FC"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 xml:space="preserve">Jacobs, K., Perry, I.E., &amp; </w:t>
      </w:r>
      <w:proofErr w:type="spellStart"/>
      <w:r>
        <w:rPr>
          <w:rFonts w:ascii="Times New Roman" w:eastAsia="Times New Roman" w:hAnsi="Times New Roman" w:cs="Times New Roman"/>
        </w:rPr>
        <w:t>MacGillvary</w:t>
      </w:r>
      <w:proofErr w:type="spellEnd"/>
      <w:r>
        <w:rPr>
          <w:rFonts w:ascii="Times New Roman" w:eastAsia="Times New Roman" w:hAnsi="Times New Roman" w:cs="Times New Roman"/>
        </w:rPr>
        <w:t>, J. (2015).</w:t>
      </w:r>
      <w:proofErr w:type="gramEnd"/>
      <w:r>
        <w:rPr>
          <w:rFonts w:ascii="Times New Roman" w:eastAsia="Times New Roman" w:hAnsi="Times New Roman" w:cs="Times New Roman"/>
        </w:rPr>
        <w:t xml:space="preserve"> “The High Public Cost of Low Wages: Low Wages Cost U.S. Taxpayers $152.8 Billion Each Year in Public Support for Working Families,” </w:t>
      </w:r>
      <w:r>
        <w:rPr>
          <w:rFonts w:ascii="Times New Roman" w:eastAsia="Times New Roman" w:hAnsi="Times New Roman" w:cs="Times New Roman"/>
          <w:i/>
        </w:rPr>
        <w:t>U.C. Berkeley Labor Center</w:t>
      </w:r>
      <w:r>
        <w:rPr>
          <w:rFonts w:ascii="Times New Roman" w:eastAsia="Times New Roman" w:hAnsi="Times New Roman" w:cs="Times New Roman"/>
        </w:rPr>
        <w:t xml:space="preserve">, Available online: </w:t>
      </w:r>
      <w:hyperlink r:id="rId69">
        <w:r>
          <w:rPr>
            <w:rFonts w:ascii="Times New Roman" w:eastAsia="Times New Roman" w:hAnsi="Times New Roman" w:cs="Times New Roman"/>
            <w:color w:val="1155CC"/>
            <w:u w:val="single"/>
          </w:rPr>
          <w:t>http://laborcenter.berkeley.edu/the-high-public-cost-of-low-wages/</w:t>
        </w:r>
      </w:hyperlink>
      <w:r>
        <w:rPr>
          <w:rFonts w:ascii="Times New Roman" w:eastAsia="Times New Roman" w:hAnsi="Times New Roman" w:cs="Times New Roman"/>
        </w:rPr>
        <w:t>, [Accessed 2 January 2020.]</w:t>
      </w:r>
    </w:p>
    <w:p w14:paraId="27B392B1" w14:textId="77777777" w:rsidR="00B84936" w:rsidRDefault="00B84936">
      <w:pPr>
        <w:rPr>
          <w:rFonts w:ascii="Times New Roman" w:eastAsia="Times New Roman" w:hAnsi="Times New Roman" w:cs="Times New Roman"/>
        </w:rPr>
      </w:pPr>
    </w:p>
    <w:p w14:paraId="2F0F6ABE"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Johnson, S. D. (1995). “Will Our Research Hold Up Under Scrutiny</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i/>
        </w:rPr>
        <w:t>Journal of Industrial Teacher Education</w:t>
      </w:r>
      <w:r>
        <w:rPr>
          <w:rFonts w:ascii="Times New Roman" w:eastAsia="Times New Roman" w:hAnsi="Times New Roman" w:cs="Times New Roman"/>
        </w:rPr>
        <w:t xml:space="preserve">, Vol. 32, No. 3, pp. 3-6, Available online: </w:t>
      </w:r>
      <w:hyperlink r:id="rId70">
        <w:r>
          <w:rPr>
            <w:rFonts w:ascii="Times New Roman" w:eastAsia="Times New Roman" w:hAnsi="Times New Roman" w:cs="Times New Roman"/>
            <w:color w:val="0000FF"/>
            <w:u w:val="single"/>
          </w:rPr>
          <w:t>https://scholar.lib.vt.edu/ejournals/JITE/v32n3/ed_notes.html</w:t>
        </w:r>
      </w:hyperlink>
      <w:r>
        <w:rPr>
          <w:rFonts w:ascii="Times New Roman" w:eastAsia="Times New Roman" w:hAnsi="Times New Roman" w:cs="Times New Roman"/>
        </w:rPr>
        <w:t>, [Accessed 21 December 2020].</w:t>
      </w:r>
    </w:p>
    <w:p w14:paraId="4B03A339" w14:textId="77777777" w:rsidR="00861DF6" w:rsidRDefault="00861DF6" w:rsidP="00861DF6">
      <w:pPr>
        <w:ind w:left="720" w:hanging="720"/>
        <w:rPr>
          <w:rFonts w:ascii="Times New Roman" w:eastAsia="Times New Roman" w:hAnsi="Times New Roman" w:cs="Times New Roman"/>
        </w:rPr>
      </w:pPr>
    </w:p>
    <w:p w14:paraId="7D7EB7B6"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Karcher</w:t>
      </w:r>
      <w:proofErr w:type="spellEnd"/>
      <w:r>
        <w:rPr>
          <w:rFonts w:ascii="Times New Roman" w:eastAsia="Times New Roman" w:hAnsi="Times New Roman" w:cs="Times New Roman"/>
        </w:rPr>
        <w:t>, K. (2019). “Pursuing Social Justice: How Might a Universal Basic Income or Federal Jobs Guarantee Help Women</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i/>
        </w:rPr>
        <w:t>Political Science – University of Washington Library</w:t>
      </w:r>
      <w:r>
        <w:rPr>
          <w:rFonts w:ascii="Times New Roman" w:eastAsia="Times New Roman" w:hAnsi="Times New Roman" w:cs="Times New Roman"/>
        </w:rPr>
        <w:t xml:space="preserve">, Available online: </w:t>
      </w:r>
      <w:hyperlink r:id="rId71">
        <w:r>
          <w:rPr>
            <w:rFonts w:ascii="Times New Roman" w:eastAsia="Times New Roman" w:hAnsi="Times New Roman" w:cs="Times New Roman"/>
            <w:color w:val="0000FF"/>
            <w:u w:val="single"/>
          </w:rPr>
          <w:t>https://digital.lib.washington.edu/researchworks/handle/1773/43803</w:t>
        </w:r>
      </w:hyperlink>
      <w:r>
        <w:rPr>
          <w:rFonts w:ascii="Times New Roman" w:eastAsia="Times New Roman" w:hAnsi="Times New Roman" w:cs="Times New Roman"/>
        </w:rPr>
        <w:t>, [Accessed 10 March 2020].</w:t>
      </w:r>
    </w:p>
    <w:p w14:paraId="05D3B15D" w14:textId="77777777" w:rsidR="00861DF6" w:rsidRDefault="00861DF6" w:rsidP="00861DF6">
      <w:pPr>
        <w:ind w:left="720" w:hanging="720"/>
        <w:rPr>
          <w:rFonts w:ascii="Times New Roman" w:eastAsia="Times New Roman" w:hAnsi="Times New Roman" w:cs="Times New Roman"/>
        </w:rPr>
      </w:pPr>
    </w:p>
    <w:p w14:paraId="015AC645"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Keller, E. &amp; Kelly, N.J. (2015). “Partisan Politics, Financial Deregulation, and the New Gilded Age,” </w:t>
      </w:r>
      <w:r>
        <w:rPr>
          <w:rFonts w:ascii="Times New Roman" w:eastAsia="Times New Roman" w:hAnsi="Times New Roman" w:cs="Times New Roman"/>
          <w:i/>
        </w:rPr>
        <w:t>Political Research Quarterly,”</w:t>
      </w:r>
      <w:r>
        <w:rPr>
          <w:rFonts w:ascii="Times New Roman" w:eastAsia="Times New Roman" w:hAnsi="Times New Roman" w:cs="Times New Roman"/>
        </w:rPr>
        <w:t xml:space="preserve"> Vol. 68, No. 3, pp. 428-442, Available online: </w:t>
      </w:r>
      <w:hyperlink r:id="rId72">
        <w:r>
          <w:rPr>
            <w:rFonts w:ascii="Times New Roman" w:eastAsia="Times New Roman" w:hAnsi="Times New Roman" w:cs="Times New Roman"/>
            <w:color w:val="0000FF"/>
            <w:u w:val="single"/>
          </w:rPr>
          <w:t>https://doi.org/10.1177/1065912915591218</w:t>
        </w:r>
      </w:hyperlink>
      <w:r>
        <w:rPr>
          <w:rFonts w:ascii="Times New Roman" w:eastAsia="Times New Roman" w:hAnsi="Times New Roman" w:cs="Times New Roman"/>
        </w:rPr>
        <w:t>, [Accessed 26 January 2020].</w:t>
      </w:r>
    </w:p>
    <w:p w14:paraId="11ED9A04" w14:textId="77777777" w:rsidR="00861DF6" w:rsidRDefault="00861DF6" w:rsidP="00861DF6">
      <w:pPr>
        <w:ind w:left="720" w:hanging="720"/>
        <w:rPr>
          <w:rFonts w:ascii="Times New Roman" w:eastAsia="Times New Roman" w:hAnsi="Times New Roman" w:cs="Times New Roman"/>
        </w:rPr>
      </w:pPr>
    </w:p>
    <w:p w14:paraId="1274F001" w14:textId="77777777" w:rsidR="00B84936" w:rsidRDefault="001D1521" w:rsidP="00861DF6">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Kelton</w:t>
      </w:r>
      <w:proofErr w:type="spellEnd"/>
      <w:r>
        <w:rPr>
          <w:rFonts w:ascii="Times New Roman" w:eastAsia="Times New Roman" w:hAnsi="Times New Roman" w:cs="Times New Roman"/>
        </w:rPr>
        <w:t>, S. (2020).</w:t>
      </w:r>
      <w:proofErr w:type="gramEnd"/>
      <w:r>
        <w:rPr>
          <w:rFonts w:ascii="Times New Roman" w:eastAsia="Times New Roman" w:hAnsi="Times New Roman" w:cs="Times New Roman"/>
        </w:rPr>
        <w:t xml:space="preserve"> The Deficit Myth: Modern Monetary Theory and the Birth of the People’s Economy, New York: Public Affairs.</w:t>
      </w:r>
    </w:p>
    <w:p w14:paraId="2B280CEA" w14:textId="77777777" w:rsidR="00B84936" w:rsidRDefault="00B84936">
      <w:pPr>
        <w:rPr>
          <w:rFonts w:ascii="Times New Roman" w:eastAsia="Times New Roman" w:hAnsi="Times New Roman" w:cs="Times New Roman"/>
        </w:rPr>
      </w:pPr>
    </w:p>
    <w:p w14:paraId="3A8434FA" w14:textId="77777777" w:rsidR="00B84936" w:rsidRDefault="001D1521">
      <w:pPr>
        <w:rPr>
          <w:rFonts w:ascii="Times New Roman" w:eastAsia="Times New Roman" w:hAnsi="Times New Roman" w:cs="Times New Roman"/>
        </w:rPr>
      </w:pPr>
      <w:proofErr w:type="gramStart"/>
      <w:r>
        <w:rPr>
          <w:rFonts w:ascii="Times New Roman" w:eastAsia="Times New Roman" w:hAnsi="Times New Roman" w:cs="Times New Roman"/>
        </w:rPr>
        <w:t>Klein, N. (2002).</w:t>
      </w:r>
      <w:proofErr w:type="gramEnd"/>
      <w:r>
        <w:rPr>
          <w:rFonts w:ascii="Times New Roman" w:eastAsia="Times New Roman" w:hAnsi="Times New Roman" w:cs="Times New Roman"/>
        </w:rPr>
        <w:t xml:space="preserve"> </w:t>
      </w:r>
      <w:r>
        <w:rPr>
          <w:rFonts w:ascii="Times New Roman" w:eastAsia="Times New Roman" w:hAnsi="Times New Roman" w:cs="Times New Roman"/>
          <w:i/>
        </w:rPr>
        <w:t>Fences and Windows</w:t>
      </w:r>
      <w:r>
        <w:rPr>
          <w:rFonts w:ascii="Times New Roman" w:eastAsia="Times New Roman" w:hAnsi="Times New Roman" w:cs="Times New Roman"/>
        </w:rPr>
        <w:t>, New York: Picador.</w:t>
      </w:r>
    </w:p>
    <w:p w14:paraId="7CF13358" w14:textId="77777777" w:rsidR="00B84936" w:rsidRDefault="00B84936">
      <w:pPr>
        <w:rPr>
          <w:rFonts w:ascii="Times New Roman" w:eastAsia="Times New Roman" w:hAnsi="Times New Roman" w:cs="Times New Roman"/>
        </w:rPr>
      </w:pPr>
    </w:p>
    <w:p w14:paraId="4C4BBB4B"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Kukorowski</w:t>
      </w:r>
      <w:proofErr w:type="spellEnd"/>
      <w:r>
        <w:rPr>
          <w:rFonts w:ascii="Times New Roman" w:eastAsia="Times New Roman" w:hAnsi="Times New Roman" w:cs="Times New Roman"/>
        </w:rPr>
        <w:t xml:space="preserve">, D., Wagner, P., &amp; </w:t>
      </w:r>
      <w:proofErr w:type="spellStart"/>
      <w:r>
        <w:rPr>
          <w:rFonts w:ascii="Times New Roman" w:eastAsia="Times New Roman" w:hAnsi="Times New Roman" w:cs="Times New Roman"/>
        </w:rPr>
        <w:t>Sakala</w:t>
      </w:r>
      <w:proofErr w:type="spellEnd"/>
      <w:r>
        <w:rPr>
          <w:rFonts w:ascii="Times New Roman" w:eastAsia="Times New Roman" w:hAnsi="Times New Roman" w:cs="Times New Roman"/>
        </w:rPr>
        <w:t xml:space="preserve">, L. (2013). “Please Deposit All of Your Money: Kickbacks, Rates, and Hidden Fees in the Jail Phone Industry,” </w:t>
      </w:r>
      <w:r>
        <w:rPr>
          <w:rFonts w:ascii="Times New Roman" w:eastAsia="Times New Roman" w:hAnsi="Times New Roman" w:cs="Times New Roman"/>
          <w:i/>
        </w:rPr>
        <w:t>Prison Policy Initiative</w:t>
      </w:r>
      <w:r>
        <w:rPr>
          <w:rFonts w:ascii="Times New Roman" w:eastAsia="Times New Roman" w:hAnsi="Times New Roman" w:cs="Times New Roman"/>
        </w:rPr>
        <w:t xml:space="preserve">, Available online: </w:t>
      </w:r>
      <w:hyperlink r:id="rId73">
        <w:r>
          <w:rPr>
            <w:rFonts w:ascii="Times New Roman" w:eastAsia="Times New Roman" w:hAnsi="Times New Roman" w:cs="Times New Roman"/>
            <w:color w:val="1155CC"/>
            <w:u w:val="single"/>
          </w:rPr>
          <w:t>https://www.prisonpolicy.org/phones/pleasedeposit_execsum.html</w:t>
        </w:r>
      </w:hyperlink>
      <w:r>
        <w:rPr>
          <w:rFonts w:ascii="Times New Roman" w:eastAsia="Times New Roman" w:hAnsi="Times New Roman" w:cs="Times New Roman"/>
        </w:rPr>
        <w:t>, [Accessed 29 December 2019]. </w:t>
      </w:r>
    </w:p>
    <w:p w14:paraId="105CFDB2" w14:textId="77777777" w:rsidR="00B84936" w:rsidRDefault="00B84936">
      <w:pPr>
        <w:rPr>
          <w:rFonts w:ascii="Times New Roman" w:eastAsia="Times New Roman" w:hAnsi="Times New Roman" w:cs="Times New Roman"/>
        </w:rPr>
      </w:pPr>
    </w:p>
    <w:p w14:paraId="5A7D5A26"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Lau, T. (2019). “Citizens United Explained,” </w:t>
      </w:r>
      <w:r>
        <w:rPr>
          <w:rFonts w:ascii="Times New Roman" w:eastAsia="Times New Roman" w:hAnsi="Times New Roman" w:cs="Times New Roman"/>
          <w:i/>
        </w:rPr>
        <w:t>The Brennan Center for Justice</w:t>
      </w:r>
      <w:r>
        <w:rPr>
          <w:rFonts w:ascii="Times New Roman" w:eastAsia="Times New Roman" w:hAnsi="Times New Roman" w:cs="Times New Roman"/>
        </w:rPr>
        <w:t xml:space="preserve">. Available online: </w:t>
      </w:r>
      <w:hyperlink r:id="rId74">
        <w:r>
          <w:rPr>
            <w:rFonts w:ascii="Times New Roman" w:eastAsia="Times New Roman" w:hAnsi="Times New Roman" w:cs="Times New Roman"/>
            <w:color w:val="0000FF"/>
            <w:u w:val="single"/>
          </w:rPr>
          <w:t>https://www.brennancenter.org/our-work/research-reports/citizens-united-explained</w:t>
        </w:r>
      </w:hyperlink>
      <w:r>
        <w:rPr>
          <w:rFonts w:ascii="Times New Roman" w:eastAsia="Times New Roman" w:hAnsi="Times New Roman" w:cs="Times New Roman"/>
        </w:rPr>
        <w:t xml:space="preserve">, [Accessed 8 March 2020]. </w:t>
      </w:r>
    </w:p>
    <w:p w14:paraId="7A88CDF3" w14:textId="77777777" w:rsidR="00861DF6" w:rsidRDefault="00861DF6" w:rsidP="00861DF6">
      <w:pPr>
        <w:ind w:left="720" w:hanging="720"/>
        <w:rPr>
          <w:rFonts w:ascii="Times New Roman" w:eastAsia="Times New Roman" w:hAnsi="Times New Roman" w:cs="Times New Roman"/>
        </w:rPr>
      </w:pPr>
    </w:p>
    <w:p w14:paraId="15F83E65"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Legal Information Institute. (2020a). “Secondary Boycott,” </w:t>
      </w:r>
      <w:r>
        <w:rPr>
          <w:rFonts w:ascii="Times New Roman" w:eastAsia="Times New Roman" w:hAnsi="Times New Roman" w:cs="Times New Roman"/>
          <w:i/>
        </w:rPr>
        <w:t>Cornell Law School Legal Information Institute</w:t>
      </w:r>
      <w:r>
        <w:rPr>
          <w:rFonts w:ascii="Times New Roman" w:eastAsia="Times New Roman" w:hAnsi="Times New Roman" w:cs="Times New Roman"/>
        </w:rPr>
        <w:t xml:space="preserve">, Available online: </w:t>
      </w:r>
      <w:hyperlink r:id="rId75">
        <w:r>
          <w:rPr>
            <w:rFonts w:ascii="Times New Roman" w:eastAsia="Times New Roman" w:hAnsi="Times New Roman" w:cs="Times New Roman"/>
            <w:color w:val="1155CC"/>
            <w:u w:val="single"/>
          </w:rPr>
          <w:t>https://www.law.cornell.edu/wex/secondary_boycott</w:t>
        </w:r>
      </w:hyperlink>
      <w:r>
        <w:rPr>
          <w:rFonts w:ascii="Times New Roman" w:eastAsia="Times New Roman" w:hAnsi="Times New Roman" w:cs="Times New Roman"/>
        </w:rPr>
        <w:t>, [Accessed 24 January 2020].</w:t>
      </w:r>
    </w:p>
    <w:p w14:paraId="6D51CFB2" w14:textId="77777777" w:rsidR="00861DF6" w:rsidRDefault="00861DF6" w:rsidP="00861DF6">
      <w:pPr>
        <w:ind w:left="720" w:hanging="720"/>
        <w:rPr>
          <w:rFonts w:ascii="Times New Roman" w:eastAsia="Times New Roman" w:hAnsi="Times New Roman" w:cs="Times New Roman"/>
        </w:rPr>
      </w:pPr>
    </w:p>
    <w:p w14:paraId="6F7E7351"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Legal Information Institute. (2020b). “Employment-at-Will Doctrine,” </w:t>
      </w:r>
      <w:r>
        <w:rPr>
          <w:rFonts w:ascii="Times New Roman" w:eastAsia="Times New Roman" w:hAnsi="Times New Roman" w:cs="Times New Roman"/>
          <w:i/>
        </w:rPr>
        <w:t>Cornell Law School Legal Information Institute</w:t>
      </w:r>
      <w:r>
        <w:rPr>
          <w:rFonts w:ascii="Times New Roman" w:eastAsia="Times New Roman" w:hAnsi="Times New Roman" w:cs="Times New Roman"/>
        </w:rPr>
        <w:t xml:space="preserve">, Available online: </w:t>
      </w:r>
      <w:hyperlink r:id="rId76">
        <w:r>
          <w:rPr>
            <w:rFonts w:ascii="Times New Roman" w:eastAsia="Times New Roman" w:hAnsi="Times New Roman" w:cs="Times New Roman"/>
            <w:color w:val="1155CC"/>
            <w:u w:val="single"/>
          </w:rPr>
          <w:t>https://www.law.cornell.edu/wex/employment-at-will_doctrine</w:t>
        </w:r>
      </w:hyperlink>
      <w:r>
        <w:rPr>
          <w:rFonts w:ascii="Times New Roman" w:eastAsia="Times New Roman" w:hAnsi="Times New Roman" w:cs="Times New Roman"/>
        </w:rPr>
        <w:t>, [Accessed 20 February 2020].</w:t>
      </w:r>
    </w:p>
    <w:p w14:paraId="7699D992" w14:textId="77777777" w:rsidR="00861DF6" w:rsidRDefault="00861DF6" w:rsidP="00861DF6">
      <w:pPr>
        <w:ind w:left="720" w:hanging="720"/>
        <w:rPr>
          <w:rFonts w:ascii="Times New Roman" w:eastAsia="Times New Roman" w:hAnsi="Times New Roman" w:cs="Times New Roman"/>
        </w:rPr>
      </w:pPr>
    </w:p>
    <w:p w14:paraId="611AE754"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Levitt, J. (2010). “Confronting the Impact of </w:t>
      </w:r>
      <w:r>
        <w:rPr>
          <w:rFonts w:ascii="Times New Roman" w:eastAsia="Times New Roman" w:hAnsi="Times New Roman" w:cs="Times New Roman"/>
          <w:i/>
        </w:rPr>
        <w:t>Citizens United</w:t>
      </w:r>
      <w:r>
        <w:rPr>
          <w:rFonts w:ascii="Times New Roman" w:eastAsia="Times New Roman" w:hAnsi="Times New Roman" w:cs="Times New Roman"/>
        </w:rPr>
        <w:t xml:space="preserve">,” </w:t>
      </w:r>
      <w:r>
        <w:rPr>
          <w:rFonts w:ascii="Times New Roman" w:eastAsia="Times New Roman" w:hAnsi="Times New Roman" w:cs="Times New Roman"/>
          <w:i/>
        </w:rPr>
        <w:t>Yale Law &amp; Policy Review</w:t>
      </w:r>
      <w:r>
        <w:rPr>
          <w:rFonts w:ascii="Times New Roman" w:eastAsia="Times New Roman" w:hAnsi="Times New Roman" w:cs="Times New Roman"/>
        </w:rPr>
        <w:t xml:space="preserve">, Vol. 29, Available online: </w:t>
      </w:r>
      <w:hyperlink r:id="rId77">
        <w:r>
          <w:rPr>
            <w:rFonts w:ascii="Times New Roman" w:eastAsia="Times New Roman" w:hAnsi="Times New Roman" w:cs="Times New Roman"/>
            <w:color w:val="0000FF"/>
            <w:u w:val="single"/>
          </w:rPr>
          <w:t>https://papers.ssrn.com/sol3/papers.cfm?abstract_id=1676108</w:t>
        </w:r>
      </w:hyperlink>
      <w:r>
        <w:rPr>
          <w:rFonts w:ascii="Times New Roman" w:eastAsia="Times New Roman" w:hAnsi="Times New Roman" w:cs="Times New Roman"/>
        </w:rPr>
        <w:t xml:space="preserve">, [Accessed 8 March 2020]. </w:t>
      </w:r>
    </w:p>
    <w:p w14:paraId="602979EC"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Lewis, C.M. (2019a). ‘The Workplace Democracy Plan, Explained,” </w:t>
      </w:r>
      <w:r>
        <w:rPr>
          <w:rFonts w:ascii="Times New Roman" w:eastAsia="Times New Roman" w:hAnsi="Times New Roman" w:cs="Times New Roman"/>
          <w:i/>
        </w:rPr>
        <w:t>Data For Progress</w:t>
      </w:r>
      <w:r>
        <w:rPr>
          <w:rFonts w:ascii="Times New Roman" w:eastAsia="Times New Roman" w:hAnsi="Times New Roman" w:cs="Times New Roman"/>
        </w:rPr>
        <w:t xml:space="preserve">, Available online: </w:t>
      </w:r>
      <w:hyperlink r:id="rId78">
        <w:r>
          <w:rPr>
            <w:rFonts w:ascii="Times New Roman" w:eastAsia="Times New Roman" w:hAnsi="Times New Roman" w:cs="Times New Roman"/>
            <w:color w:val="1155CC"/>
            <w:u w:val="single"/>
          </w:rPr>
          <w:t>https://www.dataforprogress.org/blog/2019/8/29/the-workplace-democracy-plan-explained-part-1</w:t>
        </w:r>
      </w:hyperlink>
      <w:r>
        <w:rPr>
          <w:rFonts w:ascii="Times New Roman" w:eastAsia="Times New Roman" w:hAnsi="Times New Roman" w:cs="Times New Roman"/>
        </w:rPr>
        <w:t>, [Accessed 10 February 2020].</w:t>
      </w:r>
    </w:p>
    <w:p w14:paraId="74CA58C0" w14:textId="77777777" w:rsidR="00861DF6" w:rsidRDefault="00861DF6" w:rsidP="00861DF6">
      <w:pPr>
        <w:ind w:left="720" w:hanging="720"/>
        <w:rPr>
          <w:rFonts w:ascii="Times New Roman" w:eastAsia="Times New Roman" w:hAnsi="Times New Roman" w:cs="Times New Roman"/>
          <w:b/>
        </w:rPr>
      </w:pPr>
    </w:p>
    <w:p w14:paraId="32374EF7"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Lewis, C.M. (2019b). ‘The Workplace Democracy Plan, Explained,” </w:t>
      </w:r>
      <w:r>
        <w:rPr>
          <w:rFonts w:ascii="Times New Roman" w:eastAsia="Times New Roman" w:hAnsi="Times New Roman" w:cs="Times New Roman"/>
          <w:i/>
        </w:rPr>
        <w:t>Data For Progress</w:t>
      </w:r>
      <w:r>
        <w:rPr>
          <w:rFonts w:ascii="Times New Roman" w:eastAsia="Times New Roman" w:hAnsi="Times New Roman" w:cs="Times New Roman"/>
        </w:rPr>
        <w:t xml:space="preserve">, Available online: </w:t>
      </w:r>
      <w:hyperlink r:id="rId79">
        <w:r>
          <w:rPr>
            <w:rFonts w:ascii="Times New Roman" w:eastAsia="Times New Roman" w:hAnsi="Times New Roman" w:cs="Times New Roman"/>
            <w:color w:val="1155CC"/>
            <w:u w:val="single"/>
          </w:rPr>
          <w:t>https://www.dataforprogress.org/blog/2019/9/5/the-workplace-democracy-explained-part-2</w:t>
        </w:r>
      </w:hyperlink>
      <w:r>
        <w:rPr>
          <w:rFonts w:ascii="Times New Roman" w:eastAsia="Times New Roman" w:hAnsi="Times New Roman" w:cs="Times New Roman"/>
        </w:rPr>
        <w:t>, [Accessed 10 February 2020].</w:t>
      </w:r>
    </w:p>
    <w:p w14:paraId="11BBA4DB" w14:textId="77777777" w:rsidR="00861DF6" w:rsidRDefault="00861DF6" w:rsidP="00861DF6">
      <w:pPr>
        <w:ind w:left="720" w:hanging="720"/>
        <w:rPr>
          <w:rFonts w:ascii="Times New Roman" w:eastAsia="Times New Roman" w:hAnsi="Times New Roman" w:cs="Times New Roman"/>
        </w:rPr>
      </w:pPr>
    </w:p>
    <w:p w14:paraId="0EDD39B8"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Lincoln, Y. S., &amp; </w:t>
      </w:r>
      <w:proofErr w:type="spellStart"/>
      <w:r>
        <w:rPr>
          <w:rFonts w:ascii="Times New Roman" w:eastAsia="Times New Roman" w:hAnsi="Times New Roman" w:cs="Times New Roman"/>
        </w:rPr>
        <w:t>Guba</w:t>
      </w:r>
      <w:proofErr w:type="spellEnd"/>
      <w:r>
        <w:rPr>
          <w:rFonts w:ascii="Times New Roman" w:eastAsia="Times New Roman" w:hAnsi="Times New Roman" w:cs="Times New Roman"/>
        </w:rPr>
        <w:t xml:space="preserve">, E. G. (1985). </w:t>
      </w:r>
      <w:r>
        <w:rPr>
          <w:rFonts w:ascii="Times New Roman" w:eastAsia="Times New Roman" w:hAnsi="Times New Roman" w:cs="Times New Roman"/>
          <w:i/>
        </w:rPr>
        <w:t>Naturalistic Inquiry</w:t>
      </w:r>
      <w:r>
        <w:rPr>
          <w:rFonts w:ascii="Times New Roman" w:eastAsia="Times New Roman" w:hAnsi="Times New Roman" w:cs="Times New Roman"/>
        </w:rPr>
        <w:t>, Beverly Hills, CA: Sage.</w:t>
      </w:r>
    </w:p>
    <w:p w14:paraId="66B016A2" w14:textId="77777777" w:rsidR="00861DF6" w:rsidRDefault="00861DF6" w:rsidP="00861DF6">
      <w:pPr>
        <w:ind w:left="720" w:hanging="720"/>
        <w:rPr>
          <w:rFonts w:ascii="Times New Roman" w:eastAsia="Times New Roman" w:hAnsi="Times New Roman" w:cs="Times New Roman"/>
        </w:rPr>
      </w:pPr>
    </w:p>
    <w:p w14:paraId="57FBEF1B"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lastRenderedPageBreak/>
        <w:t xml:space="preserve">Logan, J. (2004). “The Fine Art of Union Busting,” </w:t>
      </w:r>
      <w:r>
        <w:rPr>
          <w:rFonts w:ascii="Times New Roman" w:eastAsia="Times New Roman" w:hAnsi="Times New Roman" w:cs="Times New Roman"/>
          <w:i/>
        </w:rPr>
        <w:t>New Labor Forum</w:t>
      </w:r>
      <w:r>
        <w:rPr>
          <w:rFonts w:ascii="Times New Roman" w:eastAsia="Times New Roman" w:hAnsi="Times New Roman" w:cs="Times New Roman"/>
        </w:rPr>
        <w:t xml:space="preserve">, Vol. 13, No. 2, Available online: </w:t>
      </w:r>
      <w:hyperlink r:id="rId80">
        <w:r>
          <w:rPr>
            <w:rFonts w:ascii="Times New Roman" w:eastAsia="Times New Roman" w:hAnsi="Times New Roman" w:cs="Times New Roman"/>
            <w:color w:val="1155CC"/>
            <w:u w:val="single"/>
          </w:rPr>
          <w:t>https://search.proquest.com/docview/237227726?pq-origsite=gscholar</w:t>
        </w:r>
      </w:hyperlink>
      <w:r>
        <w:rPr>
          <w:rFonts w:ascii="Times New Roman" w:eastAsia="Times New Roman" w:hAnsi="Times New Roman" w:cs="Times New Roman"/>
        </w:rPr>
        <w:t>, [Accessed 24 January 2020].</w:t>
      </w:r>
    </w:p>
    <w:p w14:paraId="100DBA4A" w14:textId="77777777" w:rsidR="00861DF6" w:rsidRDefault="00861DF6" w:rsidP="00861DF6">
      <w:pPr>
        <w:ind w:left="720" w:hanging="720"/>
        <w:rPr>
          <w:rFonts w:ascii="Times New Roman" w:eastAsia="Times New Roman" w:hAnsi="Times New Roman" w:cs="Times New Roman"/>
        </w:rPr>
      </w:pPr>
    </w:p>
    <w:p w14:paraId="7710BF8A"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Logan, J. (2006). “The Union Avoidance Industry in the United States,” </w:t>
      </w:r>
      <w:r>
        <w:rPr>
          <w:rFonts w:ascii="Times New Roman" w:eastAsia="Times New Roman" w:hAnsi="Times New Roman" w:cs="Times New Roman"/>
          <w:i/>
        </w:rPr>
        <w:t>British Journal of Industrial Relations</w:t>
      </w:r>
      <w:r>
        <w:rPr>
          <w:rFonts w:ascii="Times New Roman" w:eastAsia="Times New Roman" w:hAnsi="Times New Roman" w:cs="Times New Roman"/>
        </w:rPr>
        <w:t xml:space="preserve">, Vol. 44, No. 1, Available online: </w:t>
      </w:r>
      <w:hyperlink r:id="rId81">
        <w:r>
          <w:rPr>
            <w:rFonts w:ascii="Times New Roman" w:eastAsia="Times New Roman" w:hAnsi="Times New Roman" w:cs="Times New Roman"/>
            <w:color w:val="1155CC"/>
            <w:u w:val="single"/>
          </w:rPr>
          <w:t>https://doi.org/10.1111/j.1467-8543.2006.00518.x</w:t>
        </w:r>
      </w:hyperlink>
      <w:r>
        <w:rPr>
          <w:rFonts w:ascii="Times New Roman" w:eastAsia="Times New Roman" w:hAnsi="Times New Roman" w:cs="Times New Roman"/>
        </w:rPr>
        <w:t>, [Accessed 20 January 2020].</w:t>
      </w:r>
    </w:p>
    <w:p w14:paraId="48F33369" w14:textId="77777777" w:rsidR="00861DF6" w:rsidRDefault="00861DF6" w:rsidP="00861DF6">
      <w:pPr>
        <w:ind w:left="720" w:hanging="720"/>
        <w:rPr>
          <w:rFonts w:ascii="Times New Roman" w:eastAsia="Times New Roman" w:hAnsi="Times New Roman" w:cs="Times New Roman"/>
        </w:rPr>
      </w:pPr>
    </w:p>
    <w:p w14:paraId="5890FE14"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Lugones</w:t>
      </w:r>
      <w:proofErr w:type="spellEnd"/>
      <w:r>
        <w:rPr>
          <w:rFonts w:ascii="Times New Roman" w:eastAsia="Times New Roman" w:hAnsi="Times New Roman" w:cs="Times New Roman"/>
        </w:rPr>
        <w:t xml:space="preserve">, M. (2010). “Toward a </w:t>
      </w:r>
      <w:proofErr w:type="spellStart"/>
      <w:r>
        <w:rPr>
          <w:rFonts w:ascii="Times New Roman" w:eastAsia="Times New Roman" w:hAnsi="Times New Roman" w:cs="Times New Roman"/>
        </w:rPr>
        <w:t>Decolonial</w:t>
      </w:r>
      <w:proofErr w:type="spellEnd"/>
      <w:r>
        <w:rPr>
          <w:rFonts w:ascii="Times New Roman" w:eastAsia="Times New Roman" w:hAnsi="Times New Roman" w:cs="Times New Roman"/>
        </w:rPr>
        <w:t xml:space="preserve"> Feminism,” </w:t>
      </w:r>
      <w:proofErr w:type="spellStart"/>
      <w:r>
        <w:rPr>
          <w:rFonts w:ascii="Times New Roman" w:eastAsia="Times New Roman" w:hAnsi="Times New Roman" w:cs="Times New Roman"/>
          <w:i/>
        </w:rPr>
        <w:t>Hypatia</w:t>
      </w:r>
      <w:proofErr w:type="spellEnd"/>
      <w:r>
        <w:rPr>
          <w:rFonts w:ascii="Times New Roman" w:eastAsia="Times New Roman" w:hAnsi="Times New Roman" w:cs="Times New Roman"/>
        </w:rPr>
        <w:t xml:space="preserve">, Vol. 25, No.4, pp. 742-759, Available online: </w:t>
      </w:r>
      <w:hyperlink r:id="rId82">
        <w:r>
          <w:rPr>
            <w:rFonts w:ascii="Times New Roman" w:eastAsia="Times New Roman" w:hAnsi="Times New Roman" w:cs="Times New Roman"/>
            <w:color w:val="0000FF"/>
            <w:u w:val="single"/>
          </w:rPr>
          <w:t>https://www.jstor.org/stable/40928654</w:t>
        </w:r>
      </w:hyperlink>
      <w:r>
        <w:rPr>
          <w:rFonts w:ascii="Times New Roman" w:eastAsia="Times New Roman" w:hAnsi="Times New Roman" w:cs="Times New Roman"/>
        </w:rPr>
        <w:t xml:space="preserve">, [Accessed 23 February 2020]. </w:t>
      </w:r>
    </w:p>
    <w:p w14:paraId="295684EF" w14:textId="77777777" w:rsidR="00861DF6" w:rsidRDefault="00861DF6" w:rsidP="00861DF6">
      <w:pPr>
        <w:ind w:left="720" w:hanging="720"/>
        <w:rPr>
          <w:rFonts w:ascii="Times New Roman" w:eastAsia="Times New Roman" w:hAnsi="Times New Roman" w:cs="Times New Roman"/>
        </w:rPr>
      </w:pPr>
    </w:p>
    <w:p w14:paraId="4D70234D"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xml:space="preserve">, D. (2018). “Wage Boards for American Workers: Industry-Level Collective Bargaining for All Workers,” Center for American Progress, Washington DC, Available online: </w:t>
      </w:r>
      <w:hyperlink r:id="rId83">
        <w:r>
          <w:rPr>
            <w:rFonts w:ascii="Times New Roman" w:eastAsia="Times New Roman" w:hAnsi="Times New Roman" w:cs="Times New Roman"/>
            <w:color w:val="1155CC"/>
            <w:u w:val="single"/>
          </w:rPr>
          <w:t>https://www.americanprogress.org/issues/economy/reports/2018/04/09/448515/wage-boards-american-workers/</w:t>
        </w:r>
      </w:hyperlink>
      <w:r>
        <w:rPr>
          <w:rFonts w:ascii="Times New Roman" w:eastAsia="Times New Roman" w:hAnsi="Times New Roman" w:cs="Times New Roman"/>
        </w:rPr>
        <w:t>, [Accessed 19 February 2020].</w:t>
      </w:r>
    </w:p>
    <w:p w14:paraId="77367D78" w14:textId="77777777" w:rsidR="00861DF6" w:rsidRDefault="00861DF6" w:rsidP="00861DF6">
      <w:pPr>
        <w:ind w:left="720" w:hanging="720"/>
        <w:rPr>
          <w:rFonts w:ascii="Times New Roman" w:eastAsia="Times New Roman" w:hAnsi="Times New Roman" w:cs="Times New Roman"/>
        </w:rPr>
      </w:pPr>
    </w:p>
    <w:p w14:paraId="6207193D"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xml:space="preserve">, D. &amp; Miller, K. (2013). “Latest Census Data Underscore How Important Unions Are for the Middle Class,” </w:t>
      </w:r>
      <w:r>
        <w:rPr>
          <w:rFonts w:ascii="Times New Roman" w:eastAsia="Times New Roman" w:hAnsi="Times New Roman" w:cs="Times New Roman"/>
          <w:i/>
        </w:rPr>
        <w:t>Center for American Progress</w:t>
      </w:r>
      <w:r>
        <w:rPr>
          <w:rFonts w:ascii="Times New Roman" w:eastAsia="Times New Roman" w:hAnsi="Times New Roman" w:cs="Times New Roman"/>
        </w:rPr>
        <w:t xml:space="preserve">, Available online: </w:t>
      </w:r>
      <w:hyperlink r:id="rId84">
        <w:r>
          <w:rPr>
            <w:rFonts w:ascii="Times New Roman" w:eastAsia="Times New Roman" w:hAnsi="Times New Roman" w:cs="Times New Roman"/>
            <w:color w:val="1155CC"/>
            <w:u w:val="single"/>
          </w:rPr>
          <w:t>https://www.americanprogressaction.org/issues/economy/news/2013/09/17/74363/latest-census-data-underscore-how-important-unions-are-for-the-middle-class/</w:t>
        </w:r>
      </w:hyperlink>
      <w:r>
        <w:rPr>
          <w:rFonts w:ascii="Times New Roman" w:eastAsia="Times New Roman" w:hAnsi="Times New Roman" w:cs="Times New Roman"/>
        </w:rPr>
        <w:t xml:space="preserve">, [Accessed on 1 January 2020]. </w:t>
      </w:r>
    </w:p>
    <w:p w14:paraId="00784ABA" w14:textId="77777777" w:rsidR="00861DF6" w:rsidRDefault="00861DF6" w:rsidP="00861DF6">
      <w:pPr>
        <w:ind w:left="720" w:hanging="720"/>
        <w:rPr>
          <w:rFonts w:ascii="Times New Roman" w:eastAsia="Times New Roman" w:hAnsi="Times New Roman" w:cs="Times New Roman"/>
        </w:rPr>
      </w:pPr>
    </w:p>
    <w:p w14:paraId="456011F3"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Mann, S.A. &amp; Huffman, D.J. (2005). “The Decentering of Second Wave Feminism and the Rise of the Third Wave,” </w:t>
      </w:r>
      <w:r>
        <w:rPr>
          <w:rFonts w:ascii="Times New Roman" w:eastAsia="Times New Roman" w:hAnsi="Times New Roman" w:cs="Times New Roman"/>
          <w:i/>
        </w:rPr>
        <w:t>Science &amp; Society</w:t>
      </w:r>
      <w:r>
        <w:rPr>
          <w:rFonts w:ascii="Times New Roman" w:eastAsia="Times New Roman" w:hAnsi="Times New Roman" w:cs="Times New Roman"/>
        </w:rPr>
        <w:t xml:space="preserve">, Vol. 69, Marxist-Feminist Thought Today, pp. 56-91, Available online: </w:t>
      </w:r>
      <w:hyperlink r:id="rId85">
        <w:r>
          <w:rPr>
            <w:rFonts w:ascii="Times New Roman" w:eastAsia="Times New Roman" w:hAnsi="Times New Roman" w:cs="Times New Roman"/>
            <w:color w:val="1155CC"/>
            <w:u w:val="single"/>
          </w:rPr>
          <w:t>https://doi.org/10.1521/siso.69.1.56.56799</w:t>
        </w:r>
      </w:hyperlink>
      <w:r>
        <w:rPr>
          <w:rFonts w:ascii="Times New Roman" w:eastAsia="Times New Roman" w:hAnsi="Times New Roman" w:cs="Times New Roman"/>
        </w:rPr>
        <w:t xml:space="preserve">, [Accessed 28 February 2020]. </w:t>
      </w:r>
    </w:p>
    <w:p w14:paraId="21D764DD" w14:textId="77777777" w:rsidR="00861DF6" w:rsidRDefault="00861DF6" w:rsidP="00861DF6">
      <w:pPr>
        <w:ind w:left="720" w:hanging="720"/>
        <w:rPr>
          <w:rFonts w:ascii="Times New Roman" w:eastAsia="Times New Roman" w:hAnsi="Times New Roman" w:cs="Times New Roman"/>
        </w:rPr>
      </w:pPr>
    </w:p>
    <w:p w14:paraId="119D7A7C"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Manuel, T. (2019). “How Does One Live the Good Life? Addressing the State of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in Public Policy,” In </w:t>
      </w:r>
      <w:proofErr w:type="spellStart"/>
      <w:r>
        <w:rPr>
          <w:rFonts w:ascii="Times New Roman" w:eastAsia="Times New Roman" w:hAnsi="Times New Roman" w:cs="Times New Roman"/>
        </w:rPr>
        <w:t>Hankivsky</w:t>
      </w:r>
      <w:proofErr w:type="spellEnd"/>
      <w:r>
        <w:rPr>
          <w:rFonts w:ascii="Times New Roman" w:eastAsia="Times New Roman" w:hAnsi="Times New Roman" w:cs="Times New Roman"/>
        </w:rPr>
        <w:t>, O. &amp; Jordan-Zachery, J.S., (</w:t>
      </w:r>
      <w:proofErr w:type="spellStart"/>
      <w:r>
        <w:rPr>
          <w:rFonts w:ascii="Times New Roman" w:eastAsia="Times New Roman" w:hAnsi="Times New Roman" w:cs="Times New Roman"/>
        </w:rPr>
        <w:t>eds</w:t>
      </w:r>
      <w:proofErr w:type="spellEnd"/>
      <w:r>
        <w:rPr>
          <w:rFonts w:ascii="Times New Roman" w:eastAsia="Times New Roman" w:hAnsi="Times New Roman" w:cs="Times New Roman"/>
        </w:rPr>
        <w:t xml:space="preserve">) </w:t>
      </w:r>
      <w:r>
        <w:rPr>
          <w:rFonts w:ascii="Times New Roman" w:eastAsia="Times New Roman" w:hAnsi="Times New Roman" w:cs="Times New Roman"/>
          <w:i/>
        </w:rPr>
        <w:t xml:space="preserve">The Palgrave Handbook of </w:t>
      </w:r>
      <w:proofErr w:type="spellStart"/>
      <w:r>
        <w:rPr>
          <w:rFonts w:ascii="Times New Roman" w:eastAsia="Times New Roman" w:hAnsi="Times New Roman" w:cs="Times New Roman"/>
          <w:i/>
        </w:rPr>
        <w:t>Intersectionality</w:t>
      </w:r>
      <w:proofErr w:type="spellEnd"/>
      <w:r>
        <w:rPr>
          <w:rFonts w:ascii="Times New Roman" w:eastAsia="Times New Roman" w:hAnsi="Times New Roman" w:cs="Times New Roman"/>
          <w:i/>
        </w:rPr>
        <w:t xml:space="preserve"> in Public Policy</w:t>
      </w:r>
      <w:r>
        <w:rPr>
          <w:rFonts w:ascii="Times New Roman" w:eastAsia="Times New Roman" w:hAnsi="Times New Roman" w:cs="Times New Roman"/>
        </w:rPr>
        <w:t>, London: Palgrave Macmillan. </w:t>
      </w:r>
    </w:p>
    <w:p w14:paraId="4FC4CEBD" w14:textId="77777777" w:rsidR="00861DF6" w:rsidRDefault="00861DF6" w:rsidP="00861DF6">
      <w:pPr>
        <w:ind w:left="720" w:hanging="720"/>
        <w:rPr>
          <w:rFonts w:ascii="Times New Roman" w:eastAsia="Times New Roman" w:hAnsi="Times New Roman" w:cs="Times New Roman"/>
        </w:rPr>
      </w:pPr>
    </w:p>
    <w:p w14:paraId="6170AD67" w14:textId="01B67576" w:rsidR="00B84936" w:rsidRDefault="00861DF6"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M</w:t>
      </w:r>
      <w:r w:rsidR="001D1521">
        <w:rPr>
          <w:rFonts w:ascii="Times New Roman" w:eastAsia="Times New Roman" w:hAnsi="Times New Roman" w:cs="Times New Roman"/>
        </w:rPr>
        <w:t>rginson</w:t>
      </w:r>
      <w:proofErr w:type="spellEnd"/>
      <w:r w:rsidR="001D1521">
        <w:rPr>
          <w:rFonts w:ascii="Times New Roman" w:eastAsia="Times New Roman" w:hAnsi="Times New Roman" w:cs="Times New Roman"/>
        </w:rPr>
        <w:t xml:space="preserve">, P., Sisson, K., &amp; </w:t>
      </w:r>
      <w:proofErr w:type="spellStart"/>
      <w:r w:rsidR="001D1521">
        <w:rPr>
          <w:rFonts w:ascii="Times New Roman" w:eastAsia="Times New Roman" w:hAnsi="Times New Roman" w:cs="Times New Roman"/>
        </w:rPr>
        <w:t>Arrowsmith</w:t>
      </w:r>
      <w:proofErr w:type="spellEnd"/>
      <w:r w:rsidR="001D1521">
        <w:rPr>
          <w:rFonts w:ascii="Times New Roman" w:eastAsia="Times New Roman" w:hAnsi="Times New Roman" w:cs="Times New Roman"/>
        </w:rPr>
        <w:t xml:space="preserve">, J. (2003). “Between Decentralization and Europeanization: </w:t>
      </w:r>
      <w:proofErr w:type="spellStart"/>
      <w:r w:rsidR="001D1521">
        <w:rPr>
          <w:rFonts w:ascii="Times New Roman" w:eastAsia="Times New Roman" w:hAnsi="Times New Roman" w:cs="Times New Roman"/>
        </w:rPr>
        <w:t>Sectoral</w:t>
      </w:r>
      <w:proofErr w:type="spellEnd"/>
      <w:r w:rsidR="001D1521">
        <w:rPr>
          <w:rFonts w:ascii="Times New Roman" w:eastAsia="Times New Roman" w:hAnsi="Times New Roman" w:cs="Times New Roman"/>
        </w:rPr>
        <w:t xml:space="preserve"> Bargaining in Four Countries and Two Sectors,” </w:t>
      </w:r>
      <w:r w:rsidR="001D1521">
        <w:rPr>
          <w:rFonts w:ascii="Times New Roman" w:eastAsia="Times New Roman" w:hAnsi="Times New Roman" w:cs="Times New Roman"/>
          <w:i/>
        </w:rPr>
        <w:t>European Journal of Industrial Relations</w:t>
      </w:r>
      <w:r w:rsidR="001D1521">
        <w:rPr>
          <w:rFonts w:ascii="Times New Roman" w:eastAsia="Times New Roman" w:hAnsi="Times New Roman" w:cs="Times New Roman"/>
        </w:rPr>
        <w:t xml:space="preserve">, Vol. 9, No. 2, pp. 163-187, Available online: </w:t>
      </w:r>
      <w:hyperlink r:id="rId86">
        <w:r w:rsidR="001D1521">
          <w:rPr>
            <w:rFonts w:ascii="Times New Roman" w:eastAsia="Times New Roman" w:hAnsi="Times New Roman" w:cs="Times New Roman"/>
            <w:color w:val="1155CC"/>
            <w:u w:val="single"/>
          </w:rPr>
          <w:t>https://doi.org/10.1177/0959680103009002003</w:t>
        </w:r>
      </w:hyperlink>
      <w:r w:rsidR="001D1521">
        <w:rPr>
          <w:rFonts w:ascii="Times New Roman" w:eastAsia="Times New Roman" w:hAnsi="Times New Roman" w:cs="Times New Roman"/>
        </w:rPr>
        <w:t>, [Accessed 20 February 2020].</w:t>
      </w:r>
    </w:p>
    <w:p w14:paraId="30A2BCDB" w14:textId="77777777" w:rsidR="00861DF6" w:rsidRDefault="00861DF6" w:rsidP="00861DF6">
      <w:pPr>
        <w:ind w:left="720" w:hanging="720"/>
        <w:rPr>
          <w:rFonts w:ascii="Times New Roman" w:eastAsia="Times New Roman" w:hAnsi="Times New Roman" w:cs="Times New Roman"/>
        </w:rPr>
      </w:pPr>
    </w:p>
    <w:p w14:paraId="3AB937C3"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Marmot, M. (2013).</w:t>
      </w:r>
      <w:proofErr w:type="gramEnd"/>
      <w:r>
        <w:rPr>
          <w:rFonts w:ascii="Times New Roman" w:eastAsia="Times New Roman" w:hAnsi="Times New Roman" w:cs="Times New Roman"/>
        </w:rPr>
        <w:t xml:space="preserve"> “Universal Health Coverage and Social Determinants of Health,” </w:t>
      </w:r>
      <w:r>
        <w:rPr>
          <w:rFonts w:ascii="Times New Roman" w:eastAsia="Times New Roman" w:hAnsi="Times New Roman" w:cs="Times New Roman"/>
          <w:i/>
        </w:rPr>
        <w:t>The Lancet</w:t>
      </w:r>
      <w:r>
        <w:rPr>
          <w:rFonts w:ascii="Times New Roman" w:eastAsia="Times New Roman" w:hAnsi="Times New Roman" w:cs="Times New Roman"/>
        </w:rPr>
        <w:t xml:space="preserve">, Vol. 382, No. 9900, pp. 1227-1228, Available online: </w:t>
      </w:r>
      <w:hyperlink r:id="rId87">
        <w:r>
          <w:rPr>
            <w:rFonts w:ascii="Times New Roman" w:eastAsia="Times New Roman" w:hAnsi="Times New Roman" w:cs="Times New Roman"/>
            <w:color w:val="0000FF"/>
            <w:u w:val="single"/>
          </w:rPr>
          <w:t>https://www.ncbi.nlm.nih.gov/pubmed/24120189</w:t>
        </w:r>
      </w:hyperlink>
      <w:r>
        <w:rPr>
          <w:rFonts w:ascii="Times New Roman" w:eastAsia="Times New Roman" w:hAnsi="Times New Roman" w:cs="Times New Roman"/>
        </w:rPr>
        <w:t>, [Accessed 22 February 2020]. </w:t>
      </w:r>
    </w:p>
    <w:p w14:paraId="6E33F380" w14:textId="77777777" w:rsidR="00861DF6" w:rsidRDefault="00861DF6" w:rsidP="00861DF6">
      <w:pPr>
        <w:ind w:left="720" w:hanging="720"/>
        <w:rPr>
          <w:rFonts w:ascii="Times New Roman" w:eastAsia="Times New Roman" w:hAnsi="Times New Roman" w:cs="Times New Roman"/>
        </w:rPr>
      </w:pPr>
    </w:p>
    <w:p w14:paraId="6E9D0A88"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Martin, T.W. (2017). “The Champions of the 401(k) Lament the Revolution They Started,” </w:t>
      </w:r>
      <w:r>
        <w:rPr>
          <w:rFonts w:ascii="Times New Roman" w:eastAsia="Times New Roman" w:hAnsi="Times New Roman" w:cs="Times New Roman"/>
          <w:i/>
        </w:rPr>
        <w:t>The Wall Street Journal</w:t>
      </w:r>
      <w:r>
        <w:rPr>
          <w:rFonts w:ascii="Times New Roman" w:eastAsia="Times New Roman" w:hAnsi="Times New Roman" w:cs="Times New Roman"/>
        </w:rPr>
        <w:t xml:space="preserve">, Available online: </w:t>
      </w:r>
      <w:hyperlink r:id="rId88">
        <w:r>
          <w:rPr>
            <w:rFonts w:ascii="Times New Roman" w:eastAsia="Times New Roman" w:hAnsi="Times New Roman" w:cs="Times New Roman"/>
            <w:color w:val="1155CC"/>
            <w:u w:val="single"/>
          </w:rPr>
          <w:t>https://www.wsj.com/articles/the-</w:t>
        </w:r>
        <w:r>
          <w:rPr>
            <w:rFonts w:ascii="Times New Roman" w:eastAsia="Times New Roman" w:hAnsi="Times New Roman" w:cs="Times New Roman"/>
            <w:color w:val="1155CC"/>
            <w:u w:val="single"/>
          </w:rPr>
          <w:lastRenderedPageBreak/>
          <w:t>champions-of-the-401-k-lament-the-revolution-they-started-1483382348</w:t>
        </w:r>
      </w:hyperlink>
      <w:r>
        <w:rPr>
          <w:rFonts w:ascii="Times New Roman" w:eastAsia="Times New Roman" w:hAnsi="Times New Roman" w:cs="Times New Roman"/>
        </w:rPr>
        <w:t>, [Accessed 31 January 2020].</w:t>
      </w:r>
    </w:p>
    <w:p w14:paraId="5A115C73" w14:textId="77777777" w:rsidR="00861DF6" w:rsidRDefault="00861DF6" w:rsidP="00861DF6">
      <w:pPr>
        <w:ind w:left="720" w:hanging="720"/>
        <w:rPr>
          <w:rFonts w:ascii="Times New Roman" w:eastAsia="Times New Roman" w:hAnsi="Times New Roman" w:cs="Times New Roman"/>
        </w:rPr>
      </w:pPr>
    </w:p>
    <w:p w14:paraId="19A9E351"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Martin Luther King, Jr. Research and Education Institute. (2019). “March on Washington for Jobs and Freedom,” </w:t>
      </w:r>
      <w:r>
        <w:rPr>
          <w:rFonts w:ascii="Times New Roman" w:eastAsia="Times New Roman" w:hAnsi="Times New Roman" w:cs="Times New Roman"/>
          <w:i/>
        </w:rPr>
        <w:t>Stanford University</w:t>
      </w:r>
      <w:r>
        <w:rPr>
          <w:rFonts w:ascii="Times New Roman" w:eastAsia="Times New Roman" w:hAnsi="Times New Roman" w:cs="Times New Roman"/>
        </w:rPr>
        <w:t xml:space="preserve">, Available online: </w:t>
      </w:r>
      <w:hyperlink r:id="rId89">
        <w:r>
          <w:rPr>
            <w:rFonts w:ascii="Times New Roman" w:eastAsia="Times New Roman" w:hAnsi="Times New Roman" w:cs="Times New Roman"/>
            <w:color w:val="1155CC"/>
            <w:u w:val="single"/>
          </w:rPr>
          <w:t>https://kinginstitute.stanford.edu/encyclopedia/march-washington-jobs-and-freedom</w:t>
        </w:r>
      </w:hyperlink>
      <w:r>
        <w:rPr>
          <w:rFonts w:ascii="Times New Roman" w:eastAsia="Times New Roman" w:hAnsi="Times New Roman" w:cs="Times New Roman"/>
        </w:rPr>
        <w:t>, [Accessed 2 January 2020].</w:t>
      </w:r>
    </w:p>
    <w:p w14:paraId="0CF3E535" w14:textId="77777777" w:rsidR="00861DF6" w:rsidRDefault="00861DF6" w:rsidP="00861DF6">
      <w:pPr>
        <w:ind w:left="720" w:hanging="720"/>
        <w:rPr>
          <w:rFonts w:ascii="Times New Roman" w:eastAsia="Times New Roman" w:hAnsi="Times New Roman" w:cs="Times New Roman"/>
        </w:rPr>
      </w:pPr>
    </w:p>
    <w:p w14:paraId="25826116"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Matthews, D. (2018). “4 Big Questions about Job Guarantees,” </w:t>
      </w:r>
      <w:proofErr w:type="spellStart"/>
      <w:r>
        <w:rPr>
          <w:rFonts w:ascii="Times New Roman" w:eastAsia="Times New Roman" w:hAnsi="Times New Roman" w:cs="Times New Roman"/>
          <w:i/>
        </w:rPr>
        <w:t>Vox</w:t>
      </w:r>
      <w:proofErr w:type="spellEnd"/>
      <w:r>
        <w:rPr>
          <w:rFonts w:ascii="Times New Roman" w:eastAsia="Times New Roman" w:hAnsi="Times New Roman" w:cs="Times New Roman"/>
          <w:i/>
        </w:rPr>
        <w:t xml:space="preserve"> Magazine</w:t>
      </w:r>
      <w:r>
        <w:rPr>
          <w:rFonts w:ascii="Times New Roman" w:eastAsia="Times New Roman" w:hAnsi="Times New Roman" w:cs="Times New Roman"/>
        </w:rPr>
        <w:t xml:space="preserve">, Available online: </w:t>
      </w:r>
      <w:hyperlink r:id="rId90">
        <w:r>
          <w:rPr>
            <w:rFonts w:ascii="Times New Roman" w:eastAsia="Times New Roman" w:hAnsi="Times New Roman" w:cs="Times New Roman"/>
            <w:color w:val="0000FF"/>
            <w:u w:val="single"/>
          </w:rPr>
          <w:t>https://www.vox.com/2018/4/27/17281676/job-guarantee-design-bad-jobs-labor-market-federal-reserve</w:t>
        </w:r>
      </w:hyperlink>
      <w:r>
        <w:rPr>
          <w:rFonts w:ascii="Times New Roman" w:eastAsia="Times New Roman" w:hAnsi="Times New Roman" w:cs="Times New Roman"/>
        </w:rPr>
        <w:t xml:space="preserve">, [Accessed 13 January 2020]. </w:t>
      </w:r>
    </w:p>
    <w:p w14:paraId="15D3477C" w14:textId="77777777" w:rsidR="00B84936" w:rsidRDefault="00B84936">
      <w:pPr>
        <w:rPr>
          <w:rFonts w:ascii="Times New Roman" w:eastAsia="Times New Roman" w:hAnsi="Times New Roman" w:cs="Times New Roman"/>
        </w:rPr>
      </w:pPr>
    </w:p>
    <w:p w14:paraId="656A2641"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Maurer, R. (2018). “Judge Rules EEOC Background Check Guidance is Unenforceable,” </w:t>
      </w:r>
      <w:r>
        <w:rPr>
          <w:rFonts w:ascii="Times New Roman" w:eastAsia="Times New Roman" w:hAnsi="Times New Roman" w:cs="Times New Roman"/>
          <w:i/>
        </w:rPr>
        <w:t>Society for Human Resource Management (SHRM)</w:t>
      </w:r>
      <w:r>
        <w:rPr>
          <w:rFonts w:ascii="Times New Roman" w:eastAsia="Times New Roman" w:hAnsi="Times New Roman" w:cs="Times New Roman"/>
        </w:rPr>
        <w:t xml:space="preserve">, Available online: </w:t>
      </w:r>
      <w:hyperlink r:id="rId91">
        <w:r>
          <w:rPr>
            <w:rFonts w:ascii="Times New Roman" w:eastAsia="Times New Roman" w:hAnsi="Times New Roman" w:cs="Times New Roman"/>
            <w:color w:val="1155CC"/>
            <w:u w:val="single"/>
          </w:rPr>
          <w:t>https://www.shrm.org/resourcesandtools/hr-topics/talent-acquisition/pages/texas-2012-eeoc-background-check-guidance-unenforceable.aspx</w:t>
        </w:r>
      </w:hyperlink>
      <w:r>
        <w:rPr>
          <w:rFonts w:ascii="Times New Roman" w:eastAsia="Times New Roman" w:hAnsi="Times New Roman" w:cs="Times New Roman"/>
        </w:rPr>
        <w:t>. [Accessed 1 January 2020]. </w:t>
      </w:r>
    </w:p>
    <w:p w14:paraId="344A6D05" w14:textId="77777777" w:rsidR="00B84936" w:rsidRDefault="00B84936">
      <w:pPr>
        <w:spacing w:line="276" w:lineRule="auto"/>
        <w:rPr>
          <w:rFonts w:ascii="Times New Roman" w:eastAsia="Times New Roman" w:hAnsi="Times New Roman" w:cs="Times New Roman"/>
        </w:rPr>
      </w:pPr>
    </w:p>
    <w:p w14:paraId="264537C1"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McCarthy, M. (2019). “Pitfalls and Promises for Workplace Democracy,” </w:t>
      </w:r>
      <w:r>
        <w:rPr>
          <w:rFonts w:ascii="Times New Roman" w:eastAsia="Times New Roman" w:hAnsi="Times New Roman" w:cs="Times New Roman"/>
          <w:i/>
        </w:rPr>
        <w:t xml:space="preserve">Renewal: A Journal of </w:t>
      </w:r>
      <w:proofErr w:type="spellStart"/>
      <w:r>
        <w:rPr>
          <w:rFonts w:ascii="Times New Roman" w:eastAsia="Times New Roman" w:hAnsi="Times New Roman" w:cs="Times New Roman"/>
          <w:i/>
        </w:rPr>
        <w:t>Labour</w:t>
      </w:r>
      <w:proofErr w:type="spellEnd"/>
      <w:r>
        <w:rPr>
          <w:rFonts w:ascii="Times New Roman" w:eastAsia="Times New Roman" w:hAnsi="Times New Roman" w:cs="Times New Roman"/>
          <w:i/>
        </w:rPr>
        <w:t xml:space="preserve"> Politics</w:t>
      </w:r>
      <w:r>
        <w:rPr>
          <w:rFonts w:ascii="Times New Roman" w:eastAsia="Times New Roman" w:hAnsi="Times New Roman" w:cs="Times New Roman"/>
        </w:rPr>
        <w:t xml:space="preserve">, Vol. 27, No. 4, pp. 71-77, Available online: </w:t>
      </w:r>
      <w:hyperlink r:id="rId92">
        <w:r>
          <w:rPr>
            <w:rFonts w:ascii="Times New Roman" w:eastAsia="Times New Roman" w:hAnsi="Times New Roman" w:cs="Times New Roman"/>
            <w:color w:val="1155CC"/>
            <w:u w:val="single"/>
          </w:rPr>
          <w:t>http://proxy.library.nyu.edu/login?url=https://search.proquest.com/docview/2319476107?accountid=12768</w:t>
        </w:r>
      </w:hyperlink>
      <w:r>
        <w:rPr>
          <w:rFonts w:ascii="Times New Roman" w:eastAsia="Times New Roman" w:hAnsi="Times New Roman" w:cs="Times New Roman"/>
        </w:rPr>
        <w:t>, [Accessed 13 January 2020].</w:t>
      </w:r>
    </w:p>
    <w:p w14:paraId="48789FE9" w14:textId="77777777" w:rsidR="00B84936" w:rsidRDefault="00B84936">
      <w:pPr>
        <w:spacing w:line="276" w:lineRule="auto"/>
        <w:rPr>
          <w:rFonts w:ascii="Times New Roman" w:eastAsia="Times New Roman" w:hAnsi="Times New Roman" w:cs="Times New Roman"/>
        </w:rPr>
      </w:pPr>
    </w:p>
    <w:p w14:paraId="569B7B58" w14:textId="77777777" w:rsidR="00B84936" w:rsidRDefault="001D1521" w:rsidP="00861DF6">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McNicholas</w:t>
      </w:r>
      <w:proofErr w:type="spellEnd"/>
      <w:r>
        <w:rPr>
          <w:rFonts w:ascii="Times New Roman" w:eastAsia="Times New Roman" w:hAnsi="Times New Roman" w:cs="Times New Roman"/>
        </w:rPr>
        <w:t xml:space="preserve">, C., </w:t>
      </w:r>
      <w:proofErr w:type="spellStart"/>
      <w:r>
        <w:rPr>
          <w:rFonts w:ascii="Times New Roman" w:eastAsia="Times New Roman" w:hAnsi="Times New Roman" w:cs="Times New Roman"/>
        </w:rPr>
        <w:t>Poydock</w:t>
      </w:r>
      <w:proofErr w:type="spellEnd"/>
      <w:r>
        <w:rPr>
          <w:rFonts w:ascii="Times New Roman" w:eastAsia="Times New Roman" w:hAnsi="Times New Roman" w:cs="Times New Roman"/>
        </w:rPr>
        <w:t xml:space="preserve">, M., Wolfe, J., </w:t>
      </w:r>
      <w:proofErr w:type="spellStart"/>
      <w:r>
        <w:rPr>
          <w:rFonts w:ascii="Times New Roman" w:eastAsia="Times New Roman" w:hAnsi="Times New Roman" w:cs="Times New Roman"/>
        </w:rPr>
        <w:t>Zipperer</w:t>
      </w:r>
      <w:proofErr w:type="spellEnd"/>
      <w:r>
        <w:rPr>
          <w:rFonts w:ascii="Times New Roman" w:eastAsia="Times New Roman" w:hAnsi="Times New Roman" w:cs="Times New Roman"/>
        </w:rPr>
        <w:t xml:space="preserve">, B., </w:t>
      </w:r>
      <w:proofErr w:type="spellStart"/>
      <w:r>
        <w:rPr>
          <w:rFonts w:ascii="Times New Roman" w:eastAsia="Times New Roman" w:hAnsi="Times New Roman" w:cs="Times New Roman"/>
        </w:rPr>
        <w:t>Lafter</w:t>
      </w:r>
      <w:proofErr w:type="spellEnd"/>
      <w:r>
        <w:rPr>
          <w:rFonts w:ascii="Times New Roman" w:eastAsia="Times New Roman" w:hAnsi="Times New Roman" w:cs="Times New Roman"/>
        </w:rPr>
        <w:t xml:space="preserve">, G., &amp; </w:t>
      </w:r>
      <w:proofErr w:type="spellStart"/>
      <w:r>
        <w:rPr>
          <w:rFonts w:ascii="Times New Roman" w:eastAsia="Times New Roman" w:hAnsi="Times New Roman" w:cs="Times New Roman"/>
        </w:rPr>
        <w:t>Loustaunau</w:t>
      </w:r>
      <w:proofErr w:type="spellEnd"/>
      <w:r>
        <w:rPr>
          <w:rFonts w:ascii="Times New Roman" w:eastAsia="Times New Roman" w:hAnsi="Times New Roman" w:cs="Times New Roman"/>
        </w:rPr>
        <w:t>, L. (2019).</w:t>
      </w:r>
      <w:proofErr w:type="gramEnd"/>
      <w:r>
        <w:rPr>
          <w:rFonts w:ascii="Times New Roman" w:eastAsia="Times New Roman" w:hAnsi="Times New Roman" w:cs="Times New Roman"/>
        </w:rPr>
        <w:t xml:space="preserve"> “Unlawful: U.S. Employers are Charged with Violating Federal Law in 41% of All Union Election Campaigns,” </w:t>
      </w:r>
      <w:r>
        <w:rPr>
          <w:rFonts w:ascii="Times New Roman" w:eastAsia="Times New Roman" w:hAnsi="Times New Roman" w:cs="Times New Roman"/>
          <w:i/>
        </w:rPr>
        <w:t>Economic Policy Institute</w:t>
      </w:r>
      <w:r>
        <w:rPr>
          <w:rFonts w:ascii="Times New Roman" w:eastAsia="Times New Roman" w:hAnsi="Times New Roman" w:cs="Times New Roman"/>
        </w:rPr>
        <w:t xml:space="preserve">, Available online: </w:t>
      </w:r>
      <w:hyperlink r:id="rId93">
        <w:r>
          <w:rPr>
            <w:rFonts w:ascii="Times New Roman" w:eastAsia="Times New Roman" w:hAnsi="Times New Roman" w:cs="Times New Roman"/>
            <w:color w:val="1155CC"/>
            <w:u w:val="single"/>
          </w:rPr>
          <w:t>https://www.epi.org/publication/unlawful-employer-opposition-to-union-election-campaigns/</w:t>
        </w:r>
      </w:hyperlink>
      <w:r>
        <w:rPr>
          <w:rFonts w:ascii="Times New Roman" w:eastAsia="Times New Roman" w:hAnsi="Times New Roman" w:cs="Times New Roman"/>
        </w:rPr>
        <w:t>, [Accessed 19 February 2020].</w:t>
      </w:r>
    </w:p>
    <w:p w14:paraId="25D7C6AC" w14:textId="77777777" w:rsidR="00B84936" w:rsidRDefault="00B84936">
      <w:pPr>
        <w:spacing w:line="276" w:lineRule="auto"/>
        <w:rPr>
          <w:rFonts w:ascii="Times New Roman" w:eastAsia="Times New Roman" w:hAnsi="Times New Roman" w:cs="Times New Roman"/>
        </w:rPr>
      </w:pPr>
    </w:p>
    <w:p w14:paraId="61ED76F2"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McNicholas</w:t>
      </w:r>
      <w:proofErr w:type="spellEnd"/>
      <w:r>
        <w:rPr>
          <w:rFonts w:ascii="Times New Roman" w:eastAsia="Times New Roman" w:hAnsi="Times New Roman" w:cs="Times New Roman"/>
        </w:rPr>
        <w:t xml:space="preserve">, C. &amp; Jones, J. (2018). “Black Women Will Be Most Affected by </w:t>
      </w:r>
      <w:r>
        <w:rPr>
          <w:rFonts w:ascii="Times New Roman" w:eastAsia="Times New Roman" w:hAnsi="Times New Roman" w:cs="Times New Roman"/>
          <w:i/>
        </w:rPr>
        <w:t>Janus</w:t>
      </w:r>
      <w:r>
        <w:rPr>
          <w:rFonts w:ascii="Times New Roman" w:eastAsia="Times New Roman" w:hAnsi="Times New Roman" w:cs="Times New Roman"/>
        </w:rPr>
        <w:t xml:space="preserve">,” </w:t>
      </w:r>
      <w:r>
        <w:rPr>
          <w:rFonts w:ascii="Times New Roman" w:eastAsia="Times New Roman" w:hAnsi="Times New Roman" w:cs="Times New Roman"/>
          <w:i/>
        </w:rPr>
        <w:t>Economic Policy Institute</w:t>
      </w:r>
      <w:r>
        <w:rPr>
          <w:rFonts w:ascii="Times New Roman" w:eastAsia="Times New Roman" w:hAnsi="Times New Roman" w:cs="Times New Roman"/>
        </w:rPr>
        <w:t xml:space="preserve">, Available online: </w:t>
      </w:r>
      <w:hyperlink r:id="rId94">
        <w:r>
          <w:rPr>
            <w:rFonts w:ascii="Times New Roman" w:eastAsia="Times New Roman" w:hAnsi="Times New Roman" w:cs="Times New Roman"/>
            <w:color w:val="1155CC"/>
            <w:u w:val="single"/>
          </w:rPr>
          <w:t>https://www.epi.org/publication/black-women-will-be-most-affected-by-janus/</w:t>
        </w:r>
      </w:hyperlink>
      <w:r>
        <w:rPr>
          <w:rFonts w:ascii="Times New Roman" w:eastAsia="Times New Roman" w:hAnsi="Times New Roman" w:cs="Times New Roman"/>
        </w:rPr>
        <w:t xml:space="preserve">, [Accessed 14 February 2020]. </w:t>
      </w:r>
    </w:p>
    <w:p w14:paraId="6DF9002C" w14:textId="77777777" w:rsidR="00B84936" w:rsidRDefault="00B84936">
      <w:pPr>
        <w:rPr>
          <w:rFonts w:ascii="Times New Roman" w:eastAsia="Times New Roman" w:hAnsi="Times New Roman" w:cs="Times New Roman"/>
        </w:rPr>
      </w:pPr>
    </w:p>
    <w:p w14:paraId="04888529"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Mehta, B.S. &amp; </w:t>
      </w:r>
      <w:proofErr w:type="spellStart"/>
      <w:r>
        <w:rPr>
          <w:rFonts w:ascii="Times New Roman" w:eastAsia="Times New Roman" w:hAnsi="Times New Roman" w:cs="Times New Roman"/>
        </w:rPr>
        <w:t>Awasthi</w:t>
      </w:r>
      <w:proofErr w:type="spellEnd"/>
      <w:r>
        <w:rPr>
          <w:rFonts w:ascii="Times New Roman" w:eastAsia="Times New Roman" w:hAnsi="Times New Roman" w:cs="Times New Roman"/>
        </w:rPr>
        <w:t xml:space="preserve">, I.C. (2019). </w:t>
      </w:r>
      <w:r>
        <w:rPr>
          <w:rFonts w:ascii="Times New Roman" w:eastAsia="Times New Roman" w:hAnsi="Times New Roman" w:cs="Times New Roman"/>
          <w:i/>
        </w:rPr>
        <w:t xml:space="preserve">Women and </w:t>
      </w:r>
      <w:proofErr w:type="spellStart"/>
      <w:r>
        <w:rPr>
          <w:rFonts w:ascii="Times New Roman" w:eastAsia="Times New Roman" w:hAnsi="Times New Roman" w:cs="Times New Roman"/>
          <w:i/>
        </w:rPr>
        <w:t>Labour</w:t>
      </w:r>
      <w:proofErr w:type="spellEnd"/>
      <w:r>
        <w:rPr>
          <w:rFonts w:ascii="Times New Roman" w:eastAsia="Times New Roman" w:hAnsi="Times New Roman" w:cs="Times New Roman"/>
          <w:i/>
        </w:rPr>
        <w:t xml:space="preserve"> Market Dynamics: New Insights and Evidences</w:t>
      </w:r>
      <w:r>
        <w:rPr>
          <w:rFonts w:ascii="Times New Roman" w:eastAsia="Times New Roman" w:hAnsi="Times New Roman" w:cs="Times New Roman"/>
        </w:rPr>
        <w:t>, New York: Springer.</w:t>
      </w:r>
    </w:p>
    <w:p w14:paraId="04691C09" w14:textId="77777777" w:rsidR="00B84936" w:rsidRDefault="00B84936">
      <w:pPr>
        <w:spacing w:line="276" w:lineRule="auto"/>
        <w:rPr>
          <w:rFonts w:ascii="Times New Roman" w:eastAsia="Times New Roman" w:hAnsi="Times New Roman" w:cs="Times New Roman"/>
        </w:rPr>
      </w:pPr>
    </w:p>
    <w:p w14:paraId="4F654A34"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Miller, K. &amp; </w:t>
      </w:r>
      <w:proofErr w:type="spellStart"/>
      <w:r>
        <w:rPr>
          <w:rFonts w:ascii="Times New Roman" w:eastAsia="Times New Roman" w:hAnsi="Times New Roman" w:cs="Times New Roman"/>
        </w:rPr>
        <w:t>Madland</w:t>
      </w:r>
      <w:proofErr w:type="spellEnd"/>
      <w:r>
        <w:rPr>
          <w:rFonts w:ascii="Times New Roman" w:eastAsia="Times New Roman" w:hAnsi="Times New Roman" w:cs="Times New Roman"/>
        </w:rPr>
        <w:t xml:space="preserve">, D. (2014). “New Census Data Once Again Illustrate Importance of Unions to the Middle Class,” Center for American Progress Action Fund, Available online: </w:t>
      </w:r>
      <w:hyperlink r:id="rId95">
        <w:r>
          <w:rPr>
            <w:rFonts w:ascii="Times New Roman" w:eastAsia="Times New Roman" w:hAnsi="Times New Roman" w:cs="Times New Roman"/>
            <w:color w:val="1155CC"/>
            <w:u w:val="single"/>
          </w:rPr>
          <w:t>https://www.americanprogressaction.org/issues/economy/news/2014/09/18/97477/new-census-data-once-again-illustrate-importance-of-unions-to-the-middle-class/</w:t>
        </w:r>
      </w:hyperlink>
      <w:r>
        <w:rPr>
          <w:rFonts w:ascii="Times New Roman" w:eastAsia="Times New Roman" w:hAnsi="Times New Roman" w:cs="Times New Roman"/>
        </w:rPr>
        <w:t xml:space="preserve">, [Accessed 23 January 2020]. </w:t>
      </w:r>
    </w:p>
    <w:p w14:paraId="7BDC8AEC" w14:textId="77777777" w:rsidR="00B84936" w:rsidRDefault="00B84936">
      <w:pPr>
        <w:rPr>
          <w:rFonts w:ascii="Times New Roman" w:eastAsia="Times New Roman" w:hAnsi="Times New Roman" w:cs="Times New Roman"/>
        </w:rPr>
      </w:pPr>
    </w:p>
    <w:p w14:paraId="56CA7E5D"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Morsy</w:t>
      </w:r>
      <w:proofErr w:type="spellEnd"/>
      <w:r>
        <w:rPr>
          <w:rFonts w:ascii="Times New Roman" w:eastAsia="Times New Roman" w:hAnsi="Times New Roman" w:cs="Times New Roman"/>
        </w:rPr>
        <w:t xml:space="preserve">, L. &amp; Rothstein, R. (2016). “Mass Incarceration and Children’s Outcomes: Criminal Justice Policy is Education Policy,” </w:t>
      </w:r>
      <w:r>
        <w:rPr>
          <w:rFonts w:ascii="Times New Roman" w:eastAsia="Times New Roman" w:hAnsi="Times New Roman" w:cs="Times New Roman"/>
          <w:i/>
        </w:rPr>
        <w:t>Economic Policy Institute</w:t>
      </w:r>
      <w:r>
        <w:rPr>
          <w:rFonts w:ascii="Times New Roman" w:eastAsia="Times New Roman" w:hAnsi="Times New Roman" w:cs="Times New Roman"/>
        </w:rPr>
        <w:t xml:space="preserve">, Available </w:t>
      </w:r>
      <w:r>
        <w:rPr>
          <w:rFonts w:ascii="Times New Roman" w:eastAsia="Times New Roman" w:hAnsi="Times New Roman" w:cs="Times New Roman"/>
        </w:rPr>
        <w:lastRenderedPageBreak/>
        <w:t xml:space="preserve">online: </w:t>
      </w:r>
      <w:hyperlink r:id="rId96">
        <w:r>
          <w:rPr>
            <w:rFonts w:ascii="Times New Roman" w:eastAsia="Times New Roman" w:hAnsi="Times New Roman" w:cs="Times New Roman"/>
            <w:color w:val="1155CC"/>
            <w:u w:val="single"/>
          </w:rPr>
          <w:t>https://www.epi.org/publication/mass-incarceration-and-childrens-outcomes/</w:t>
        </w:r>
      </w:hyperlink>
      <w:r>
        <w:rPr>
          <w:rFonts w:ascii="Times New Roman" w:eastAsia="Times New Roman" w:hAnsi="Times New Roman" w:cs="Times New Roman"/>
        </w:rPr>
        <w:t>, [Accessed 1 January 2020].</w:t>
      </w:r>
    </w:p>
    <w:p w14:paraId="62F4C9E7" w14:textId="77777777" w:rsidR="00861DF6" w:rsidRDefault="00861DF6" w:rsidP="00861DF6">
      <w:pPr>
        <w:ind w:left="720" w:hanging="720"/>
        <w:rPr>
          <w:rFonts w:ascii="Times New Roman" w:eastAsia="Times New Roman" w:hAnsi="Times New Roman" w:cs="Times New Roman"/>
        </w:rPr>
      </w:pPr>
    </w:p>
    <w:p w14:paraId="315E8EBA"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Muhl</w:t>
      </w:r>
      <w:proofErr w:type="spellEnd"/>
      <w:r>
        <w:rPr>
          <w:rFonts w:ascii="Times New Roman" w:eastAsia="Times New Roman" w:hAnsi="Times New Roman" w:cs="Times New Roman"/>
        </w:rPr>
        <w:t xml:space="preserve">, C. (2001). “Employment-At-Will Doctrine: Three Major Exceptions,” </w:t>
      </w:r>
      <w:r>
        <w:rPr>
          <w:rFonts w:ascii="Times New Roman" w:eastAsia="Times New Roman" w:hAnsi="Times New Roman" w:cs="Times New Roman"/>
          <w:i/>
        </w:rPr>
        <w:t>Monthly Labor Review</w:t>
      </w:r>
      <w:r>
        <w:rPr>
          <w:rFonts w:ascii="Times New Roman" w:eastAsia="Times New Roman" w:hAnsi="Times New Roman" w:cs="Times New Roman"/>
        </w:rPr>
        <w:t xml:space="preserve">, Available online: </w:t>
      </w:r>
      <w:hyperlink r:id="rId97">
        <w:r>
          <w:rPr>
            <w:rFonts w:ascii="Times New Roman" w:eastAsia="Times New Roman" w:hAnsi="Times New Roman" w:cs="Times New Roman"/>
            <w:color w:val="1155CC"/>
            <w:u w:val="single"/>
          </w:rPr>
          <w:t>https://www.bls.gov/opub/mlr/2001/01/art1full.pdf</w:t>
        </w:r>
      </w:hyperlink>
      <w:r>
        <w:rPr>
          <w:rFonts w:ascii="Times New Roman" w:eastAsia="Times New Roman" w:hAnsi="Times New Roman" w:cs="Times New Roman"/>
        </w:rPr>
        <w:t xml:space="preserve">, [Accessed 22 February 2020]. </w:t>
      </w:r>
    </w:p>
    <w:p w14:paraId="63F294A8" w14:textId="77777777" w:rsidR="00861DF6" w:rsidRDefault="00861DF6" w:rsidP="00861DF6">
      <w:pPr>
        <w:ind w:left="720" w:hanging="720"/>
        <w:rPr>
          <w:rFonts w:ascii="Times New Roman" w:eastAsia="Times New Roman" w:hAnsi="Times New Roman" w:cs="Times New Roman"/>
        </w:rPr>
      </w:pPr>
    </w:p>
    <w:p w14:paraId="1396405A"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Nash, J.C. (2008). “Re-thinking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w:t>
      </w:r>
      <w:r>
        <w:rPr>
          <w:rFonts w:ascii="Times New Roman" w:eastAsia="Times New Roman" w:hAnsi="Times New Roman" w:cs="Times New Roman"/>
          <w:i/>
        </w:rPr>
        <w:t>Feminist Review</w:t>
      </w:r>
      <w:r>
        <w:rPr>
          <w:rFonts w:ascii="Times New Roman" w:eastAsia="Times New Roman" w:hAnsi="Times New Roman" w:cs="Times New Roman"/>
        </w:rPr>
        <w:t>, Vol. 89, pp. 1-15. </w:t>
      </w:r>
    </w:p>
    <w:p w14:paraId="062F7AD1" w14:textId="77777777" w:rsidR="00B84936" w:rsidRDefault="00B84936">
      <w:pPr>
        <w:rPr>
          <w:rFonts w:ascii="Times New Roman" w:eastAsia="Times New Roman" w:hAnsi="Times New Roman" w:cs="Times New Roman"/>
        </w:rPr>
      </w:pPr>
    </w:p>
    <w:p w14:paraId="6687474A"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National Employment Law Project.</w:t>
      </w:r>
      <w:proofErr w:type="gramEnd"/>
      <w:r>
        <w:rPr>
          <w:rFonts w:ascii="Times New Roman" w:eastAsia="Times New Roman" w:hAnsi="Times New Roman" w:cs="Times New Roman"/>
        </w:rPr>
        <w:t xml:space="preserve"> (2017). “‘Ban the Box’ is a Fair Chance for Workers with Records - Fact Sheet,” </w:t>
      </w:r>
      <w:r>
        <w:rPr>
          <w:rFonts w:ascii="Times New Roman" w:eastAsia="Times New Roman" w:hAnsi="Times New Roman" w:cs="Times New Roman"/>
          <w:i/>
        </w:rPr>
        <w:t>National Employment Law Project</w:t>
      </w:r>
      <w:r>
        <w:rPr>
          <w:rFonts w:ascii="Times New Roman" w:eastAsia="Times New Roman" w:hAnsi="Times New Roman" w:cs="Times New Roman"/>
        </w:rPr>
        <w:t xml:space="preserve">, Available online: </w:t>
      </w:r>
      <w:hyperlink r:id="rId98">
        <w:r>
          <w:rPr>
            <w:rFonts w:ascii="Times New Roman" w:eastAsia="Times New Roman" w:hAnsi="Times New Roman" w:cs="Times New Roman"/>
            <w:color w:val="1155CC"/>
            <w:u w:val="single"/>
          </w:rPr>
          <w:t>https://s27147.pcdn.co/wp-content/uploads/Ban-the-Box-Fair-Chance-Fact-Sheet.pdf</w:t>
        </w:r>
      </w:hyperlink>
      <w:r>
        <w:rPr>
          <w:rFonts w:ascii="Times New Roman" w:eastAsia="Times New Roman" w:hAnsi="Times New Roman" w:cs="Times New Roman"/>
        </w:rPr>
        <w:t>, [Accessed 15 December 2019]. </w:t>
      </w:r>
    </w:p>
    <w:p w14:paraId="6C3DE6E4" w14:textId="77777777" w:rsidR="00861DF6" w:rsidRDefault="00861DF6" w:rsidP="00861DF6">
      <w:pPr>
        <w:ind w:left="720" w:hanging="720"/>
        <w:rPr>
          <w:rFonts w:ascii="Times New Roman" w:eastAsia="Times New Roman" w:hAnsi="Times New Roman" w:cs="Times New Roman"/>
        </w:rPr>
      </w:pPr>
    </w:p>
    <w:p w14:paraId="6EC6D7E4"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Nunn, R., O’Donnell, J., &amp; </w:t>
      </w:r>
      <w:proofErr w:type="spellStart"/>
      <w:r>
        <w:rPr>
          <w:rFonts w:ascii="Times New Roman" w:eastAsia="Times New Roman" w:hAnsi="Times New Roman" w:cs="Times New Roman"/>
        </w:rPr>
        <w:t>Shambaugh</w:t>
      </w:r>
      <w:proofErr w:type="spellEnd"/>
      <w:r>
        <w:rPr>
          <w:rFonts w:ascii="Times New Roman" w:eastAsia="Times New Roman" w:hAnsi="Times New Roman" w:cs="Times New Roman"/>
        </w:rPr>
        <w:t xml:space="preserve">, J. (2019). “The Shift in Private Sector Union Participation: Explanation and Effects,” </w:t>
      </w:r>
      <w:r>
        <w:rPr>
          <w:rFonts w:ascii="Times New Roman" w:eastAsia="Times New Roman" w:hAnsi="Times New Roman" w:cs="Times New Roman"/>
          <w:i/>
        </w:rPr>
        <w:t>The Hamilton Project</w:t>
      </w:r>
      <w:r>
        <w:rPr>
          <w:rFonts w:ascii="Times New Roman" w:eastAsia="Times New Roman" w:hAnsi="Times New Roman" w:cs="Times New Roman"/>
        </w:rPr>
        <w:t xml:space="preserve">, Washington DC: The Brookings Institute, Available online: </w:t>
      </w:r>
      <w:hyperlink r:id="rId99">
        <w:r>
          <w:rPr>
            <w:rFonts w:ascii="Times New Roman" w:eastAsia="Times New Roman" w:hAnsi="Times New Roman" w:cs="Times New Roman"/>
            <w:color w:val="1155CC"/>
            <w:u w:val="single"/>
          </w:rPr>
          <w:t>https://www.brookings.edu/research/the-shift-in-private-sector-union-participation-explanations-and-effects/</w:t>
        </w:r>
      </w:hyperlink>
      <w:r>
        <w:rPr>
          <w:rFonts w:ascii="Times New Roman" w:eastAsia="Times New Roman" w:hAnsi="Times New Roman" w:cs="Times New Roman"/>
        </w:rPr>
        <w:t>, [Accessed 29 December 2019].</w:t>
      </w:r>
    </w:p>
    <w:p w14:paraId="728A0F3D" w14:textId="77777777" w:rsidR="00861DF6" w:rsidRDefault="00861DF6" w:rsidP="00861DF6">
      <w:pPr>
        <w:ind w:left="720" w:hanging="720"/>
        <w:rPr>
          <w:rFonts w:ascii="Times New Roman" w:eastAsia="Times New Roman" w:hAnsi="Times New Roman" w:cs="Times New Roman"/>
        </w:rPr>
      </w:pPr>
    </w:p>
    <w:p w14:paraId="5D554940"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Nunn, R. (2019). “The Shift in Private Sector Union Participation: Explanation and Effects,” </w:t>
      </w:r>
      <w:r>
        <w:rPr>
          <w:rFonts w:ascii="Times New Roman" w:eastAsia="Times New Roman" w:hAnsi="Times New Roman" w:cs="Times New Roman"/>
          <w:i/>
        </w:rPr>
        <w:t>The Hamilton Project</w:t>
      </w:r>
      <w:r>
        <w:rPr>
          <w:rFonts w:ascii="Times New Roman" w:eastAsia="Times New Roman" w:hAnsi="Times New Roman" w:cs="Times New Roman"/>
        </w:rPr>
        <w:t>, Washington DC: Brookings Institute.</w:t>
      </w:r>
    </w:p>
    <w:p w14:paraId="35777D23" w14:textId="77777777" w:rsidR="00861DF6" w:rsidRDefault="00861DF6" w:rsidP="00861DF6">
      <w:pPr>
        <w:ind w:left="720" w:hanging="720"/>
        <w:rPr>
          <w:rFonts w:ascii="Times New Roman" w:eastAsia="Times New Roman" w:hAnsi="Times New Roman" w:cs="Times New Roman"/>
        </w:rPr>
      </w:pPr>
    </w:p>
    <w:p w14:paraId="2BE80D2B"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Office of Labor-Management Standards.</w:t>
      </w:r>
      <w:proofErr w:type="gramEnd"/>
      <w:r>
        <w:rPr>
          <w:rFonts w:ascii="Times New Roman" w:eastAsia="Times New Roman" w:hAnsi="Times New Roman" w:cs="Times New Roman"/>
        </w:rPr>
        <w:t xml:space="preserve"> (2018). “Rescission of Rule Interpreting ‘Advice’ Exemption in Section 203(c) of the Labor-Management Reporting and Disclosure Act,” </w:t>
      </w:r>
      <w:r>
        <w:rPr>
          <w:rFonts w:ascii="Times New Roman" w:eastAsia="Times New Roman" w:hAnsi="Times New Roman" w:cs="Times New Roman"/>
          <w:i/>
        </w:rPr>
        <w:t>Federal Register - National Archives</w:t>
      </w:r>
      <w:r>
        <w:rPr>
          <w:rFonts w:ascii="Times New Roman" w:eastAsia="Times New Roman" w:hAnsi="Times New Roman" w:cs="Times New Roman"/>
        </w:rPr>
        <w:t xml:space="preserve">, Available online: </w:t>
      </w:r>
      <w:hyperlink r:id="rId100">
        <w:r>
          <w:rPr>
            <w:rFonts w:ascii="Times New Roman" w:eastAsia="Times New Roman" w:hAnsi="Times New Roman" w:cs="Times New Roman"/>
            <w:color w:val="1155CC"/>
            <w:u w:val="single"/>
          </w:rPr>
          <w:t>https://www.federalregister.gov/documents/2018/07/18/2018-14948/rescission-of-rule-interpreting-advice-exemption-in-section-203c-of-the-labor-management-reporting</w:t>
        </w:r>
      </w:hyperlink>
      <w:r>
        <w:rPr>
          <w:rFonts w:ascii="Times New Roman" w:eastAsia="Times New Roman" w:hAnsi="Times New Roman" w:cs="Times New Roman"/>
        </w:rPr>
        <w:t>, [Accessed 18 February 2020].</w:t>
      </w:r>
    </w:p>
    <w:p w14:paraId="440889CC" w14:textId="77777777" w:rsidR="00861DF6" w:rsidRDefault="00861DF6" w:rsidP="00861DF6">
      <w:pPr>
        <w:ind w:left="720" w:hanging="720"/>
        <w:rPr>
          <w:rFonts w:ascii="Times New Roman" w:eastAsia="Times New Roman" w:hAnsi="Times New Roman" w:cs="Times New Roman"/>
        </w:rPr>
      </w:pPr>
    </w:p>
    <w:p w14:paraId="004DFA33"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 xml:space="preserve">Orb, A., </w:t>
      </w:r>
      <w:proofErr w:type="spellStart"/>
      <w:r>
        <w:rPr>
          <w:rFonts w:ascii="Times New Roman" w:eastAsia="Times New Roman" w:hAnsi="Times New Roman" w:cs="Times New Roman"/>
        </w:rPr>
        <w:t>Eisenhauer</w:t>
      </w:r>
      <w:proofErr w:type="spellEnd"/>
      <w:r>
        <w:rPr>
          <w:rFonts w:ascii="Times New Roman" w:eastAsia="Times New Roman" w:hAnsi="Times New Roman" w:cs="Times New Roman"/>
        </w:rPr>
        <w:t xml:space="preserve">, L., &amp; </w:t>
      </w:r>
      <w:proofErr w:type="spellStart"/>
      <w:r>
        <w:rPr>
          <w:rFonts w:ascii="Times New Roman" w:eastAsia="Times New Roman" w:hAnsi="Times New Roman" w:cs="Times New Roman"/>
        </w:rPr>
        <w:t>Wynaden</w:t>
      </w:r>
      <w:proofErr w:type="spellEnd"/>
      <w:r>
        <w:rPr>
          <w:rFonts w:ascii="Times New Roman" w:eastAsia="Times New Roman" w:hAnsi="Times New Roman" w:cs="Times New Roman"/>
        </w:rPr>
        <w:t>, D. (2000).</w:t>
      </w:r>
      <w:proofErr w:type="gramEnd"/>
      <w:r>
        <w:rPr>
          <w:rFonts w:ascii="Times New Roman" w:eastAsia="Times New Roman" w:hAnsi="Times New Roman" w:cs="Times New Roman"/>
        </w:rPr>
        <w:t xml:space="preserve"> “Ethics in Qualitative Research,” </w:t>
      </w:r>
      <w:r>
        <w:rPr>
          <w:rFonts w:ascii="Times New Roman" w:eastAsia="Times New Roman" w:hAnsi="Times New Roman" w:cs="Times New Roman"/>
          <w:i/>
        </w:rPr>
        <w:t>Journal of Nursing Scholarship</w:t>
      </w:r>
      <w:r>
        <w:rPr>
          <w:rFonts w:ascii="Times New Roman" w:eastAsia="Times New Roman" w:hAnsi="Times New Roman" w:cs="Times New Roman"/>
        </w:rPr>
        <w:t>, Vol. 33, No. 1, pp. 93-96. </w:t>
      </w:r>
    </w:p>
    <w:p w14:paraId="4A842642"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Paddison</w:t>
      </w:r>
      <w:proofErr w:type="spellEnd"/>
      <w:r>
        <w:rPr>
          <w:rFonts w:ascii="Times New Roman" w:eastAsia="Times New Roman" w:hAnsi="Times New Roman" w:cs="Times New Roman"/>
        </w:rPr>
        <w:t>, L. (2018). “What is a Federal Jobs Guarantee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i/>
        </w:rPr>
        <w:t>The Huffington Post</w:t>
      </w:r>
      <w:r>
        <w:rPr>
          <w:rFonts w:ascii="Times New Roman" w:eastAsia="Times New Roman" w:hAnsi="Times New Roman" w:cs="Times New Roman"/>
        </w:rPr>
        <w:t xml:space="preserve">, Available online: </w:t>
      </w:r>
      <w:hyperlink r:id="rId101">
        <w:r>
          <w:rPr>
            <w:rFonts w:ascii="Times New Roman" w:eastAsia="Times New Roman" w:hAnsi="Times New Roman" w:cs="Times New Roman"/>
            <w:color w:val="0000FF"/>
            <w:u w:val="single"/>
          </w:rPr>
          <w:t>https://www.huffpost.com/entry/federal-job-guarantee-explained_n_5b363f4ae4b007aa2f7f59fc</w:t>
        </w:r>
      </w:hyperlink>
      <w:r>
        <w:rPr>
          <w:rFonts w:ascii="Times New Roman" w:eastAsia="Times New Roman" w:hAnsi="Times New Roman" w:cs="Times New Roman"/>
        </w:rPr>
        <w:t>, [Accessed 13 January 2020].</w:t>
      </w:r>
    </w:p>
    <w:p w14:paraId="169B2809" w14:textId="77777777" w:rsidR="00861DF6" w:rsidRDefault="00861DF6" w:rsidP="00861DF6">
      <w:pPr>
        <w:ind w:left="720" w:hanging="720"/>
        <w:rPr>
          <w:rFonts w:ascii="Times New Roman" w:eastAsia="Times New Roman" w:hAnsi="Times New Roman" w:cs="Times New Roman"/>
        </w:rPr>
      </w:pPr>
    </w:p>
    <w:p w14:paraId="4ABC8081"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Parken</w:t>
      </w:r>
      <w:proofErr w:type="spellEnd"/>
      <w:r>
        <w:rPr>
          <w:rFonts w:ascii="Times New Roman" w:eastAsia="Times New Roman" w:hAnsi="Times New Roman" w:cs="Times New Roman"/>
        </w:rPr>
        <w:t xml:space="preserve">, A. (2010). “A Multi-Strand Approach to Promoting Equalities and Human Rights in Policy Making,” </w:t>
      </w:r>
      <w:r>
        <w:rPr>
          <w:rFonts w:ascii="Times New Roman" w:eastAsia="Times New Roman" w:hAnsi="Times New Roman" w:cs="Times New Roman"/>
          <w:i/>
        </w:rPr>
        <w:t>Policy &amp; Politics,</w:t>
      </w:r>
      <w:r>
        <w:rPr>
          <w:rFonts w:ascii="Times New Roman" w:eastAsia="Times New Roman" w:hAnsi="Times New Roman" w:cs="Times New Roman"/>
        </w:rPr>
        <w:t xml:space="preserve"> Vol. 38, No. 1, pp. 79-99. </w:t>
      </w:r>
    </w:p>
    <w:p w14:paraId="576BE994" w14:textId="77777777" w:rsidR="00861DF6" w:rsidRDefault="00861DF6" w:rsidP="00861DF6">
      <w:pPr>
        <w:ind w:left="720" w:hanging="720"/>
        <w:rPr>
          <w:rFonts w:ascii="Times New Roman" w:eastAsia="Times New Roman" w:hAnsi="Times New Roman" w:cs="Times New Roman"/>
        </w:rPr>
      </w:pPr>
    </w:p>
    <w:p w14:paraId="3C9AA483"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Parken</w:t>
      </w:r>
      <w:proofErr w:type="spellEnd"/>
      <w:r>
        <w:rPr>
          <w:rFonts w:ascii="Times New Roman" w:eastAsia="Times New Roman" w:hAnsi="Times New Roman" w:cs="Times New Roman"/>
        </w:rPr>
        <w:t xml:space="preserve">, A. &amp; Young, H. (2007). “Integrating the Promotion of Equality and Human Rights for All,” Cardiff, Wales: Commission of Equality and Human Rights. </w:t>
      </w:r>
      <w:proofErr w:type="gramStart"/>
      <w:r>
        <w:rPr>
          <w:rFonts w:ascii="Times New Roman" w:eastAsia="Times New Roman" w:hAnsi="Times New Roman" w:cs="Times New Roman"/>
        </w:rPr>
        <w:t>Unpublished report for the Welsh Assembly Government and Equality and Human Rights Commission.</w:t>
      </w:r>
      <w:proofErr w:type="gramEnd"/>
    </w:p>
    <w:p w14:paraId="61ECA69C" w14:textId="77777777" w:rsidR="00861DF6" w:rsidRDefault="00861DF6" w:rsidP="00861DF6">
      <w:pPr>
        <w:ind w:left="720" w:hanging="720"/>
        <w:rPr>
          <w:rFonts w:ascii="Times New Roman" w:eastAsia="Times New Roman" w:hAnsi="Times New Roman" w:cs="Times New Roman"/>
        </w:rPr>
      </w:pPr>
    </w:p>
    <w:p w14:paraId="13A612A7"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lastRenderedPageBreak/>
        <w:t xml:space="preserve">Patrick, D. &amp; Rosenfeld, J. (2018). “Unions and Nonunion Pay in the United States, 1977-2015,” </w:t>
      </w:r>
      <w:r>
        <w:rPr>
          <w:rFonts w:ascii="Times New Roman" w:eastAsia="Times New Roman" w:hAnsi="Times New Roman" w:cs="Times New Roman"/>
          <w:i/>
        </w:rPr>
        <w:t xml:space="preserve">Sociological Science, </w:t>
      </w:r>
      <w:r>
        <w:rPr>
          <w:rFonts w:ascii="Times New Roman" w:eastAsia="Times New Roman" w:hAnsi="Times New Roman" w:cs="Times New Roman"/>
        </w:rPr>
        <w:t>Vol. 5, pp. 541-561.</w:t>
      </w:r>
    </w:p>
    <w:p w14:paraId="4EC09253" w14:textId="77777777" w:rsidR="00861DF6" w:rsidRDefault="00861DF6" w:rsidP="00861DF6">
      <w:pPr>
        <w:ind w:left="720" w:hanging="720"/>
        <w:rPr>
          <w:rFonts w:ascii="Times New Roman" w:eastAsia="Times New Roman" w:hAnsi="Times New Roman" w:cs="Times New Roman"/>
        </w:rPr>
      </w:pPr>
    </w:p>
    <w:p w14:paraId="65265B12"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Patton, M. Q. (2002).</w:t>
      </w:r>
      <w:proofErr w:type="gramEnd"/>
      <w:r>
        <w:rPr>
          <w:rFonts w:ascii="Times New Roman" w:eastAsia="Times New Roman" w:hAnsi="Times New Roman" w:cs="Times New Roman"/>
        </w:rPr>
        <w:t xml:space="preserve"> </w:t>
      </w:r>
      <w:r>
        <w:rPr>
          <w:rFonts w:ascii="Times New Roman" w:eastAsia="Times New Roman" w:hAnsi="Times New Roman" w:cs="Times New Roman"/>
          <w:i/>
        </w:rPr>
        <w:t>Qualitative Evaluation and Research Methods</w:t>
      </w:r>
      <w:r>
        <w:rPr>
          <w:rFonts w:ascii="Times New Roman" w:eastAsia="Times New Roman" w:hAnsi="Times New Roman" w:cs="Times New Roman"/>
        </w:rPr>
        <w:t>, Thousand Oaks, CA: Sage Publications, Inc.</w:t>
      </w:r>
    </w:p>
    <w:p w14:paraId="0B80A98B" w14:textId="77777777" w:rsidR="00B84936" w:rsidRDefault="00B84936">
      <w:pPr>
        <w:rPr>
          <w:rFonts w:ascii="Times New Roman" w:eastAsia="Times New Roman" w:hAnsi="Times New Roman" w:cs="Times New Roman"/>
        </w:rPr>
      </w:pPr>
    </w:p>
    <w:p w14:paraId="61F4F177"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 xml:space="preserve">Paul, M., </w:t>
      </w:r>
      <w:proofErr w:type="spellStart"/>
      <w:r>
        <w:rPr>
          <w:rFonts w:ascii="Times New Roman" w:eastAsia="Times New Roman" w:hAnsi="Times New Roman" w:cs="Times New Roman"/>
        </w:rPr>
        <w:t>Darity</w:t>
      </w:r>
      <w:proofErr w:type="spellEnd"/>
      <w:r>
        <w:rPr>
          <w:rFonts w:ascii="Times New Roman" w:eastAsia="Times New Roman" w:hAnsi="Times New Roman" w:cs="Times New Roman"/>
        </w:rPr>
        <w:t xml:space="preserve">, Jr., Hamilton, D., &amp; </w:t>
      </w:r>
      <w:proofErr w:type="spellStart"/>
      <w:r>
        <w:rPr>
          <w:rFonts w:ascii="Times New Roman" w:eastAsia="Times New Roman" w:hAnsi="Times New Roman" w:cs="Times New Roman"/>
        </w:rPr>
        <w:t>Zaw</w:t>
      </w:r>
      <w:proofErr w:type="spellEnd"/>
      <w:r>
        <w:rPr>
          <w:rFonts w:ascii="Times New Roman" w:eastAsia="Times New Roman" w:hAnsi="Times New Roman" w:cs="Times New Roman"/>
        </w:rPr>
        <w:t>, K. (2018).</w:t>
      </w:r>
      <w:proofErr w:type="gramEnd"/>
      <w:r>
        <w:rPr>
          <w:rFonts w:ascii="Times New Roman" w:eastAsia="Times New Roman" w:hAnsi="Times New Roman" w:cs="Times New Roman"/>
        </w:rPr>
        <w:t xml:space="preserve"> “A Path to Ending Poverty by Way of Ending Unemployment: A Federal Job Guarantee,” </w:t>
      </w:r>
      <w:r>
        <w:rPr>
          <w:rFonts w:ascii="Times New Roman" w:eastAsia="Times New Roman" w:hAnsi="Times New Roman" w:cs="Times New Roman"/>
          <w:i/>
        </w:rPr>
        <w:t>Russell Sage Foundation Journal of the Social Sciences</w:t>
      </w:r>
      <w:r>
        <w:rPr>
          <w:rFonts w:ascii="Times New Roman" w:eastAsia="Times New Roman" w:hAnsi="Times New Roman" w:cs="Times New Roman"/>
        </w:rPr>
        <w:t>, Vol. 4, No. 3, pp. 44-63.</w:t>
      </w:r>
      <w:r>
        <w:rPr>
          <w:rFonts w:ascii="Times New Roman" w:eastAsia="Times New Roman" w:hAnsi="Times New Roman" w:cs="Times New Roman"/>
          <w:i/>
        </w:rPr>
        <w:t> </w:t>
      </w:r>
    </w:p>
    <w:p w14:paraId="0CE0565F" w14:textId="77777777" w:rsidR="00B84936" w:rsidRDefault="00B84936">
      <w:pPr>
        <w:rPr>
          <w:rFonts w:ascii="Times New Roman" w:eastAsia="Times New Roman" w:hAnsi="Times New Roman" w:cs="Times New Roman"/>
        </w:rPr>
      </w:pPr>
    </w:p>
    <w:p w14:paraId="155E42D2"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Public Policy Institute of California.</w:t>
      </w:r>
      <w:proofErr w:type="gramEnd"/>
      <w:r>
        <w:rPr>
          <w:rFonts w:ascii="Times New Roman" w:eastAsia="Times New Roman" w:hAnsi="Times New Roman" w:cs="Times New Roman"/>
        </w:rPr>
        <w:t xml:space="preserve"> (2019). “California’s Prison Population,” </w:t>
      </w:r>
      <w:r>
        <w:rPr>
          <w:rFonts w:ascii="Times New Roman" w:eastAsia="Times New Roman" w:hAnsi="Times New Roman" w:cs="Times New Roman"/>
          <w:i/>
        </w:rPr>
        <w:t>Public Policy Institute of California</w:t>
      </w:r>
      <w:r>
        <w:rPr>
          <w:rFonts w:ascii="Times New Roman" w:eastAsia="Times New Roman" w:hAnsi="Times New Roman" w:cs="Times New Roman"/>
        </w:rPr>
        <w:t xml:space="preserve">, Available online: </w:t>
      </w:r>
      <w:hyperlink r:id="rId102">
        <w:r>
          <w:rPr>
            <w:rFonts w:ascii="Times New Roman" w:eastAsia="Times New Roman" w:hAnsi="Times New Roman" w:cs="Times New Roman"/>
            <w:color w:val="1155CC"/>
            <w:u w:val="single"/>
          </w:rPr>
          <w:t>https://www.ppic.org/publication/californias-prison-population/</w:t>
        </w:r>
      </w:hyperlink>
      <w:r>
        <w:rPr>
          <w:rFonts w:ascii="Times New Roman" w:eastAsia="Times New Roman" w:hAnsi="Times New Roman" w:cs="Times New Roman"/>
        </w:rPr>
        <w:t>. [Accessed 4 January 2020]. </w:t>
      </w:r>
    </w:p>
    <w:p w14:paraId="5C3630A1" w14:textId="77777777" w:rsidR="00B84936" w:rsidRDefault="00B84936">
      <w:pPr>
        <w:spacing w:line="276" w:lineRule="auto"/>
        <w:rPr>
          <w:rFonts w:ascii="Times New Roman" w:eastAsia="Times New Roman" w:hAnsi="Times New Roman" w:cs="Times New Roman"/>
        </w:rPr>
      </w:pPr>
    </w:p>
    <w:p w14:paraId="25F46F20"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Purdie</w:t>
      </w:r>
      <w:proofErr w:type="spellEnd"/>
      <w:r>
        <w:rPr>
          <w:rFonts w:ascii="Times New Roman" w:eastAsia="Times New Roman" w:hAnsi="Times New Roman" w:cs="Times New Roman"/>
        </w:rPr>
        <w:t xml:space="preserve">, C. &amp; </w:t>
      </w:r>
      <w:proofErr w:type="spellStart"/>
      <w:r>
        <w:rPr>
          <w:rFonts w:ascii="Times New Roman" w:eastAsia="Times New Roman" w:hAnsi="Times New Roman" w:cs="Times New Roman"/>
        </w:rPr>
        <w:t>Rhollans</w:t>
      </w:r>
      <w:proofErr w:type="spellEnd"/>
      <w:r>
        <w:rPr>
          <w:rFonts w:ascii="Times New Roman" w:eastAsia="Times New Roman" w:hAnsi="Times New Roman" w:cs="Times New Roman"/>
        </w:rPr>
        <w:t xml:space="preserve">, J. (2016). “Union Communication Guidance: TIPS and FOE,” Society for Human Resource Management, Available online: </w:t>
      </w:r>
      <w:hyperlink r:id="rId103">
        <w:r>
          <w:rPr>
            <w:rFonts w:ascii="Times New Roman" w:eastAsia="Times New Roman" w:hAnsi="Times New Roman" w:cs="Times New Roman"/>
            <w:color w:val="1155CC"/>
            <w:u w:val="single"/>
          </w:rPr>
          <w:t>https://www.shrm.org/resourcesandtools/hr-topics/labor-relations/pages/tips-foe.aspx</w:t>
        </w:r>
      </w:hyperlink>
      <w:r>
        <w:rPr>
          <w:rFonts w:ascii="Times New Roman" w:eastAsia="Times New Roman" w:hAnsi="Times New Roman" w:cs="Times New Roman"/>
        </w:rPr>
        <w:t>, [Accessed 18 March 2020].</w:t>
      </w:r>
    </w:p>
    <w:p w14:paraId="2D57E1E9" w14:textId="77777777" w:rsidR="00B84936" w:rsidRDefault="00B84936">
      <w:pPr>
        <w:rPr>
          <w:rFonts w:ascii="Times New Roman" w:eastAsia="Times New Roman" w:hAnsi="Times New Roman" w:cs="Times New Roman"/>
        </w:rPr>
      </w:pPr>
    </w:p>
    <w:p w14:paraId="1F8285D5"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Randolph, P. &amp; Ruskin, B. (1967). “A ‘Freedom Budget’ For All Americans,” </w:t>
      </w:r>
      <w:r>
        <w:rPr>
          <w:rFonts w:ascii="Times New Roman" w:eastAsia="Times New Roman" w:hAnsi="Times New Roman" w:cs="Times New Roman"/>
          <w:i/>
        </w:rPr>
        <w:t>A. Philip Randolph Institute,</w:t>
      </w:r>
      <w:r>
        <w:rPr>
          <w:rFonts w:ascii="Times New Roman" w:eastAsia="Times New Roman" w:hAnsi="Times New Roman" w:cs="Times New Roman"/>
        </w:rPr>
        <w:t xml:space="preserve"> Available online: </w:t>
      </w:r>
      <w:hyperlink r:id="rId104">
        <w:r>
          <w:rPr>
            <w:rFonts w:ascii="Times New Roman" w:eastAsia="Times New Roman" w:hAnsi="Times New Roman" w:cs="Times New Roman"/>
            <w:color w:val="1155CC"/>
            <w:u w:val="single"/>
          </w:rPr>
          <w:t>https://www.crmvet.org/docs/6701_freedombudget.pdf</w:t>
        </w:r>
      </w:hyperlink>
      <w:r>
        <w:rPr>
          <w:rFonts w:ascii="Times New Roman" w:eastAsia="Times New Roman" w:hAnsi="Times New Roman" w:cs="Times New Roman"/>
        </w:rPr>
        <w:t>, [Accessed 3 January 2019]. </w:t>
      </w:r>
    </w:p>
    <w:p w14:paraId="6D54FC37" w14:textId="77777777" w:rsidR="00B84936" w:rsidRDefault="00B84936">
      <w:pPr>
        <w:rPr>
          <w:rFonts w:ascii="Times New Roman" w:eastAsia="Times New Roman" w:hAnsi="Times New Roman" w:cs="Times New Roman"/>
        </w:rPr>
      </w:pPr>
    </w:p>
    <w:p w14:paraId="705CC0E4"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Reich, R. (2019). “Thinking Beyond Trump: A Federal Jobs Guarantee,” </w:t>
      </w:r>
      <w:r>
        <w:rPr>
          <w:rFonts w:ascii="Times New Roman" w:eastAsia="Times New Roman" w:hAnsi="Times New Roman" w:cs="Times New Roman"/>
          <w:i/>
        </w:rPr>
        <w:t>The Sanders Institute</w:t>
      </w:r>
      <w:r>
        <w:rPr>
          <w:rFonts w:ascii="Times New Roman" w:eastAsia="Times New Roman" w:hAnsi="Times New Roman" w:cs="Times New Roman"/>
        </w:rPr>
        <w:t xml:space="preserve">, Available online: </w:t>
      </w:r>
      <w:hyperlink r:id="rId105">
        <w:r>
          <w:rPr>
            <w:rFonts w:ascii="Times New Roman" w:eastAsia="Times New Roman" w:hAnsi="Times New Roman" w:cs="Times New Roman"/>
            <w:color w:val="1155CC"/>
            <w:u w:val="single"/>
          </w:rPr>
          <w:t>www.sandersinstitute.com/blog/beyond-trump-a-federal-jobs-guarantee</w:t>
        </w:r>
      </w:hyperlink>
      <w:r>
        <w:rPr>
          <w:rFonts w:ascii="Times New Roman" w:eastAsia="Times New Roman" w:hAnsi="Times New Roman" w:cs="Times New Roman"/>
        </w:rPr>
        <w:t>, [Accessed 1 January 2020]. </w:t>
      </w:r>
    </w:p>
    <w:p w14:paraId="3160CEDC" w14:textId="77777777" w:rsidR="00B84936" w:rsidRDefault="00B84936">
      <w:pPr>
        <w:rPr>
          <w:rFonts w:ascii="Times New Roman" w:eastAsia="Times New Roman" w:hAnsi="Times New Roman" w:cs="Times New Roman"/>
        </w:rPr>
      </w:pPr>
    </w:p>
    <w:p w14:paraId="69EC9447"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Rodriguez, M.N. (2017). “‘Ban the Box’ is a Fair Chance for Worker with Records,” </w:t>
      </w:r>
      <w:r>
        <w:rPr>
          <w:rFonts w:ascii="Times New Roman" w:eastAsia="Times New Roman" w:hAnsi="Times New Roman" w:cs="Times New Roman"/>
          <w:i/>
        </w:rPr>
        <w:t>National Employment Law Project</w:t>
      </w:r>
      <w:r>
        <w:rPr>
          <w:rFonts w:ascii="Times New Roman" w:eastAsia="Times New Roman" w:hAnsi="Times New Roman" w:cs="Times New Roman"/>
        </w:rPr>
        <w:t xml:space="preserve">, Available online: </w:t>
      </w:r>
      <w:hyperlink r:id="rId106">
        <w:r>
          <w:rPr>
            <w:rFonts w:ascii="Times New Roman" w:eastAsia="Times New Roman" w:hAnsi="Times New Roman" w:cs="Times New Roman"/>
            <w:color w:val="1155CC"/>
            <w:u w:val="single"/>
          </w:rPr>
          <w:t>https://www.nelp.org/publication/ban-box-fair-chance-workers-records/</w:t>
        </w:r>
      </w:hyperlink>
      <w:r>
        <w:rPr>
          <w:rFonts w:ascii="Times New Roman" w:eastAsia="Times New Roman" w:hAnsi="Times New Roman" w:cs="Times New Roman"/>
        </w:rPr>
        <w:t>, [Accessed 30 December 2019]. </w:t>
      </w:r>
    </w:p>
    <w:p w14:paraId="34015723" w14:textId="77777777" w:rsidR="00B84936" w:rsidRDefault="00B84936">
      <w:pPr>
        <w:rPr>
          <w:rFonts w:ascii="Times New Roman" w:eastAsia="Times New Roman" w:hAnsi="Times New Roman" w:cs="Times New Roman"/>
        </w:rPr>
      </w:pPr>
    </w:p>
    <w:p w14:paraId="3278B068"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Rogers, B., Diamond, P., van </w:t>
      </w:r>
      <w:proofErr w:type="spellStart"/>
      <w:r>
        <w:rPr>
          <w:rFonts w:ascii="Times New Roman" w:eastAsia="Times New Roman" w:hAnsi="Times New Roman" w:cs="Times New Roman"/>
        </w:rPr>
        <w:t>Parijs</w:t>
      </w:r>
      <w:proofErr w:type="spellEnd"/>
      <w:r>
        <w:rPr>
          <w:rFonts w:ascii="Times New Roman" w:eastAsia="Times New Roman" w:hAnsi="Times New Roman" w:cs="Times New Roman"/>
        </w:rPr>
        <w:t xml:space="preserve">, P., Warren, D., Shelby, T., &amp; Coyle, D. (2017). </w:t>
      </w:r>
      <w:r>
        <w:rPr>
          <w:rFonts w:ascii="Times New Roman" w:eastAsia="Times New Roman" w:hAnsi="Times New Roman" w:cs="Times New Roman"/>
          <w:i/>
        </w:rPr>
        <w:t>Work Inequality Basic Income</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Boston: Boston Review. </w:t>
      </w:r>
    </w:p>
    <w:p w14:paraId="5B1465B0" w14:textId="77777777" w:rsidR="00B84936" w:rsidRDefault="00B84936">
      <w:pPr>
        <w:rPr>
          <w:rFonts w:ascii="Times New Roman" w:eastAsia="Times New Roman" w:hAnsi="Times New Roman" w:cs="Times New Roman"/>
        </w:rPr>
      </w:pPr>
    </w:p>
    <w:p w14:paraId="388DFDF5"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Rosenberg, T. (2019). “No Background Check, Drug Test or Credit Check. You’re Hired</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i/>
        </w:rPr>
        <w:t>The New York Times</w:t>
      </w:r>
      <w:r>
        <w:rPr>
          <w:rFonts w:ascii="Times New Roman" w:eastAsia="Times New Roman" w:hAnsi="Times New Roman" w:cs="Times New Roman"/>
        </w:rPr>
        <w:t xml:space="preserve">, Available online: </w:t>
      </w:r>
      <w:hyperlink r:id="rId107">
        <w:r>
          <w:rPr>
            <w:rFonts w:ascii="Times New Roman" w:eastAsia="Times New Roman" w:hAnsi="Times New Roman" w:cs="Times New Roman"/>
            <w:color w:val="1155CC"/>
            <w:u w:val="single"/>
          </w:rPr>
          <w:t>https://www.nytimes.com/2019/05/29/opinion/greyston-bakery-open-hiring.html</w:t>
        </w:r>
      </w:hyperlink>
      <w:r>
        <w:rPr>
          <w:rFonts w:ascii="Times New Roman" w:eastAsia="Times New Roman" w:hAnsi="Times New Roman" w:cs="Times New Roman"/>
        </w:rPr>
        <w:t>, [Accessed 30 December 2019]. </w:t>
      </w:r>
    </w:p>
    <w:p w14:paraId="3A5484DC" w14:textId="77777777" w:rsidR="00B84936" w:rsidRDefault="00B84936">
      <w:pPr>
        <w:spacing w:line="276" w:lineRule="auto"/>
        <w:rPr>
          <w:rFonts w:ascii="Times New Roman" w:eastAsia="Times New Roman" w:hAnsi="Times New Roman" w:cs="Times New Roman"/>
        </w:rPr>
      </w:pPr>
    </w:p>
    <w:p w14:paraId="5779B221" w14:textId="77777777" w:rsidR="00B84936" w:rsidRDefault="001D1521" w:rsidP="00861DF6">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Roser</w:t>
      </w:r>
      <w:proofErr w:type="spellEnd"/>
      <w:r>
        <w:rPr>
          <w:rFonts w:ascii="Times New Roman" w:eastAsia="Times New Roman" w:hAnsi="Times New Roman" w:cs="Times New Roman"/>
        </w:rPr>
        <w:t>, M. &amp; Ortiz-</w:t>
      </w:r>
      <w:proofErr w:type="spellStart"/>
      <w:r>
        <w:rPr>
          <w:rFonts w:ascii="Times New Roman" w:eastAsia="Times New Roman" w:hAnsi="Times New Roman" w:cs="Times New Roman"/>
        </w:rPr>
        <w:t>Ospina</w:t>
      </w:r>
      <w:proofErr w:type="spellEnd"/>
      <w:r>
        <w:rPr>
          <w:rFonts w:ascii="Times New Roman" w:eastAsia="Times New Roman" w:hAnsi="Times New Roman" w:cs="Times New Roman"/>
        </w:rPr>
        <w:t>, E. (2016).</w:t>
      </w:r>
      <w:proofErr w:type="gramEnd"/>
      <w:r>
        <w:rPr>
          <w:rFonts w:ascii="Times New Roman" w:eastAsia="Times New Roman" w:hAnsi="Times New Roman" w:cs="Times New Roman"/>
        </w:rPr>
        <w:t xml:space="preserve"> Income Inequality. </w:t>
      </w:r>
      <w:proofErr w:type="gramStart"/>
      <w:r>
        <w:rPr>
          <w:rFonts w:ascii="Times New Roman" w:eastAsia="Times New Roman" w:hAnsi="Times New Roman" w:cs="Times New Roman"/>
          <w:i/>
        </w:rPr>
        <w:t>Our World in Data</w:t>
      </w:r>
      <w:r>
        <w:rPr>
          <w:rFonts w:ascii="Times New Roman" w:eastAsia="Times New Roman" w:hAnsi="Times New Roman" w:cs="Times New Roman"/>
        </w:rPr>
        <w:t>.</w:t>
      </w:r>
      <w:proofErr w:type="gramEnd"/>
      <w:r>
        <w:rPr>
          <w:rFonts w:ascii="Times New Roman" w:eastAsia="Times New Roman" w:hAnsi="Times New Roman" w:cs="Times New Roman"/>
        </w:rPr>
        <w:t xml:space="preserve"> Oxford Martin School, University of Oxford. Available online: </w:t>
      </w:r>
      <w:hyperlink r:id="rId108">
        <w:r>
          <w:rPr>
            <w:rFonts w:ascii="Times New Roman" w:eastAsia="Times New Roman" w:hAnsi="Times New Roman" w:cs="Times New Roman"/>
            <w:color w:val="1155CC"/>
            <w:u w:val="single"/>
          </w:rPr>
          <w:t>https://ourworldindata.org/income-inequality</w:t>
        </w:r>
      </w:hyperlink>
      <w:r>
        <w:rPr>
          <w:rFonts w:ascii="Times New Roman" w:eastAsia="Times New Roman" w:hAnsi="Times New Roman" w:cs="Times New Roman"/>
        </w:rPr>
        <w:t>, [Accessed 22 March 2020].</w:t>
      </w:r>
    </w:p>
    <w:p w14:paraId="72B37D64" w14:textId="77777777" w:rsidR="00B84936" w:rsidRDefault="00B84936">
      <w:pPr>
        <w:spacing w:line="276" w:lineRule="auto"/>
        <w:rPr>
          <w:rFonts w:ascii="Times New Roman" w:eastAsia="Times New Roman" w:hAnsi="Times New Roman" w:cs="Times New Roman"/>
        </w:rPr>
      </w:pPr>
    </w:p>
    <w:p w14:paraId="6ADE6AA0" w14:textId="77777777" w:rsidR="00B84936" w:rsidRDefault="001D1521" w:rsidP="00861DF6">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lastRenderedPageBreak/>
        <w:t>Saez</w:t>
      </w:r>
      <w:proofErr w:type="spellEnd"/>
      <w:r>
        <w:rPr>
          <w:rFonts w:ascii="Times New Roman" w:eastAsia="Times New Roman" w:hAnsi="Times New Roman" w:cs="Times New Roman"/>
        </w:rPr>
        <w:t>, E. (2017).</w:t>
      </w:r>
      <w:proofErr w:type="gramEnd"/>
      <w:r>
        <w:rPr>
          <w:rFonts w:ascii="Times New Roman" w:eastAsia="Times New Roman" w:hAnsi="Times New Roman" w:cs="Times New Roman"/>
        </w:rPr>
        <w:t xml:space="preserve"> “Income and Wealth Inequality: Evidence and Policy Implications,” </w:t>
      </w:r>
      <w:r>
        <w:rPr>
          <w:rFonts w:ascii="Times New Roman" w:eastAsia="Times New Roman" w:hAnsi="Times New Roman" w:cs="Times New Roman"/>
          <w:i/>
        </w:rPr>
        <w:t>Contemporary Economic Policy</w:t>
      </w:r>
      <w:r>
        <w:rPr>
          <w:rFonts w:ascii="Times New Roman" w:eastAsia="Times New Roman" w:hAnsi="Times New Roman" w:cs="Times New Roman"/>
        </w:rPr>
        <w:t xml:space="preserve">, Vol. 35, No. 1. Available online: </w:t>
      </w:r>
      <w:hyperlink r:id="rId109">
        <w:r>
          <w:rPr>
            <w:rFonts w:ascii="Times New Roman" w:eastAsia="Times New Roman" w:hAnsi="Times New Roman" w:cs="Times New Roman"/>
            <w:color w:val="1155CC"/>
            <w:u w:val="single"/>
          </w:rPr>
          <w:t>https://eml.berkeley.edu/~saez/SaezCEP2017.pdf</w:t>
        </w:r>
      </w:hyperlink>
      <w:r>
        <w:rPr>
          <w:rFonts w:ascii="Times New Roman" w:eastAsia="Times New Roman" w:hAnsi="Times New Roman" w:cs="Times New Roman"/>
        </w:rPr>
        <w:t xml:space="preserve">, [Accessed 27 January 2020]. </w:t>
      </w:r>
    </w:p>
    <w:p w14:paraId="71AD5B5B" w14:textId="77777777" w:rsidR="00B84936" w:rsidRDefault="00B84936">
      <w:pPr>
        <w:spacing w:line="276" w:lineRule="auto"/>
        <w:rPr>
          <w:rFonts w:ascii="Times New Roman" w:eastAsia="Times New Roman" w:hAnsi="Times New Roman" w:cs="Times New Roman"/>
        </w:rPr>
      </w:pPr>
    </w:p>
    <w:p w14:paraId="2296AD2B"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Saez</w:t>
      </w:r>
      <w:proofErr w:type="spellEnd"/>
      <w:r>
        <w:rPr>
          <w:rFonts w:ascii="Times New Roman" w:eastAsia="Times New Roman" w:hAnsi="Times New Roman" w:cs="Times New Roman"/>
        </w:rPr>
        <w:t xml:space="preserve">, E. &amp; </w:t>
      </w:r>
      <w:proofErr w:type="spellStart"/>
      <w:r>
        <w:rPr>
          <w:rFonts w:ascii="Times New Roman" w:eastAsia="Times New Roman" w:hAnsi="Times New Roman" w:cs="Times New Roman"/>
        </w:rPr>
        <w:t>Zucman</w:t>
      </w:r>
      <w:proofErr w:type="spellEnd"/>
      <w:r>
        <w:rPr>
          <w:rFonts w:ascii="Times New Roman" w:eastAsia="Times New Roman" w:hAnsi="Times New Roman" w:cs="Times New Roman"/>
        </w:rPr>
        <w:t xml:space="preserve">, G. (2014). “Wealth Inequality in the United States since 1913: Evidence from Capitalized Income Tax Data.” </w:t>
      </w:r>
      <w:proofErr w:type="gramStart"/>
      <w:r>
        <w:rPr>
          <w:rFonts w:ascii="Times New Roman" w:eastAsia="Times New Roman" w:hAnsi="Times New Roman" w:cs="Times New Roman"/>
          <w:i/>
        </w:rPr>
        <w:t>National Bureau of Economic Research</w:t>
      </w:r>
      <w:r>
        <w:rPr>
          <w:rFonts w:ascii="Times New Roman" w:eastAsia="Times New Roman" w:hAnsi="Times New Roman" w:cs="Times New Roman"/>
        </w:rPr>
        <w:t>.</w:t>
      </w:r>
      <w:proofErr w:type="gramEnd"/>
      <w:r>
        <w:rPr>
          <w:rFonts w:ascii="Times New Roman" w:eastAsia="Times New Roman" w:hAnsi="Times New Roman" w:cs="Times New Roman"/>
        </w:rPr>
        <w:t xml:space="preserve"> Working Paper 20625, Available online: </w:t>
      </w:r>
      <w:hyperlink r:id="rId110">
        <w:r>
          <w:rPr>
            <w:rFonts w:ascii="Times New Roman" w:eastAsia="Times New Roman" w:hAnsi="Times New Roman" w:cs="Times New Roman"/>
            <w:color w:val="1155CC"/>
            <w:u w:val="single"/>
          </w:rPr>
          <w:t>http://gabriel-zucman.eu/files/SaezZucman2014.pdf</w:t>
        </w:r>
      </w:hyperlink>
      <w:r>
        <w:rPr>
          <w:rFonts w:ascii="Times New Roman" w:eastAsia="Times New Roman" w:hAnsi="Times New Roman" w:cs="Times New Roman"/>
        </w:rPr>
        <w:t>,  [Accessed 20 January 2020].</w:t>
      </w:r>
    </w:p>
    <w:p w14:paraId="097E0EE2" w14:textId="77777777" w:rsidR="00B84936" w:rsidRDefault="00B84936">
      <w:pPr>
        <w:spacing w:line="276" w:lineRule="auto"/>
        <w:rPr>
          <w:rFonts w:ascii="Times New Roman" w:eastAsia="Times New Roman" w:hAnsi="Times New Roman" w:cs="Times New Roman"/>
        </w:rPr>
      </w:pPr>
    </w:p>
    <w:p w14:paraId="440DB9C9"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Sanders, B. (2019a).</w:t>
      </w:r>
      <w:proofErr w:type="gramEnd"/>
      <w:r>
        <w:rPr>
          <w:rFonts w:ascii="Times New Roman" w:eastAsia="Times New Roman" w:hAnsi="Times New Roman" w:cs="Times New Roman"/>
        </w:rPr>
        <w:t xml:space="preserve"> “Healthcare as a Human Rights - Medicare for All,” </w:t>
      </w:r>
      <w:r>
        <w:rPr>
          <w:rFonts w:ascii="Times New Roman" w:eastAsia="Times New Roman" w:hAnsi="Times New Roman" w:cs="Times New Roman"/>
          <w:i/>
        </w:rPr>
        <w:t>Bernie 2020</w:t>
      </w:r>
      <w:r>
        <w:rPr>
          <w:rFonts w:ascii="Times New Roman" w:eastAsia="Times New Roman" w:hAnsi="Times New Roman" w:cs="Times New Roman"/>
        </w:rPr>
        <w:t xml:space="preserve">, Available online: </w:t>
      </w:r>
      <w:hyperlink r:id="rId111">
        <w:r>
          <w:rPr>
            <w:rFonts w:ascii="Times New Roman" w:eastAsia="Times New Roman" w:hAnsi="Times New Roman" w:cs="Times New Roman"/>
            <w:color w:val="1155CC"/>
            <w:u w:val="single"/>
          </w:rPr>
          <w:t>https://berniesanders.com/issues/medicare-for-all/</w:t>
        </w:r>
      </w:hyperlink>
      <w:r>
        <w:rPr>
          <w:rFonts w:ascii="Times New Roman" w:eastAsia="Times New Roman" w:hAnsi="Times New Roman" w:cs="Times New Roman"/>
        </w:rPr>
        <w:t>, [Accessed 18 March 2020].</w:t>
      </w:r>
    </w:p>
    <w:p w14:paraId="5D9D2B03" w14:textId="77777777" w:rsidR="00B84936" w:rsidRDefault="00B84936">
      <w:pPr>
        <w:rPr>
          <w:rFonts w:ascii="Times New Roman" w:eastAsia="Times New Roman" w:hAnsi="Times New Roman" w:cs="Times New Roman"/>
        </w:rPr>
      </w:pPr>
    </w:p>
    <w:p w14:paraId="7187E781"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Sanders, B. (2019a).</w:t>
      </w:r>
      <w:proofErr w:type="gramEnd"/>
      <w:r>
        <w:rPr>
          <w:rFonts w:ascii="Times New Roman" w:eastAsia="Times New Roman" w:hAnsi="Times New Roman" w:cs="Times New Roman"/>
        </w:rPr>
        <w:t xml:space="preserve"> “Jobs and an Economy for All,” </w:t>
      </w:r>
      <w:r>
        <w:rPr>
          <w:rFonts w:ascii="Times New Roman" w:eastAsia="Times New Roman" w:hAnsi="Times New Roman" w:cs="Times New Roman"/>
          <w:i/>
        </w:rPr>
        <w:t>Bernie 2020</w:t>
      </w:r>
      <w:r>
        <w:rPr>
          <w:rFonts w:ascii="Times New Roman" w:eastAsia="Times New Roman" w:hAnsi="Times New Roman" w:cs="Times New Roman"/>
        </w:rPr>
        <w:t xml:space="preserve">, Available online: </w:t>
      </w:r>
      <w:hyperlink r:id="rId112">
        <w:r>
          <w:rPr>
            <w:rFonts w:ascii="Times New Roman" w:eastAsia="Times New Roman" w:hAnsi="Times New Roman" w:cs="Times New Roman"/>
            <w:color w:val="0000FF"/>
            <w:u w:val="single"/>
          </w:rPr>
          <w:t>https://berniesanders.com/issues/jobs-for-all/</w:t>
        </w:r>
      </w:hyperlink>
      <w:r>
        <w:rPr>
          <w:rFonts w:ascii="Times New Roman" w:eastAsia="Times New Roman" w:hAnsi="Times New Roman" w:cs="Times New Roman"/>
        </w:rPr>
        <w:t xml:space="preserve">, [Accessed 11 January 2020]. </w:t>
      </w:r>
    </w:p>
    <w:p w14:paraId="05C942C4" w14:textId="77777777" w:rsidR="00B84936" w:rsidRDefault="00B84936">
      <w:pPr>
        <w:spacing w:line="276" w:lineRule="auto"/>
        <w:rPr>
          <w:rFonts w:ascii="Times New Roman" w:eastAsia="Times New Roman" w:hAnsi="Times New Roman" w:cs="Times New Roman"/>
        </w:rPr>
      </w:pPr>
    </w:p>
    <w:p w14:paraId="15131945"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Sanders, B. (2019b).</w:t>
      </w:r>
      <w:proofErr w:type="gramEnd"/>
      <w:r>
        <w:rPr>
          <w:rFonts w:ascii="Times New Roman" w:eastAsia="Times New Roman" w:hAnsi="Times New Roman" w:cs="Times New Roman"/>
        </w:rPr>
        <w:t xml:space="preserve"> “The Workplace Democracy Plan,” </w:t>
      </w:r>
      <w:r>
        <w:rPr>
          <w:rFonts w:ascii="Times New Roman" w:eastAsia="Times New Roman" w:hAnsi="Times New Roman" w:cs="Times New Roman"/>
          <w:i/>
        </w:rPr>
        <w:t>Bernie 2020</w:t>
      </w:r>
      <w:r>
        <w:rPr>
          <w:rFonts w:ascii="Times New Roman" w:eastAsia="Times New Roman" w:hAnsi="Times New Roman" w:cs="Times New Roman"/>
        </w:rPr>
        <w:t xml:space="preserve">, Available online: </w:t>
      </w:r>
      <w:hyperlink r:id="rId113">
        <w:r>
          <w:rPr>
            <w:rFonts w:ascii="Times New Roman" w:eastAsia="Times New Roman" w:hAnsi="Times New Roman" w:cs="Times New Roman"/>
            <w:color w:val="1155CC"/>
            <w:u w:val="single"/>
          </w:rPr>
          <w:t>https://berniesanders.com/issues/workplace-democracy/</w:t>
        </w:r>
      </w:hyperlink>
      <w:r>
        <w:rPr>
          <w:rFonts w:ascii="Times New Roman" w:eastAsia="Times New Roman" w:hAnsi="Times New Roman" w:cs="Times New Roman"/>
        </w:rPr>
        <w:t>, [Accessed 23 January 2020].</w:t>
      </w:r>
    </w:p>
    <w:p w14:paraId="18BD2B29" w14:textId="77777777" w:rsidR="00B84936" w:rsidRDefault="00B84936">
      <w:pPr>
        <w:rPr>
          <w:rFonts w:ascii="Times New Roman" w:eastAsia="Times New Roman" w:hAnsi="Times New Roman" w:cs="Times New Roman"/>
        </w:rPr>
      </w:pPr>
    </w:p>
    <w:p w14:paraId="2C2D7520"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Saunders, M., &amp; Lewis, P. (2012).</w:t>
      </w:r>
      <w:proofErr w:type="gramEnd"/>
      <w:r>
        <w:rPr>
          <w:rFonts w:ascii="Times New Roman" w:eastAsia="Times New Roman" w:hAnsi="Times New Roman" w:cs="Times New Roman"/>
        </w:rPr>
        <w:t xml:space="preserve"> </w:t>
      </w:r>
      <w:r>
        <w:rPr>
          <w:rFonts w:ascii="Times New Roman" w:eastAsia="Times New Roman" w:hAnsi="Times New Roman" w:cs="Times New Roman"/>
          <w:i/>
        </w:rPr>
        <w:t>Doing Research in Business &amp; Management</w:t>
      </w:r>
      <w:r>
        <w:rPr>
          <w:rFonts w:ascii="Times New Roman" w:eastAsia="Times New Roman" w:hAnsi="Times New Roman" w:cs="Times New Roman"/>
        </w:rPr>
        <w:t>, Harlow: Pearson Education Limited.</w:t>
      </w:r>
    </w:p>
    <w:p w14:paraId="66F30D10" w14:textId="77777777" w:rsidR="00B84936" w:rsidRDefault="00B84936">
      <w:pPr>
        <w:spacing w:line="276" w:lineRule="auto"/>
        <w:rPr>
          <w:rFonts w:ascii="Times New Roman" w:eastAsia="Times New Roman" w:hAnsi="Times New Roman" w:cs="Times New Roman"/>
        </w:rPr>
      </w:pPr>
    </w:p>
    <w:p w14:paraId="154900BF" w14:textId="77777777" w:rsidR="00B84936" w:rsidRDefault="001D1521" w:rsidP="00861DF6">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Sidler</w:t>
      </w:r>
      <w:proofErr w:type="spellEnd"/>
      <w:r>
        <w:rPr>
          <w:rFonts w:ascii="Times New Roman" w:eastAsia="Times New Roman" w:hAnsi="Times New Roman" w:cs="Times New Roman"/>
        </w:rPr>
        <w:t>, M. (1997).</w:t>
      </w:r>
      <w:proofErr w:type="gramEnd"/>
      <w:r>
        <w:rPr>
          <w:rFonts w:ascii="Times New Roman" w:eastAsia="Times New Roman" w:hAnsi="Times New Roman" w:cs="Times New Roman"/>
        </w:rPr>
        <w:t xml:space="preserve"> “Living in </w:t>
      </w:r>
      <w:proofErr w:type="spellStart"/>
      <w:r>
        <w:rPr>
          <w:rFonts w:ascii="Times New Roman" w:eastAsia="Times New Roman" w:hAnsi="Times New Roman" w:cs="Times New Roman"/>
        </w:rPr>
        <w:t>McJobdom</w:t>
      </w:r>
      <w:proofErr w:type="spellEnd"/>
      <w:r>
        <w:rPr>
          <w:rFonts w:ascii="Times New Roman" w:eastAsia="Times New Roman" w:hAnsi="Times New Roman" w:cs="Times New Roman"/>
        </w:rPr>
        <w:t xml:space="preserve">: Third Wave Feminism and Class Inequality,” in Heywood, L &amp; Drake, J. (Ed.) </w:t>
      </w:r>
      <w:r>
        <w:rPr>
          <w:rFonts w:ascii="Times New Roman" w:eastAsia="Times New Roman" w:hAnsi="Times New Roman" w:cs="Times New Roman"/>
          <w:i/>
        </w:rPr>
        <w:t>Third Wave Agenda: Being Feminist, Doing Feminism</w:t>
      </w:r>
      <w:r>
        <w:rPr>
          <w:rFonts w:ascii="Times New Roman" w:eastAsia="Times New Roman" w:hAnsi="Times New Roman" w:cs="Times New Roman"/>
        </w:rPr>
        <w:t xml:space="preserve">. Minneapolis: University of Minnesota Press. </w:t>
      </w:r>
    </w:p>
    <w:p w14:paraId="0D3CEA3C" w14:textId="77777777" w:rsidR="00861DF6" w:rsidRDefault="00861DF6" w:rsidP="00861DF6">
      <w:pPr>
        <w:ind w:left="720" w:hanging="720"/>
        <w:rPr>
          <w:rFonts w:ascii="Times New Roman" w:eastAsia="Times New Roman" w:hAnsi="Times New Roman" w:cs="Times New Roman"/>
        </w:rPr>
      </w:pPr>
    </w:p>
    <w:p w14:paraId="2CAE6260" w14:textId="77777777" w:rsidR="00B84936" w:rsidRDefault="001D1521" w:rsidP="00861DF6">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Simien</w:t>
      </w:r>
      <w:proofErr w:type="spellEnd"/>
      <w:r>
        <w:rPr>
          <w:rFonts w:ascii="Times New Roman" w:eastAsia="Times New Roman" w:hAnsi="Times New Roman" w:cs="Times New Roman"/>
        </w:rPr>
        <w:t>, E. (2007).</w:t>
      </w:r>
      <w:proofErr w:type="gramEnd"/>
      <w:r>
        <w:rPr>
          <w:rFonts w:ascii="Times New Roman" w:eastAsia="Times New Roman" w:hAnsi="Times New Roman" w:cs="Times New Roman"/>
        </w:rPr>
        <w:t xml:space="preserve"> “Doing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Research: From Conceptual Issues to Practical Examples,” </w:t>
      </w:r>
      <w:r>
        <w:rPr>
          <w:rFonts w:ascii="Times New Roman" w:eastAsia="Times New Roman" w:hAnsi="Times New Roman" w:cs="Times New Roman"/>
          <w:i/>
        </w:rPr>
        <w:t>Politics &amp; Gender</w:t>
      </w:r>
      <w:r>
        <w:rPr>
          <w:rFonts w:ascii="Times New Roman" w:eastAsia="Times New Roman" w:hAnsi="Times New Roman" w:cs="Times New Roman"/>
        </w:rPr>
        <w:t xml:space="preserve">, Vol. 3, pp. 264-271, Available online: </w:t>
      </w:r>
      <w:hyperlink r:id="rId114">
        <w:r>
          <w:rPr>
            <w:rFonts w:ascii="Times New Roman" w:eastAsia="Times New Roman" w:hAnsi="Times New Roman" w:cs="Times New Roman"/>
            <w:color w:val="0000FF"/>
            <w:u w:val="single"/>
          </w:rPr>
          <w:t>https://doi.org/10.1017/S1743923X07000086</w:t>
        </w:r>
      </w:hyperlink>
      <w:r>
        <w:rPr>
          <w:rFonts w:ascii="Times New Roman" w:eastAsia="Times New Roman" w:hAnsi="Times New Roman" w:cs="Times New Roman"/>
        </w:rPr>
        <w:t>, [Accessed 2 January 2020].</w:t>
      </w:r>
    </w:p>
    <w:p w14:paraId="74F2BE36" w14:textId="77777777" w:rsidR="00861DF6" w:rsidRDefault="00861DF6" w:rsidP="00861DF6">
      <w:pPr>
        <w:ind w:left="720" w:hanging="720"/>
        <w:rPr>
          <w:rFonts w:ascii="Times New Roman" w:eastAsia="Times New Roman" w:hAnsi="Times New Roman" w:cs="Times New Roman"/>
        </w:rPr>
      </w:pPr>
    </w:p>
    <w:p w14:paraId="3900BF30"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Slack. (2019). “Diversity at Slack. Slack 2019 Diversity and Inclusion Annual Report,” </w:t>
      </w:r>
      <w:r>
        <w:rPr>
          <w:rFonts w:ascii="Times New Roman" w:eastAsia="Times New Roman" w:hAnsi="Times New Roman" w:cs="Times New Roman"/>
          <w:i/>
        </w:rPr>
        <w:t>Slack Blog</w:t>
      </w:r>
      <w:r>
        <w:rPr>
          <w:rFonts w:ascii="Times New Roman" w:eastAsia="Times New Roman" w:hAnsi="Times New Roman" w:cs="Times New Roman"/>
        </w:rPr>
        <w:t xml:space="preserve">, Available online: </w:t>
      </w:r>
      <w:hyperlink r:id="rId115">
        <w:r>
          <w:rPr>
            <w:rFonts w:ascii="Times New Roman" w:eastAsia="Times New Roman" w:hAnsi="Times New Roman" w:cs="Times New Roman"/>
            <w:color w:val="1155CC"/>
            <w:u w:val="single"/>
          </w:rPr>
          <w:t>https://slackhq.com/diversity-at-slack-2019</w:t>
        </w:r>
      </w:hyperlink>
      <w:r>
        <w:rPr>
          <w:rFonts w:ascii="Times New Roman" w:eastAsia="Times New Roman" w:hAnsi="Times New Roman" w:cs="Times New Roman"/>
        </w:rPr>
        <w:t>, [Accessed 21 December 2019].</w:t>
      </w:r>
    </w:p>
    <w:p w14:paraId="6CB364C2" w14:textId="77777777" w:rsidR="00B84936" w:rsidRDefault="00B84936">
      <w:pPr>
        <w:rPr>
          <w:rFonts w:ascii="Times New Roman" w:eastAsia="Times New Roman" w:hAnsi="Times New Roman" w:cs="Times New Roman"/>
        </w:rPr>
      </w:pPr>
    </w:p>
    <w:p w14:paraId="392D5BE4"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Slack. (2019). “The Next Chapter: Bringing Formerly Incarcerated Individuals into Tech,” </w:t>
      </w:r>
      <w:r>
        <w:rPr>
          <w:rFonts w:ascii="Times New Roman" w:eastAsia="Times New Roman" w:hAnsi="Times New Roman" w:cs="Times New Roman"/>
          <w:i/>
        </w:rPr>
        <w:t>Slack Frontiers. Bloomberg Markets and Finance</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Available online: </w:t>
      </w:r>
      <w:hyperlink r:id="rId116">
        <w:r>
          <w:rPr>
            <w:rFonts w:ascii="Times New Roman" w:eastAsia="Times New Roman" w:hAnsi="Times New Roman" w:cs="Times New Roman"/>
            <w:color w:val="1155CC"/>
            <w:u w:val="single"/>
          </w:rPr>
          <w:t>https://www.youtube.com/watch?v=buaZCXiwE5o</w:t>
        </w:r>
      </w:hyperlink>
      <w:r>
        <w:rPr>
          <w:rFonts w:ascii="Times New Roman" w:eastAsia="Times New Roman" w:hAnsi="Times New Roman" w:cs="Times New Roman"/>
        </w:rPr>
        <w:t>, [Accessed 20 December 2019].</w:t>
      </w:r>
    </w:p>
    <w:p w14:paraId="1C2B0595" w14:textId="77777777" w:rsidR="00B84936" w:rsidRDefault="00B84936">
      <w:pPr>
        <w:rPr>
          <w:rFonts w:ascii="Times New Roman" w:eastAsia="Times New Roman" w:hAnsi="Times New Roman" w:cs="Times New Roman"/>
        </w:rPr>
      </w:pPr>
    </w:p>
    <w:p w14:paraId="3981F11B"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Slack. (2019). “The Next Chapter Program: A Collaboration for Impact,” </w:t>
      </w:r>
      <w:r>
        <w:rPr>
          <w:rFonts w:ascii="Times New Roman" w:eastAsia="Times New Roman" w:hAnsi="Times New Roman" w:cs="Times New Roman"/>
          <w:i/>
        </w:rPr>
        <w:t>Slack Blog,</w:t>
      </w:r>
      <w:r>
        <w:rPr>
          <w:rFonts w:ascii="Times New Roman" w:eastAsia="Times New Roman" w:hAnsi="Times New Roman" w:cs="Times New Roman"/>
        </w:rPr>
        <w:t xml:space="preserve"> Available online: </w:t>
      </w:r>
      <w:hyperlink r:id="rId117">
        <w:r>
          <w:rPr>
            <w:rFonts w:ascii="Times New Roman" w:eastAsia="Times New Roman" w:hAnsi="Times New Roman" w:cs="Times New Roman"/>
            <w:color w:val="1155CC"/>
            <w:u w:val="single"/>
          </w:rPr>
          <w:t>https://slackhq.com/the-next-chapter-program-a-collaboration-for-impact</w:t>
        </w:r>
      </w:hyperlink>
      <w:r>
        <w:rPr>
          <w:rFonts w:ascii="Times New Roman" w:eastAsia="Times New Roman" w:hAnsi="Times New Roman" w:cs="Times New Roman"/>
        </w:rPr>
        <w:t>, [Accessed 21 December 2019]. </w:t>
      </w:r>
    </w:p>
    <w:p w14:paraId="490B79B1" w14:textId="77777777" w:rsidR="00B84936" w:rsidRDefault="00B84936">
      <w:pPr>
        <w:spacing w:line="276" w:lineRule="auto"/>
        <w:rPr>
          <w:rFonts w:ascii="Times New Roman" w:eastAsia="Times New Roman" w:hAnsi="Times New Roman" w:cs="Times New Roman"/>
        </w:rPr>
      </w:pPr>
    </w:p>
    <w:p w14:paraId="58484FD2"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Smith, A. (2018). “Revocation of ‘Persuader Rule’ May Aid Union Avoidance,” </w:t>
      </w:r>
      <w:r>
        <w:rPr>
          <w:rFonts w:ascii="Times New Roman" w:eastAsia="Times New Roman" w:hAnsi="Times New Roman" w:cs="Times New Roman"/>
          <w:i/>
        </w:rPr>
        <w:t>Society for Human Resource Management (SHRM)</w:t>
      </w:r>
      <w:r>
        <w:rPr>
          <w:rFonts w:ascii="Times New Roman" w:eastAsia="Times New Roman" w:hAnsi="Times New Roman" w:cs="Times New Roman"/>
        </w:rPr>
        <w:t xml:space="preserve">, Available online: </w:t>
      </w:r>
      <w:hyperlink r:id="rId118">
        <w:r>
          <w:rPr>
            <w:rFonts w:ascii="Times New Roman" w:eastAsia="Times New Roman" w:hAnsi="Times New Roman" w:cs="Times New Roman"/>
            <w:color w:val="1155CC"/>
            <w:u w:val="single"/>
          </w:rPr>
          <w:t>https://www.shrm.org/resourcesandtools/legal-and-compliance/employment-law/pages/in-focus-persuader-rule-rescinded.aspx</w:t>
        </w:r>
      </w:hyperlink>
      <w:r>
        <w:rPr>
          <w:rFonts w:ascii="Times New Roman" w:eastAsia="Times New Roman" w:hAnsi="Times New Roman" w:cs="Times New Roman"/>
        </w:rPr>
        <w:t>, [Accessed 10 February 2020].</w:t>
      </w:r>
    </w:p>
    <w:p w14:paraId="692B00EE" w14:textId="77777777" w:rsidR="00B84936" w:rsidRDefault="00B84936">
      <w:pPr>
        <w:spacing w:line="276" w:lineRule="auto"/>
        <w:rPr>
          <w:rFonts w:ascii="Times New Roman" w:eastAsia="Times New Roman" w:hAnsi="Times New Roman" w:cs="Times New Roman"/>
        </w:rPr>
      </w:pPr>
    </w:p>
    <w:p w14:paraId="31CF9BE7"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Snyder, C. (2008). “What is Third-Wave Feminism? A New Directions Essay,” </w:t>
      </w:r>
      <w:r>
        <w:rPr>
          <w:rFonts w:ascii="Times New Roman" w:eastAsia="Times New Roman" w:hAnsi="Times New Roman" w:cs="Times New Roman"/>
          <w:i/>
        </w:rPr>
        <w:t>Journal of Women in Culture and Society</w:t>
      </w:r>
      <w:r>
        <w:rPr>
          <w:rFonts w:ascii="Times New Roman" w:eastAsia="Times New Roman" w:hAnsi="Times New Roman" w:cs="Times New Roman"/>
        </w:rPr>
        <w:t xml:space="preserve">, Vol. 34, No. 1, Available online: </w:t>
      </w:r>
      <w:hyperlink r:id="rId119">
        <w:r>
          <w:rPr>
            <w:rFonts w:ascii="Times New Roman" w:eastAsia="Times New Roman" w:hAnsi="Times New Roman" w:cs="Times New Roman"/>
            <w:color w:val="1155CC"/>
            <w:u w:val="single"/>
          </w:rPr>
          <w:t>https://www.journals.uchicago.edu/doi/full/10.1086/588436</w:t>
        </w:r>
      </w:hyperlink>
      <w:r>
        <w:rPr>
          <w:rFonts w:ascii="Times New Roman" w:eastAsia="Times New Roman" w:hAnsi="Times New Roman" w:cs="Times New Roman"/>
        </w:rPr>
        <w:t>, [Accessed 28 February 2020].</w:t>
      </w:r>
    </w:p>
    <w:p w14:paraId="049CC6E9" w14:textId="77777777" w:rsidR="00B84936" w:rsidRDefault="00B84936">
      <w:pPr>
        <w:spacing w:line="276" w:lineRule="auto"/>
        <w:rPr>
          <w:rFonts w:ascii="Times New Roman" w:eastAsia="Times New Roman" w:hAnsi="Times New Roman" w:cs="Times New Roman"/>
        </w:rPr>
      </w:pPr>
    </w:p>
    <w:p w14:paraId="0D8791E5" w14:textId="77777777" w:rsidR="00B84936" w:rsidRDefault="001D1521" w:rsidP="00861DF6">
      <w:pPr>
        <w:ind w:left="720" w:hanging="720"/>
        <w:rPr>
          <w:rFonts w:ascii="Times New Roman" w:eastAsia="Times New Roman" w:hAnsi="Times New Roman" w:cs="Times New Roman"/>
        </w:rPr>
      </w:pPr>
      <w:proofErr w:type="gramStart"/>
      <w:r>
        <w:rPr>
          <w:rFonts w:ascii="Times New Roman" w:eastAsia="Times New Roman" w:hAnsi="Times New Roman" w:cs="Times New Roman"/>
        </w:rPr>
        <w:t>Society for Human Resource Management (SHRM).</w:t>
      </w:r>
      <w:proofErr w:type="gramEnd"/>
      <w:r>
        <w:rPr>
          <w:rFonts w:ascii="Times New Roman" w:eastAsia="Times New Roman" w:hAnsi="Times New Roman" w:cs="Times New Roman"/>
        </w:rPr>
        <w:t xml:space="preserve"> (2020). “Employee Free Choice Act (Card Check,” </w:t>
      </w:r>
      <w:r>
        <w:rPr>
          <w:rFonts w:ascii="Times New Roman" w:eastAsia="Times New Roman" w:hAnsi="Times New Roman" w:cs="Times New Roman"/>
          <w:i/>
        </w:rPr>
        <w:t>Society for Human Resource Management (SHRM)</w:t>
      </w:r>
      <w:r>
        <w:rPr>
          <w:rFonts w:ascii="Times New Roman" w:eastAsia="Times New Roman" w:hAnsi="Times New Roman" w:cs="Times New Roman"/>
        </w:rPr>
        <w:t xml:space="preserve">, Available online: </w:t>
      </w:r>
      <w:hyperlink r:id="rId120">
        <w:r>
          <w:rPr>
            <w:rFonts w:ascii="Times New Roman" w:eastAsia="Times New Roman" w:hAnsi="Times New Roman" w:cs="Times New Roman"/>
            <w:color w:val="1155CC"/>
            <w:u w:val="single"/>
          </w:rPr>
          <w:t>https://www.shrm.org/hr-today/public-policy/hr-public-policy-issues/pages/employeefreechoiceact(cardcheck).aspx</w:t>
        </w:r>
      </w:hyperlink>
      <w:r>
        <w:rPr>
          <w:rFonts w:ascii="Times New Roman" w:eastAsia="Times New Roman" w:hAnsi="Times New Roman" w:cs="Times New Roman"/>
        </w:rPr>
        <w:t>, [Accessed 11 February 2020].</w:t>
      </w:r>
    </w:p>
    <w:p w14:paraId="710296E7" w14:textId="77777777" w:rsidR="00861DF6" w:rsidRDefault="00861DF6" w:rsidP="00861DF6">
      <w:pPr>
        <w:ind w:left="720" w:hanging="720"/>
        <w:rPr>
          <w:rFonts w:ascii="Times New Roman" w:eastAsia="Times New Roman" w:hAnsi="Times New Roman" w:cs="Times New Roman"/>
        </w:rPr>
      </w:pPr>
    </w:p>
    <w:p w14:paraId="24F4A8FA" w14:textId="77777777" w:rsidR="00B84936" w:rsidRDefault="001D1521" w:rsidP="00861DF6">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Staunaes</w:t>
      </w:r>
      <w:proofErr w:type="spellEnd"/>
      <w:r>
        <w:rPr>
          <w:rFonts w:ascii="Times New Roman" w:eastAsia="Times New Roman" w:hAnsi="Times New Roman" w:cs="Times New Roman"/>
        </w:rPr>
        <w:t xml:space="preserve">, D. (2003). “Where Have All The Subjects Gone? Bringing Together the Concepts of </w:t>
      </w:r>
      <w:proofErr w:type="spellStart"/>
      <w:r>
        <w:rPr>
          <w:rFonts w:ascii="Times New Roman" w:eastAsia="Times New Roman" w:hAnsi="Times New Roman" w:cs="Times New Roman"/>
        </w:rPr>
        <w:t>Intersectionality</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Subjectification</w:t>
      </w:r>
      <w:proofErr w:type="spellEnd"/>
      <w:r>
        <w:rPr>
          <w:rFonts w:ascii="Times New Roman" w:eastAsia="Times New Roman" w:hAnsi="Times New Roman" w:cs="Times New Roman"/>
        </w:rPr>
        <w:t xml:space="preserve">,” </w:t>
      </w:r>
      <w:r>
        <w:rPr>
          <w:rFonts w:ascii="Times New Roman" w:eastAsia="Times New Roman" w:hAnsi="Times New Roman" w:cs="Times New Roman"/>
          <w:i/>
        </w:rPr>
        <w:t>Nora</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Vol. 11, </w:t>
      </w:r>
      <w:proofErr w:type="gramStart"/>
      <w:r>
        <w:rPr>
          <w:rFonts w:ascii="Times New Roman" w:eastAsia="Times New Roman" w:hAnsi="Times New Roman" w:cs="Times New Roman"/>
        </w:rPr>
        <w:t>pp</w:t>
      </w:r>
      <w:proofErr w:type="gramEnd"/>
      <w:r>
        <w:rPr>
          <w:rFonts w:ascii="Times New Roman" w:eastAsia="Times New Roman" w:hAnsi="Times New Roman" w:cs="Times New Roman"/>
        </w:rPr>
        <w:t xml:space="preserve">. 101-110, Available online: </w:t>
      </w:r>
      <w:hyperlink r:id="rId121">
        <w:r>
          <w:rPr>
            <w:rFonts w:ascii="Times New Roman" w:eastAsia="Times New Roman" w:hAnsi="Times New Roman" w:cs="Times New Roman"/>
            <w:color w:val="0000FF"/>
            <w:u w:val="single"/>
          </w:rPr>
          <w:t>https://www.researchgate.net/publication/248995993_Where_Have_All_the_Subjects_Gone_Bringing_Together_the_Concepts_of_Intersectionality_and_Subjectification</w:t>
        </w:r>
      </w:hyperlink>
      <w:r>
        <w:rPr>
          <w:rFonts w:ascii="Times New Roman" w:eastAsia="Times New Roman" w:hAnsi="Times New Roman" w:cs="Times New Roman"/>
        </w:rPr>
        <w:t xml:space="preserve">, [Accessed 25 December 2019]. </w:t>
      </w:r>
    </w:p>
    <w:p w14:paraId="5D932516" w14:textId="77777777" w:rsidR="00861DF6" w:rsidRDefault="00861DF6" w:rsidP="00861DF6">
      <w:pPr>
        <w:ind w:left="720" w:hanging="720"/>
        <w:rPr>
          <w:rFonts w:ascii="Times New Roman" w:eastAsia="Times New Roman" w:hAnsi="Times New Roman" w:cs="Times New Roman"/>
        </w:rPr>
      </w:pPr>
    </w:p>
    <w:p w14:paraId="59034DCB"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Stein, J. (2018). “Bernie Sanders to Announce Plan to Guarantee Every American a Job,” </w:t>
      </w:r>
      <w:r>
        <w:rPr>
          <w:rFonts w:ascii="Times New Roman" w:eastAsia="Times New Roman" w:hAnsi="Times New Roman" w:cs="Times New Roman"/>
          <w:i/>
        </w:rPr>
        <w:t>The Washington Post</w:t>
      </w:r>
      <w:r>
        <w:rPr>
          <w:rFonts w:ascii="Times New Roman" w:eastAsia="Times New Roman" w:hAnsi="Times New Roman" w:cs="Times New Roman"/>
        </w:rPr>
        <w:t xml:space="preserve">, Available online: </w:t>
      </w:r>
      <w:hyperlink r:id="rId122">
        <w:r>
          <w:rPr>
            <w:rFonts w:ascii="Times New Roman" w:eastAsia="Times New Roman" w:hAnsi="Times New Roman" w:cs="Times New Roman"/>
            <w:color w:val="1155CC"/>
            <w:u w:val="single"/>
          </w:rPr>
          <w:t>https://www.washingtonpost.com/news/wonk/wp/2018/04/23/bernie-sanders-to-unveil-plan-to-guarantee-every-american-a-job/</w:t>
        </w:r>
      </w:hyperlink>
      <w:r>
        <w:rPr>
          <w:rFonts w:ascii="Times New Roman" w:eastAsia="Times New Roman" w:hAnsi="Times New Roman" w:cs="Times New Roman"/>
        </w:rPr>
        <w:t>, [Accessed 2 January 2020]. </w:t>
      </w:r>
    </w:p>
    <w:p w14:paraId="6ECC4FD1" w14:textId="77777777" w:rsidR="00B84936" w:rsidRDefault="00B84936">
      <w:pPr>
        <w:rPr>
          <w:rFonts w:ascii="Times New Roman" w:eastAsia="Times New Roman" w:hAnsi="Times New Roman" w:cs="Times New Roman"/>
        </w:rPr>
      </w:pPr>
    </w:p>
    <w:p w14:paraId="2F1EF46C"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Strauss, A., &amp; Corbin, J. (1990).</w:t>
      </w:r>
      <w:r>
        <w:rPr>
          <w:rFonts w:ascii="Times New Roman" w:eastAsia="Times New Roman" w:hAnsi="Times New Roman" w:cs="Times New Roman"/>
          <w:i/>
        </w:rPr>
        <w:t xml:space="preserve"> Basics of Qualitative Research: Grounded Theory Procedures and Techniques</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Newbury Park, CA: Sage Publications, Inc. </w:t>
      </w:r>
    </w:p>
    <w:p w14:paraId="51939180" w14:textId="77777777" w:rsidR="00B84936" w:rsidRDefault="00B84936">
      <w:pPr>
        <w:rPr>
          <w:rFonts w:ascii="Times New Roman" w:eastAsia="Times New Roman" w:hAnsi="Times New Roman" w:cs="Times New Roman"/>
        </w:rPr>
      </w:pPr>
    </w:p>
    <w:p w14:paraId="2541B32B" w14:textId="77777777" w:rsidR="00B84936" w:rsidRDefault="001D1521" w:rsidP="00861DF6">
      <w:pPr>
        <w:ind w:left="720" w:hanging="720"/>
        <w:rPr>
          <w:rFonts w:ascii="Times New Roman" w:eastAsia="Times New Roman" w:hAnsi="Times New Roman" w:cs="Times New Roman"/>
        </w:rPr>
      </w:pPr>
      <w:r>
        <w:rPr>
          <w:rFonts w:ascii="Times New Roman" w:eastAsia="Times New Roman" w:hAnsi="Times New Roman" w:cs="Times New Roman"/>
        </w:rPr>
        <w:t xml:space="preserve">Tanner, J. (2019). “Finland Again Tops List of Happiest Nations, U.S. Rankings Drop,” </w:t>
      </w:r>
      <w:r>
        <w:rPr>
          <w:rFonts w:ascii="Times New Roman" w:eastAsia="Times New Roman" w:hAnsi="Times New Roman" w:cs="Times New Roman"/>
          <w:i/>
        </w:rPr>
        <w:t xml:space="preserve">PBS </w:t>
      </w:r>
      <w:proofErr w:type="spellStart"/>
      <w:r>
        <w:rPr>
          <w:rFonts w:ascii="Times New Roman" w:eastAsia="Times New Roman" w:hAnsi="Times New Roman" w:cs="Times New Roman"/>
          <w:i/>
        </w:rPr>
        <w:t>NewsHour</w:t>
      </w:r>
      <w:proofErr w:type="spellEnd"/>
      <w:r>
        <w:rPr>
          <w:rFonts w:ascii="Times New Roman" w:eastAsia="Times New Roman" w:hAnsi="Times New Roman" w:cs="Times New Roman"/>
        </w:rPr>
        <w:t xml:space="preserve">, Available online </w:t>
      </w:r>
      <w:hyperlink r:id="rId123">
        <w:r>
          <w:rPr>
            <w:rFonts w:ascii="Times New Roman" w:eastAsia="Times New Roman" w:hAnsi="Times New Roman" w:cs="Times New Roman"/>
            <w:color w:val="1155CC"/>
            <w:u w:val="single"/>
          </w:rPr>
          <w:t>https://www.pbs.org/newshour/economy/finland-again-tops-list-of-happiest-nations-u-s-ranking-drops</w:t>
        </w:r>
      </w:hyperlink>
      <w:r>
        <w:rPr>
          <w:rFonts w:ascii="Times New Roman" w:eastAsia="Times New Roman" w:hAnsi="Times New Roman" w:cs="Times New Roman"/>
        </w:rPr>
        <w:t>, [Accessed 2 January 2020]. </w:t>
      </w:r>
    </w:p>
    <w:p w14:paraId="64834007" w14:textId="77777777" w:rsidR="00B84936" w:rsidRDefault="00B84936">
      <w:pPr>
        <w:rPr>
          <w:rFonts w:ascii="Times New Roman" w:eastAsia="Times New Roman" w:hAnsi="Times New Roman" w:cs="Times New Roman"/>
        </w:rPr>
      </w:pPr>
    </w:p>
    <w:p w14:paraId="1A3C2A5B" w14:textId="77777777" w:rsidR="00B84936" w:rsidRDefault="001D1521" w:rsidP="00641A69">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Tcherneva</w:t>
      </w:r>
      <w:proofErr w:type="spellEnd"/>
      <w:r>
        <w:rPr>
          <w:rFonts w:ascii="Times New Roman" w:eastAsia="Times New Roman" w:hAnsi="Times New Roman" w:cs="Times New Roman"/>
        </w:rPr>
        <w:t xml:space="preserve">, P.R. (2018). “The Job Guarantee: Design, Jobs, and Implementation,” </w:t>
      </w:r>
      <w:r>
        <w:rPr>
          <w:rFonts w:ascii="Times New Roman" w:eastAsia="Times New Roman" w:hAnsi="Times New Roman" w:cs="Times New Roman"/>
          <w:i/>
        </w:rPr>
        <w:t>Levy Economics Institute,</w:t>
      </w:r>
      <w:r>
        <w:rPr>
          <w:rFonts w:ascii="Times New Roman" w:eastAsia="Times New Roman" w:hAnsi="Times New Roman" w:cs="Times New Roman"/>
        </w:rPr>
        <w:t xml:space="preserve"> Available online: </w:t>
      </w:r>
      <w:hyperlink r:id="rId124">
        <w:r>
          <w:rPr>
            <w:rFonts w:ascii="Times New Roman" w:eastAsia="Times New Roman" w:hAnsi="Times New Roman" w:cs="Times New Roman"/>
            <w:color w:val="1155CC"/>
            <w:u w:val="single"/>
          </w:rPr>
          <w:t>http://www.levyinstitute.org/publications/the-job-guarantee-design-jobs-and-implementation</w:t>
        </w:r>
      </w:hyperlink>
      <w:r>
        <w:rPr>
          <w:rFonts w:ascii="Times New Roman" w:eastAsia="Times New Roman" w:hAnsi="Times New Roman" w:cs="Times New Roman"/>
        </w:rPr>
        <w:t>, [Accessed 28 December 2019]. </w:t>
      </w:r>
    </w:p>
    <w:p w14:paraId="1131A86C" w14:textId="77777777" w:rsidR="00B84936" w:rsidRDefault="00B84936">
      <w:pPr>
        <w:rPr>
          <w:rFonts w:ascii="Times New Roman" w:eastAsia="Times New Roman" w:hAnsi="Times New Roman" w:cs="Times New Roman"/>
        </w:rPr>
      </w:pPr>
    </w:p>
    <w:p w14:paraId="3916F606"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The Sentencing Project.</w:t>
      </w:r>
      <w:proofErr w:type="gramEnd"/>
      <w:r>
        <w:rPr>
          <w:rFonts w:ascii="Times New Roman" w:eastAsia="Times New Roman" w:hAnsi="Times New Roman" w:cs="Times New Roman"/>
        </w:rPr>
        <w:t xml:space="preserve"> (2007).  “Research &amp; Advocacy for Reform. Women in the Criminal Justice System,” Washington DC: The Sentencing Project, Available online: </w:t>
      </w:r>
      <w:hyperlink r:id="rId125">
        <w:r>
          <w:rPr>
            <w:rFonts w:ascii="Times New Roman" w:eastAsia="Times New Roman" w:hAnsi="Times New Roman" w:cs="Times New Roman"/>
            <w:color w:val="1155CC"/>
            <w:u w:val="single"/>
          </w:rPr>
          <w:t>https://www.sentencingproject.org/wp-content/uploads/2016/01/Women-in-the-Criminal-Justice-System-Briefing-Sheets.pdf</w:t>
        </w:r>
      </w:hyperlink>
      <w:r>
        <w:rPr>
          <w:rFonts w:ascii="Times New Roman" w:eastAsia="Times New Roman" w:hAnsi="Times New Roman" w:cs="Times New Roman"/>
        </w:rPr>
        <w:t>, [Accessed 13 December 2019].</w:t>
      </w:r>
    </w:p>
    <w:p w14:paraId="40E92643" w14:textId="77777777" w:rsidR="00B84936" w:rsidRDefault="00B84936">
      <w:pPr>
        <w:rPr>
          <w:rFonts w:ascii="Times New Roman" w:eastAsia="Times New Roman" w:hAnsi="Times New Roman" w:cs="Times New Roman"/>
        </w:rPr>
      </w:pPr>
    </w:p>
    <w:p w14:paraId="4B6DA943"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The Socialist Party Platform of 1912.</w:t>
      </w:r>
      <w:proofErr w:type="gramEnd"/>
      <w:r>
        <w:rPr>
          <w:rFonts w:ascii="Times New Roman" w:eastAsia="Times New Roman" w:hAnsi="Times New Roman" w:cs="Times New Roman"/>
        </w:rPr>
        <w:t xml:space="preserve"> (1912). “Socialist Party of the United States of America,” </w:t>
      </w:r>
      <w:r>
        <w:rPr>
          <w:rFonts w:ascii="Times New Roman" w:eastAsia="Times New Roman" w:hAnsi="Times New Roman" w:cs="Times New Roman"/>
          <w:i/>
        </w:rPr>
        <w:t>Sage American History</w:t>
      </w:r>
      <w:r>
        <w:rPr>
          <w:rFonts w:ascii="Times New Roman" w:eastAsia="Times New Roman" w:hAnsi="Times New Roman" w:cs="Times New Roman"/>
        </w:rPr>
        <w:t xml:space="preserve">, Available online: </w:t>
      </w:r>
      <w:hyperlink r:id="rId126">
        <w:r>
          <w:rPr>
            <w:rFonts w:ascii="Times New Roman" w:eastAsia="Times New Roman" w:hAnsi="Times New Roman" w:cs="Times New Roman"/>
            <w:color w:val="1155CC"/>
            <w:u w:val="single"/>
          </w:rPr>
          <w:t>http://sageamericanhistory.net/progressive/docs/SocialistPlat1912.htm</w:t>
        </w:r>
      </w:hyperlink>
      <w:r>
        <w:rPr>
          <w:rFonts w:ascii="Times New Roman" w:eastAsia="Times New Roman" w:hAnsi="Times New Roman" w:cs="Times New Roman"/>
        </w:rPr>
        <w:t>, [Accessed 5 January 2020.]</w:t>
      </w:r>
    </w:p>
    <w:p w14:paraId="352ED8B3" w14:textId="77777777" w:rsidR="00641A69" w:rsidRDefault="00641A69" w:rsidP="00641A69">
      <w:pPr>
        <w:ind w:left="720" w:hanging="720"/>
        <w:rPr>
          <w:rFonts w:ascii="Times New Roman" w:eastAsia="Times New Roman" w:hAnsi="Times New Roman" w:cs="Times New Roman"/>
        </w:rPr>
      </w:pPr>
    </w:p>
    <w:p w14:paraId="49034FC6"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lastRenderedPageBreak/>
        <w:t>Toy, E.V. (2004).</w:t>
      </w:r>
      <w:proofErr w:type="gramEnd"/>
      <w:r>
        <w:rPr>
          <w:rFonts w:ascii="Times New Roman" w:eastAsia="Times New Roman" w:hAnsi="Times New Roman" w:cs="Times New Roman"/>
        </w:rPr>
        <w:t xml:space="preserve"> “The Right Side of the 1960s: The Origins of the John Birch Society in the Pacific Northwest,” Vol. 105, No. 2, pp. 260-283, Available online: </w:t>
      </w:r>
      <w:hyperlink r:id="rId127">
        <w:r>
          <w:rPr>
            <w:rFonts w:ascii="Times New Roman" w:eastAsia="Times New Roman" w:hAnsi="Times New Roman" w:cs="Times New Roman"/>
            <w:color w:val="1155CC"/>
            <w:u w:val="single"/>
          </w:rPr>
          <w:t>https://www.jstor.org/stable/20615422?seq=1</w:t>
        </w:r>
      </w:hyperlink>
      <w:r>
        <w:rPr>
          <w:rFonts w:ascii="Times New Roman" w:eastAsia="Times New Roman" w:hAnsi="Times New Roman" w:cs="Times New Roman"/>
        </w:rPr>
        <w:t>, [Accessed 22 February 2020].</w:t>
      </w:r>
    </w:p>
    <w:p w14:paraId="613C17FA" w14:textId="77777777" w:rsidR="00641A69" w:rsidRDefault="00641A69" w:rsidP="00641A69">
      <w:pPr>
        <w:ind w:left="720" w:hanging="720"/>
        <w:rPr>
          <w:rFonts w:ascii="Times New Roman" w:eastAsia="Times New Roman" w:hAnsi="Times New Roman" w:cs="Times New Roman"/>
        </w:rPr>
      </w:pPr>
    </w:p>
    <w:p w14:paraId="1F183001" w14:textId="77777777" w:rsidR="00B84936" w:rsidRDefault="001D1521" w:rsidP="00641A69">
      <w:pPr>
        <w:ind w:left="720" w:hanging="720"/>
        <w:rPr>
          <w:rFonts w:ascii="Times New Roman" w:eastAsia="Times New Roman" w:hAnsi="Times New Roman" w:cs="Times New Roman"/>
        </w:rPr>
      </w:pPr>
      <w:r>
        <w:rPr>
          <w:rFonts w:ascii="Times New Roman" w:eastAsia="Times New Roman" w:hAnsi="Times New Roman" w:cs="Times New Roman"/>
        </w:rPr>
        <w:t xml:space="preserve">Travis, J &amp; Western, B. (2014). </w:t>
      </w:r>
      <w:r>
        <w:rPr>
          <w:rFonts w:ascii="Times New Roman" w:eastAsia="Times New Roman" w:hAnsi="Times New Roman" w:cs="Times New Roman"/>
          <w:i/>
        </w:rPr>
        <w:t xml:space="preserve">The Growth of Incarceration in the United States: Exploring Causes and Consequences, </w:t>
      </w:r>
      <w:r>
        <w:rPr>
          <w:rFonts w:ascii="Times New Roman" w:eastAsia="Times New Roman" w:hAnsi="Times New Roman" w:cs="Times New Roman"/>
        </w:rPr>
        <w:t>Washington D.C.: The National Academies Press.</w:t>
      </w:r>
    </w:p>
    <w:p w14:paraId="5970C090" w14:textId="77777777" w:rsidR="00641A69" w:rsidRDefault="00641A69" w:rsidP="00641A69">
      <w:pPr>
        <w:ind w:left="720" w:hanging="720"/>
        <w:rPr>
          <w:rFonts w:ascii="Times New Roman" w:eastAsia="Times New Roman" w:hAnsi="Times New Roman" w:cs="Times New Roman"/>
        </w:rPr>
      </w:pPr>
    </w:p>
    <w:p w14:paraId="7DF65E5E" w14:textId="77777777" w:rsidR="00B84936" w:rsidRDefault="001D1521" w:rsidP="00641A69">
      <w:pPr>
        <w:ind w:left="720" w:hanging="720"/>
        <w:rPr>
          <w:rFonts w:ascii="Times New Roman" w:eastAsia="Times New Roman" w:hAnsi="Times New Roman" w:cs="Times New Roman"/>
        </w:rPr>
      </w:pPr>
      <w:proofErr w:type="spellStart"/>
      <w:r>
        <w:rPr>
          <w:rFonts w:ascii="Times New Roman" w:eastAsia="Times New Roman" w:hAnsi="Times New Roman" w:cs="Times New Roman"/>
        </w:rPr>
        <w:t>Traxler</w:t>
      </w:r>
      <w:proofErr w:type="spellEnd"/>
      <w:r>
        <w:rPr>
          <w:rFonts w:ascii="Times New Roman" w:eastAsia="Times New Roman" w:hAnsi="Times New Roman" w:cs="Times New Roman"/>
        </w:rPr>
        <w:t xml:space="preserve">, F. &amp; </w:t>
      </w:r>
      <w:proofErr w:type="spellStart"/>
      <w:r>
        <w:rPr>
          <w:rFonts w:ascii="Times New Roman" w:eastAsia="Times New Roman" w:hAnsi="Times New Roman" w:cs="Times New Roman"/>
        </w:rPr>
        <w:t>Brandl</w:t>
      </w:r>
      <w:proofErr w:type="spellEnd"/>
      <w:r>
        <w:rPr>
          <w:rFonts w:ascii="Times New Roman" w:eastAsia="Times New Roman" w:hAnsi="Times New Roman" w:cs="Times New Roman"/>
        </w:rPr>
        <w:t>, B. (2012). “Collective Bargaining, Inter-</w:t>
      </w:r>
      <w:proofErr w:type="spellStart"/>
      <w:r>
        <w:rPr>
          <w:rFonts w:ascii="Times New Roman" w:eastAsia="Times New Roman" w:hAnsi="Times New Roman" w:cs="Times New Roman"/>
        </w:rPr>
        <w:t>Sectoral</w:t>
      </w:r>
      <w:proofErr w:type="spellEnd"/>
      <w:r>
        <w:rPr>
          <w:rFonts w:ascii="Times New Roman" w:eastAsia="Times New Roman" w:hAnsi="Times New Roman" w:cs="Times New Roman"/>
        </w:rPr>
        <w:t xml:space="preserve"> Heterogeneity and Competitiveness: A Cross-National Comparison of Macroeconomic Performance,” </w:t>
      </w:r>
      <w:r>
        <w:rPr>
          <w:rFonts w:ascii="Times New Roman" w:eastAsia="Times New Roman" w:hAnsi="Times New Roman" w:cs="Times New Roman"/>
          <w:i/>
        </w:rPr>
        <w:t>British Journal of Industrial Relations</w:t>
      </w:r>
      <w:r>
        <w:rPr>
          <w:rFonts w:ascii="Times New Roman" w:eastAsia="Times New Roman" w:hAnsi="Times New Roman" w:cs="Times New Roman"/>
        </w:rPr>
        <w:t xml:space="preserve">, Vol. 50, No. 1, Available online: </w:t>
      </w:r>
      <w:hyperlink r:id="rId128">
        <w:r>
          <w:rPr>
            <w:rFonts w:ascii="Times New Roman" w:eastAsia="Times New Roman" w:hAnsi="Times New Roman" w:cs="Times New Roman"/>
            <w:color w:val="1155CC"/>
            <w:u w:val="single"/>
          </w:rPr>
          <w:t>https://doi.org/10.1111/j.1467-8543.2010.00804.x</w:t>
        </w:r>
      </w:hyperlink>
      <w:r>
        <w:rPr>
          <w:rFonts w:ascii="Times New Roman" w:eastAsia="Times New Roman" w:hAnsi="Times New Roman" w:cs="Times New Roman"/>
        </w:rPr>
        <w:t>, Accessed 19 February 2020]</w:t>
      </w:r>
    </w:p>
    <w:p w14:paraId="6F8F2B57"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U.S. Bureau of Labor Statistics.</w:t>
      </w:r>
      <w:proofErr w:type="gramEnd"/>
      <w:r>
        <w:rPr>
          <w:rFonts w:ascii="Times New Roman" w:eastAsia="Times New Roman" w:hAnsi="Times New Roman" w:cs="Times New Roman"/>
        </w:rPr>
        <w:t xml:space="preserve"> (2014). “How the Government Measures Unemployment Current Population Survey Technical Document,” </w:t>
      </w:r>
      <w:r>
        <w:rPr>
          <w:rFonts w:ascii="Times New Roman" w:eastAsia="Times New Roman" w:hAnsi="Times New Roman" w:cs="Times New Roman"/>
          <w:i/>
        </w:rPr>
        <w:t>Current Population Survey</w:t>
      </w:r>
      <w:r>
        <w:rPr>
          <w:rFonts w:ascii="Times New Roman" w:eastAsia="Times New Roman" w:hAnsi="Times New Roman" w:cs="Times New Roman"/>
        </w:rPr>
        <w:t xml:space="preserve">, Available online: </w:t>
      </w:r>
      <w:hyperlink r:id="rId129">
        <w:r>
          <w:rPr>
            <w:rFonts w:ascii="Times New Roman" w:eastAsia="Times New Roman" w:hAnsi="Times New Roman" w:cs="Times New Roman"/>
            <w:color w:val="1155CC"/>
            <w:u w:val="single"/>
          </w:rPr>
          <w:t>https://www.bls.gov/cps/cps_htgm.pdf</w:t>
        </w:r>
      </w:hyperlink>
      <w:r>
        <w:rPr>
          <w:rFonts w:ascii="Times New Roman" w:eastAsia="Times New Roman" w:hAnsi="Times New Roman" w:cs="Times New Roman"/>
        </w:rPr>
        <w:t>, [Accessed 26 December 2019]. </w:t>
      </w:r>
    </w:p>
    <w:p w14:paraId="627E97B9" w14:textId="77777777" w:rsidR="00B84936" w:rsidRDefault="00B84936">
      <w:pPr>
        <w:rPr>
          <w:rFonts w:ascii="Times New Roman" w:eastAsia="Times New Roman" w:hAnsi="Times New Roman" w:cs="Times New Roman"/>
        </w:rPr>
      </w:pPr>
    </w:p>
    <w:p w14:paraId="2D8F7C6F"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U.S. Bureau of Labor Statistics.</w:t>
      </w:r>
      <w:proofErr w:type="gramEnd"/>
      <w:r>
        <w:rPr>
          <w:rFonts w:ascii="Times New Roman" w:eastAsia="Times New Roman" w:hAnsi="Times New Roman" w:cs="Times New Roman"/>
        </w:rPr>
        <w:t xml:space="preserve"> (2017a). “A Profile of The Working Poor, 2015. Report 1068,” Washington, D.C.: Bureau of Labor Statistics, Available online: </w:t>
      </w:r>
      <w:hyperlink r:id="rId130">
        <w:r>
          <w:rPr>
            <w:rFonts w:ascii="Times New Roman" w:eastAsia="Times New Roman" w:hAnsi="Times New Roman" w:cs="Times New Roman"/>
            <w:color w:val="1155CC"/>
            <w:u w:val="single"/>
          </w:rPr>
          <w:t>https://www.bls.gov/opub/reports/working-poor/2015/home.htm</w:t>
        </w:r>
      </w:hyperlink>
      <w:r>
        <w:rPr>
          <w:rFonts w:ascii="Times New Roman" w:eastAsia="Times New Roman" w:hAnsi="Times New Roman" w:cs="Times New Roman"/>
        </w:rPr>
        <w:t>, [Accessed 23 December 2019].</w:t>
      </w:r>
    </w:p>
    <w:p w14:paraId="74A57B33" w14:textId="77777777" w:rsidR="00B84936" w:rsidRDefault="00B84936">
      <w:pPr>
        <w:rPr>
          <w:rFonts w:ascii="Times New Roman" w:eastAsia="Times New Roman" w:hAnsi="Times New Roman" w:cs="Times New Roman"/>
        </w:rPr>
      </w:pPr>
    </w:p>
    <w:p w14:paraId="0B743B4E"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U.S. Bureau of Labor Statistics.</w:t>
      </w:r>
      <w:proofErr w:type="gramEnd"/>
      <w:r>
        <w:rPr>
          <w:rFonts w:ascii="Times New Roman" w:eastAsia="Times New Roman" w:hAnsi="Times New Roman" w:cs="Times New Roman"/>
        </w:rPr>
        <w:t xml:space="preserve"> (2019). “News Release: The Employment Situation - December 2019,” </w:t>
      </w:r>
      <w:r>
        <w:rPr>
          <w:rFonts w:ascii="Times New Roman" w:eastAsia="Times New Roman" w:hAnsi="Times New Roman" w:cs="Times New Roman"/>
          <w:i/>
        </w:rPr>
        <w:t>U.S. Department of Labor</w:t>
      </w:r>
      <w:r>
        <w:rPr>
          <w:rFonts w:ascii="Times New Roman" w:eastAsia="Times New Roman" w:hAnsi="Times New Roman" w:cs="Times New Roman"/>
        </w:rPr>
        <w:t xml:space="preserve">, Available online: </w:t>
      </w:r>
      <w:hyperlink r:id="rId131">
        <w:r>
          <w:rPr>
            <w:rFonts w:ascii="Times New Roman" w:eastAsia="Times New Roman" w:hAnsi="Times New Roman" w:cs="Times New Roman"/>
            <w:color w:val="1155CC"/>
            <w:u w:val="single"/>
          </w:rPr>
          <w:t>https://www.bls.gov/news.release/pdf/empsit.pdf</w:t>
        </w:r>
      </w:hyperlink>
      <w:r>
        <w:rPr>
          <w:rFonts w:ascii="Times New Roman" w:eastAsia="Times New Roman" w:hAnsi="Times New Roman" w:cs="Times New Roman"/>
        </w:rPr>
        <w:t>, [Accessed 3 January 2020]. </w:t>
      </w:r>
    </w:p>
    <w:p w14:paraId="0513E8D8" w14:textId="77777777" w:rsidR="00B84936" w:rsidRDefault="00B84936">
      <w:pPr>
        <w:rPr>
          <w:rFonts w:ascii="Times New Roman" w:eastAsia="Times New Roman" w:hAnsi="Times New Roman" w:cs="Times New Roman"/>
        </w:rPr>
      </w:pPr>
    </w:p>
    <w:p w14:paraId="67D86136" w14:textId="77777777" w:rsidR="00B84936" w:rsidRDefault="001D1521" w:rsidP="00641A69">
      <w:pPr>
        <w:ind w:left="720" w:hanging="720"/>
        <w:rPr>
          <w:rFonts w:ascii="Times New Roman" w:eastAsia="Times New Roman" w:hAnsi="Times New Roman" w:cs="Times New Roman"/>
        </w:rPr>
      </w:pPr>
      <w:r>
        <w:rPr>
          <w:rFonts w:ascii="Times New Roman" w:eastAsia="Times New Roman" w:hAnsi="Times New Roman" w:cs="Times New Roman"/>
        </w:rPr>
        <w:t xml:space="preserve">U.S. Bureau of Labor Statistics (2017b). “Labor Force Characteristics by Race and Ethnicity, 2016. Report 1070,” Washington, D.C.: Bureau of Labor Statistics, Available online: </w:t>
      </w:r>
      <w:hyperlink r:id="rId132">
        <w:r>
          <w:rPr>
            <w:rFonts w:ascii="Times New Roman" w:eastAsia="Times New Roman" w:hAnsi="Times New Roman" w:cs="Times New Roman"/>
            <w:color w:val="1155CC"/>
            <w:u w:val="single"/>
          </w:rPr>
          <w:t>https://www.bls.gov/opub/reports/race-and-ethnicity/2016/home.htm</w:t>
        </w:r>
      </w:hyperlink>
      <w:r>
        <w:rPr>
          <w:rFonts w:ascii="Times New Roman" w:eastAsia="Times New Roman" w:hAnsi="Times New Roman" w:cs="Times New Roman"/>
        </w:rPr>
        <w:t>, [Accessed 23 December 2019.]</w:t>
      </w:r>
    </w:p>
    <w:p w14:paraId="73163E0A" w14:textId="77777777" w:rsidR="00B84936" w:rsidRDefault="00B84936">
      <w:pPr>
        <w:rPr>
          <w:rFonts w:ascii="Times New Roman" w:eastAsia="Times New Roman" w:hAnsi="Times New Roman" w:cs="Times New Roman"/>
        </w:rPr>
      </w:pPr>
    </w:p>
    <w:p w14:paraId="3756F547" w14:textId="77777777" w:rsidR="00B84936" w:rsidRDefault="001D1521" w:rsidP="00641A69">
      <w:pPr>
        <w:ind w:left="720" w:hanging="720"/>
        <w:rPr>
          <w:rFonts w:ascii="Times New Roman" w:eastAsia="Times New Roman" w:hAnsi="Times New Roman" w:cs="Times New Roman"/>
        </w:rPr>
      </w:pPr>
      <w:r>
        <w:rPr>
          <w:rFonts w:ascii="Times New Roman" w:eastAsia="Times New Roman" w:hAnsi="Times New Roman" w:cs="Times New Roman"/>
        </w:rPr>
        <w:t xml:space="preserve">U.S. Constitution. (1868). </w:t>
      </w:r>
      <w:r>
        <w:rPr>
          <w:rFonts w:ascii="Times New Roman" w:eastAsia="Times New Roman" w:hAnsi="Times New Roman" w:cs="Times New Roman"/>
          <w:i/>
        </w:rPr>
        <w:t>The Fourteenth Amendment to the United States Constitution</w:t>
      </w:r>
      <w:r>
        <w:rPr>
          <w:rFonts w:ascii="Times New Roman" w:eastAsia="Times New Roman" w:hAnsi="Times New Roman" w:cs="Times New Roman"/>
        </w:rPr>
        <w:t xml:space="preserve">, Available online: </w:t>
      </w:r>
      <w:hyperlink r:id="rId133">
        <w:r>
          <w:rPr>
            <w:rFonts w:ascii="Times New Roman" w:eastAsia="Times New Roman" w:hAnsi="Times New Roman" w:cs="Times New Roman"/>
            <w:color w:val="1155CC"/>
            <w:u w:val="single"/>
          </w:rPr>
          <w:t>https://www.law.cornell.edu/constitution/amendmentxiv</w:t>
        </w:r>
      </w:hyperlink>
      <w:r>
        <w:rPr>
          <w:rFonts w:ascii="Times New Roman" w:eastAsia="Times New Roman" w:hAnsi="Times New Roman" w:cs="Times New Roman"/>
        </w:rPr>
        <w:t>, [Accessed 10 January 2020].</w:t>
      </w:r>
    </w:p>
    <w:p w14:paraId="1E0C7126" w14:textId="77777777" w:rsidR="00B84936" w:rsidRDefault="00B84936">
      <w:pPr>
        <w:rPr>
          <w:rFonts w:ascii="Times New Roman" w:eastAsia="Times New Roman" w:hAnsi="Times New Roman" w:cs="Times New Roman"/>
        </w:rPr>
      </w:pPr>
    </w:p>
    <w:p w14:paraId="5E5D75CD" w14:textId="77777777" w:rsidR="00B84936" w:rsidRDefault="001D1521" w:rsidP="00641A69">
      <w:pPr>
        <w:ind w:left="720" w:hanging="720"/>
        <w:rPr>
          <w:rFonts w:ascii="Times New Roman" w:eastAsia="Times New Roman" w:hAnsi="Times New Roman" w:cs="Times New Roman"/>
        </w:rPr>
      </w:pPr>
      <w:r>
        <w:rPr>
          <w:rFonts w:ascii="Times New Roman" w:eastAsia="Times New Roman" w:hAnsi="Times New Roman" w:cs="Times New Roman"/>
        </w:rPr>
        <w:t xml:space="preserve">U.S. Constitution. (1913). </w:t>
      </w:r>
      <w:r>
        <w:rPr>
          <w:rFonts w:ascii="Times New Roman" w:eastAsia="Times New Roman" w:hAnsi="Times New Roman" w:cs="Times New Roman"/>
          <w:i/>
        </w:rPr>
        <w:t>The Sixteenth Amendment to the United States Constitution</w:t>
      </w:r>
      <w:r>
        <w:rPr>
          <w:rFonts w:ascii="Times New Roman" w:eastAsia="Times New Roman" w:hAnsi="Times New Roman" w:cs="Times New Roman"/>
        </w:rPr>
        <w:t xml:space="preserve">, Available online: </w:t>
      </w:r>
      <w:hyperlink r:id="rId134">
        <w:r>
          <w:rPr>
            <w:rFonts w:ascii="Times New Roman" w:eastAsia="Times New Roman" w:hAnsi="Times New Roman" w:cs="Times New Roman"/>
            <w:color w:val="1155CC"/>
            <w:u w:val="single"/>
          </w:rPr>
          <w:t>https://www.law.cornell.edu/constitution/amendmentxvi</w:t>
        </w:r>
      </w:hyperlink>
      <w:r>
        <w:rPr>
          <w:rFonts w:ascii="Times New Roman" w:eastAsia="Times New Roman" w:hAnsi="Times New Roman" w:cs="Times New Roman"/>
        </w:rPr>
        <w:t>, [Accessed 10 January 2020].</w:t>
      </w:r>
    </w:p>
    <w:p w14:paraId="427D1FC0" w14:textId="77777777" w:rsidR="00B84936" w:rsidRDefault="00B84936">
      <w:pPr>
        <w:rPr>
          <w:rFonts w:ascii="Times New Roman" w:eastAsia="Times New Roman" w:hAnsi="Times New Roman" w:cs="Times New Roman"/>
        </w:rPr>
      </w:pPr>
    </w:p>
    <w:p w14:paraId="5537E044"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U.S. Department of Labor.</w:t>
      </w:r>
      <w:proofErr w:type="gramEnd"/>
      <w:r>
        <w:rPr>
          <w:rFonts w:ascii="Times New Roman" w:eastAsia="Times New Roman" w:hAnsi="Times New Roman" w:cs="Times New Roman"/>
        </w:rPr>
        <w:t xml:space="preserve"> (2016). “The Federal Bonding Program. U.S. Department of Labor,” Available online: </w:t>
      </w:r>
      <w:hyperlink r:id="rId135">
        <w:r>
          <w:rPr>
            <w:rFonts w:ascii="Times New Roman" w:eastAsia="Times New Roman" w:hAnsi="Times New Roman" w:cs="Times New Roman"/>
            <w:color w:val="1155CC"/>
            <w:u w:val="single"/>
          </w:rPr>
          <w:t>https://bonds4jobs.com/</w:t>
        </w:r>
      </w:hyperlink>
      <w:r>
        <w:rPr>
          <w:rFonts w:ascii="Times New Roman" w:eastAsia="Times New Roman" w:hAnsi="Times New Roman" w:cs="Times New Roman"/>
        </w:rPr>
        <w:t>, [Accessed 1 January 2020]. </w:t>
      </w:r>
    </w:p>
    <w:p w14:paraId="5BA37089" w14:textId="77777777" w:rsidR="00B84936" w:rsidRDefault="00B84936">
      <w:pPr>
        <w:rPr>
          <w:rFonts w:ascii="Times New Roman" w:eastAsia="Times New Roman" w:hAnsi="Times New Roman" w:cs="Times New Roman"/>
        </w:rPr>
      </w:pPr>
    </w:p>
    <w:p w14:paraId="28211DD3"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U.S. Internal Revenue Service.</w:t>
      </w:r>
      <w:proofErr w:type="gramEnd"/>
      <w:r>
        <w:rPr>
          <w:rFonts w:ascii="Times New Roman" w:eastAsia="Times New Roman" w:hAnsi="Times New Roman" w:cs="Times New Roman"/>
        </w:rPr>
        <w:t xml:space="preserve"> (2020). “Work Opportunity Tax Credit. Internal Revenue Service,” </w:t>
      </w:r>
      <w:r>
        <w:rPr>
          <w:rFonts w:ascii="Times New Roman" w:eastAsia="Times New Roman" w:hAnsi="Times New Roman" w:cs="Times New Roman"/>
          <w:i/>
        </w:rPr>
        <w:t>U.S. Internal Revenue Service</w:t>
      </w:r>
      <w:r>
        <w:rPr>
          <w:rFonts w:ascii="Times New Roman" w:eastAsia="Times New Roman" w:hAnsi="Times New Roman" w:cs="Times New Roman"/>
        </w:rPr>
        <w:t xml:space="preserve">, Available online: </w:t>
      </w:r>
      <w:hyperlink r:id="rId136">
        <w:r>
          <w:rPr>
            <w:rFonts w:ascii="Times New Roman" w:eastAsia="Times New Roman" w:hAnsi="Times New Roman" w:cs="Times New Roman"/>
            <w:color w:val="1155CC"/>
            <w:u w:val="single"/>
          </w:rPr>
          <w:t>https://www.irs.gov/businesses/small-businesses-self-employed/work-opportunity-tax-credit</w:t>
        </w:r>
      </w:hyperlink>
      <w:r>
        <w:rPr>
          <w:rFonts w:ascii="Times New Roman" w:eastAsia="Times New Roman" w:hAnsi="Times New Roman" w:cs="Times New Roman"/>
        </w:rPr>
        <w:t>, [Accessed 3 January 2020]. </w:t>
      </w:r>
    </w:p>
    <w:p w14:paraId="5C268223" w14:textId="77777777" w:rsidR="00641A69" w:rsidRDefault="00641A69" w:rsidP="00641A69">
      <w:pPr>
        <w:ind w:left="720" w:hanging="720"/>
        <w:rPr>
          <w:rFonts w:ascii="Times New Roman" w:eastAsia="Times New Roman" w:hAnsi="Times New Roman" w:cs="Times New Roman"/>
        </w:rPr>
      </w:pPr>
    </w:p>
    <w:p w14:paraId="1981EA44" w14:textId="77777777" w:rsidR="00B84936" w:rsidRDefault="001D1521" w:rsidP="00641A69">
      <w:pPr>
        <w:ind w:left="720" w:hanging="720"/>
        <w:rPr>
          <w:rFonts w:ascii="Times New Roman" w:eastAsia="Times New Roman" w:hAnsi="Times New Roman" w:cs="Times New Roman"/>
        </w:rPr>
      </w:pPr>
      <w:proofErr w:type="spellStart"/>
      <w:r>
        <w:rPr>
          <w:rFonts w:ascii="Times New Roman" w:eastAsia="Times New Roman" w:hAnsi="Times New Roman" w:cs="Times New Roman"/>
        </w:rPr>
        <w:lastRenderedPageBreak/>
        <w:t>UnionProof</w:t>
      </w:r>
      <w:proofErr w:type="spellEnd"/>
      <w:r>
        <w:rPr>
          <w:rFonts w:ascii="Times New Roman" w:eastAsia="Times New Roman" w:hAnsi="Times New Roman" w:cs="Times New Roman"/>
        </w:rPr>
        <w:t xml:space="preserve">. (2020). “When Diversity and Inclusion Become Union Issues,” </w:t>
      </w:r>
      <w:proofErr w:type="spellStart"/>
      <w:r>
        <w:rPr>
          <w:rFonts w:ascii="Times New Roman" w:eastAsia="Times New Roman" w:hAnsi="Times New Roman" w:cs="Times New Roman"/>
          <w:i/>
        </w:rPr>
        <w:t>UnionProof</w:t>
      </w:r>
      <w:proofErr w:type="spellEnd"/>
      <w:r>
        <w:rPr>
          <w:rFonts w:ascii="Times New Roman" w:eastAsia="Times New Roman" w:hAnsi="Times New Roman" w:cs="Times New Roman"/>
        </w:rPr>
        <w:t xml:space="preserve">, Available online: </w:t>
      </w:r>
      <w:hyperlink r:id="rId137">
        <w:r>
          <w:rPr>
            <w:rFonts w:ascii="Times New Roman" w:eastAsia="Times New Roman" w:hAnsi="Times New Roman" w:cs="Times New Roman"/>
            <w:color w:val="1155CC"/>
            <w:u w:val="single"/>
          </w:rPr>
          <w:t>https://www.unionproof.com/about/</w:t>
        </w:r>
      </w:hyperlink>
      <w:r>
        <w:rPr>
          <w:rFonts w:ascii="Times New Roman" w:eastAsia="Times New Roman" w:hAnsi="Times New Roman" w:cs="Times New Roman"/>
        </w:rPr>
        <w:t>, [Accessed 11 February 2020].</w:t>
      </w:r>
    </w:p>
    <w:p w14:paraId="4C5B545A" w14:textId="77777777" w:rsidR="00641A69" w:rsidRDefault="00641A69" w:rsidP="00641A69">
      <w:pPr>
        <w:ind w:left="720" w:hanging="720"/>
        <w:rPr>
          <w:rFonts w:ascii="Times New Roman" w:eastAsia="Times New Roman" w:hAnsi="Times New Roman" w:cs="Times New Roman"/>
        </w:rPr>
      </w:pPr>
    </w:p>
    <w:p w14:paraId="2804F88A" w14:textId="77777777" w:rsidR="00B84936" w:rsidRDefault="001D1521" w:rsidP="00641A69">
      <w:pPr>
        <w:ind w:left="720" w:hanging="720"/>
        <w:rPr>
          <w:rFonts w:ascii="Times New Roman" w:eastAsia="Times New Roman" w:hAnsi="Times New Roman" w:cs="Times New Roman"/>
        </w:rPr>
      </w:pPr>
      <w:r>
        <w:rPr>
          <w:rFonts w:ascii="Times New Roman" w:eastAsia="Times New Roman" w:hAnsi="Times New Roman" w:cs="Times New Roman"/>
        </w:rPr>
        <w:t xml:space="preserve">Von </w:t>
      </w:r>
      <w:proofErr w:type="spellStart"/>
      <w:r>
        <w:rPr>
          <w:rFonts w:ascii="Times New Roman" w:eastAsia="Times New Roman" w:hAnsi="Times New Roman" w:cs="Times New Roman"/>
        </w:rPr>
        <w:t>Wilpert</w:t>
      </w:r>
      <w:proofErr w:type="spellEnd"/>
      <w:r>
        <w:rPr>
          <w:rFonts w:ascii="Times New Roman" w:eastAsia="Times New Roman" w:hAnsi="Times New Roman" w:cs="Times New Roman"/>
        </w:rPr>
        <w:t xml:space="preserve">, M. (2017). “Union Busters Are More Prevalent Than They Seem, and May Soon Even Be at the NLRB,” </w:t>
      </w:r>
      <w:r>
        <w:rPr>
          <w:rFonts w:ascii="Times New Roman" w:eastAsia="Times New Roman" w:hAnsi="Times New Roman" w:cs="Times New Roman"/>
          <w:i/>
        </w:rPr>
        <w:t>Working Economics Blog - Economic Policy Institute</w:t>
      </w:r>
      <w:r>
        <w:rPr>
          <w:rFonts w:ascii="Times New Roman" w:eastAsia="Times New Roman" w:hAnsi="Times New Roman" w:cs="Times New Roman"/>
        </w:rPr>
        <w:t xml:space="preserve">, Available online: </w:t>
      </w:r>
      <w:hyperlink r:id="rId138">
        <w:r>
          <w:rPr>
            <w:rFonts w:ascii="Times New Roman" w:eastAsia="Times New Roman" w:hAnsi="Times New Roman" w:cs="Times New Roman"/>
            <w:color w:val="1155CC"/>
            <w:u w:val="single"/>
          </w:rPr>
          <w:t>https://www.epi.org/blog/union-busters-are-more-prevalent-than-they-seem-and-may-soon-even-be-at-the-nlrb/</w:t>
        </w:r>
      </w:hyperlink>
      <w:r>
        <w:rPr>
          <w:rFonts w:ascii="Times New Roman" w:eastAsia="Times New Roman" w:hAnsi="Times New Roman" w:cs="Times New Roman"/>
        </w:rPr>
        <w:t>, [Accessed 21 January 2020].</w:t>
      </w:r>
    </w:p>
    <w:p w14:paraId="66BFE027" w14:textId="77777777" w:rsidR="00641A69" w:rsidRDefault="00641A69" w:rsidP="00641A69">
      <w:pPr>
        <w:ind w:left="720" w:hanging="720"/>
        <w:rPr>
          <w:rFonts w:ascii="Times New Roman" w:eastAsia="Times New Roman" w:hAnsi="Times New Roman" w:cs="Times New Roman"/>
        </w:rPr>
      </w:pPr>
    </w:p>
    <w:p w14:paraId="61BF84B2"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Wagner, E. (2013).</w:t>
      </w:r>
      <w:proofErr w:type="gramEnd"/>
      <w:r>
        <w:rPr>
          <w:rFonts w:ascii="Times New Roman" w:eastAsia="Times New Roman" w:hAnsi="Times New Roman" w:cs="Times New Roman"/>
        </w:rPr>
        <w:t xml:space="preserve"> “America’s New Gilded Age: A Review of </w:t>
      </w:r>
      <w:proofErr w:type="spellStart"/>
      <w:r>
        <w:rPr>
          <w:rFonts w:ascii="Times New Roman" w:eastAsia="Times New Roman" w:hAnsi="Times New Roman" w:cs="Times New Roman"/>
        </w:rPr>
        <w:t>Chrystia</w:t>
      </w:r>
      <w:proofErr w:type="spellEnd"/>
      <w:r>
        <w:rPr>
          <w:rFonts w:ascii="Times New Roman" w:eastAsia="Times New Roman" w:hAnsi="Times New Roman" w:cs="Times New Roman"/>
        </w:rPr>
        <w:t xml:space="preserve"> Freeland’s Plutocrats and Christopher Hayes’s Twilight of the Elites,” </w:t>
      </w:r>
      <w:r>
        <w:rPr>
          <w:rFonts w:ascii="Times New Roman" w:eastAsia="Times New Roman" w:hAnsi="Times New Roman" w:cs="Times New Roman"/>
          <w:i/>
        </w:rPr>
        <w:t>Kennedy School Review</w:t>
      </w:r>
      <w:r>
        <w:rPr>
          <w:rFonts w:ascii="Times New Roman" w:eastAsia="Times New Roman" w:hAnsi="Times New Roman" w:cs="Times New Roman"/>
        </w:rPr>
        <w:t xml:space="preserve">, Available online: </w:t>
      </w:r>
      <w:hyperlink r:id="rId139">
        <w:r>
          <w:rPr>
            <w:rFonts w:ascii="Times New Roman" w:eastAsia="Times New Roman" w:hAnsi="Times New Roman" w:cs="Times New Roman"/>
            <w:color w:val="1155CC"/>
            <w:u w:val="single"/>
          </w:rPr>
          <w:t>https://ksr.hkspublications.org/2013/05/02/americas-new-gilded-age-a-review-of-chrystia-freelands-plutocrats-and-christopher-hayess-twilight-of-the-elites/</w:t>
        </w:r>
      </w:hyperlink>
      <w:r>
        <w:rPr>
          <w:rFonts w:ascii="Times New Roman" w:eastAsia="Times New Roman" w:hAnsi="Times New Roman" w:cs="Times New Roman"/>
        </w:rPr>
        <w:t>, [Accessed 15 December 2019]. </w:t>
      </w:r>
    </w:p>
    <w:p w14:paraId="0B529435" w14:textId="77777777" w:rsidR="00B84936" w:rsidRDefault="00B84936">
      <w:pPr>
        <w:rPr>
          <w:rFonts w:ascii="Times New Roman" w:eastAsia="Times New Roman" w:hAnsi="Times New Roman" w:cs="Times New Roman"/>
        </w:rPr>
      </w:pPr>
    </w:p>
    <w:p w14:paraId="7A0C6C2C" w14:textId="77777777" w:rsidR="00B84936" w:rsidRDefault="001D1521" w:rsidP="00641A69">
      <w:pPr>
        <w:ind w:left="720" w:hanging="720"/>
        <w:rPr>
          <w:rFonts w:ascii="Times New Roman" w:eastAsia="Times New Roman" w:hAnsi="Times New Roman" w:cs="Times New Roman"/>
        </w:rPr>
      </w:pPr>
      <w:r>
        <w:rPr>
          <w:rFonts w:ascii="Times New Roman" w:eastAsia="Times New Roman" w:hAnsi="Times New Roman" w:cs="Times New Roman"/>
        </w:rPr>
        <w:t xml:space="preserve">Wagner, P. &amp; Walsh. (2016). “States of Incarceration: The Global Context,” </w:t>
      </w:r>
      <w:r>
        <w:rPr>
          <w:rFonts w:ascii="Times New Roman" w:eastAsia="Times New Roman" w:hAnsi="Times New Roman" w:cs="Times New Roman"/>
          <w:i/>
        </w:rPr>
        <w:t>Prison Policy Initiative</w:t>
      </w:r>
      <w:r>
        <w:rPr>
          <w:rFonts w:ascii="Times New Roman" w:eastAsia="Times New Roman" w:hAnsi="Times New Roman" w:cs="Times New Roman"/>
        </w:rPr>
        <w:t xml:space="preserve">, Available online: </w:t>
      </w:r>
      <w:hyperlink r:id="rId140">
        <w:r>
          <w:rPr>
            <w:rFonts w:ascii="Times New Roman" w:eastAsia="Times New Roman" w:hAnsi="Times New Roman" w:cs="Times New Roman"/>
            <w:color w:val="1155CC"/>
            <w:u w:val="single"/>
          </w:rPr>
          <w:t>https://www.prisonpolicy.org/global/2016.html</w:t>
        </w:r>
      </w:hyperlink>
      <w:r>
        <w:rPr>
          <w:rFonts w:ascii="Times New Roman" w:eastAsia="Times New Roman" w:hAnsi="Times New Roman" w:cs="Times New Roman"/>
        </w:rPr>
        <w:t>, [Accessed 2 January 2020]. </w:t>
      </w:r>
    </w:p>
    <w:p w14:paraId="499ED9A8" w14:textId="77777777" w:rsidR="00B84936" w:rsidRDefault="00B84936">
      <w:pPr>
        <w:spacing w:line="276" w:lineRule="auto"/>
        <w:rPr>
          <w:rFonts w:ascii="Times New Roman" w:eastAsia="Times New Roman" w:hAnsi="Times New Roman" w:cs="Times New Roman"/>
        </w:rPr>
      </w:pPr>
    </w:p>
    <w:p w14:paraId="6E10DDAB" w14:textId="77777777" w:rsidR="00B84936" w:rsidRDefault="001D1521" w:rsidP="00641A69">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Wallerstein</w:t>
      </w:r>
      <w:proofErr w:type="spellEnd"/>
      <w:r>
        <w:rPr>
          <w:rFonts w:ascii="Times New Roman" w:eastAsia="Times New Roman" w:hAnsi="Times New Roman" w:cs="Times New Roman"/>
        </w:rPr>
        <w:t>, M., Golden, M., &amp; Lange, P. (1997).</w:t>
      </w:r>
      <w:proofErr w:type="gramEnd"/>
      <w:r>
        <w:rPr>
          <w:rFonts w:ascii="Times New Roman" w:eastAsia="Times New Roman" w:hAnsi="Times New Roman" w:cs="Times New Roman"/>
        </w:rPr>
        <w:t xml:space="preserve"> “Unions, Employers’ Associations, and Wage-Setting Institutions in Northern and Central Europe, 1950-1992.” </w:t>
      </w:r>
      <w:r>
        <w:rPr>
          <w:rFonts w:ascii="Times New Roman" w:eastAsia="Times New Roman" w:hAnsi="Times New Roman" w:cs="Times New Roman"/>
          <w:i/>
        </w:rPr>
        <w:t>ILR Review</w:t>
      </w:r>
      <w:r>
        <w:rPr>
          <w:rFonts w:ascii="Times New Roman" w:eastAsia="Times New Roman" w:hAnsi="Times New Roman" w:cs="Times New Roman"/>
        </w:rPr>
        <w:t xml:space="preserve">, Vol. 50, </w:t>
      </w:r>
      <w:proofErr w:type="gramStart"/>
      <w:r>
        <w:rPr>
          <w:rFonts w:ascii="Times New Roman" w:eastAsia="Times New Roman" w:hAnsi="Times New Roman" w:cs="Times New Roman"/>
        </w:rPr>
        <w:t>No</w:t>
      </w:r>
      <w:proofErr w:type="gramEnd"/>
      <w:r>
        <w:rPr>
          <w:rFonts w:ascii="Times New Roman" w:eastAsia="Times New Roman" w:hAnsi="Times New Roman" w:cs="Times New Roman"/>
        </w:rPr>
        <w:t xml:space="preserve">. 3, Available online: </w:t>
      </w:r>
      <w:hyperlink r:id="rId141">
        <w:r>
          <w:rPr>
            <w:rFonts w:ascii="Times New Roman" w:eastAsia="Times New Roman" w:hAnsi="Times New Roman" w:cs="Times New Roman"/>
            <w:color w:val="1155CC"/>
            <w:u w:val="single"/>
          </w:rPr>
          <w:t>https://journals.sagepub.com/doi/pdf/10.1177/001979399705000301</w:t>
        </w:r>
      </w:hyperlink>
      <w:r>
        <w:rPr>
          <w:rFonts w:ascii="Times New Roman" w:eastAsia="Times New Roman" w:hAnsi="Times New Roman" w:cs="Times New Roman"/>
        </w:rPr>
        <w:t xml:space="preserve">, [Accessed 17 February 2020]. </w:t>
      </w:r>
    </w:p>
    <w:p w14:paraId="1814C895" w14:textId="77777777" w:rsidR="00B84936" w:rsidRDefault="00B84936">
      <w:pPr>
        <w:spacing w:line="276" w:lineRule="auto"/>
        <w:rPr>
          <w:rFonts w:ascii="Times New Roman" w:eastAsia="Times New Roman" w:hAnsi="Times New Roman" w:cs="Times New Roman"/>
        </w:rPr>
      </w:pPr>
    </w:p>
    <w:p w14:paraId="705FBF7D" w14:textId="77777777" w:rsidR="00B84936" w:rsidRDefault="001D1521" w:rsidP="00641A69">
      <w:pPr>
        <w:ind w:left="72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Welbourne</w:t>
      </w:r>
      <w:proofErr w:type="spellEnd"/>
      <w:r>
        <w:rPr>
          <w:rFonts w:ascii="Times New Roman" w:eastAsia="Times New Roman" w:hAnsi="Times New Roman" w:cs="Times New Roman"/>
        </w:rPr>
        <w:t xml:space="preserve">, T.M.; Rolf, S.; </w:t>
      </w:r>
      <w:proofErr w:type="spellStart"/>
      <w:r>
        <w:rPr>
          <w:rFonts w:ascii="Times New Roman" w:eastAsia="Times New Roman" w:hAnsi="Times New Roman" w:cs="Times New Roman"/>
        </w:rPr>
        <w:t>Schlachter</w:t>
      </w:r>
      <w:proofErr w:type="spellEnd"/>
      <w:r>
        <w:rPr>
          <w:rFonts w:ascii="Times New Roman" w:eastAsia="Times New Roman" w:hAnsi="Times New Roman" w:cs="Times New Roman"/>
        </w:rPr>
        <w:t>, S. (2017).</w:t>
      </w:r>
      <w:proofErr w:type="gramEnd"/>
      <w:r>
        <w:rPr>
          <w:rFonts w:ascii="Times New Roman" w:eastAsia="Times New Roman" w:hAnsi="Times New Roman" w:cs="Times New Roman"/>
        </w:rPr>
        <w:t xml:space="preserve"> “The Case for Employee Resource Groups: A Review and Social Theory-Based Research Agenda,” </w:t>
      </w:r>
      <w:r>
        <w:rPr>
          <w:rFonts w:ascii="Times New Roman" w:eastAsia="Times New Roman" w:hAnsi="Times New Roman" w:cs="Times New Roman"/>
          <w:i/>
        </w:rPr>
        <w:t>Personnel Review</w:t>
      </w:r>
      <w:r>
        <w:rPr>
          <w:rFonts w:ascii="Times New Roman" w:eastAsia="Times New Roman" w:hAnsi="Times New Roman" w:cs="Times New Roman"/>
        </w:rPr>
        <w:t xml:space="preserve">, Vol. 46, No. 8, pp. 1816-1834, Available online: </w:t>
      </w:r>
      <w:hyperlink r:id="rId142">
        <w:r>
          <w:rPr>
            <w:rFonts w:ascii="Times New Roman" w:eastAsia="Times New Roman" w:hAnsi="Times New Roman" w:cs="Times New Roman"/>
            <w:color w:val="1155CC"/>
            <w:u w:val="single"/>
          </w:rPr>
          <w:t>https://doi.org/10.1108/PR-01-2016-0004</w:t>
        </w:r>
      </w:hyperlink>
      <w:r>
        <w:rPr>
          <w:rFonts w:ascii="Times New Roman" w:eastAsia="Times New Roman" w:hAnsi="Times New Roman" w:cs="Times New Roman"/>
        </w:rPr>
        <w:t xml:space="preserve">, [Accessed 18 March 2020]. </w:t>
      </w:r>
    </w:p>
    <w:p w14:paraId="24420391" w14:textId="77777777" w:rsidR="00B84936" w:rsidRDefault="00B84936">
      <w:pPr>
        <w:spacing w:line="276" w:lineRule="auto"/>
        <w:rPr>
          <w:rFonts w:ascii="Times New Roman" w:eastAsia="Times New Roman" w:hAnsi="Times New Roman" w:cs="Times New Roman"/>
        </w:rPr>
      </w:pPr>
    </w:p>
    <w:p w14:paraId="138F8D8C"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World Inequality Lab. (2018).</w:t>
      </w:r>
      <w:proofErr w:type="gramEnd"/>
      <w:r>
        <w:rPr>
          <w:rFonts w:ascii="Times New Roman" w:eastAsia="Times New Roman" w:hAnsi="Times New Roman" w:cs="Times New Roman"/>
        </w:rPr>
        <w:t xml:space="preserve"> “World Inequality Report.” </w:t>
      </w:r>
      <w:r>
        <w:rPr>
          <w:rFonts w:ascii="Times New Roman" w:eastAsia="Times New Roman" w:hAnsi="Times New Roman" w:cs="Times New Roman"/>
          <w:i/>
        </w:rPr>
        <w:t>World Wealth &amp; Income Database</w:t>
      </w:r>
      <w:r>
        <w:rPr>
          <w:rFonts w:ascii="Times New Roman" w:eastAsia="Times New Roman" w:hAnsi="Times New Roman" w:cs="Times New Roman"/>
        </w:rPr>
        <w:t xml:space="preserve">, Available online: </w:t>
      </w:r>
      <w:hyperlink r:id="rId143">
        <w:r>
          <w:rPr>
            <w:rFonts w:ascii="Times New Roman" w:eastAsia="Times New Roman" w:hAnsi="Times New Roman" w:cs="Times New Roman"/>
            <w:color w:val="1155CC"/>
            <w:u w:val="single"/>
          </w:rPr>
          <w:t>https://wir2018.wid.world/files/download/wir-presentation.pdf</w:t>
        </w:r>
      </w:hyperlink>
      <w:r>
        <w:rPr>
          <w:rFonts w:ascii="Times New Roman" w:eastAsia="Times New Roman" w:hAnsi="Times New Roman" w:cs="Times New Roman"/>
        </w:rPr>
        <w:t xml:space="preserve">, [Accessed 20 January 2020]. </w:t>
      </w:r>
    </w:p>
    <w:p w14:paraId="0535EC5C" w14:textId="77777777" w:rsidR="00B84936" w:rsidRDefault="00B84936">
      <w:pPr>
        <w:rPr>
          <w:rFonts w:ascii="Times New Roman" w:eastAsia="Times New Roman" w:hAnsi="Times New Roman" w:cs="Times New Roman"/>
        </w:rPr>
      </w:pPr>
    </w:p>
    <w:p w14:paraId="00B93741" w14:textId="77777777" w:rsidR="00B84936" w:rsidRDefault="001D1521" w:rsidP="00641A69">
      <w:pPr>
        <w:ind w:left="720" w:hanging="720"/>
        <w:rPr>
          <w:rFonts w:ascii="Times New Roman" w:eastAsia="Times New Roman" w:hAnsi="Times New Roman" w:cs="Times New Roman"/>
        </w:rPr>
      </w:pPr>
      <w:proofErr w:type="gramStart"/>
      <w:r>
        <w:rPr>
          <w:rFonts w:ascii="Times New Roman" w:eastAsia="Times New Roman" w:hAnsi="Times New Roman" w:cs="Times New Roman"/>
        </w:rPr>
        <w:t xml:space="preserve">Wray, L.R., </w:t>
      </w:r>
      <w:proofErr w:type="spellStart"/>
      <w:r>
        <w:rPr>
          <w:rFonts w:ascii="Times New Roman" w:eastAsia="Times New Roman" w:hAnsi="Times New Roman" w:cs="Times New Roman"/>
        </w:rPr>
        <w:t>Dantas</w:t>
      </w:r>
      <w:proofErr w:type="spellEnd"/>
      <w:r>
        <w:rPr>
          <w:rFonts w:ascii="Times New Roman" w:eastAsia="Times New Roman" w:hAnsi="Times New Roman" w:cs="Times New Roman"/>
        </w:rPr>
        <w:t xml:space="preserve">, F., </w:t>
      </w:r>
      <w:proofErr w:type="spellStart"/>
      <w:r>
        <w:rPr>
          <w:rFonts w:ascii="Times New Roman" w:eastAsia="Times New Roman" w:hAnsi="Times New Roman" w:cs="Times New Roman"/>
        </w:rPr>
        <w:t>Fullwiler</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Tcherneva</w:t>
      </w:r>
      <w:proofErr w:type="spellEnd"/>
      <w:r>
        <w:rPr>
          <w:rFonts w:ascii="Times New Roman" w:eastAsia="Times New Roman" w:hAnsi="Times New Roman" w:cs="Times New Roman"/>
        </w:rPr>
        <w:t xml:space="preserve">, P.R., &amp; </w:t>
      </w:r>
      <w:proofErr w:type="spellStart"/>
      <w:r>
        <w:rPr>
          <w:rFonts w:ascii="Times New Roman" w:eastAsia="Times New Roman" w:hAnsi="Times New Roman" w:cs="Times New Roman"/>
        </w:rPr>
        <w:t>Kelton</w:t>
      </w:r>
      <w:proofErr w:type="spellEnd"/>
      <w:r>
        <w:rPr>
          <w:rFonts w:ascii="Times New Roman" w:eastAsia="Times New Roman" w:hAnsi="Times New Roman" w:cs="Times New Roman"/>
        </w:rPr>
        <w:t>, S.A. (2018).</w:t>
      </w:r>
      <w:proofErr w:type="gramEnd"/>
      <w:r>
        <w:rPr>
          <w:rFonts w:ascii="Times New Roman" w:eastAsia="Times New Roman" w:hAnsi="Times New Roman" w:cs="Times New Roman"/>
        </w:rPr>
        <w:t xml:space="preserve"> “Public Service Employment: A Path to Full Employment,” </w:t>
      </w:r>
      <w:r>
        <w:rPr>
          <w:rFonts w:ascii="Times New Roman" w:eastAsia="Times New Roman" w:hAnsi="Times New Roman" w:cs="Times New Roman"/>
          <w:i/>
        </w:rPr>
        <w:t>Levy Economics Institute of Bard College,</w:t>
      </w:r>
      <w:r>
        <w:rPr>
          <w:rFonts w:ascii="Times New Roman" w:eastAsia="Times New Roman" w:hAnsi="Times New Roman" w:cs="Times New Roman"/>
        </w:rPr>
        <w:t xml:space="preserve"> Available online: </w:t>
      </w:r>
      <w:hyperlink r:id="rId144">
        <w:r>
          <w:rPr>
            <w:rFonts w:ascii="Times New Roman" w:eastAsia="Times New Roman" w:hAnsi="Times New Roman" w:cs="Times New Roman"/>
            <w:color w:val="1155CC"/>
            <w:u w:val="single"/>
          </w:rPr>
          <w:t>http://www.levyinstitute.org/publications/public-service-employment-a-path-to-full-employment</w:t>
        </w:r>
      </w:hyperlink>
      <w:r>
        <w:rPr>
          <w:rFonts w:ascii="Times New Roman" w:eastAsia="Times New Roman" w:hAnsi="Times New Roman" w:cs="Times New Roman"/>
        </w:rPr>
        <w:t>, [Accessed 2 January 2020]. </w:t>
      </w:r>
    </w:p>
    <w:p w14:paraId="5C896412" w14:textId="77777777" w:rsidR="00B84936" w:rsidRDefault="00B84936">
      <w:pPr>
        <w:rPr>
          <w:rFonts w:ascii="Times New Roman" w:eastAsia="Times New Roman" w:hAnsi="Times New Roman" w:cs="Times New Roman"/>
        </w:rPr>
      </w:pPr>
    </w:p>
    <w:p w14:paraId="1DD0EDDE" w14:textId="77777777" w:rsidR="00B84936" w:rsidRDefault="001D1521" w:rsidP="00641A69">
      <w:pPr>
        <w:ind w:left="720" w:hanging="720"/>
        <w:rPr>
          <w:rFonts w:ascii="Times New Roman" w:eastAsia="Times New Roman" w:hAnsi="Times New Roman" w:cs="Times New Roman"/>
          <w:sz w:val="20"/>
          <w:szCs w:val="20"/>
        </w:rPr>
      </w:pPr>
      <w:r>
        <w:rPr>
          <w:rFonts w:ascii="Times New Roman" w:eastAsia="Times New Roman" w:hAnsi="Times New Roman" w:cs="Times New Roman"/>
        </w:rPr>
        <w:t>Wr</w:t>
      </w:r>
      <w:bookmarkStart w:id="59" w:name="_GoBack"/>
      <w:bookmarkEnd w:id="59"/>
      <w:r>
        <w:rPr>
          <w:rFonts w:ascii="Times New Roman" w:eastAsia="Times New Roman" w:hAnsi="Times New Roman" w:cs="Times New Roman"/>
        </w:rPr>
        <w:t xml:space="preserve">ay, L.R. (2018). “Policy Note: A Consensus Strategy for a Universal Job Guarantee Program,” </w:t>
      </w:r>
      <w:r>
        <w:rPr>
          <w:rFonts w:ascii="Times New Roman" w:eastAsia="Times New Roman" w:hAnsi="Times New Roman" w:cs="Times New Roman"/>
          <w:i/>
        </w:rPr>
        <w:t>Levy Economics Institute of Bard College</w:t>
      </w:r>
      <w:r>
        <w:rPr>
          <w:rFonts w:ascii="Times New Roman" w:eastAsia="Times New Roman" w:hAnsi="Times New Roman" w:cs="Times New Roman"/>
        </w:rPr>
        <w:t xml:space="preserve">, Available online: </w:t>
      </w:r>
      <w:hyperlink r:id="rId145">
        <w:r>
          <w:rPr>
            <w:rFonts w:ascii="Times New Roman" w:eastAsia="Times New Roman" w:hAnsi="Times New Roman" w:cs="Times New Roman"/>
            <w:color w:val="1155CC"/>
            <w:u w:val="single"/>
          </w:rPr>
          <w:t>http://www.levyinstitute.org/pubs/pn_2018_3.pdf</w:t>
        </w:r>
      </w:hyperlink>
      <w:r>
        <w:rPr>
          <w:rFonts w:ascii="Times New Roman" w:eastAsia="Times New Roman" w:hAnsi="Times New Roman" w:cs="Times New Roman"/>
        </w:rPr>
        <w:t>, [Accessed 2 January 2020]. </w:t>
      </w:r>
    </w:p>
    <w:p w14:paraId="73422F18" w14:textId="77777777" w:rsidR="00B84936" w:rsidRDefault="00B84936">
      <w:pPr>
        <w:rPr>
          <w:rFonts w:ascii="Times New Roman" w:eastAsia="Times New Roman" w:hAnsi="Times New Roman" w:cs="Times New Roman"/>
        </w:rPr>
      </w:pPr>
    </w:p>
    <w:sectPr w:rsidR="00B84936">
      <w:headerReference w:type="even" r:id="rId146"/>
      <w:headerReference w:type="default" r:id="rId147"/>
      <w:pgSz w:w="12240" w:h="15840"/>
      <w:pgMar w:top="1440" w:right="1800" w:bottom="1440" w:left="1800" w:header="720" w:footer="720"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8760F" w14:textId="77777777" w:rsidR="00861DF6" w:rsidRDefault="00861DF6">
      <w:r>
        <w:separator/>
      </w:r>
    </w:p>
  </w:endnote>
  <w:endnote w:type="continuationSeparator" w:id="0">
    <w:p w14:paraId="0D88F04A" w14:textId="77777777" w:rsidR="00861DF6" w:rsidRDefault="00861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altName w:val="Times New Roman"/>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0EADB0" w14:textId="77777777" w:rsidR="00861DF6" w:rsidRDefault="00861DF6">
      <w:r>
        <w:separator/>
      </w:r>
    </w:p>
  </w:footnote>
  <w:footnote w:type="continuationSeparator" w:id="0">
    <w:p w14:paraId="7E2496AF" w14:textId="77777777" w:rsidR="00861DF6" w:rsidRDefault="00861D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58E42" w14:textId="77777777" w:rsidR="00861DF6" w:rsidRDefault="00861DF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213F5218" w14:textId="77777777" w:rsidR="00861DF6" w:rsidRDefault="00861DF6">
    <w:pPr>
      <w:pBdr>
        <w:top w:val="nil"/>
        <w:left w:val="nil"/>
        <w:bottom w:val="nil"/>
        <w:right w:val="nil"/>
        <w:between w:val="nil"/>
      </w:pBdr>
      <w:tabs>
        <w:tab w:val="center" w:pos="4320"/>
        <w:tab w:val="right" w:pos="8640"/>
      </w:tabs>
      <w:ind w:right="360"/>
      <w:rPr>
        <w:color w:val="00000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A257C" w14:textId="77777777" w:rsidR="00861DF6" w:rsidRDefault="00861DF6">
    <w:pPr>
      <w:pBdr>
        <w:top w:val="nil"/>
        <w:left w:val="nil"/>
        <w:bottom w:val="nil"/>
        <w:right w:val="nil"/>
        <w:between w:val="nil"/>
      </w:pBdr>
      <w:tabs>
        <w:tab w:val="center" w:pos="4320"/>
        <w:tab w:val="right" w:pos="8640"/>
      </w:tabs>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Fernando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641A69">
      <w:rPr>
        <w:rFonts w:ascii="Times New Roman" w:eastAsia="Times New Roman" w:hAnsi="Times New Roman" w:cs="Times New Roman"/>
        <w:noProof/>
        <w:color w:val="000000"/>
      </w:rPr>
      <w:t>93</w:t>
    </w:r>
    <w:r>
      <w:rPr>
        <w:rFonts w:ascii="Times New Roman" w:eastAsia="Times New Roman" w:hAnsi="Times New Roman" w:cs="Times New Roman"/>
        <w:color w:val="000000"/>
      </w:rPr>
      <w:fldChar w:fldCharType="end"/>
    </w:r>
  </w:p>
  <w:p w14:paraId="0B4CF206" w14:textId="77777777" w:rsidR="00861DF6" w:rsidRDefault="00861DF6">
    <w:pPr>
      <w:pBdr>
        <w:top w:val="nil"/>
        <w:left w:val="nil"/>
        <w:bottom w:val="nil"/>
        <w:right w:val="nil"/>
        <w:between w:val="nil"/>
      </w:pBdr>
      <w:tabs>
        <w:tab w:val="center" w:pos="4320"/>
        <w:tab w:val="right" w:pos="8640"/>
      </w:tabs>
      <w:ind w:right="360"/>
      <w:rPr>
        <w:color w:val="00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6444A"/>
    <w:multiLevelType w:val="multilevel"/>
    <w:tmpl w:val="FC944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F1D6071"/>
    <w:multiLevelType w:val="multilevel"/>
    <w:tmpl w:val="3564A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29F5F25"/>
    <w:multiLevelType w:val="multilevel"/>
    <w:tmpl w:val="C8DC4A9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6B421751"/>
    <w:multiLevelType w:val="multilevel"/>
    <w:tmpl w:val="6E24E4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84936"/>
    <w:rsid w:val="00024374"/>
    <w:rsid w:val="00107166"/>
    <w:rsid w:val="001D1521"/>
    <w:rsid w:val="00276C14"/>
    <w:rsid w:val="00336BB7"/>
    <w:rsid w:val="00360673"/>
    <w:rsid w:val="00630690"/>
    <w:rsid w:val="00641A69"/>
    <w:rsid w:val="006D53F9"/>
    <w:rsid w:val="00861DF6"/>
    <w:rsid w:val="00867841"/>
    <w:rsid w:val="008E087E"/>
    <w:rsid w:val="009464B3"/>
    <w:rsid w:val="00A64106"/>
    <w:rsid w:val="00AE696A"/>
    <w:rsid w:val="00B84936"/>
    <w:rsid w:val="00BD0DD1"/>
    <w:rsid w:val="00C037F3"/>
    <w:rsid w:val="00CA61F0"/>
    <w:rsid w:val="00F15025"/>
    <w:rsid w:val="00F269C6"/>
    <w:rsid w:val="00F30C77"/>
    <w:rsid w:val="00F562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17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Cambria"/>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745D"/>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1B745D"/>
    <w:pPr>
      <w:spacing w:before="100" w:beforeAutospacing="1" w:after="100" w:afterAutospacing="1"/>
      <w:outlineLvl w:val="1"/>
    </w:pPr>
    <w:rPr>
      <w:rFonts w:ascii="Times" w:hAnsi="Times"/>
      <w:b/>
      <w:bCs/>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character" w:customStyle="1" w:styleId="Heading1Char">
    <w:name w:val="Heading 1 Char"/>
    <w:basedOn w:val="DefaultParagraphFont"/>
    <w:link w:val="Heading1"/>
    <w:uiPriority w:val="9"/>
    <w:rsid w:val="001B745D"/>
    <w:rPr>
      <w:rFonts w:ascii="Times" w:hAnsi="Times"/>
      <w:b/>
      <w:bCs/>
      <w:kern w:val="36"/>
      <w:sz w:val="48"/>
      <w:szCs w:val="48"/>
    </w:rPr>
  </w:style>
  <w:style w:type="character" w:customStyle="1" w:styleId="Heading2Char">
    <w:name w:val="Heading 2 Char"/>
    <w:basedOn w:val="DefaultParagraphFont"/>
    <w:link w:val="Heading2"/>
    <w:uiPriority w:val="9"/>
    <w:rsid w:val="001B745D"/>
    <w:rPr>
      <w:rFonts w:ascii="Times" w:hAnsi="Times"/>
      <w:b/>
      <w:bCs/>
      <w:sz w:val="36"/>
      <w:szCs w:val="36"/>
    </w:rPr>
  </w:style>
  <w:style w:type="paragraph" w:customStyle="1" w:styleId="Normal1">
    <w:name w:val="Normal1"/>
    <w:rsid w:val="001B745D"/>
    <w:pPr>
      <w:spacing w:line="276" w:lineRule="auto"/>
    </w:pPr>
    <w:rPr>
      <w:rFonts w:ascii="Arial" w:eastAsia="Arial" w:hAnsi="Arial" w:cs="Arial"/>
      <w:sz w:val="22"/>
      <w:szCs w:val="22"/>
      <w:lang w:val="en"/>
    </w:rPr>
  </w:style>
  <w:style w:type="paragraph" w:styleId="NormalWeb">
    <w:name w:val="Normal (Web)"/>
    <w:basedOn w:val="Normal"/>
    <w:uiPriority w:val="99"/>
    <w:unhideWhenUsed/>
    <w:rsid w:val="001B745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1B745D"/>
    <w:rPr>
      <w:color w:val="0000FF"/>
      <w:u w:val="single"/>
    </w:rPr>
  </w:style>
  <w:style w:type="character" w:styleId="FollowedHyperlink">
    <w:name w:val="FollowedHyperlink"/>
    <w:basedOn w:val="DefaultParagraphFont"/>
    <w:uiPriority w:val="99"/>
    <w:semiHidden/>
    <w:unhideWhenUsed/>
    <w:rsid w:val="001B745D"/>
    <w:rPr>
      <w:color w:val="800080"/>
      <w:u w:val="single"/>
    </w:rPr>
  </w:style>
  <w:style w:type="paragraph" w:styleId="BalloonText">
    <w:name w:val="Balloon Text"/>
    <w:basedOn w:val="Normal"/>
    <w:link w:val="BalloonTextChar"/>
    <w:uiPriority w:val="99"/>
    <w:semiHidden/>
    <w:unhideWhenUsed/>
    <w:rsid w:val="001B74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745D"/>
    <w:rPr>
      <w:rFonts w:ascii="Lucida Grande" w:hAnsi="Lucida Grande" w:cs="Lucida Grande"/>
      <w:sz w:val="18"/>
      <w:szCs w:val="18"/>
    </w:rPr>
  </w:style>
  <w:style w:type="paragraph" w:styleId="Header">
    <w:name w:val="header"/>
    <w:basedOn w:val="Normal"/>
    <w:link w:val="HeaderChar"/>
    <w:uiPriority w:val="99"/>
    <w:unhideWhenUsed/>
    <w:rsid w:val="00B53781"/>
    <w:pPr>
      <w:tabs>
        <w:tab w:val="center" w:pos="4320"/>
        <w:tab w:val="right" w:pos="8640"/>
      </w:tabs>
    </w:pPr>
  </w:style>
  <w:style w:type="character" w:customStyle="1" w:styleId="HeaderChar">
    <w:name w:val="Header Char"/>
    <w:basedOn w:val="DefaultParagraphFont"/>
    <w:link w:val="Header"/>
    <w:uiPriority w:val="99"/>
    <w:rsid w:val="00B53781"/>
  </w:style>
  <w:style w:type="character" w:styleId="PageNumber">
    <w:name w:val="page number"/>
    <w:basedOn w:val="DefaultParagraphFont"/>
    <w:uiPriority w:val="99"/>
    <w:semiHidden/>
    <w:unhideWhenUsed/>
    <w:rsid w:val="00B53781"/>
  </w:style>
  <w:style w:type="paragraph" w:styleId="TOCHeading">
    <w:name w:val="TOC Heading"/>
    <w:basedOn w:val="Heading1"/>
    <w:next w:val="Normal"/>
    <w:uiPriority w:val="39"/>
    <w:unhideWhenUsed/>
    <w:qFormat/>
    <w:rsid w:val="00B5378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76C14"/>
    <w:pPr>
      <w:tabs>
        <w:tab w:val="right" w:leader="dot" w:pos="8630"/>
      </w:tabs>
      <w:spacing w:before="120" w:line="276" w:lineRule="auto"/>
    </w:pPr>
    <w:rPr>
      <w:rFonts w:asciiTheme="minorHAnsi" w:hAnsiTheme="minorHAnsi"/>
      <w:b/>
    </w:rPr>
  </w:style>
  <w:style w:type="paragraph" w:styleId="TOC2">
    <w:name w:val="toc 2"/>
    <w:basedOn w:val="Normal"/>
    <w:next w:val="Normal"/>
    <w:autoRedefine/>
    <w:uiPriority w:val="39"/>
    <w:unhideWhenUsed/>
    <w:rsid w:val="00B53781"/>
    <w:pPr>
      <w:ind w:left="240"/>
    </w:pPr>
    <w:rPr>
      <w:rFonts w:asciiTheme="minorHAnsi" w:hAnsiTheme="minorHAnsi"/>
      <w:b/>
      <w:sz w:val="22"/>
      <w:szCs w:val="22"/>
    </w:rPr>
  </w:style>
  <w:style w:type="paragraph" w:styleId="TOC3">
    <w:name w:val="toc 3"/>
    <w:basedOn w:val="Normal"/>
    <w:next w:val="Normal"/>
    <w:autoRedefine/>
    <w:uiPriority w:val="39"/>
    <w:unhideWhenUsed/>
    <w:rsid w:val="00B53781"/>
    <w:pPr>
      <w:ind w:left="480"/>
    </w:pPr>
    <w:rPr>
      <w:rFonts w:asciiTheme="minorHAnsi" w:hAnsiTheme="minorHAnsi"/>
      <w:sz w:val="22"/>
      <w:szCs w:val="22"/>
    </w:rPr>
  </w:style>
  <w:style w:type="paragraph" w:styleId="TOC4">
    <w:name w:val="toc 4"/>
    <w:basedOn w:val="Normal"/>
    <w:next w:val="Normal"/>
    <w:autoRedefine/>
    <w:uiPriority w:val="39"/>
    <w:unhideWhenUsed/>
    <w:rsid w:val="00B53781"/>
    <w:pPr>
      <w:ind w:left="720"/>
    </w:pPr>
    <w:rPr>
      <w:rFonts w:asciiTheme="minorHAnsi" w:hAnsiTheme="minorHAnsi"/>
      <w:sz w:val="20"/>
      <w:szCs w:val="20"/>
    </w:rPr>
  </w:style>
  <w:style w:type="paragraph" w:styleId="TOC5">
    <w:name w:val="toc 5"/>
    <w:basedOn w:val="Normal"/>
    <w:next w:val="Normal"/>
    <w:autoRedefine/>
    <w:uiPriority w:val="39"/>
    <w:unhideWhenUsed/>
    <w:rsid w:val="00B53781"/>
    <w:pPr>
      <w:ind w:left="960"/>
    </w:pPr>
    <w:rPr>
      <w:rFonts w:asciiTheme="minorHAnsi" w:hAnsiTheme="minorHAnsi"/>
      <w:sz w:val="20"/>
      <w:szCs w:val="20"/>
    </w:rPr>
  </w:style>
  <w:style w:type="paragraph" w:styleId="TOC6">
    <w:name w:val="toc 6"/>
    <w:basedOn w:val="Normal"/>
    <w:next w:val="Normal"/>
    <w:autoRedefine/>
    <w:uiPriority w:val="39"/>
    <w:unhideWhenUsed/>
    <w:rsid w:val="00B53781"/>
    <w:pPr>
      <w:ind w:left="1200"/>
    </w:pPr>
    <w:rPr>
      <w:rFonts w:asciiTheme="minorHAnsi" w:hAnsiTheme="minorHAnsi"/>
      <w:sz w:val="20"/>
      <w:szCs w:val="20"/>
    </w:rPr>
  </w:style>
  <w:style w:type="paragraph" w:styleId="TOC7">
    <w:name w:val="toc 7"/>
    <w:basedOn w:val="Normal"/>
    <w:next w:val="Normal"/>
    <w:autoRedefine/>
    <w:uiPriority w:val="39"/>
    <w:unhideWhenUsed/>
    <w:rsid w:val="00B53781"/>
    <w:pPr>
      <w:ind w:left="1440"/>
    </w:pPr>
    <w:rPr>
      <w:rFonts w:asciiTheme="minorHAnsi" w:hAnsiTheme="minorHAnsi"/>
      <w:sz w:val="20"/>
      <w:szCs w:val="20"/>
    </w:rPr>
  </w:style>
  <w:style w:type="paragraph" w:styleId="TOC8">
    <w:name w:val="toc 8"/>
    <w:basedOn w:val="Normal"/>
    <w:next w:val="Normal"/>
    <w:autoRedefine/>
    <w:uiPriority w:val="39"/>
    <w:unhideWhenUsed/>
    <w:rsid w:val="00B53781"/>
    <w:pPr>
      <w:ind w:left="1680"/>
    </w:pPr>
    <w:rPr>
      <w:rFonts w:asciiTheme="minorHAnsi" w:hAnsiTheme="minorHAnsi"/>
      <w:sz w:val="20"/>
      <w:szCs w:val="20"/>
    </w:rPr>
  </w:style>
  <w:style w:type="paragraph" w:styleId="TOC9">
    <w:name w:val="toc 9"/>
    <w:basedOn w:val="Normal"/>
    <w:next w:val="Normal"/>
    <w:autoRedefine/>
    <w:uiPriority w:val="39"/>
    <w:unhideWhenUsed/>
    <w:rsid w:val="00B53781"/>
    <w:pPr>
      <w:ind w:left="1920"/>
    </w:pPr>
    <w:rPr>
      <w:rFonts w:asciiTheme="minorHAnsi" w:hAnsiTheme="minorHAnsi"/>
      <w:sz w:val="20"/>
      <w:szCs w:val="20"/>
    </w:rPr>
  </w:style>
  <w:style w:type="paragraph" w:styleId="Footer">
    <w:name w:val="footer"/>
    <w:basedOn w:val="Normal"/>
    <w:link w:val="FooterChar"/>
    <w:uiPriority w:val="99"/>
    <w:unhideWhenUsed/>
    <w:rsid w:val="006037FC"/>
    <w:pPr>
      <w:tabs>
        <w:tab w:val="center" w:pos="4320"/>
        <w:tab w:val="right" w:pos="8640"/>
      </w:tabs>
    </w:pPr>
  </w:style>
  <w:style w:type="character" w:customStyle="1" w:styleId="FooterChar">
    <w:name w:val="Footer Char"/>
    <w:basedOn w:val="DefaultParagraphFont"/>
    <w:link w:val="Footer"/>
    <w:uiPriority w:val="99"/>
    <w:rsid w:val="006037FC"/>
  </w:style>
  <w:style w:type="paragraph" w:styleId="Caption">
    <w:name w:val="caption"/>
    <w:basedOn w:val="Normal"/>
    <w:next w:val="Normal"/>
    <w:qFormat/>
    <w:rsid w:val="00C34A0B"/>
    <w:rPr>
      <w:rFonts w:ascii="Times New Roman" w:eastAsia="Times New Roman" w:hAnsi="Times New Roman" w:cs="Times New Roman"/>
      <w:szCs w:val="20"/>
      <w:lang w:val="en-GB"/>
    </w:rPr>
  </w:style>
  <w:style w:type="character" w:customStyle="1" w:styleId="cls-response">
    <w:name w:val="cls-response"/>
    <w:basedOn w:val="DefaultParagraphFont"/>
    <w:rsid w:val="000A54BA"/>
  </w:style>
  <w:style w:type="character" w:customStyle="1" w:styleId="u-clearfix">
    <w:name w:val="u-clearfix"/>
    <w:basedOn w:val="DefaultParagraphFont"/>
    <w:rsid w:val="00DD6C7E"/>
  </w:style>
  <w:style w:type="character" w:styleId="CommentReference">
    <w:name w:val="annotation reference"/>
    <w:basedOn w:val="DefaultParagraphFont"/>
    <w:uiPriority w:val="99"/>
    <w:semiHidden/>
    <w:unhideWhenUsed/>
    <w:rsid w:val="006D6BFA"/>
    <w:rPr>
      <w:sz w:val="16"/>
      <w:szCs w:val="16"/>
    </w:rPr>
  </w:style>
  <w:style w:type="paragraph" w:styleId="CommentText">
    <w:name w:val="annotation text"/>
    <w:basedOn w:val="Normal"/>
    <w:link w:val="CommentTextChar"/>
    <w:uiPriority w:val="99"/>
    <w:semiHidden/>
    <w:unhideWhenUsed/>
    <w:rsid w:val="006D6BFA"/>
    <w:rPr>
      <w:sz w:val="20"/>
      <w:szCs w:val="20"/>
    </w:rPr>
  </w:style>
  <w:style w:type="character" w:customStyle="1" w:styleId="CommentTextChar">
    <w:name w:val="Comment Text Char"/>
    <w:basedOn w:val="DefaultParagraphFont"/>
    <w:link w:val="CommentText"/>
    <w:uiPriority w:val="99"/>
    <w:semiHidden/>
    <w:rsid w:val="006D6BFA"/>
    <w:rPr>
      <w:sz w:val="20"/>
      <w:szCs w:val="20"/>
    </w:rPr>
  </w:style>
  <w:style w:type="paragraph" w:styleId="CommentSubject">
    <w:name w:val="annotation subject"/>
    <w:basedOn w:val="CommentText"/>
    <w:next w:val="CommentText"/>
    <w:link w:val="CommentSubjectChar"/>
    <w:uiPriority w:val="99"/>
    <w:semiHidden/>
    <w:unhideWhenUsed/>
    <w:rsid w:val="006D6BFA"/>
    <w:rPr>
      <w:b/>
      <w:bCs/>
    </w:rPr>
  </w:style>
  <w:style w:type="character" w:customStyle="1" w:styleId="CommentSubjectChar">
    <w:name w:val="Comment Subject Char"/>
    <w:basedOn w:val="CommentTextChar"/>
    <w:link w:val="CommentSubject"/>
    <w:uiPriority w:val="99"/>
    <w:semiHidden/>
    <w:rsid w:val="006D6BFA"/>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Cambria"/>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745D"/>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1B745D"/>
    <w:pPr>
      <w:spacing w:before="100" w:beforeAutospacing="1" w:after="100" w:afterAutospacing="1"/>
      <w:outlineLvl w:val="1"/>
    </w:pPr>
    <w:rPr>
      <w:rFonts w:ascii="Times" w:hAnsi="Times"/>
      <w:b/>
      <w:bCs/>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character" w:customStyle="1" w:styleId="Heading1Char">
    <w:name w:val="Heading 1 Char"/>
    <w:basedOn w:val="DefaultParagraphFont"/>
    <w:link w:val="Heading1"/>
    <w:uiPriority w:val="9"/>
    <w:rsid w:val="001B745D"/>
    <w:rPr>
      <w:rFonts w:ascii="Times" w:hAnsi="Times"/>
      <w:b/>
      <w:bCs/>
      <w:kern w:val="36"/>
      <w:sz w:val="48"/>
      <w:szCs w:val="48"/>
    </w:rPr>
  </w:style>
  <w:style w:type="character" w:customStyle="1" w:styleId="Heading2Char">
    <w:name w:val="Heading 2 Char"/>
    <w:basedOn w:val="DefaultParagraphFont"/>
    <w:link w:val="Heading2"/>
    <w:uiPriority w:val="9"/>
    <w:rsid w:val="001B745D"/>
    <w:rPr>
      <w:rFonts w:ascii="Times" w:hAnsi="Times"/>
      <w:b/>
      <w:bCs/>
      <w:sz w:val="36"/>
      <w:szCs w:val="36"/>
    </w:rPr>
  </w:style>
  <w:style w:type="paragraph" w:customStyle="1" w:styleId="Normal1">
    <w:name w:val="Normal1"/>
    <w:rsid w:val="001B745D"/>
    <w:pPr>
      <w:spacing w:line="276" w:lineRule="auto"/>
    </w:pPr>
    <w:rPr>
      <w:rFonts w:ascii="Arial" w:eastAsia="Arial" w:hAnsi="Arial" w:cs="Arial"/>
      <w:sz w:val="22"/>
      <w:szCs w:val="22"/>
      <w:lang w:val="en"/>
    </w:rPr>
  </w:style>
  <w:style w:type="paragraph" w:styleId="NormalWeb">
    <w:name w:val="Normal (Web)"/>
    <w:basedOn w:val="Normal"/>
    <w:uiPriority w:val="99"/>
    <w:unhideWhenUsed/>
    <w:rsid w:val="001B745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1B745D"/>
    <w:rPr>
      <w:color w:val="0000FF"/>
      <w:u w:val="single"/>
    </w:rPr>
  </w:style>
  <w:style w:type="character" w:styleId="FollowedHyperlink">
    <w:name w:val="FollowedHyperlink"/>
    <w:basedOn w:val="DefaultParagraphFont"/>
    <w:uiPriority w:val="99"/>
    <w:semiHidden/>
    <w:unhideWhenUsed/>
    <w:rsid w:val="001B745D"/>
    <w:rPr>
      <w:color w:val="800080"/>
      <w:u w:val="single"/>
    </w:rPr>
  </w:style>
  <w:style w:type="paragraph" w:styleId="BalloonText">
    <w:name w:val="Balloon Text"/>
    <w:basedOn w:val="Normal"/>
    <w:link w:val="BalloonTextChar"/>
    <w:uiPriority w:val="99"/>
    <w:semiHidden/>
    <w:unhideWhenUsed/>
    <w:rsid w:val="001B74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745D"/>
    <w:rPr>
      <w:rFonts w:ascii="Lucida Grande" w:hAnsi="Lucida Grande" w:cs="Lucida Grande"/>
      <w:sz w:val="18"/>
      <w:szCs w:val="18"/>
    </w:rPr>
  </w:style>
  <w:style w:type="paragraph" w:styleId="Header">
    <w:name w:val="header"/>
    <w:basedOn w:val="Normal"/>
    <w:link w:val="HeaderChar"/>
    <w:uiPriority w:val="99"/>
    <w:unhideWhenUsed/>
    <w:rsid w:val="00B53781"/>
    <w:pPr>
      <w:tabs>
        <w:tab w:val="center" w:pos="4320"/>
        <w:tab w:val="right" w:pos="8640"/>
      </w:tabs>
    </w:pPr>
  </w:style>
  <w:style w:type="character" w:customStyle="1" w:styleId="HeaderChar">
    <w:name w:val="Header Char"/>
    <w:basedOn w:val="DefaultParagraphFont"/>
    <w:link w:val="Header"/>
    <w:uiPriority w:val="99"/>
    <w:rsid w:val="00B53781"/>
  </w:style>
  <w:style w:type="character" w:styleId="PageNumber">
    <w:name w:val="page number"/>
    <w:basedOn w:val="DefaultParagraphFont"/>
    <w:uiPriority w:val="99"/>
    <w:semiHidden/>
    <w:unhideWhenUsed/>
    <w:rsid w:val="00B53781"/>
  </w:style>
  <w:style w:type="paragraph" w:styleId="TOCHeading">
    <w:name w:val="TOC Heading"/>
    <w:basedOn w:val="Heading1"/>
    <w:next w:val="Normal"/>
    <w:uiPriority w:val="39"/>
    <w:unhideWhenUsed/>
    <w:qFormat/>
    <w:rsid w:val="00B5378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76C14"/>
    <w:pPr>
      <w:tabs>
        <w:tab w:val="right" w:leader="dot" w:pos="8630"/>
      </w:tabs>
      <w:spacing w:before="120" w:line="276" w:lineRule="auto"/>
    </w:pPr>
    <w:rPr>
      <w:rFonts w:asciiTheme="minorHAnsi" w:hAnsiTheme="minorHAnsi"/>
      <w:b/>
    </w:rPr>
  </w:style>
  <w:style w:type="paragraph" w:styleId="TOC2">
    <w:name w:val="toc 2"/>
    <w:basedOn w:val="Normal"/>
    <w:next w:val="Normal"/>
    <w:autoRedefine/>
    <w:uiPriority w:val="39"/>
    <w:unhideWhenUsed/>
    <w:rsid w:val="00B53781"/>
    <w:pPr>
      <w:ind w:left="240"/>
    </w:pPr>
    <w:rPr>
      <w:rFonts w:asciiTheme="minorHAnsi" w:hAnsiTheme="minorHAnsi"/>
      <w:b/>
      <w:sz w:val="22"/>
      <w:szCs w:val="22"/>
    </w:rPr>
  </w:style>
  <w:style w:type="paragraph" w:styleId="TOC3">
    <w:name w:val="toc 3"/>
    <w:basedOn w:val="Normal"/>
    <w:next w:val="Normal"/>
    <w:autoRedefine/>
    <w:uiPriority w:val="39"/>
    <w:unhideWhenUsed/>
    <w:rsid w:val="00B53781"/>
    <w:pPr>
      <w:ind w:left="480"/>
    </w:pPr>
    <w:rPr>
      <w:rFonts w:asciiTheme="minorHAnsi" w:hAnsiTheme="minorHAnsi"/>
      <w:sz w:val="22"/>
      <w:szCs w:val="22"/>
    </w:rPr>
  </w:style>
  <w:style w:type="paragraph" w:styleId="TOC4">
    <w:name w:val="toc 4"/>
    <w:basedOn w:val="Normal"/>
    <w:next w:val="Normal"/>
    <w:autoRedefine/>
    <w:uiPriority w:val="39"/>
    <w:unhideWhenUsed/>
    <w:rsid w:val="00B53781"/>
    <w:pPr>
      <w:ind w:left="720"/>
    </w:pPr>
    <w:rPr>
      <w:rFonts w:asciiTheme="minorHAnsi" w:hAnsiTheme="minorHAnsi"/>
      <w:sz w:val="20"/>
      <w:szCs w:val="20"/>
    </w:rPr>
  </w:style>
  <w:style w:type="paragraph" w:styleId="TOC5">
    <w:name w:val="toc 5"/>
    <w:basedOn w:val="Normal"/>
    <w:next w:val="Normal"/>
    <w:autoRedefine/>
    <w:uiPriority w:val="39"/>
    <w:unhideWhenUsed/>
    <w:rsid w:val="00B53781"/>
    <w:pPr>
      <w:ind w:left="960"/>
    </w:pPr>
    <w:rPr>
      <w:rFonts w:asciiTheme="minorHAnsi" w:hAnsiTheme="minorHAnsi"/>
      <w:sz w:val="20"/>
      <w:szCs w:val="20"/>
    </w:rPr>
  </w:style>
  <w:style w:type="paragraph" w:styleId="TOC6">
    <w:name w:val="toc 6"/>
    <w:basedOn w:val="Normal"/>
    <w:next w:val="Normal"/>
    <w:autoRedefine/>
    <w:uiPriority w:val="39"/>
    <w:unhideWhenUsed/>
    <w:rsid w:val="00B53781"/>
    <w:pPr>
      <w:ind w:left="1200"/>
    </w:pPr>
    <w:rPr>
      <w:rFonts w:asciiTheme="minorHAnsi" w:hAnsiTheme="minorHAnsi"/>
      <w:sz w:val="20"/>
      <w:szCs w:val="20"/>
    </w:rPr>
  </w:style>
  <w:style w:type="paragraph" w:styleId="TOC7">
    <w:name w:val="toc 7"/>
    <w:basedOn w:val="Normal"/>
    <w:next w:val="Normal"/>
    <w:autoRedefine/>
    <w:uiPriority w:val="39"/>
    <w:unhideWhenUsed/>
    <w:rsid w:val="00B53781"/>
    <w:pPr>
      <w:ind w:left="1440"/>
    </w:pPr>
    <w:rPr>
      <w:rFonts w:asciiTheme="minorHAnsi" w:hAnsiTheme="minorHAnsi"/>
      <w:sz w:val="20"/>
      <w:szCs w:val="20"/>
    </w:rPr>
  </w:style>
  <w:style w:type="paragraph" w:styleId="TOC8">
    <w:name w:val="toc 8"/>
    <w:basedOn w:val="Normal"/>
    <w:next w:val="Normal"/>
    <w:autoRedefine/>
    <w:uiPriority w:val="39"/>
    <w:unhideWhenUsed/>
    <w:rsid w:val="00B53781"/>
    <w:pPr>
      <w:ind w:left="1680"/>
    </w:pPr>
    <w:rPr>
      <w:rFonts w:asciiTheme="minorHAnsi" w:hAnsiTheme="minorHAnsi"/>
      <w:sz w:val="20"/>
      <w:szCs w:val="20"/>
    </w:rPr>
  </w:style>
  <w:style w:type="paragraph" w:styleId="TOC9">
    <w:name w:val="toc 9"/>
    <w:basedOn w:val="Normal"/>
    <w:next w:val="Normal"/>
    <w:autoRedefine/>
    <w:uiPriority w:val="39"/>
    <w:unhideWhenUsed/>
    <w:rsid w:val="00B53781"/>
    <w:pPr>
      <w:ind w:left="1920"/>
    </w:pPr>
    <w:rPr>
      <w:rFonts w:asciiTheme="minorHAnsi" w:hAnsiTheme="minorHAnsi"/>
      <w:sz w:val="20"/>
      <w:szCs w:val="20"/>
    </w:rPr>
  </w:style>
  <w:style w:type="paragraph" w:styleId="Footer">
    <w:name w:val="footer"/>
    <w:basedOn w:val="Normal"/>
    <w:link w:val="FooterChar"/>
    <w:uiPriority w:val="99"/>
    <w:unhideWhenUsed/>
    <w:rsid w:val="006037FC"/>
    <w:pPr>
      <w:tabs>
        <w:tab w:val="center" w:pos="4320"/>
        <w:tab w:val="right" w:pos="8640"/>
      </w:tabs>
    </w:pPr>
  </w:style>
  <w:style w:type="character" w:customStyle="1" w:styleId="FooterChar">
    <w:name w:val="Footer Char"/>
    <w:basedOn w:val="DefaultParagraphFont"/>
    <w:link w:val="Footer"/>
    <w:uiPriority w:val="99"/>
    <w:rsid w:val="006037FC"/>
  </w:style>
  <w:style w:type="paragraph" w:styleId="Caption">
    <w:name w:val="caption"/>
    <w:basedOn w:val="Normal"/>
    <w:next w:val="Normal"/>
    <w:qFormat/>
    <w:rsid w:val="00C34A0B"/>
    <w:rPr>
      <w:rFonts w:ascii="Times New Roman" w:eastAsia="Times New Roman" w:hAnsi="Times New Roman" w:cs="Times New Roman"/>
      <w:szCs w:val="20"/>
      <w:lang w:val="en-GB"/>
    </w:rPr>
  </w:style>
  <w:style w:type="character" w:customStyle="1" w:styleId="cls-response">
    <w:name w:val="cls-response"/>
    <w:basedOn w:val="DefaultParagraphFont"/>
    <w:rsid w:val="000A54BA"/>
  </w:style>
  <w:style w:type="character" w:customStyle="1" w:styleId="u-clearfix">
    <w:name w:val="u-clearfix"/>
    <w:basedOn w:val="DefaultParagraphFont"/>
    <w:rsid w:val="00DD6C7E"/>
  </w:style>
  <w:style w:type="character" w:styleId="CommentReference">
    <w:name w:val="annotation reference"/>
    <w:basedOn w:val="DefaultParagraphFont"/>
    <w:uiPriority w:val="99"/>
    <w:semiHidden/>
    <w:unhideWhenUsed/>
    <w:rsid w:val="006D6BFA"/>
    <w:rPr>
      <w:sz w:val="16"/>
      <w:szCs w:val="16"/>
    </w:rPr>
  </w:style>
  <w:style w:type="paragraph" w:styleId="CommentText">
    <w:name w:val="annotation text"/>
    <w:basedOn w:val="Normal"/>
    <w:link w:val="CommentTextChar"/>
    <w:uiPriority w:val="99"/>
    <w:semiHidden/>
    <w:unhideWhenUsed/>
    <w:rsid w:val="006D6BFA"/>
    <w:rPr>
      <w:sz w:val="20"/>
      <w:szCs w:val="20"/>
    </w:rPr>
  </w:style>
  <w:style w:type="character" w:customStyle="1" w:styleId="CommentTextChar">
    <w:name w:val="Comment Text Char"/>
    <w:basedOn w:val="DefaultParagraphFont"/>
    <w:link w:val="CommentText"/>
    <w:uiPriority w:val="99"/>
    <w:semiHidden/>
    <w:rsid w:val="006D6BFA"/>
    <w:rPr>
      <w:sz w:val="20"/>
      <w:szCs w:val="20"/>
    </w:rPr>
  </w:style>
  <w:style w:type="paragraph" w:styleId="CommentSubject">
    <w:name w:val="annotation subject"/>
    <w:basedOn w:val="CommentText"/>
    <w:next w:val="CommentText"/>
    <w:link w:val="CommentSubjectChar"/>
    <w:uiPriority w:val="99"/>
    <w:semiHidden/>
    <w:unhideWhenUsed/>
    <w:rsid w:val="006D6BFA"/>
    <w:rPr>
      <w:b/>
      <w:bCs/>
    </w:rPr>
  </w:style>
  <w:style w:type="character" w:customStyle="1" w:styleId="CommentSubjectChar">
    <w:name w:val="Comment Subject Char"/>
    <w:basedOn w:val="CommentTextChar"/>
    <w:link w:val="CommentSubject"/>
    <w:uiPriority w:val="99"/>
    <w:semiHidden/>
    <w:rsid w:val="006D6BFA"/>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202310">
      <w:bodyDiv w:val="1"/>
      <w:marLeft w:val="0"/>
      <w:marRight w:val="0"/>
      <w:marTop w:val="0"/>
      <w:marBottom w:val="0"/>
      <w:divBdr>
        <w:top w:val="none" w:sz="0" w:space="0" w:color="auto"/>
        <w:left w:val="none" w:sz="0" w:space="0" w:color="auto"/>
        <w:bottom w:val="none" w:sz="0" w:space="0" w:color="auto"/>
        <w:right w:val="none" w:sz="0" w:space="0" w:color="auto"/>
      </w:divBdr>
    </w:div>
    <w:div w:id="97780680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60" Type="http://schemas.openxmlformats.org/officeDocument/2006/relationships/hyperlink" Target="https://www.jstor.org/stable/25165888" TargetMode="External"/><Relationship Id="rId61" Type="http://schemas.openxmlformats.org/officeDocument/2006/relationships/hyperlink" Target="https://www.jstor.org/stable/41058335" TargetMode="External"/><Relationship Id="rId62" Type="http://schemas.openxmlformats.org/officeDocument/2006/relationships/hyperlink" Target="https://doi.org/10.1007/s10551-012-1400-9" TargetMode="External"/><Relationship Id="rId63" Type="http://schemas.openxmlformats.org/officeDocument/2006/relationships/hyperlink" Target="https://doi.org/10.1016/j.ijhm.2003.11.001" TargetMode="External"/><Relationship Id="rId64" Type="http://schemas.openxmlformats.org/officeDocument/2006/relationships/hyperlink" Target="https://worldhappiness.report/ed/2019/" TargetMode="External"/><Relationship Id="rId65" Type="http://schemas.openxmlformats.org/officeDocument/2006/relationships/hyperlink" Target="http://scholar.lib.vt.edu/ejournals/JTE/v9n1/pdf/hoepfl.pdf" TargetMode="External"/><Relationship Id="rId66" Type="http://schemas.openxmlformats.org/officeDocument/2006/relationships/hyperlink" Target="https://doi.org/10.7249/RB10003" TargetMode="External"/><Relationship Id="rId67" Type="http://schemas.openxmlformats.org/officeDocument/2006/relationships/hyperlink" Target="https://www.huntonlaborblog.com/2018/07/articles/labor-unions/dol-repeals-obama-era-persuader-rule/" TargetMode="External"/><Relationship Id="rId68" Type="http://schemas.openxmlformats.org/officeDocument/2006/relationships/hyperlink" Target="https://iowaperb.iowa.gov/recertification-faqs" TargetMode="External"/><Relationship Id="rId69" Type="http://schemas.openxmlformats.org/officeDocument/2006/relationships/hyperlink" Target="http://laborcenter.berkeley.edu/the-high-public-cost-of-low-wages/" TargetMode="External"/><Relationship Id="rId120" Type="http://schemas.openxmlformats.org/officeDocument/2006/relationships/hyperlink" Target="https://www.shrm.org/hr-today/public-policy/hr-public-policy-issues/pages/employeefreechoiceact(cardcheck).aspx" TargetMode="External"/><Relationship Id="rId121" Type="http://schemas.openxmlformats.org/officeDocument/2006/relationships/hyperlink" Target="https://www.researchgate.net/publication/248995993_Where_Have_All_the_Subjects_Gone_Bringing_Together_the_Concepts_of_Intersectionality_and_Subjectification" TargetMode="External"/><Relationship Id="rId122" Type="http://schemas.openxmlformats.org/officeDocument/2006/relationships/hyperlink" Target="https://www.washingtonpost.com/news/wonk/wp/2018/04/23/bernie-sanders-to-unveil-plan-to-guarantee-every-american-a-job/" TargetMode="External"/><Relationship Id="rId123" Type="http://schemas.openxmlformats.org/officeDocument/2006/relationships/hyperlink" Target="https://www.pbs.org/newshour/economy/finland-again-tops-list-of-happiest-nations-u-s-ranking-drops" TargetMode="External"/><Relationship Id="rId124" Type="http://schemas.openxmlformats.org/officeDocument/2006/relationships/hyperlink" Target="http://www.levyinstitute.org/publications/the-job-guarantee-design-jobs-and-implementation" TargetMode="External"/><Relationship Id="rId125" Type="http://schemas.openxmlformats.org/officeDocument/2006/relationships/hyperlink" Target="https://www.sentencingproject.org/wp-content/uploads/2016/01/Women-in-the-Criminal-Justice-System-Briefing-Sheets.pdf" TargetMode="External"/><Relationship Id="rId126" Type="http://schemas.openxmlformats.org/officeDocument/2006/relationships/hyperlink" Target="http://sageamericanhistory.net/progressive/docs/SocialistPlat1912.htm" TargetMode="External"/><Relationship Id="rId127" Type="http://schemas.openxmlformats.org/officeDocument/2006/relationships/hyperlink" Target="https://www.jstor.org/stable/20615422?seq=1" TargetMode="External"/><Relationship Id="rId128" Type="http://schemas.openxmlformats.org/officeDocument/2006/relationships/hyperlink" Target="https://doi.org/10.1111/j.1467-8543.2010.00804.x" TargetMode="External"/><Relationship Id="rId129" Type="http://schemas.openxmlformats.org/officeDocument/2006/relationships/hyperlink" Target="https://www.bls.gov/cps/cps_htgm.pdf" TargetMode="External"/><Relationship Id="rId40" Type="http://schemas.openxmlformats.org/officeDocument/2006/relationships/hyperlink" Target="https://www.jacobinmag.com/2019/08/bernie-sanders-labor-unions-proposal-workplace-democracy" TargetMode="External"/><Relationship Id="rId41" Type="http://schemas.openxmlformats.org/officeDocument/2006/relationships/hyperlink" Target="http://www.eisenhowerfoundation.org/docs/Kerner%2040%20Year%20Update,%20Executive%20Summary.pdf" TargetMode="External"/><Relationship Id="rId42" Type="http://schemas.openxmlformats.org/officeDocument/2006/relationships/hyperlink" Target="https://www.shrm.org/resourcesandtools/legal-and-compliance/employment-law/pages/employment-at-will.aspx" TargetMode="External"/><Relationship Id="rId90" Type="http://schemas.openxmlformats.org/officeDocument/2006/relationships/hyperlink" Target="https://www.vox.com/2018/4/27/17281676/job-guarantee-design-bad-jobs-labor-market-federal-reserve" TargetMode="External"/><Relationship Id="rId91" Type="http://schemas.openxmlformats.org/officeDocument/2006/relationships/hyperlink" Target="https://www.shrm.org/resourcesandtools/hr-topics/talent-acquisition/pages/texas-2012-eeoc-background-check-guidance-unenforceable.aspx" TargetMode="External"/><Relationship Id="rId92" Type="http://schemas.openxmlformats.org/officeDocument/2006/relationships/hyperlink" Target="http://proxy.library.nyu.edu/login?url=https://search.proquest.com/docview/2319476107?accountid=12768" TargetMode="External"/><Relationship Id="rId93" Type="http://schemas.openxmlformats.org/officeDocument/2006/relationships/hyperlink" Target="https://www.epi.org/publication/unlawful-employer-opposition-to-union-election-campaigns/" TargetMode="External"/><Relationship Id="rId94" Type="http://schemas.openxmlformats.org/officeDocument/2006/relationships/hyperlink" Target="https://www.epi.org/publication/black-women-will-be-most-affected-by-janus/" TargetMode="External"/><Relationship Id="rId95" Type="http://schemas.openxmlformats.org/officeDocument/2006/relationships/hyperlink" Target="https://www.americanprogressaction.org/issues/economy/news/2014/09/18/97477/new-census-data-once-again-illustrate-importance-of-unions-to-the-middle-class/" TargetMode="External"/><Relationship Id="rId96" Type="http://schemas.openxmlformats.org/officeDocument/2006/relationships/hyperlink" Target="https://www.epi.org/publication/mass-incarceration-and-childrens-outcomes/" TargetMode="External"/><Relationship Id="rId101" Type="http://schemas.openxmlformats.org/officeDocument/2006/relationships/hyperlink" Target="https://www.huffpost.com/entry/federal-job-guarantee-explained_n_5b363f4ae4b007aa2f7f59fc" TargetMode="External"/><Relationship Id="rId102" Type="http://schemas.openxmlformats.org/officeDocument/2006/relationships/hyperlink" Target="https://www.ppic.org/publication/californias-prison-population/" TargetMode="External"/><Relationship Id="rId103" Type="http://schemas.openxmlformats.org/officeDocument/2006/relationships/hyperlink" Target="https://www.shrm.org/resourcesandtools/hr-topics/labor-relations/pages/tips-foe.aspx" TargetMode="External"/><Relationship Id="rId104" Type="http://schemas.openxmlformats.org/officeDocument/2006/relationships/hyperlink" Target="https://www.crmvet.org/docs/6701_freedombudget.pdf" TargetMode="External"/><Relationship Id="rId105" Type="http://schemas.openxmlformats.org/officeDocument/2006/relationships/hyperlink" Target="http://www.sandersinstitute.com/blog/beyond-trump-a-federal-jobs-guarantee" TargetMode="External"/><Relationship Id="rId106" Type="http://schemas.openxmlformats.org/officeDocument/2006/relationships/hyperlink" Target="https://www.nelp.org/publication/ban-box-fair-chance-workers-records/" TargetMode="External"/><Relationship Id="rId107" Type="http://schemas.openxmlformats.org/officeDocument/2006/relationships/hyperlink" Target="https://www.nytimes.com/2019/05/29/opinion/greyston-bakery-open-hiring.html" TargetMode="External"/><Relationship Id="rId108" Type="http://schemas.openxmlformats.org/officeDocument/2006/relationships/hyperlink" Target="https://ourworldindata.org/income-inequality" TargetMode="External"/><Relationship Id="rId109" Type="http://schemas.openxmlformats.org/officeDocument/2006/relationships/hyperlink" Target="https://eml.berkeley.edu/~saez/SaezCEP2017.pdf" TargetMode="External"/><Relationship Id="rId97" Type="http://schemas.openxmlformats.org/officeDocument/2006/relationships/hyperlink" Target="https://www.bls.gov/opub/mlr/2001/01/art1full.pdf" TargetMode="External"/><Relationship Id="rId98" Type="http://schemas.openxmlformats.org/officeDocument/2006/relationships/hyperlink" Target="https://s27147.pcdn.co/wp-content/uploads/Ban-the-Box-Fair-Chance-Fact-Sheet.pdf" TargetMode="External"/><Relationship Id="rId99" Type="http://schemas.openxmlformats.org/officeDocument/2006/relationships/hyperlink" Target="https://www.brookings.edu/research/the-shift-in-private-sector-union-participation-explanations-and-effects/" TargetMode="External"/><Relationship Id="rId43" Type="http://schemas.openxmlformats.org/officeDocument/2006/relationships/hyperlink" Target="https://employment.findlaw.com/wages-and-benefits/what-are-right-to-work-laws.html" TargetMode="External"/><Relationship Id="rId44" Type="http://schemas.openxmlformats.org/officeDocument/2006/relationships/hyperlink" Target="https://www.will-law.org/wp-content/uploads/2019/11/democracy-in-the-workplace-final.pdf" TargetMode="External"/><Relationship Id="rId45" Type="http://schemas.openxmlformats.org/officeDocument/2006/relationships/hyperlink" Target="https://doi.org/10.1007/BF02779059" TargetMode="External"/><Relationship Id="rId46" Type="http://schemas.openxmlformats.org/officeDocument/2006/relationships/hyperlink" Target="https://doi.org/10.1177%2F001979398003400101" TargetMode="External"/><Relationship Id="rId47" Type="http://schemas.openxmlformats.org/officeDocument/2006/relationships/hyperlink" Target="https://www.nber.org/papers/w13242" TargetMode="External"/><Relationship Id="rId48" Type="http://schemas.openxmlformats.org/officeDocument/2006/relationships/hyperlink" Target="https://papers.ssrn.com/sol3/papers.cfm?abstract_id=1722991" TargetMode="External"/><Relationship Id="rId49" Type="http://schemas.openxmlformats.org/officeDocument/2006/relationships/hyperlink" Target="https://doi.org/10.1016/S0140-6736(19)33019-3" TargetMode="External"/><Relationship Id="rId100" Type="http://schemas.openxmlformats.org/officeDocument/2006/relationships/hyperlink" Target="https://www.federalregister.gov/documents/2018/07/18/2018-14948/rescission-of-rule-interpreting-advice-exemption-in-section-203c-of-the-labor-management-reporting" TargetMode="Externa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hyperlink" Target="http://scua.library.umass.edu/ead/mums001" TargetMode="External"/><Relationship Id="rId70" Type="http://schemas.openxmlformats.org/officeDocument/2006/relationships/hyperlink" Target="https://scholar.lib.vt.edu/ejournals/JITE/v32n3/ed_notes.html" TargetMode="External"/><Relationship Id="rId71" Type="http://schemas.openxmlformats.org/officeDocument/2006/relationships/hyperlink" Target="https://digital.lib.washington.edu/researchworks/handle/1773/43803" TargetMode="External"/><Relationship Id="rId72" Type="http://schemas.openxmlformats.org/officeDocument/2006/relationships/hyperlink" Target="https://doi.org/10.1177/1065912915591218" TargetMode="External"/><Relationship Id="rId73" Type="http://schemas.openxmlformats.org/officeDocument/2006/relationships/hyperlink" Target="https://www.prisonpolicy.org/phones/pleasedeposit_execsum.html" TargetMode="External"/><Relationship Id="rId74" Type="http://schemas.openxmlformats.org/officeDocument/2006/relationships/hyperlink" Target="https://www.brennancenter.org/our-work/research-reports/citizens-united-explained" TargetMode="External"/><Relationship Id="rId75" Type="http://schemas.openxmlformats.org/officeDocument/2006/relationships/hyperlink" Target="https://www.law.cornell.edu/wex/secondary_boycott" TargetMode="External"/><Relationship Id="rId76" Type="http://schemas.openxmlformats.org/officeDocument/2006/relationships/hyperlink" Target="https://www.law.cornell.edu/wex/employment-at-will_doctrine" TargetMode="External"/><Relationship Id="rId77" Type="http://schemas.openxmlformats.org/officeDocument/2006/relationships/hyperlink" Target="https://papers.ssrn.com/sol3/papers.cfm?abstract_id=1676108" TargetMode="External"/><Relationship Id="rId78" Type="http://schemas.openxmlformats.org/officeDocument/2006/relationships/hyperlink" Target="https://www.dataforprogress.org/blog/2019/8/29/the-workplace-democracy-plan-explained-part-1" TargetMode="External"/><Relationship Id="rId79" Type="http://schemas.openxmlformats.org/officeDocument/2006/relationships/hyperlink" Target="https://www.dataforprogress.org/blog/2019/9/5/the-workplace-democracy-explained-part-2" TargetMode="External"/><Relationship Id="rId23" Type="http://schemas.openxmlformats.org/officeDocument/2006/relationships/hyperlink" Target="https://www.yalelawjournal.org/article/the-new-labor-law#_ftnref297" TargetMode="External"/><Relationship Id="rId24" Type="http://schemas.openxmlformats.org/officeDocument/2006/relationships/hyperlink" Target="http://www.msnbc.msn.com/id/23392251/print/1/displaymode/1098/" TargetMode="External"/><Relationship Id="rId25" Type="http://schemas.openxmlformats.org/officeDocument/2006/relationships/hyperlink" Target="https://www.researchgate.net/publication/225365312_A_Permanent_Jobs_Program_for_the_US_Economic_Restructuring_to_Meet_Human_Needs" TargetMode="External"/><Relationship Id="rId26" Type="http://schemas.openxmlformats.org/officeDocument/2006/relationships/hyperlink" Target="https://doi.org/10.1111/j.1468-2338.1993.tb00679.x" TargetMode="External"/><Relationship Id="rId27" Type="http://schemas.openxmlformats.org/officeDocument/2006/relationships/hyperlink" Target="https://www.epi.org/files/pdf/133275.pdf" TargetMode="External"/><Relationship Id="rId28" Type="http://schemas.openxmlformats.org/officeDocument/2006/relationships/hyperlink" Target="https://www.statista.com/chart/3958/gender-pay-gap-by-ethnicity/" TargetMode="External"/><Relationship Id="rId29" Type="http://schemas.openxmlformats.org/officeDocument/2006/relationships/hyperlink" Target="https://cepr.net/images/stories/reports/black-workers-unions-2016-08.pdf?v=2" TargetMode="External"/><Relationship Id="rId130" Type="http://schemas.openxmlformats.org/officeDocument/2006/relationships/hyperlink" Target="https://www.bls.gov/opub/reports/working-poor/2015/home.htm" TargetMode="External"/><Relationship Id="rId131" Type="http://schemas.openxmlformats.org/officeDocument/2006/relationships/hyperlink" Target="https://www.bls.gov/news.release/pdf/empsit.pdf" TargetMode="External"/><Relationship Id="rId132" Type="http://schemas.openxmlformats.org/officeDocument/2006/relationships/hyperlink" Target="https://www.bls.gov/opub/reports/race-and-ethnicity/2016/home.htm" TargetMode="External"/><Relationship Id="rId133" Type="http://schemas.openxmlformats.org/officeDocument/2006/relationships/hyperlink" Target="https://www.law.cornell.edu/constitution/amendmentxiv" TargetMode="External"/><Relationship Id="rId134" Type="http://schemas.openxmlformats.org/officeDocument/2006/relationships/hyperlink" Target="https://www.law.cornell.edu/constitution/amendmentxvi" TargetMode="External"/><Relationship Id="rId135" Type="http://schemas.openxmlformats.org/officeDocument/2006/relationships/hyperlink" Target="https://bonds4jobs.com/" TargetMode="External"/><Relationship Id="rId136" Type="http://schemas.openxmlformats.org/officeDocument/2006/relationships/hyperlink" Target="https://www.irs.gov/businesses/small-businesses-self-employed/work-opportunity-tax-credit" TargetMode="External"/><Relationship Id="rId137" Type="http://schemas.openxmlformats.org/officeDocument/2006/relationships/hyperlink" Target="https://www.unionproof.com/about/" TargetMode="External"/><Relationship Id="rId138" Type="http://schemas.openxmlformats.org/officeDocument/2006/relationships/hyperlink" Target="https://www.epi.org/blog/union-busters-are-more-prevalent-than-they-seem-and-may-soon-even-be-at-the-nlrb/" TargetMode="External"/><Relationship Id="rId139" Type="http://schemas.openxmlformats.org/officeDocument/2006/relationships/hyperlink" Target="https://ksr.hkspublications.org/2013/05/02/americas-new-gilded-age-a-review-of-chrystia-freelands-plutocrats-and-christopher-hayess-twilight-of-the-elite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50" Type="http://schemas.openxmlformats.org/officeDocument/2006/relationships/hyperlink" Target="https://www.theguardian.com/global/2018/aug/14/unions-brought-black-americans-into-the-middle-class-theyre-now-being-decimated" TargetMode="External"/><Relationship Id="rId51" Type="http://schemas.openxmlformats.org/officeDocument/2006/relationships/hyperlink" Target="https://doi.org/10.1080/13504630802343432" TargetMode="External"/><Relationship Id="rId52" Type="http://schemas.openxmlformats.org/officeDocument/2006/relationships/hyperlink" Target="https://www.vox.com/policy-and-politics/2019/8/21/20826661/bernie-sanders-union-plan-labor-worker-rights-2020" TargetMode="External"/><Relationship Id="rId53" Type="http://schemas.openxmlformats.org/officeDocument/2006/relationships/hyperlink" Target="https://www.epi.org/blog/union-decline-rising-inequality-charts/" TargetMode="External"/><Relationship Id="rId54" Type="http://schemas.openxmlformats.org/officeDocument/2006/relationships/hyperlink" Target="https://www.sentencingproject.org/publications/6148/" TargetMode="External"/><Relationship Id="rId55" Type="http://schemas.openxmlformats.org/officeDocument/2006/relationships/hyperlink" Target="https://www.dol.gov/general/aboutdol/history/flsa1938" TargetMode="External"/><Relationship Id="rId56" Type="http://schemas.openxmlformats.org/officeDocument/2006/relationships/hyperlink" Target="https://www.emerald.com/insight/content/doi/10.1108/S0742-6186(2009)0000016006/full/html" TargetMode="External"/><Relationship Id="rId57" Type="http://schemas.openxmlformats.org/officeDocument/2006/relationships/hyperlink" Target="https://www.shrm.org/resourcesandtools/hr-topics/behavioral-competencies/global-and-cultural-effectiveness/pages/research-employers-willing-to-overlook-criminal-record-to-hire-right-person.aspx" TargetMode="External"/><Relationship Id="rId58" Type="http://schemas.openxmlformats.org/officeDocument/2006/relationships/hyperlink" Target="https://www.ncbi.nlm.nih.gov/pmc/articles/PMC4880255/" TargetMode="External"/><Relationship Id="rId59" Type="http://schemas.openxmlformats.org/officeDocument/2006/relationships/hyperlink" Target="https://doi.org/10.1017/S1537592707070065" TargetMode="External"/><Relationship Id="rId110" Type="http://schemas.openxmlformats.org/officeDocument/2006/relationships/hyperlink" Target="http://gabriel-zucman.eu/files/SaezZucman2014.pdf" TargetMode="External"/><Relationship Id="rId111" Type="http://schemas.openxmlformats.org/officeDocument/2006/relationships/hyperlink" Target="https://berniesanders.com/issues/medicare-for-all/" TargetMode="External"/><Relationship Id="rId112" Type="http://schemas.openxmlformats.org/officeDocument/2006/relationships/hyperlink" Target="https://berniesanders.com/issues/jobs-for-all/" TargetMode="External"/><Relationship Id="rId113" Type="http://schemas.openxmlformats.org/officeDocument/2006/relationships/hyperlink" Target="https://berniesanders.com/issues/workplace-democracy/" TargetMode="External"/><Relationship Id="rId114" Type="http://schemas.openxmlformats.org/officeDocument/2006/relationships/hyperlink" Target="https://doi.org/10.1017/S1743923X07000086" TargetMode="External"/><Relationship Id="rId115" Type="http://schemas.openxmlformats.org/officeDocument/2006/relationships/hyperlink" Target="https://slackhq.com/diversity-at-slack-2019" TargetMode="External"/><Relationship Id="rId116" Type="http://schemas.openxmlformats.org/officeDocument/2006/relationships/hyperlink" Target="https://www.youtube.com/watch?v=buaZCXiwE5o" TargetMode="External"/><Relationship Id="rId117" Type="http://schemas.openxmlformats.org/officeDocument/2006/relationships/hyperlink" Target="https://slackhq.com/the-next-chapter-program-a-collaboration-for-impact" TargetMode="External"/><Relationship Id="rId118" Type="http://schemas.openxmlformats.org/officeDocument/2006/relationships/hyperlink" Target="https://www.shrm.org/resourcesandtools/legal-and-compliance/employment-law/pages/in-focus-persuader-rule-rescinded.aspx" TargetMode="External"/><Relationship Id="rId119" Type="http://schemas.openxmlformats.org/officeDocument/2006/relationships/hyperlink" Target="https://www.journals.uchicago.edu/doi/full/10.1086/588436" TargetMode="External"/><Relationship Id="rId30" Type="http://schemas.openxmlformats.org/officeDocument/2006/relationships/hyperlink" Target="https://www.youtube.com/watch?v=JpZij4inrIc" TargetMode="External"/><Relationship Id="rId31" Type="http://schemas.openxmlformats.org/officeDocument/2006/relationships/hyperlink" Target="http://www.criaw-icref.ca" TargetMode="External"/><Relationship Id="rId32" Type="http://schemas.openxmlformats.org/officeDocument/2006/relationships/hyperlink" Target="https://www.cdc.gov/violenceprevention/publichealthissue/social-ecologicalmodel.html?CDC_AA_refVal=https%3A%2F%2Fwww.cdc.gov%2Fviolenceprevention%2Foverview%2Fsocial-ecologicalmodel.html" TargetMode="External"/><Relationship Id="rId33" Type="http://schemas.openxmlformats.org/officeDocument/2006/relationships/hyperlink" Target="https://www.nber.org/papers/w24441" TargetMode="External"/><Relationship Id="rId34" Type="http://schemas.openxmlformats.org/officeDocument/2006/relationships/hyperlink" Target="https://www.jhsph.edu/departments/population-family-and-reproductive-health/child-adolescent-health-measurement-initiative/" TargetMode="External"/><Relationship Id="rId35" Type="http://schemas.openxmlformats.org/officeDocument/2006/relationships/hyperlink" Target="https://www.phila.gov/rise/employer/Pages/Initiative.aspx" TargetMode="External"/><Relationship Id="rId36" Type="http://schemas.openxmlformats.org/officeDocument/2006/relationships/hyperlink" Target="https://inequality.org/wp-content/uploads/2017/11/BILLIONAIRE-BONANZA-2017-Embargoed.pdf" TargetMode="External"/><Relationship Id="rId37" Type="http://schemas.openxmlformats.org/officeDocument/2006/relationships/hyperlink" Target="https://www.jstor.org/stable/1229039" TargetMode="External"/><Relationship Id="rId38" Type="http://schemas.openxmlformats.org/officeDocument/2006/relationships/hyperlink" Target="https://doi.org/10.1177/104973230201200211" TargetMode="External"/><Relationship Id="rId39" Type="http://schemas.openxmlformats.org/officeDocument/2006/relationships/hyperlink" Target="https://econfip.org/policy-brief/using-wage-boards-to-raise-pay/" TargetMode="External"/><Relationship Id="rId80" Type="http://schemas.openxmlformats.org/officeDocument/2006/relationships/hyperlink" Target="https://search.proquest.com/docview/237227726?pq-origsite=gscholar" TargetMode="External"/><Relationship Id="rId81" Type="http://schemas.openxmlformats.org/officeDocument/2006/relationships/hyperlink" Target="https://doi.org/10.1111/j.1467-8543.2006.00518.x" TargetMode="External"/><Relationship Id="rId82" Type="http://schemas.openxmlformats.org/officeDocument/2006/relationships/hyperlink" Target="https://www.jstor.org/stable/40928654" TargetMode="External"/><Relationship Id="rId83" Type="http://schemas.openxmlformats.org/officeDocument/2006/relationships/hyperlink" Target="https://www.americanprogress.org/issues/economy/reports/2018/04/09/448515/wage-boards-american-workers/" TargetMode="External"/><Relationship Id="rId84" Type="http://schemas.openxmlformats.org/officeDocument/2006/relationships/hyperlink" Target="https://www.americanprogressaction.org/issues/economy/news/2013/09/17/74363/latest-census-data-underscore-how-important-unions-are-for-the-middle-class/" TargetMode="External"/><Relationship Id="rId85" Type="http://schemas.openxmlformats.org/officeDocument/2006/relationships/hyperlink" Target="https://doi.org/10.1521/siso.69.1.56.56799" TargetMode="External"/><Relationship Id="rId86" Type="http://schemas.openxmlformats.org/officeDocument/2006/relationships/hyperlink" Target="https://doi.org/10.1177%2F0959680103009002003" TargetMode="External"/><Relationship Id="rId87" Type="http://schemas.openxmlformats.org/officeDocument/2006/relationships/hyperlink" Target="https://www.ncbi.nlm.nih.gov/pubmed/24120189" TargetMode="External"/><Relationship Id="rId88" Type="http://schemas.openxmlformats.org/officeDocument/2006/relationships/hyperlink" Target="https://www.wsj.com/articles/the-champions-of-the-401-k-lament-the-revolution-they-started-1483382348" TargetMode="External"/><Relationship Id="rId89" Type="http://schemas.openxmlformats.org/officeDocument/2006/relationships/hyperlink" Target="https://kinginstitute.stanford.edu/encyclopedia/march-washington-jobs-and-freedom" TargetMode="External"/><Relationship Id="rId140" Type="http://schemas.openxmlformats.org/officeDocument/2006/relationships/hyperlink" Target="https://www.prisonpolicy.org/global/2016.html" TargetMode="External"/><Relationship Id="rId141" Type="http://schemas.openxmlformats.org/officeDocument/2006/relationships/hyperlink" Target="https://journals.sagepub.com/doi/pdf/10.1177/001979399705000301" TargetMode="External"/><Relationship Id="rId142" Type="http://schemas.openxmlformats.org/officeDocument/2006/relationships/hyperlink" Target="https://doi.org/10.1108/PR-01-2016-0004" TargetMode="External"/><Relationship Id="rId143" Type="http://schemas.openxmlformats.org/officeDocument/2006/relationships/hyperlink" Target="https://wir2018.wid.world/files/download/wir-presentation.pdf" TargetMode="External"/><Relationship Id="rId144" Type="http://schemas.openxmlformats.org/officeDocument/2006/relationships/hyperlink" Target="http://www.levyinstitute.org/publications/public-service-employment-a-path-to-full-employment" TargetMode="External"/><Relationship Id="rId145" Type="http://schemas.openxmlformats.org/officeDocument/2006/relationships/hyperlink" Target="http://www.levyinstitute.org/pubs/pn_2018_3.pdf" TargetMode="External"/><Relationship Id="rId146" Type="http://schemas.openxmlformats.org/officeDocument/2006/relationships/header" Target="header1.xml"/><Relationship Id="rId147" Type="http://schemas.openxmlformats.org/officeDocument/2006/relationships/header" Target="header2.xml"/><Relationship Id="rId148" Type="http://schemas.openxmlformats.org/officeDocument/2006/relationships/fontTable" Target="fontTable.xml"/><Relationship Id="rId14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LYaXtOLS61ZpWf8OZ3o986+msA==">AMUW2mUrTEDsGuRrpIvl8fDI8cBt76z+9ObLxjBdt9l0d2JP6OhgE2BWMfHxIlyUrFQiX5hiv/aZV82SAAH5Os1elYLw8ktIajs1scO0wlq1rTu1Acqf0GHaQQLUcYz2yjjiu8sf4/M4</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ABF642C-DD60-9A4C-8EF4-9FD773144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94</Pages>
  <Words>25532</Words>
  <Characters>145534</Characters>
  <Application>Microsoft Macintosh Word</Application>
  <DocSecurity>0</DocSecurity>
  <Lines>1212</Lines>
  <Paragraphs>341</Paragraphs>
  <ScaleCrop>false</ScaleCrop>
  <Company/>
  <LinksUpToDate>false</LinksUpToDate>
  <CharactersWithSpaces>170725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J</cp:lastModifiedBy>
  <cp:revision>13</cp:revision>
  <dcterms:created xsi:type="dcterms:W3CDTF">2020-03-26T01:08:00Z</dcterms:created>
  <dcterms:modified xsi:type="dcterms:W3CDTF">2020-03-26T01:54:00Z</dcterms:modified>
</cp:coreProperties>
</file>