
<file path=[Content_Types].xml><?xml version="1.0" encoding="utf-8"?>
<Types xmlns="http://schemas.openxmlformats.org/package/2006/content-types">
  <Default Extension="xml" ContentType="application/xml"/>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rPr>
          <w:rFonts w:cs="Times New Roman"/>
          <w:b/>
          <w:bCs/>
          <w:sz w:val="28"/>
          <w:szCs w:val="28"/>
        </w:rPr>
      </w:pPr>
    </w:p>
    <w:p>
      <w:pPr>
        <w:jc w:val="center"/>
        <w:rPr>
          <w:rFonts w:cs="Times New Roman"/>
          <w:b/>
          <w:bCs/>
          <w:sz w:val="28"/>
          <w:szCs w:val="28"/>
        </w:rPr>
      </w:pPr>
      <w:r>
        <w:rPr>
          <w:rFonts w:cs="Times New Roman"/>
          <w:sz w:val="22"/>
          <w:szCs w:val="22"/>
        </w:rPr>
        <w:drawing>
          <wp:inline distT="0" distB="0" distL="0" distR="0">
            <wp:extent cx="2469515" cy="1029335"/>
            <wp:effectExtent l="0" t="0" r="0" b="0"/>
            <wp:docPr id="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2"/>
                    <pic:cNvPicPr>
                      <a:picLocks noChangeAspect="1" noChangeArrowheads="1"/>
                    </pic:cNvPicPr>
                  </pic:nvPicPr>
                  <pic:blipFill>
                    <a:blip r:embed="rId8">
                      <a:extLst>
                        <a:ext uri="{28A0092B-C50C-407E-A947-70E740481C1C}">
                          <a14:useLocalDpi xmlns:a14="http://schemas.microsoft.com/office/drawing/2010/main" val="0"/>
                        </a:ext>
                      </a:extLst>
                    </a:blip>
                    <a:srcRect l="7813" t="25781" b="16580"/>
                    <a:stretch>
                      <a:fillRect/>
                    </a:stretch>
                  </pic:blipFill>
                  <pic:spPr>
                    <a:xfrm>
                      <a:off x="0" y="0"/>
                      <a:ext cx="2469600" cy="1029600"/>
                    </a:xfrm>
                    <a:prstGeom prst="rect">
                      <a:avLst/>
                    </a:prstGeom>
                    <a:noFill/>
                    <a:ln>
                      <a:noFill/>
                    </a:ln>
                  </pic:spPr>
                </pic:pic>
              </a:graphicData>
            </a:graphic>
          </wp:inline>
        </w:drawing>
      </w:r>
    </w:p>
    <w:p>
      <w:pPr>
        <w:jc w:val="center"/>
        <w:rPr>
          <w:rFonts w:cs="Times New Roman"/>
          <w:b/>
          <w:bCs/>
          <w:sz w:val="28"/>
          <w:szCs w:val="28"/>
        </w:rPr>
      </w:pPr>
    </w:p>
    <w:p>
      <w:pPr>
        <w:spacing w:line="240" w:lineRule="auto"/>
        <w:jc w:val="center"/>
        <w:rPr>
          <w:rFonts w:cs="Times New Roman"/>
          <w:b/>
          <w:bCs/>
          <w:sz w:val="36"/>
          <w:szCs w:val="36"/>
        </w:rPr>
      </w:pPr>
      <w:r>
        <w:rPr>
          <w:rFonts w:cs="Times New Roman"/>
          <w:b/>
          <w:bCs/>
          <w:sz w:val="40"/>
          <w:szCs w:val="40"/>
        </w:rPr>
        <w:t>MBA</w:t>
      </w:r>
    </w:p>
    <w:p>
      <w:pPr>
        <w:spacing w:line="240" w:lineRule="auto"/>
        <w:jc w:val="both"/>
        <w:rPr>
          <w:rFonts w:cs="Times New Roman"/>
          <w:b/>
          <w:bCs/>
          <w:sz w:val="36"/>
          <w:szCs w:val="36"/>
        </w:rPr>
      </w:pPr>
    </w:p>
    <w:p>
      <w:pPr>
        <w:spacing w:line="240" w:lineRule="auto"/>
        <w:jc w:val="center"/>
        <w:rPr>
          <w:rFonts w:cs="Times New Roman"/>
          <w:b/>
          <w:bCs/>
          <w:sz w:val="36"/>
          <w:szCs w:val="36"/>
        </w:rPr>
      </w:pPr>
      <w:r>
        <w:rPr>
          <w:rFonts w:cs="Times New Roman"/>
          <w:b/>
          <w:bCs/>
          <w:sz w:val="36"/>
          <w:szCs w:val="36"/>
        </w:rPr>
        <w:t>BMMB7012</w:t>
      </w:r>
    </w:p>
    <w:p>
      <w:pPr>
        <w:spacing w:line="240" w:lineRule="auto"/>
        <w:jc w:val="center"/>
        <w:rPr>
          <w:rFonts w:cs="Times New Roman"/>
          <w:b/>
          <w:bCs/>
          <w:sz w:val="36"/>
          <w:szCs w:val="36"/>
        </w:rPr>
      </w:pPr>
      <w:r>
        <w:rPr>
          <w:rFonts w:cs="Times New Roman"/>
          <w:b/>
          <w:bCs/>
          <w:sz w:val="36"/>
          <w:szCs w:val="36"/>
        </w:rPr>
        <w:t>MARKETING MANAGEMENT</w:t>
      </w:r>
    </w:p>
    <w:p>
      <w:pPr>
        <w:spacing w:line="240" w:lineRule="auto"/>
        <w:jc w:val="center"/>
        <w:rPr>
          <w:rFonts w:cs="Times New Roman"/>
          <w:b/>
          <w:bCs/>
          <w:sz w:val="36"/>
          <w:szCs w:val="36"/>
        </w:rPr>
      </w:pPr>
      <w:r>
        <w:rPr>
          <w:rFonts w:cs="Times New Roman"/>
          <w:b/>
          <w:bCs/>
          <w:sz w:val="36"/>
          <w:szCs w:val="36"/>
        </w:rPr>
        <w:t>Lecturer:Gwyneth Jones</w:t>
      </w:r>
    </w:p>
    <w:p>
      <w:pPr>
        <w:snapToGrid w:val="0"/>
        <w:spacing w:after="156" w:afterLines="50" w:line="360" w:lineRule="auto"/>
        <w:jc w:val="center"/>
        <w:rPr>
          <w:rFonts w:cs="Times New Roman"/>
          <w:b/>
          <w:bCs/>
          <w:sz w:val="40"/>
          <w:szCs w:val="40"/>
        </w:rPr>
      </w:pPr>
    </w:p>
    <w:p>
      <w:pPr>
        <w:snapToGrid w:val="0"/>
        <w:spacing w:after="156" w:afterLines="50" w:line="360" w:lineRule="auto"/>
        <w:jc w:val="center"/>
        <w:rPr>
          <w:rFonts w:cs="Times New Roman"/>
          <w:b/>
          <w:bCs/>
          <w:sz w:val="40"/>
          <w:szCs w:val="40"/>
        </w:rPr>
      </w:pPr>
      <w:r>
        <w:rPr>
          <w:rFonts w:cs="Times New Roman"/>
          <w:b/>
          <w:bCs/>
          <w:sz w:val="40"/>
          <w:szCs w:val="40"/>
        </w:rPr>
        <w:t>Future Development of Ford Company's Marketing Field in the Context of New Energy</w:t>
      </w:r>
    </w:p>
    <w:p>
      <w:pPr>
        <w:snapToGrid w:val="0"/>
        <w:spacing w:after="156" w:afterLines="50" w:line="360" w:lineRule="auto"/>
        <w:jc w:val="center"/>
        <w:rPr>
          <w:rFonts w:cs="Times New Roman"/>
          <w:b/>
          <w:bCs/>
          <w:sz w:val="36"/>
          <w:szCs w:val="36"/>
        </w:rPr>
      </w:pPr>
    </w:p>
    <w:p>
      <w:pPr>
        <w:snapToGrid w:val="0"/>
        <w:spacing w:after="156" w:afterLines="50" w:line="360" w:lineRule="auto"/>
        <w:jc w:val="center"/>
        <w:rPr>
          <w:rFonts w:cs="Times New Roman"/>
          <w:b/>
          <w:bCs/>
          <w:sz w:val="36"/>
          <w:szCs w:val="36"/>
        </w:rPr>
      </w:pPr>
      <w:r>
        <w:rPr>
          <w:rFonts w:cs="Times New Roman"/>
          <w:b/>
          <w:bCs/>
          <w:sz w:val="36"/>
          <w:szCs w:val="36"/>
        </w:rPr>
        <w:t>Ziyang Guo</w:t>
      </w:r>
      <w:r>
        <w:rPr>
          <w:rFonts w:hint="eastAsia" w:cs="Times New Roman"/>
          <w:b/>
          <w:bCs/>
          <w:sz w:val="36"/>
          <w:szCs w:val="36"/>
          <w:lang w:val="en-US" w:eastAsia="zh-CN"/>
        </w:rPr>
        <w:t xml:space="preserve"> 2233445</w:t>
      </w:r>
    </w:p>
    <w:p>
      <w:pPr>
        <w:widowControl/>
        <w:spacing w:line="240" w:lineRule="auto"/>
        <w:jc w:val="left"/>
        <w:rPr>
          <w:rFonts w:hint="eastAsia" w:eastAsia="宋体" w:cs="Times New Roman"/>
          <w:b/>
          <w:bCs/>
          <w:sz w:val="36"/>
          <w:szCs w:val="36"/>
          <w:lang w:val="en-US" w:eastAsia="zh-CN"/>
        </w:rPr>
      </w:pPr>
    </w:p>
    <w:p>
      <w:pPr>
        <w:widowControl/>
        <w:spacing w:line="240" w:lineRule="auto"/>
        <w:jc w:val="center"/>
        <w:rPr>
          <w:rFonts w:hint="eastAsia" w:eastAsia="宋体" w:cs="Times New Roman"/>
          <w:b/>
          <w:bCs/>
          <w:sz w:val="36"/>
          <w:szCs w:val="36"/>
          <w:lang w:val="en-US" w:eastAsia="zh-CN"/>
        </w:rPr>
      </w:pPr>
      <w:r>
        <w:rPr>
          <w:rFonts w:hint="eastAsia" w:eastAsia="宋体" w:cs="Times New Roman"/>
          <w:b/>
          <w:bCs/>
          <w:sz w:val="36"/>
          <w:szCs w:val="36"/>
          <w:lang w:val="en-US" w:eastAsia="zh-CN"/>
        </w:rPr>
        <w:t>Submission date: 17/7/2023</w:t>
      </w:r>
    </w:p>
    <w:p>
      <w:pPr>
        <w:widowControl/>
        <w:spacing w:line="240" w:lineRule="auto"/>
        <w:jc w:val="left"/>
        <w:rPr>
          <w:rFonts w:hint="default" w:eastAsia="宋体" w:cs="Times New Roman"/>
          <w:b/>
          <w:bCs/>
          <w:sz w:val="28"/>
          <w:szCs w:val="28"/>
          <w:lang w:val="en-US" w:eastAsia="zh-CN"/>
        </w:rPr>
      </w:pPr>
    </w:p>
    <w:p>
      <w:pPr>
        <w:rPr>
          <w:rFonts w:eastAsia="宋体" w:cs="Times New Roman"/>
          <w:b/>
          <w:bCs/>
          <w:sz w:val="28"/>
          <w:szCs w:val="28"/>
        </w:rPr>
      </w:pPr>
    </w:p>
    <w:p>
      <w:pPr>
        <w:rPr>
          <w:rFonts w:eastAsia="宋体" w:cs="Times New Roman"/>
          <w:b/>
          <w:bCs/>
          <w:sz w:val="28"/>
          <w:szCs w:val="28"/>
        </w:rPr>
      </w:pPr>
    </w:p>
    <w:p>
      <w:pPr>
        <w:rPr>
          <w:rFonts w:eastAsia="宋体" w:cs="Times New Roman"/>
          <w:b/>
          <w:bCs/>
          <w:sz w:val="28"/>
          <w:szCs w:val="28"/>
        </w:rPr>
      </w:pPr>
    </w:p>
    <w:p>
      <w:pPr>
        <w:rPr>
          <w:rFonts w:eastAsia="宋体" w:cs="Times New Roman"/>
          <w:b/>
          <w:bCs/>
          <w:sz w:val="28"/>
          <w:szCs w:val="28"/>
        </w:rPr>
      </w:pPr>
      <w:r>
        <w:rPr>
          <w:rFonts w:eastAsia="宋体" w:cs="Times New Roman"/>
          <w:b/>
          <w:bCs/>
          <w:sz w:val="28"/>
          <w:szCs w:val="28"/>
        </w:rPr>
        <w:t>Table of Contents</w:t>
      </w:r>
    </w:p>
    <w:p>
      <w:pPr>
        <w:pStyle w:val="6"/>
        <w:tabs>
          <w:tab w:val="right" w:leader="dot" w:pos="8296"/>
        </w:tabs>
      </w:pPr>
      <w:r>
        <w:rPr>
          <w:rFonts w:eastAsia="宋体" w:cs="Times New Roman"/>
        </w:rPr>
        <w:fldChar w:fldCharType="begin"/>
      </w:r>
      <w:r>
        <w:rPr>
          <w:rFonts w:eastAsia="宋体" w:cs="Times New Roman"/>
        </w:rPr>
        <w:instrText xml:space="preserve"> TOC \o "1-3" \h \z \u </w:instrText>
      </w:r>
      <w:r>
        <w:rPr>
          <w:rFonts w:eastAsia="宋体" w:cs="Times New Roman"/>
        </w:rPr>
        <w:fldChar w:fldCharType="separate"/>
      </w:r>
      <w:r>
        <w:fldChar w:fldCharType="begin"/>
      </w:r>
      <w:r>
        <w:instrText xml:space="preserve"> HYPERLINK \l "_Toc140347318" </w:instrText>
      </w:r>
      <w:r>
        <w:fldChar w:fldCharType="separate"/>
      </w:r>
      <w:r>
        <w:rPr>
          <w:rStyle w:val="12"/>
        </w:rPr>
        <w:t>Executive Summary</w:t>
      </w:r>
      <w:r>
        <w:tab/>
      </w:r>
      <w:r>
        <w:fldChar w:fldCharType="begin"/>
      </w:r>
      <w:r>
        <w:instrText xml:space="preserve"> PAGEREF _Toc140347318 \h </w:instrText>
      </w:r>
      <w:r>
        <w:fldChar w:fldCharType="separate"/>
      </w:r>
      <w:r>
        <w:t>3</w:t>
      </w:r>
      <w:r>
        <w:fldChar w:fldCharType="end"/>
      </w:r>
      <w:r>
        <w:fldChar w:fldCharType="end"/>
      </w:r>
    </w:p>
    <w:p>
      <w:pPr>
        <w:pStyle w:val="6"/>
        <w:tabs>
          <w:tab w:val="left" w:pos="300"/>
          <w:tab w:val="right" w:leader="dot" w:pos="8296"/>
        </w:tabs>
      </w:pPr>
      <w:r>
        <w:fldChar w:fldCharType="begin"/>
      </w:r>
      <w:r>
        <w:instrText xml:space="preserve"> HYPERLINK \l "_Toc140347319" </w:instrText>
      </w:r>
      <w:r>
        <w:fldChar w:fldCharType="separate"/>
      </w:r>
      <w:r>
        <w:rPr>
          <w:rStyle w:val="12"/>
        </w:rPr>
        <w:t>1.</w:t>
      </w:r>
      <w:r>
        <w:tab/>
      </w:r>
      <w:r>
        <w:rPr>
          <w:rStyle w:val="12"/>
        </w:rPr>
        <w:t>Introduction</w:t>
      </w:r>
      <w:r>
        <w:tab/>
      </w:r>
      <w:r>
        <w:fldChar w:fldCharType="begin"/>
      </w:r>
      <w:r>
        <w:instrText xml:space="preserve"> PAGEREF _Toc140347319 \h </w:instrText>
      </w:r>
      <w:r>
        <w:fldChar w:fldCharType="separate"/>
      </w:r>
      <w:r>
        <w:t>3</w:t>
      </w:r>
      <w:r>
        <w:fldChar w:fldCharType="end"/>
      </w:r>
      <w:r>
        <w:fldChar w:fldCharType="end"/>
      </w:r>
    </w:p>
    <w:p>
      <w:pPr>
        <w:pStyle w:val="6"/>
        <w:tabs>
          <w:tab w:val="right" w:leader="dot" w:pos="8296"/>
        </w:tabs>
      </w:pPr>
      <w:r>
        <w:fldChar w:fldCharType="begin"/>
      </w:r>
      <w:r>
        <w:instrText xml:space="preserve"> HYPERLINK \l "_Toc140347320" </w:instrText>
      </w:r>
      <w:r>
        <w:fldChar w:fldCharType="separate"/>
      </w:r>
      <w:r>
        <w:rPr>
          <w:rStyle w:val="12"/>
        </w:rPr>
        <w:t>2. Main Findings</w:t>
      </w:r>
      <w:r>
        <w:tab/>
      </w:r>
      <w:r>
        <w:fldChar w:fldCharType="begin"/>
      </w:r>
      <w:r>
        <w:instrText xml:space="preserve"> PAGEREF _Toc140347320 \h </w:instrText>
      </w:r>
      <w:r>
        <w:fldChar w:fldCharType="separate"/>
      </w:r>
      <w:r>
        <w:t>4</w:t>
      </w:r>
      <w:r>
        <w:fldChar w:fldCharType="end"/>
      </w:r>
      <w:r>
        <w:fldChar w:fldCharType="end"/>
      </w:r>
    </w:p>
    <w:p>
      <w:pPr>
        <w:pStyle w:val="7"/>
        <w:tabs>
          <w:tab w:val="right" w:leader="dot" w:pos="8296"/>
        </w:tabs>
        <w:ind w:left="480"/>
      </w:pPr>
      <w:r>
        <w:fldChar w:fldCharType="begin"/>
      </w:r>
      <w:r>
        <w:instrText xml:space="preserve"> HYPERLINK \l "_Toc140347321" </w:instrText>
      </w:r>
      <w:r>
        <w:fldChar w:fldCharType="separate"/>
      </w:r>
      <w:r>
        <w:rPr>
          <w:rStyle w:val="12"/>
        </w:rPr>
        <w:t>2.1 Marketing Background Analysis</w:t>
      </w:r>
      <w:r>
        <w:tab/>
      </w:r>
      <w:r>
        <w:fldChar w:fldCharType="begin"/>
      </w:r>
      <w:r>
        <w:instrText xml:space="preserve"> PAGEREF _Toc140347321 \h </w:instrText>
      </w:r>
      <w:r>
        <w:fldChar w:fldCharType="separate"/>
      </w:r>
      <w:r>
        <w:t>4</w:t>
      </w:r>
      <w:r>
        <w:fldChar w:fldCharType="end"/>
      </w:r>
      <w:r>
        <w:fldChar w:fldCharType="end"/>
      </w:r>
    </w:p>
    <w:p>
      <w:pPr>
        <w:pStyle w:val="7"/>
        <w:tabs>
          <w:tab w:val="right" w:leader="dot" w:pos="8296"/>
        </w:tabs>
        <w:ind w:left="480"/>
      </w:pPr>
      <w:r>
        <w:fldChar w:fldCharType="begin"/>
      </w:r>
      <w:r>
        <w:instrText xml:space="preserve"> HYPERLINK \l "_Toc140347322" </w:instrText>
      </w:r>
      <w:r>
        <w:fldChar w:fldCharType="separate"/>
      </w:r>
      <w:r>
        <w:rPr>
          <w:rStyle w:val="12"/>
        </w:rPr>
        <w:t>2.2 Marketing Activity Analysis</w:t>
      </w:r>
      <w:r>
        <w:tab/>
      </w:r>
      <w:r>
        <w:fldChar w:fldCharType="begin"/>
      </w:r>
      <w:r>
        <w:instrText xml:space="preserve"> PAGEREF _Toc140347322 \h </w:instrText>
      </w:r>
      <w:r>
        <w:fldChar w:fldCharType="separate"/>
      </w:r>
      <w:r>
        <w:t>9</w:t>
      </w:r>
      <w:r>
        <w:fldChar w:fldCharType="end"/>
      </w:r>
      <w:r>
        <w:fldChar w:fldCharType="end"/>
      </w:r>
    </w:p>
    <w:p>
      <w:pPr>
        <w:pStyle w:val="7"/>
        <w:tabs>
          <w:tab w:val="right" w:leader="dot" w:pos="8296"/>
        </w:tabs>
        <w:ind w:left="480"/>
      </w:pPr>
      <w:r>
        <w:fldChar w:fldCharType="begin"/>
      </w:r>
      <w:r>
        <w:instrText xml:space="preserve"> HYPERLINK \l "_Toc140347323" </w:instrText>
      </w:r>
      <w:r>
        <w:fldChar w:fldCharType="separate"/>
      </w:r>
      <w:r>
        <w:rPr>
          <w:rStyle w:val="12"/>
        </w:rPr>
        <w:t>2.3 Marketing Strategy Evaluation</w:t>
      </w:r>
      <w:r>
        <w:tab/>
      </w:r>
      <w:r>
        <w:fldChar w:fldCharType="begin"/>
      </w:r>
      <w:r>
        <w:instrText xml:space="preserve"> PAGEREF _Toc140347323 \h </w:instrText>
      </w:r>
      <w:r>
        <w:fldChar w:fldCharType="separate"/>
      </w:r>
      <w:r>
        <w:t>11</w:t>
      </w:r>
      <w:r>
        <w:fldChar w:fldCharType="end"/>
      </w:r>
      <w:r>
        <w:fldChar w:fldCharType="end"/>
      </w:r>
    </w:p>
    <w:p>
      <w:pPr>
        <w:pStyle w:val="6"/>
        <w:tabs>
          <w:tab w:val="left" w:pos="300"/>
          <w:tab w:val="right" w:leader="dot" w:pos="8296"/>
        </w:tabs>
      </w:pPr>
      <w:r>
        <w:fldChar w:fldCharType="begin"/>
      </w:r>
      <w:r>
        <w:instrText xml:space="preserve"> HYPERLINK \l "_Toc140347324" </w:instrText>
      </w:r>
      <w:r>
        <w:fldChar w:fldCharType="separate"/>
      </w:r>
      <w:r>
        <w:rPr>
          <w:rStyle w:val="12"/>
        </w:rPr>
        <w:t>3.</w:t>
      </w:r>
      <w:r>
        <w:tab/>
      </w:r>
      <w:r>
        <w:rPr>
          <w:rStyle w:val="12"/>
        </w:rPr>
        <w:t>Conclusion</w:t>
      </w:r>
      <w:r>
        <w:tab/>
      </w:r>
      <w:r>
        <w:fldChar w:fldCharType="begin"/>
      </w:r>
      <w:r>
        <w:instrText xml:space="preserve"> PAGEREF _Toc140347324 \h </w:instrText>
      </w:r>
      <w:r>
        <w:fldChar w:fldCharType="separate"/>
      </w:r>
      <w:r>
        <w:t>12</w:t>
      </w:r>
      <w:r>
        <w:fldChar w:fldCharType="end"/>
      </w:r>
      <w:r>
        <w:fldChar w:fldCharType="end"/>
      </w:r>
    </w:p>
    <w:p>
      <w:pPr>
        <w:pStyle w:val="6"/>
        <w:tabs>
          <w:tab w:val="left" w:pos="300"/>
          <w:tab w:val="right" w:leader="dot" w:pos="8296"/>
        </w:tabs>
      </w:pPr>
      <w:r>
        <w:fldChar w:fldCharType="begin"/>
      </w:r>
      <w:r>
        <w:instrText xml:space="preserve"> HYPERLINK \l "_Toc140347325" </w:instrText>
      </w:r>
      <w:r>
        <w:fldChar w:fldCharType="separate"/>
      </w:r>
      <w:r>
        <w:rPr>
          <w:rStyle w:val="12"/>
        </w:rPr>
        <w:t>4.</w:t>
      </w:r>
      <w:r>
        <w:tab/>
      </w:r>
      <w:r>
        <w:rPr>
          <w:rStyle w:val="12"/>
        </w:rPr>
        <w:t>Recommendations</w:t>
      </w:r>
      <w:r>
        <w:tab/>
      </w:r>
      <w:r>
        <w:fldChar w:fldCharType="begin"/>
      </w:r>
      <w:r>
        <w:instrText xml:space="preserve"> PAGEREF _Toc140347325 \h </w:instrText>
      </w:r>
      <w:r>
        <w:fldChar w:fldCharType="separate"/>
      </w:r>
      <w:r>
        <w:t>12</w:t>
      </w:r>
      <w:r>
        <w:fldChar w:fldCharType="end"/>
      </w:r>
      <w:r>
        <w:fldChar w:fldCharType="end"/>
      </w:r>
    </w:p>
    <w:p>
      <w:pPr>
        <w:pStyle w:val="6"/>
        <w:tabs>
          <w:tab w:val="right" w:leader="dot" w:pos="8296"/>
        </w:tabs>
      </w:pPr>
      <w:r>
        <w:fldChar w:fldCharType="begin"/>
      </w:r>
      <w:r>
        <w:instrText xml:space="preserve"> HYPERLINK \l "_Toc140347326" </w:instrText>
      </w:r>
      <w:r>
        <w:fldChar w:fldCharType="separate"/>
      </w:r>
      <w:r>
        <w:rPr>
          <w:rStyle w:val="12"/>
        </w:rPr>
        <w:t>References</w:t>
      </w:r>
      <w:r>
        <w:tab/>
      </w:r>
      <w:r>
        <w:fldChar w:fldCharType="begin"/>
      </w:r>
      <w:r>
        <w:instrText xml:space="preserve"> PAGEREF _Toc140347326 \h </w:instrText>
      </w:r>
      <w:r>
        <w:fldChar w:fldCharType="separate"/>
      </w:r>
      <w:r>
        <w:t>16</w:t>
      </w:r>
      <w:r>
        <w:fldChar w:fldCharType="end"/>
      </w:r>
      <w:r>
        <w:fldChar w:fldCharType="end"/>
      </w:r>
    </w:p>
    <w:p>
      <w:pPr>
        <w:rPr>
          <w:rFonts w:eastAsia="宋体" w:cs="Times New Roman"/>
        </w:rPr>
      </w:pPr>
      <w:r>
        <w:rPr>
          <w:rFonts w:eastAsia="宋体" w:cs="Times New Roman"/>
        </w:rPr>
        <w:fldChar w:fldCharType="end"/>
      </w:r>
    </w:p>
    <w:p>
      <w:pPr>
        <w:widowControl/>
        <w:spacing w:line="240" w:lineRule="auto"/>
        <w:jc w:val="left"/>
        <w:rPr>
          <w:rFonts w:eastAsia="Arial" w:cs="Arial"/>
          <w:b/>
          <w:bCs/>
          <w:kern w:val="44"/>
          <w:sz w:val="28"/>
        </w:rPr>
      </w:pPr>
      <w:bookmarkStart w:id="0" w:name="_Toc140347318"/>
      <w:r>
        <w:br w:type="page"/>
      </w:r>
    </w:p>
    <w:p>
      <w:pPr>
        <w:pStyle w:val="2"/>
      </w:pPr>
      <w:r>
        <w:t>Executive Summary</w:t>
      </w:r>
      <w:bookmarkEnd w:id="0"/>
    </w:p>
    <w:p>
      <w:pPr>
        <w:rPr>
          <w:rFonts w:eastAsia="宋体" w:cs="Times New Roman"/>
        </w:rPr>
      </w:pPr>
      <w:r>
        <w:rPr>
          <w:rFonts w:eastAsia="宋体" w:cs="Times New Roman"/>
        </w:rPr>
        <w:t>Against the backdrop of new energy vehicles leading the green and low-carbon development of the automotive industry, Ford Motor Company, as a world-renowned automaker, is leading the opportunities and challenges brought by the development of new energy.</w:t>
      </w:r>
    </w:p>
    <w:p>
      <w:pPr>
        <w:rPr>
          <w:rFonts w:eastAsia="宋体" w:cs="Times New Roman"/>
        </w:rPr>
      </w:pPr>
      <w:r>
        <w:rPr>
          <w:rFonts w:eastAsia="宋体" w:cs="Times New Roman"/>
        </w:rPr>
        <w:t>This article analyzes the current marketing environment faced by Ford Motor through the use of PEST, SWOT, and Porter's Five Forces model in the automotive industry, and concludes that new energy is the future trend that requires the promotion of innovative applications of new energy technology and the introduction of more high-performance, high range electric vehicles. Then, through the marketing activities and sales data adopted by Ford, it is concluded that there is a huge gap between Ford and Tesla in the field of new energy vehicles. Combined with the conclusion of the analysis model, it puts forward suggestions for Ford's next Marketing strategy, that is, deepening cooperation, improving battery technology, giving full play to its own advantages and resources, and improving the new energy vehicle industry chain.</w:t>
      </w:r>
    </w:p>
    <w:p>
      <w:pPr>
        <w:rPr>
          <w:rFonts w:eastAsia="宋体" w:cs="Times New Roman"/>
        </w:rPr>
      </w:pPr>
      <w:bookmarkStart w:id="9" w:name="_GoBack"/>
      <w:bookmarkEnd w:id="9"/>
    </w:p>
    <w:p>
      <w:pPr>
        <w:pStyle w:val="2"/>
        <w:numPr>
          <w:ilvl w:val="0"/>
          <w:numId w:val="1"/>
        </w:numPr>
      </w:pPr>
      <w:bookmarkStart w:id="1" w:name="_Toc140347319"/>
      <w:r>
        <w:t>Introduction</w:t>
      </w:r>
      <w:bookmarkEnd w:id="1"/>
    </w:p>
    <w:p>
      <w:pPr>
        <w:rPr>
          <w:rFonts w:eastAsia="宋体" w:cs="Times New Roman"/>
        </w:rPr>
      </w:pPr>
      <w:r>
        <w:rPr>
          <w:rFonts w:eastAsia="宋体" w:cs="Times New Roman"/>
        </w:rPr>
        <w:t>Founded by Henry Ford and registered in 1903, Ford Motor Company, headquartered in Dearborn, Michigan, USA, mainly sells Ford brand cars and commercial vehicles, as well as Lincoln brand Luxury car. It is one of the largest family car companies in the world (Wikipedia, 2023).</w:t>
      </w:r>
    </w:p>
    <w:p>
      <w:pPr>
        <w:rPr>
          <w:rFonts w:eastAsia="宋体" w:cs="Times New Roman"/>
        </w:rPr>
      </w:pPr>
      <w:r>
        <w:rPr>
          <w:rFonts w:eastAsia="宋体" w:cs="Times New Roman"/>
        </w:rPr>
        <w:t>Against the backdrop of global advocacy for green and low-carbon development in the transportation industry, Ford, as a globally renowned automaker, faces the challenges and opportunities brought by the new energy era. In order to adapt to the development trends of the times and industries, Ford needs to adopt a series of marketing strategies to maintain its competitiveness (Udell, M.2015).</w:t>
      </w:r>
    </w:p>
    <w:p>
      <w:pPr>
        <w:rPr>
          <w:rFonts w:eastAsia="宋体" w:cs="Times New Roman"/>
        </w:rPr>
      </w:pPr>
    </w:p>
    <w:p>
      <w:pPr>
        <w:pStyle w:val="2"/>
      </w:pPr>
      <w:bookmarkStart w:id="2" w:name="_Toc140347320"/>
      <w:r>
        <w:t>2. Main Findings</w:t>
      </w:r>
      <w:bookmarkEnd w:id="2"/>
    </w:p>
    <w:p>
      <w:pPr>
        <w:pStyle w:val="3"/>
      </w:pPr>
      <w:bookmarkStart w:id="3" w:name="_Toc140347321"/>
      <w:r>
        <w:t>2.1 Marketing Background Analysis</w:t>
      </w:r>
      <w:bookmarkEnd w:id="3"/>
    </w:p>
    <w:p>
      <w:pPr>
        <w:rPr>
          <w:rFonts w:eastAsia="宋体" w:cs="Times New Roman"/>
        </w:rPr>
      </w:pPr>
      <w:r>
        <w:rPr>
          <w:rFonts w:eastAsia="宋体" w:cs="Times New Roman"/>
        </w:rPr>
        <w:t>2.1.1 2.1.1 PEST analysis</w:t>
      </w:r>
    </w:p>
    <w:p>
      <w:pPr>
        <w:rPr>
          <w:rFonts w:eastAsia="宋体" w:cs="Times New Roman"/>
        </w:rPr>
      </w:pPr>
      <w:r>
        <w:rPr>
          <w:rFonts w:eastAsia="宋体" w:cs="Times New Roman"/>
        </w:rPr>
        <w:t>The PEST analysis method is a basic tool for external environment analysis. It grasps the macro environment as a whole through the analysis of political, economic, social and technological factors or four aspects of factors, and evaluates the impact of these factors on enterprise strategic objectives and strategy formulation (WILL KENTON, 2023).</w:t>
      </w:r>
    </w:p>
    <w:p>
      <w:pPr>
        <w:rPr>
          <w:rFonts w:eastAsia="宋体" w:cs="Times New Roman"/>
        </w:rPr>
      </w:pPr>
      <w:r>
        <w:rPr>
          <w:rFonts w:eastAsia="宋体" w:cs="Times New Roman"/>
        </w:rPr>
        <w:t>Political factors: National policies have a significant impact on the automotive industry, and these rules cover Ford's safety and emission standards. The gradual deepening of environmental awareness has made emission related policies more stringent. In order to successfully respond to political challenges, Ford must carry out a new energy business layout and actively invest in new energy technologies (Tian Yihui, Zhu Qinghua. 2016).</w:t>
      </w:r>
    </w:p>
    <w:p>
      <w:pPr>
        <w:rPr>
          <w:rFonts w:eastAsia="宋体" w:cs="Times New Roman"/>
        </w:rPr>
      </w:pPr>
      <w:r>
        <w:rPr>
          <w:rFonts w:eastAsia="宋体" w:cs="Times New Roman"/>
        </w:rPr>
        <w:t>Economic factors: The fluctuations in oil prices have had a huge impact on the automotive industry. People tend to choose new energy vehicles when facing high oil prices, and it is expected that the demand for hybrid and electric vehicles will increase in the coming years (Yuan Mengmeng. 2020). On the other hand, with the gradual maturity of battery and autonomous driving technology, the prices of hybrid and electric vehicles will become lower and lower. In addition, with government subsidies for new energy, the cost of charging will be much higher than that of refueling pads (Shao Jihong, Xin Mingliang, 2012).</w:t>
      </w:r>
    </w:p>
    <w:p>
      <w:pPr>
        <w:rPr>
          <w:rFonts w:eastAsia="宋体" w:cs="Times New Roman"/>
        </w:rPr>
      </w:pPr>
      <w:r>
        <w:rPr>
          <w:rFonts w:eastAsia="宋体" w:cs="Times New Roman"/>
        </w:rPr>
        <w:t>Social factors: Influenced by the increasing environmental awareness of people around the world, more and more people are choosing to use more environmentally friendly electric vehicles compared to traditional cars (Yin Xiaozhou, Dai Chenxi, Li Shuanghui, 2019). Compared to traditional cars, electric vehicles bring a sense of technology, entertainment systems, and autonomous driving functions that are more easily welcomed by people (M Rahman, 2022).</w:t>
      </w:r>
    </w:p>
    <w:p>
      <w:pPr>
        <w:rPr>
          <w:rFonts w:eastAsia="宋体" w:cs="Times New Roman"/>
        </w:rPr>
      </w:pPr>
      <w:r>
        <w:rPr>
          <w:rFonts w:eastAsia="宋体" w:cs="Times New Roman"/>
        </w:rPr>
        <w:t>In terms of technology: The main technological factors affecting the electric vehicle industry are battery technology, namely the optimization of battery technology and the reduction of manufacturing costs. The optimization of battery technology can reduce the time required for battery charging, reduce people's waiting time, and improve utilization, which will make charging electric vehicles easier and more convenient. In recent years, the rapid development of battery technology and the improvement of autonomous driving technology have provided more possibilities and competitiveness for new energy vehicles, which are becoming increasingly popular in the market. To maintain competitiveness, Ford must embrace innovation to meet constantly changing customer expectations (Shivakumar, R. 2014).</w:t>
      </w:r>
    </w:p>
    <w:p>
      <w:pPr>
        <w:rPr>
          <w:rFonts w:eastAsia="宋体" w:cs="Times New Roman"/>
        </w:rPr>
      </w:pPr>
      <w:r>
        <w:rPr>
          <w:rFonts w:eastAsia="宋体" w:cs="Times New Roman"/>
        </w:rPr>
        <w:t>2.1.2 SWOT analysis</w:t>
      </w:r>
    </w:p>
    <w:p>
      <w:pPr>
        <w:rPr>
          <w:rFonts w:eastAsia="宋体" w:cs="Times New Roman"/>
        </w:rPr>
      </w:pPr>
      <w:r>
        <w:rPr>
          <w:rFonts w:eastAsia="宋体" w:cs="Times New Roman"/>
        </w:rPr>
        <w:t>SWOT analysis method was proposed by Michael Porter, a famous competitive strategy expert. It belongs to the internal analysis method of enterprises, that is, to analyze within a given period according to the conditions of enterprises themselves. This theory provides a thorough analysis and explanation of the "possible" aspects of an enterprise from the perspective of industrial structure, with a focus on analyzing the company's resources and capabilities (Investopedia, 2023).</w:t>
      </w:r>
    </w:p>
    <w:p>
      <w:pPr>
        <w:rPr>
          <w:rFonts w:eastAsia="宋体" w:cs="Times New Roman"/>
        </w:rPr>
      </w:pPr>
      <w:r>
        <w:rPr>
          <w:rFonts w:eastAsia="宋体" w:cs="Times New Roman"/>
        </w:rPr>
        <w:t>Advantage: In the automotive industry, Ford Motor has a good brand image (Haralayya, 2021) and has a group of loyal customers. Ford's manufacturing capabilities are also excellent, allowing for efficient mass production of vehicles, rapid use of new energy technologies, and accelerating the emergence of electric vehicles. Ford has a wide global market and its international influence enables Ford to engage in cross market cooperation and knowledge sharing, thereby accelerating the development of new energy technologies.</w:t>
      </w:r>
    </w:p>
    <w:p>
      <w:pPr>
        <w:rPr>
          <w:rFonts w:eastAsia="宋体" w:cs="Times New Roman"/>
        </w:rPr>
      </w:pPr>
      <w:r>
        <w:rPr>
          <w:rFonts w:eastAsia="宋体" w:cs="Times New Roman"/>
        </w:rPr>
        <w:t>Disadvantage: In the era of new energy, Ford's reliance on traditional internal combustion engine vehicles is the main weakness. The market share of new energy vehicles launched by Ford is far smaller than that of its competitor Tesla in the industry.</w:t>
      </w:r>
    </w:p>
    <w:p>
      <w:pPr>
        <w:rPr>
          <w:rFonts w:eastAsia="宋体" w:cs="Times New Roman"/>
        </w:rPr>
      </w:pPr>
      <w:r>
        <w:rPr>
          <w:rFonts w:eastAsia="宋体" w:cs="Times New Roman"/>
        </w:rPr>
        <w:t>Opportunity: The increasing demand for electric vehicles and policy support are opportunities for Ford to develop new energy vehicles (Sierzchula, W., Baker, S., Maat, K., van Wee, B.2014). Through collaboration, Ford can help itself move forward faster by leveraging the expertise of other companies in the fields of energy and technology (Zhong Taiyong, Du Rong, 2015).</w:t>
      </w:r>
    </w:p>
    <w:p>
      <w:pPr>
        <w:rPr>
          <w:rFonts w:eastAsia="宋体" w:cs="Times New Roman"/>
        </w:rPr>
      </w:pPr>
      <w:r>
        <w:rPr>
          <w:rFonts w:eastAsia="宋体" w:cs="Times New Roman"/>
        </w:rPr>
        <w:t>Threat: In the era of new energy, many stunt companies are also entering the new energy vehicle industry. Ford's competitors not only include rising stars such as Tesla, but also companies from other industries such as Apple and Google. In addition, Ford's production capacity and profits will also be affected by the supply chain, such as material shortage, the COVID-19 and international political conflicts. Factors such as competitor prices, accessibility of charging stations, and level of luxury may affect consumers' tendency to purchase electric vehicles.</w:t>
      </w:r>
    </w:p>
    <w:p>
      <w:pPr>
        <w:rPr>
          <w:rFonts w:eastAsia="宋体" w:cs="Times New Roman"/>
        </w:rPr>
      </w:pPr>
      <w:r>
        <w:rPr>
          <w:rFonts w:eastAsia="宋体" w:cs="Times New Roman"/>
        </w:rPr>
        <w:t>2.1.3 Porter's Porter's five forces analysis</w:t>
      </w:r>
    </w:p>
    <w:p>
      <w:pPr>
        <w:rPr>
          <w:rFonts w:eastAsia="宋体" w:cs="Times New Roman"/>
        </w:rPr>
      </w:pPr>
      <w:r>
        <w:rPr>
          <w:rFonts w:eastAsia="宋体" w:cs="Times New Roman"/>
        </w:rPr>
        <w:t>The Porter's five forces analysis model was proposed by Porter. He believes that there are five forces in the industry that determine the scale and degree of competition, and these five forces together affect the attractiveness of the industry. It is an effective tool for analyzing the competitive characteristics of a company's industry and is the primary and fundamental factor determining a company's profitability (Porter, M.E. 2008).</w:t>
      </w:r>
    </w:p>
    <w:p>
      <w:pPr>
        <w:rPr>
          <w:rFonts w:eastAsia="宋体" w:cs="Times New Roman"/>
        </w:rPr>
      </w:pPr>
      <w:r>
        <w:rPr>
          <w:rFonts w:eastAsia="宋体" w:cs="Times New Roman"/>
        </w:rPr>
        <w:t>The threat of new entrants (high)</w:t>
      </w:r>
    </w:p>
    <w:p>
      <w:pPr>
        <w:rPr>
          <w:rFonts w:eastAsia="宋体" w:cs="Times New Roman"/>
        </w:rPr>
      </w:pPr>
      <w:r>
        <w:rPr>
          <w:rFonts w:eastAsia="宋体" w:cs="Times New Roman"/>
        </w:rPr>
        <w:t>Countries around the world are searching for alternative solutions to natural resources such as gasoline, and new energy alternatives are widely accepted in the market, so the threat of new energy vehicle companies entering is quite significant. In addition, with the development of infrastructure, it will be easier for new entrants to enter the market.</w:t>
      </w:r>
    </w:p>
    <w:p>
      <w:pPr>
        <w:rPr>
          <w:rFonts w:eastAsia="宋体" w:cs="Times New Roman"/>
        </w:rPr>
      </w:pPr>
      <w:r>
        <w:rPr>
          <w:rFonts w:eastAsia="宋体" w:cs="Times New Roman"/>
        </w:rPr>
        <w:t>The threat of substitutes (high)</w:t>
      </w:r>
    </w:p>
    <w:p>
      <w:pPr>
        <w:rPr>
          <w:rFonts w:eastAsia="宋体" w:cs="Times New Roman"/>
        </w:rPr>
      </w:pPr>
      <w:r>
        <w:rPr>
          <w:rFonts w:eastAsia="宋体" w:cs="Times New Roman"/>
        </w:rPr>
        <w:t>With the public's emphasis on energy conservation and emission reduction, the main development direction of automobiles in the future is new energy vehicles. In recent years, the sales of new energy vehicles represented by Tesla have gradually increased, and new energy vehicles have a bright future, which has a significant impact on traditional fuel vehicles such as Ford.</w:t>
      </w:r>
    </w:p>
    <w:p>
      <w:pPr>
        <w:rPr>
          <w:rFonts w:eastAsia="宋体" w:cs="Times New Roman"/>
        </w:rPr>
      </w:pPr>
      <w:r>
        <w:rPr>
          <w:rFonts w:eastAsia="宋体" w:cs="Times New Roman"/>
        </w:rPr>
        <w:t>Supplier's Bargaining power (high)</w:t>
      </w:r>
    </w:p>
    <w:p>
      <w:pPr>
        <w:rPr>
          <w:rFonts w:eastAsia="宋体" w:cs="Times New Roman"/>
        </w:rPr>
      </w:pPr>
      <w:r>
        <w:rPr>
          <w:rFonts w:eastAsia="宋体" w:cs="Times New Roman"/>
        </w:rPr>
        <w:t>The limited number of suppliers who provide key components such as engines and transmissions to Ford Motor has given suppliers greater leverage in negotiations with automakers, as losing major suppliers may seriously affect production and profitability. Therefore, Ford's suppliers have high Bargaining power.</w:t>
      </w:r>
    </w:p>
    <w:p>
      <w:pPr>
        <w:rPr>
          <w:rFonts w:eastAsia="宋体" w:cs="Times New Roman"/>
        </w:rPr>
      </w:pPr>
      <w:r>
        <w:rPr>
          <w:rFonts w:eastAsia="宋体" w:cs="Times New Roman"/>
        </w:rPr>
        <w:t>Buyer's Bargaining power (medium)</w:t>
      </w:r>
    </w:p>
    <w:p>
      <w:pPr>
        <w:rPr>
          <w:rFonts w:eastAsia="宋体" w:cs="Times New Roman"/>
        </w:rPr>
      </w:pPr>
      <w:r>
        <w:rPr>
          <w:rFonts w:eastAsia="宋体" w:cs="Times New Roman"/>
        </w:rPr>
        <w:t>Most consumers are more concerned about the economy of cars, while the lower maintenance and charging costs of new energy vehicles have attracted a large group of users; In addition, with the increasing variety of cars available to consumers, customers can to a considerable extent negotiate the selling price (Foreman, J. et al. 2014). In order to attract customers, various manufacturers such as Ford have to lower prices and offer various discounts and discounts.</w:t>
      </w:r>
    </w:p>
    <w:p>
      <w:pPr>
        <w:rPr>
          <w:rFonts w:eastAsia="宋体" w:cs="Times New Roman"/>
        </w:rPr>
      </w:pPr>
      <w:r>
        <w:rPr>
          <w:rFonts w:eastAsia="宋体" w:cs="Times New Roman"/>
        </w:rPr>
        <w:t>Industry competition level (high)</w:t>
      </w:r>
    </w:p>
    <w:p>
      <w:pPr>
        <w:rPr>
          <w:rFonts w:eastAsia="宋体" w:cs="Times New Roman"/>
        </w:rPr>
      </w:pPr>
      <w:r>
        <w:rPr>
          <w:rFonts w:eastAsia="宋体" w:cs="Times New Roman"/>
        </w:rPr>
        <w:t>The competition in the traditional automotive industry is already fierce enough, coupled with the impact of international politics causing fluctuations in gasoline prices, making new energy more popular; The entry of new energy vehicle companies such as Tesla is subverting traditional business models and challenging established companies. This high-level competition has increased the pressure on Ford.</w:t>
      </w:r>
    </w:p>
    <w:p>
      <w:pPr>
        <w:rPr>
          <w:rFonts w:eastAsia="宋体" w:cs="Times New Roman"/>
        </w:rPr>
      </w:pPr>
      <w:r>
        <w:rPr>
          <w:rFonts w:eastAsia="宋体" w:cs="Times New Roman"/>
        </w:rPr>
        <w:t>According to PEST, SWOT and Porter's Porter's five forces analysis, new energy is the future trend. In this context, Ford needs to strengthen the development and promotion of new energy vehicle product lines, actively promote the construction of charging infrastructure, cooperate with energy companies and technology enterprises, jointly promote the innovative application of new energy technologies, launch more high-performance, high range electric vehicles, and strengthen marketing and brand promotion, Flexibly adjust strategies to adapt to changes in the market environment (Danciu, V.2013).</w:t>
      </w:r>
    </w:p>
    <w:p>
      <w:pPr>
        <w:rPr>
          <w:rFonts w:eastAsia="宋体" w:cs="Times New Roman"/>
        </w:rPr>
      </w:pPr>
    </w:p>
    <w:p>
      <w:pPr>
        <w:pStyle w:val="3"/>
      </w:pPr>
      <w:bookmarkStart w:id="4" w:name="_Toc140347322"/>
      <w:r>
        <w:t>2.2 Marketing Activity Analysis</w:t>
      </w:r>
      <w:bookmarkEnd w:id="4"/>
    </w:p>
    <w:p>
      <w:pPr>
        <w:rPr>
          <w:rFonts w:eastAsia="宋体" w:cs="Times New Roman"/>
        </w:rPr>
      </w:pPr>
      <w:r>
        <w:rPr>
          <w:rFonts w:eastAsia="宋体" w:cs="Times New Roman"/>
        </w:rPr>
        <w:t>2.2.1 Marketing content</w:t>
      </w:r>
    </w:p>
    <w:p>
      <w:pPr>
        <w:rPr>
          <w:rFonts w:eastAsia="宋体" w:cs="Times New Roman"/>
        </w:rPr>
      </w:pPr>
      <w:r>
        <w:rPr>
          <w:rFonts w:eastAsia="宋体" w:cs="Times New Roman"/>
        </w:rPr>
        <w:t>Ford adopts 4P Marketing mix for marketing promotion, that is, combining product, price, channel and promotion factors, and carrying out customized marketing programs for different markets and audiences (Archana Karthikeyan. 2023).</w:t>
      </w:r>
    </w:p>
    <w:p>
      <w:pPr>
        <w:rPr>
          <w:rFonts w:eastAsia="宋体" w:cs="Times New Roman"/>
        </w:rPr>
      </w:pPr>
      <w:r>
        <w:rPr>
          <w:rFonts w:eastAsia="宋体" w:cs="Times New Roman"/>
        </w:rPr>
        <w:t>In terms of products: Ford has launched a series of different types of vehicles, including pickup trucks, SUVs, sports cars, sedans, and increasingly popular electric vehicles, meeting the driving needs of different groups of people. At the same time, Ford also regularly introduces new technologies that integrate safety, sustainability, and environmental protection into vehicles.</w:t>
      </w:r>
    </w:p>
    <w:p>
      <w:pPr>
        <w:rPr>
          <w:rFonts w:eastAsia="宋体" w:cs="Times New Roman"/>
        </w:rPr>
      </w:pPr>
      <w:r>
        <w:rPr>
          <w:rFonts w:eastAsia="宋体" w:cs="Times New Roman"/>
        </w:rPr>
        <w:t>In terms of price: Ford provides different levels of price choices, from economical vehicles to luxury cars, to meet a wide range of consumer groups.</w:t>
      </w:r>
    </w:p>
    <w:p>
      <w:pPr>
        <w:rPr>
          <w:rFonts w:eastAsia="宋体" w:cs="Times New Roman"/>
        </w:rPr>
      </w:pPr>
      <w:r>
        <w:rPr>
          <w:rFonts w:eastAsia="宋体" w:cs="Times New Roman"/>
        </w:rPr>
        <w:t>In terms of channels: Ford utilizes its global influence to expand its dealers and stores to various parts of the world, while also providing online sales, allowing customers to make purchases online.</w:t>
      </w:r>
    </w:p>
    <w:p>
      <w:pPr>
        <w:rPr>
          <w:rFonts w:eastAsia="宋体" w:cs="Times New Roman"/>
        </w:rPr>
      </w:pPr>
      <w:r>
        <w:rPr>
          <w:rFonts w:eastAsia="宋体" w:cs="Times New Roman"/>
        </w:rPr>
        <w:t>In terms of promotion: Ford adopts impressive slogans such as "Build Ford Tough" and "Go Further" to make it easier for consumers watching advertisements to remember and establish a good brand image in their minds. At the same time, Ford also sponsors various activities to expand its influence in different fields and make more people understand and like Ford (Fahy, J., and Jobber, D.2015).</w:t>
      </w:r>
    </w:p>
    <w:p>
      <w:pPr>
        <w:rPr>
          <w:rFonts w:eastAsia="宋体" w:cs="Times New Roman"/>
        </w:rPr>
      </w:pPr>
      <w:r>
        <w:rPr>
          <w:rFonts w:eastAsia="宋体" w:cs="Times New Roman"/>
        </w:rPr>
        <w:t>For example, one of Ford's most famous advertising slogans, "Build Ford Tough," emphasizes the durability of its pickup trucks and SUVs (Ford Motor Company, 2022). Another advertising slogan, "Go Further," expresses Ford's decision on innovation and sustainable development, and highlights Ford's concern for environmental protection (Ad Age Video, 2017).</w:t>
      </w:r>
    </w:p>
    <w:p>
      <w:pPr>
        <w:rPr>
          <w:rFonts w:eastAsia="宋体" w:cs="Times New Roman"/>
        </w:rPr>
      </w:pPr>
      <w:r>
        <w:rPr>
          <w:rFonts w:eastAsia="宋体" w:cs="Times New Roman"/>
        </w:rPr>
        <w:t>In the "Go Further" event, Ford also promoted its new electric and hybrid vehicles, expressing its emphasis on new energy and starting to layout its new energy vehicle business to meet the development trends of the times (Ford News Europe, 2016).</w:t>
      </w:r>
    </w:p>
    <w:p>
      <w:pPr>
        <w:rPr>
          <w:rFonts w:eastAsia="宋体" w:cs="Times New Roman"/>
        </w:rPr>
      </w:pPr>
      <w:r>
        <w:rPr>
          <w:rFonts w:eastAsia="宋体" w:cs="Times New Roman"/>
        </w:rPr>
        <w:t>2.1.2 Target audience</w:t>
      </w:r>
    </w:p>
    <w:p>
      <w:pPr>
        <w:rPr>
          <w:rFonts w:eastAsia="宋体" w:cs="Times New Roman"/>
        </w:rPr>
      </w:pPr>
      <w:r>
        <w:rPr>
          <w:rFonts w:eastAsia="宋体" w:cs="Times New Roman"/>
        </w:rPr>
        <w:t>Because Ford has a global customer base, its target audience is diverse. From statistical data, Ford's target audience is more inclined towards the middle-aged and elderly population, with a focus on sufficient space and practicality. In addition, Ford also has a certain appeal to the young group, with sports models such as Ford's Mustang and Focus more easily sought after by young people. The overseas market is customized based on local consumption needs.</w:t>
      </w:r>
    </w:p>
    <w:p>
      <w:pPr>
        <w:rPr>
          <w:rFonts w:eastAsia="宋体" w:cs="Times New Roman"/>
        </w:rPr>
      </w:pPr>
      <w:r>
        <w:rPr>
          <w:rFonts w:eastAsia="宋体" w:cs="Times New Roman"/>
        </w:rPr>
        <w:t>2.2.3 Marketing channels</w:t>
      </w:r>
    </w:p>
    <w:p>
      <w:pPr>
        <w:rPr>
          <w:rFonts w:eastAsia="宋体" w:cs="Times New Roman"/>
        </w:rPr>
      </w:pPr>
      <w:r>
        <w:rPr>
          <w:rFonts w:eastAsia="宋体" w:cs="Times New Roman"/>
        </w:rPr>
        <w:t>Ford uses social media, email, Search engine and other means to carry out digital marketing, which can enable Ford's digital marketing activities to be delivered to consumers who carry out online activities. The advantage of this is that Big data analysis can be used to make activities more targeted, so as to establish contact with consumers (Kotler P and Chernev, A.2014).</w:t>
      </w:r>
    </w:p>
    <w:p>
      <w:pPr>
        <w:rPr>
          <w:rFonts w:eastAsia="宋体" w:cs="Times New Roman"/>
        </w:rPr>
      </w:pPr>
    </w:p>
    <w:p>
      <w:pPr>
        <w:pStyle w:val="3"/>
      </w:pPr>
      <w:bookmarkStart w:id="5" w:name="_Toc140347323"/>
      <w:r>
        <w:t>2.3 Marketing Strategy Evaluation</w:t>
      </w:r>
      <w:bookmarkEnd w:id="5"/>
    </w:p>
    <w:p>
      <w:pPr>
        <w:rPr>
          <w:rFonts w:eastAsia="宋体" w:cs="Times New Roman"/>
        </w:rPr>
      </w:pPr>
      <w:r>
        <w:rPr>
          <w:rFonts w:eastAsia="宋体" w:cs="Times New Roman"/>
        </w:rPr>
        <w:t>Affected by the epidemic and Chip shortage, Ford's new car sales in 2022 fell by 2%, but Ford Motor Company still sold about 4.2 million cars to dealers and distributors worldwide. In the first quarter of this year, Ford was the best-selling automotive brand in the United States, with iconic products such as the F-series, Bronco and Mustang, commercial vehicles, and electric vehicles performing exceptionally well, with a total sales volume of 456972 units, an increase of 10.7% (DEARBORN. 2023). From this sales result, Ford's marketing campaign is successful.</w:t>
      </w:r>
    </w:p>
    <w:p>
      <w:pPr>
        <w:rPr>
          <w:rFonts w:eastAsia="宋体" w:cs="Times New Roman"/>
        </w:rPr>
      </w:pPr>
      <w:r>
        <w:rPr>
          <w:rFonts w:eastAsia="宋体" w:cs="Times New Roman"/>
        </w:rPr>
        <w:t>It is worth noting that Ford's electric pickup truck F-150 Lightning, launched in the spring of 2022, sold a total of 15617 units in 2022 due to an increase in the production of vehicle battery packs. In addition, 6500 electric trucks were sold. The most eye-catching among them is the electric SUV Mustang Mach E, which achieved sales of 39458 units in 2022, a 45% increase in sales, indicating the market's recognition of Ford's electric vehicles and its successful marketing strategy (Neal E. Boudette. 2023).</w:t>
      </w:r>
    </w:p>
    <w:p>
      <w:pPr>
        <w:rPr>
          <w:rFonts w:eastAsia="宋体" w:cs="Times New Roman"/>
        </w:rPr>
      </w:pPr>
      <w:r>
        <w:rPr>
          <w:rFonts w:eastAsia="宋体" w:cs="Times New Roman"/>
        </w:rPr>
        <w:t>From a market share perspective, Tesla held an overwhelming leading position with a 64% market share in 2022, while Ford ranked second with a 7.5% share. Although Ford's sales of electric vehicles have increased, there is still a huge gap between them and Tesla (LAURENCE ILIFF. 2023). In addition, Ford has also stated that its supply chain issues have limited Ford's production, while the shortage of battery technology and imperfect battery factories have limited the further development of its electric vehicles.</w:t>
      </w:r>
    </w:p>
    <w:p>
      <w:pPr>
        <w:rPr>
          <w:rFonts w:eastAsia="宋体" w:cs="Times New Roman"/>
        </w:rPr>
      </w:pPr>
    </w:p>
    <w:p>
      <w:pPr>
        <w:pStyle w:val="2"/>
        <w:numPr>
          <w:ilvl w:val="0"/>
          <w:numId w:val="2"/>
        </w:numPr>
      </w:pPr>
      <w:bookmarkStart w:id="6" w:name="_Toc140347324"/>
      <w:r>
        <w:t>Conclusion</w:t>
      </w:r>
      <w:bookmarkEnd w:id="6"/>
    </w:p>
    <w:p>
      <w:pPr>
        <w:rPr>
          <w:rFonts w:eastAsia="宋体" w:cs="Times New Roman"/>
        </w:rPr>
      </w:pPr>
      <w:r>
        <w:rPr>
          <w:rFonts w:eastAsia="宋体" w:cs="Times New Roman"/>
        </w:rPr>
        <w:t>Through analysis of Ford's PEST and AWOT, it was found that Ford's future development direction is to strengthen the development and promotion of new energy vehicle product lines, actively promote the infrastructure construction of battery factories, and flexibly adjust strategies to adapt to changes in the market environment. Through the analysis of Ford's marketing activities, it was found that Ford's marketing activities have played a positive role in the growth of its car sales. In the field of traditional fuel vehicles, Ford is a well-deserved leader; However, in the field of electric vehicles, there is still an insurmountable gap between Ford and Tesla, limited by their supply chain shortages and the impact of inadequate battery technology and factories. Ford's electric vehicles have shortcomings in performance and production, which need to be addressed.</w:t>
      </w:r>
    </w:p>
    <w:p>
      <w:pPr>
        <w:rPr>
          <w:rFonts w:eastAsia="宋体" w:cs="Times New Roman"/>
        </w:rPr>
      </w:pPr>
    </w:p>
    <w:p>
      <w:pPr>
        <w:rPr>
          <w:rFonts w:eastAsia="宋体" w:cs="Times New Roman"/>
        </w:rPr>
      </w:pPr>
    </w:p>
    <w:p>
      <w:pPr>
        <w:pStyle w:val="2"/>
        <w:numPr>
          <w:ilvl w:val="0"/>
          <w:numId w:val="2"/>
        </w:numPr>
      </w:pPr>
      <w:bookmarkStart w:id="7" w:name="_Toc140347325"/>
      <w:r>
        <w:t>Recommendations</w:t>
      </w:r>
      <w:bookmarkEnd w:id="7"/>
    </w:p>
    <w:p>
      <w:pPr>
        <w:pStyle w:val="8"/>
        <w:shd w:val="clear" w:color="auto" w:fill="FFFFFF"/>
        <w:spacing w:before="0" w:beforeAutospacing="0" w:after="0" w:afterAutospacing="0" w:line="480" w:lineRule="auto"/>
        <w:rPr>
          <w:rFonts w:ascii="Times New Roman" w:hAnsi="Times New Roman" w:cs="Times New Roman"/>
          <w:kern w:val="2"/>
        </w:rPr>
      </w:pPr>
      <w:r>
        <w:rPr>
          <w:rFonts w:ascii="Times New Roman" w:hAnsi="Times New Roman" w:cs="Times New Roman"/>
          <w:kern w:val="2"/>
        </w:rPr>
        <w:t>In response to Ford's problems in the field of electric vehicles, the following four suggestions are proposed:</w:t>
      </w:r>
    </w:p>
    <w:p>
      <w:pPr>
        <w:pStyle w:val="8"/>
        <w:shd w:val="clear" w:color="auto" w:fill="FFFFFF"/>
        <w:spacing w:before="0" w:beforeAutospacing="0" w:after="0" w:afterAutospacing="0" w:line="480" w:lineRule="auto"/>
        <w:rPr>
          <w:rFonts w:ascii="Times New Roman" w:hAnsi="Times New Roman" w:cs="Times New Roman"/>
          <w:kern w:val="2"/>
        </w:rPr>
      </w:pPr>
      <w:r>
        <w:rPr>
          <w:rFonts w:ascii="Times New Roman" w:hAnsi="Times New Roman" w:cs="Times New Roman"/>
          <w:kern w:val="2"/>
        </w:rPr>
        <w:t>1. Deepen cooperation and improve battery technology</w:t>
      </w:r>
    </w:p>
    <w:p>
      <w:pPr>
        <w:pStyle w:val="8"/>
        <w:shd w:val="clear" w:color="auto" w:fill="FFFFFF"/>
        <w:spacing w:before="0" w:beforeAutospacing="0" w:after="0" w:afterAutospacing="0" w:line="480" w:lineRule="auto"/>
        <w:rPr>
          <w:rFonts w:ascii="Times New Roman" w:hAnsi="Times New Roman" w:cs="Times New Roman"/>
          <w:kern w:val="2"/>
        </w:rPr>
      </w:pPr>
      <w:r>
        <w:rPr>
          <w:rFonts w:ascii="Times New Roman" w:hAnsi="Times New Roman" w:cs="Times New Roman"/>
          <w:kern w:val="2"/>
        </w:rPr>
        <w:t>In the future, the number of electric vehicles will increase, and traditional fuel vehicles will gradually decrease. Ford should follow the trend of the automotive industry towards electrification, intelligence, networking, and sharing, reshape its industrial layout, and increase the proportion of electric vehicles in its own industrial chain. Increase cooperation with new energy vehicle brands, such as reaching a battery supply agreement with BYD in 2020, further deepening cooperation, exchanging battery technology, improving vehicle endurance, shortening charging time, and enhancing core competitiveness (Interface Express. 2020).</w:t>
      </w:r>
    </w:p>
    <w:p>
      <w:pPr>
        <w:pStyle w:val="8"/>
        <w:shd w:val="clear" w:color="auto" w:fill="FFFFFF"/>
        <w:spacing w:before="0" w:beforeAutospacing="0" w:after="0" w:afterAutospacing="0" w:line="480" w:lineRule="auto"/>
        <w:rPr>
          <w:rFonts w:ascii="Times New Roman" w:hAnsi="Times New Roman" w:cs="Times New Roman"/>
          <w:kern w:val="2"/>
        </w:rPr>
      </w:pPr>
      <w:r>
        <w:rPr>
          <w:rFonts w:ascii="Times New Roman" w:hAnsi="Times New Roman" w:cs="Times New Roman"/>
          <w:kern w:val="2"/>
        </w:rPr>
        <w:t>2. Accelerate the development of core technologies and improve product quality</w:t>
      </w:r>
    </w:p>
    <w:p>
      <w:pPr>
        <w:pStyle w:val="8"/>
        <w:shd w:val="clear" w:color="auto" w:fill="FFFFFF"/>
        <w:spacing w:before="0" w:beforeAutospacing="0" w:after="0" w:afterAutospacing="0" w:line="480" w:lineRule="auto"/>
        <w:rPr>
          <w:rFonts w:ascii="Times New Roman" w:hAnsi="Times New Roman" w:cs="Times New Roman"/>
          <w:kern w:val="2"/>
        </w:rPr>
      </w:pPr>
      <w:r>
        <w:rPr>
          <w:rFonts w:ascii="Times New Roman" w:hAnsi="Times New Roman" w:cs="Times New Roman"/>
          <w:kern w:val="2"/>
        </w:rPr>
        <w:t>Increase investment in the research and development of autonomous driving technology to actively respond to potential technological and application revolutions in the future. While reserving research and development technology, collaborate with competitors and the government to discuss the establishment of application standards and relevant regulations, and promote the commercial and civilian use of autonomous driving technology (Lynch, R., 2015). Combined with the rise of the Internet economic model and its impact on the traditional automobile manufacturing industry, on the basis of the full electrification of new energy vehicles, through the R&amp;D matching of product technology and the intellectualization of new energy vehicle products, the traditional attributes of cars as a means of transportation are subverted, and cars are transformed into the data source carrier of Big data, so as to understand users' needs at all levels and provide consumers with personalized In addition to innovative intelligent travel solutions, cars are used as an interface platform for various forms of consumption (Kim, W.C.and Mauborgne, R.2014).</w:t>
      </w:r>
    </w:p>
    <w:p>
      <w:pPr>
        <w:pStyle w:val="8"/>
        <w:shd w:val="clear" w:color="auto" w:fill="FFFFFF"/>
        <w:spacing w:before="0" w:beforeAutospacing="0" w:after="0" w:afterAutospacing="0" w:line="480" w:lineRule="auto"/>
        <w:rPr>
          <w:rFonts w:ascii="Times New Roman" w:hAnsi="Times New Roman" w:cs="Times New Roman"/>
          <w:kern w:val="2"/>
        </w:rPr>
      </w:pPr>
      <w:r>
        <w:rPr>
          <w:rFonts w:ascii="Times New Roman" w:hAnsi="Times New Roman" w:cs="Times New Roman"/>
          <w:kern w:val="2"/>
        </w:rPr>
        <w:t>3. Embed into the global industrial chain and leverage advantageous resources</w:t>
      </w:r>
    </w:p>
    <w:p>
      <w:pPr>
        <w:pStyle w:val="8"/>
        <w:shd w:val="clear" w:color="auto" w:fill="FFFFFF"/>
        <w:spacing w:before="0" w:beforeAutospacing="0" w:after="0" w:afterAutospacing="0" w:line="480" w:lineRule="auto"/>
        <w:rPr>
          <w:rFonts w:ascii="Times New Roman" w:hAnsi="Times New Roman" w:cs="Times New Roman"/>
          <w:kern w:val="2"/>
        </w:rPr>
      </w:pPr>
      <w:r>
        <w:rPr>
          <w:rFonts w:ascii="Times New Roman" w:hAnsi="Times New Roman" w:cs="Times New Roman"/>
          <w:kern w:val="2"/>
        </w:rPr>
        <w:t>On the basis of a mature supply chain system established through the traditional automotive field, collaborate with existing suppliers to develop a supporting system for core components related to new energy vehicles; Cooperate with suppliers and competitors to jointly purchase core raw materials for key components of new energy vehicles, so as to form influence and control over the Price system of raw material supply. Lead the establishment of a cross enterprise joint procurement system for power drive systems, promote the scale effect of the core component industry, and reduce component prices. Invest in high-quality core component suppliers through equity participation, or build a new production capacity for core components based on its own core technology, in order to promote the upward integration of the industrial chain and form a closed-loop capability for the entire industrial chain. Deeply cooperate with national capital and private capital in infrastructure construction and operation promotion, form a high matching in the application of new energy vehicle products of its own brand in terms of charging and replacement supporting facilities, improve the consumption and application environment of new energy vehicles of its own brand, build a perfect Battery recycling system with Battery recycling enterprises, and open up a complete channel from battery recovery to recycling, Realize the cascade utilization of waste batteries and the recycling and reuse of raw materials (Hidrue, M. K., Parsons, G. R, Kempton, W.2011).</w:t>
      </w:r>
    </w:p>
    <w:p>
      <w:pPr>
        <w:pStyle w:val="8"/>
        <w:shd w:val="clear" w:color="auto" w:fill="FFFFFF"/>
        <w:spacing w:before="0" w:beforeAutospacing="0" w:after="0" w:afterAutospacing="0" w:line="480" w:lineRule="auto"/>
        <w:rPr>
          <w:rFonts w:ascii="Times New Roman" w:hAnsi="Times New Roman" w:cs="Times New Roman"/>
          <w:kern w:val="2"/>
        </w:rPr>
      </w:pPr>
      <w:r>
        <w:rPr>
          <w:rFonts w:ascii="Times New Roman" w:hAnsi="Times New Roman" w:cs="Times New Roman"/>
          <w:kern w:val="2"/>
        </w:rPr>
        <w:t>4. Increase investment and promotion of green environmental protection public welfare activities</w:t>
      </w:r>
    </w:p>
    <w:p>
      <w:pPr>
        <w:pStyle w:val="8"/>
        <w:shd w:val="clear" w:color="auto" w:fill="FFFFFF"/>
        <w:spacing w:before="0" w:beforeAutospacing="0" w:after="0" w:afterAutospacing="0" w:line="480" w:lineRule="auto"/>
        <w:rPr>
          <w:rFonts w:ascii="Times New Roman" w:hAnsi="Times New Roman" w:cs="Times New Roman"/>
        </w:rPr>
      </w:pPr>
      <w:r>
        <w:rPr>
          <w:rFonts w:ascii="Times New Roman" w:hAnsi="Times New Roman" w:cs="Times New Roman"/>
          <w:kern w:val="2"/>
        </w:rPr>
        <w:t>With the development of the economy, social progress, and the updating of health concepts, the concepts of green, low-carbon, and environmental protection are gradually forming, and consumer consumption is becoming more rational, bringing new opportunities to the new energy vehicle market. The improvement of consumer environmental awareness has greatly promoted the development of new energy vehicles. We can collaborate with government environmental protection and energy conservation departments to carry out themed activities that align with the advantages of new energy vehicles and green environmental protection policies, such as "green development, environmental protection, biodiversity, low-carbon, energy-saving and emission reduction". We can take on certain social responsibilities, increase support for public welfare undertakings such as environmental protection and energy conservation, and thus consolidate brand awareness, Enable consumers to enhance their brand's green image while establishing an environmental concept (Aaker, D.2015).</w:t>
      </w:r>
    </w:p>
    <w:p>
      <w:pPr>
        <w:rPr>
          <w:rFonts w:eastAsia="宋体" w:cs="Times New Roman"/>
        </w:rPr>
      </w:pPr>
    </w:p>
    <w:p>
      <w:pPr>
        <w:widowControl/>
        <w:spacing w:line="240" w:lineRule="auto"/>
        <w:jc w:val="left"/>
        <w:rPr>
          <w:rFonts w:eastAsia="Arial" w:cs="Arial"/>
          <w:b/>
          <w:bCs/>
          <w:kern w:val="44"/>
          <w:sz w:val="28"/>
        </w:rPr>
      </w:pPr>
      <w:r>
        <w:br w:type="page"/>
      </w:r>
    </w:p>
    <w:p>
      <w:pPr>
        <w:pStyle w:val="2"/>
      </w:pPr>
      <w:bookmarkStart w:id="8" w:name="_Toc140347326"/>
      <w:r>
        <w:t>References</w:t>
      </w:r>
      <w:bookmarkEnd w:id="8"/>
    </w:p>
    <w:p>
      <w:pPr>
        <w:spacing w:line="240" w:lineRule="auto"/>
        <w:jc w:val="left"/>
        <w:rPr>
          <w:rFonts w:eastAsia="宋体" w:cs="Times New Roman"/>
          <w:color w:val="000000" w:themeColor="text1"/>
          <w14:textFill>
            <w14:solidFill>
              <w14:schemeClr w14:val="tx1"/>
            </w14:solidFill>
          </w14:textFill>
        </w:rPr>
      </w:pPr>
      <w:r>
        <w:rPr>
          <w:rFonts w:eastAsia="宋体" w:cs="Times New Roman"/>
          <w:color w:val="000000" w:themeColor="text1"/>
          <w14:textFill>
            <w14:solidFill>
              <w14:schemeClr w14:val="tx1"/>
            </w14:solidFill>
          </w14:textFill>
        </w:rPr>
        <w:t xml:space="preserve">Aaker, D. (2015), </w:t>
      </w:r>
      <w:r>
        <w:rPr>
          <w:rFonts w:eastAsia="宋体" w:cs="Times New Roman"/>
          <w:i/>
          <w:iCs/>
          <w:color w:val="000000" w:themeColor="text1"/>
          <w14:textFill>
            <w14:solidFill>
              <w14:schemeClr w14:val="tx1"/>
            </w14:solidFill>
          </w14:textFill>
        </w:rPr>
        <w:t>Brand personalities are like snowflakes</w:t>
      </w:r>
      <w:r>
        <w:rPr>
          <w:rFonts w:eastAsia="宋体" w:cs="Times New Roman"/>
          <w:color w:val="000000" w:themeColor="text1"/>
          <w14:textFill>
            <w14:solidFill>
              <w14:schemeClr w14:val="tx1"/>
            </w14:solidFill>
          </w14:textFill>
        </w:rPr>
        <w:t>, Marketing News, 49(7), pp. 20-21.</w:t>
      </w:r>
    </w:p>
    <w:p>
      <w:pPr>
        <w:spacing w:line="240" w:lineRule="auto"/>
        <w:jc w:val="left"/>
        <w:rPr>
          <w:rFonts w:eastAsia="宋体" w:cs="Times New Roman"/>
          <w:color w:val="000000" w:themeColor="text1"/>
          <w14:textFill>
            <w14:solidFill>
              <w14:schemeClr w14:val="tx1"/>
            </w14:solidFill>
          </w14:textFill>
        </w:rPr>
      </w:pPr>
    </w:p>
    <w:p>
      <w:pPr>
        <w:spacing w:line="240" w:lineRule="auto"/>
        <w:jc w:val="left"/>
        <w:rPr>
          <w:rFonts w:eastAsia="宋体" w:cs="Times New Roman"/>
          <w:color w:val="000000" w:themeColor="text1"/>
          <w14:textFill>
            <w14:solidFill>
              <w14:schemeClr w14:val="tx1"/>
            </w14:solidFill>
          </w14:textFill>
        </w:rPr>
      </w:pPr>
      <w:r>
        <w:rPr>
          <w:rFonts w:eastAsia="宋体" w:cs="Times New Roman"/>
          <w:color w:val="000000" w:themeColor="text1"/>
          <w14:textFill>
            <w14:solidFill>
              <w14:schemeClr w14:val="tx1"/>
            </w14:solidFill>
          </w14:textFill>
        </w:rPr>
        <w:t>Ad Age Video.2017.</w:t>
      </w:r>
      <w:r>
        <w:rPr>
          <w:rFonts w:cs="Times New Roman"/>
          <w:color w:val="000000" w:themeColor="text1"/>
          <w14:textFill>
            <w14:solidFill>
              <w14:schemeClr w14:val="tx1"/>
            </w14:solidFill>
          </w14:textFill>
        </w:rPr>
        <w:t xml:space="preserve"> FORD - GO FURTHER</w:t>
      </w:r>
      <w:r>
        <w:rPr>
          <w:rFonts w:eastAsia="宋体" w:cs="Times New Roman"/>
          <w:color w:val="000000" w:themeColor="text1"/>
          <w14:textFill>
            <w14:solidFill>
              <w14:schemeClr w14:val="tx1"/>
            </w14:solidFill>
          </w14:textFill>
        </w:rPr>
        <w:t>. [Online]</w:t>
      </w:r>
    </w:p>
    <w:p>
      <w:pPr>
        <w:spacing w:line="240" w:lineRule="auto"/>
        <w:jc w:val="left"/>
        <w:rPr>
          <w:rFonts w:eastAsia="宋体" w:cs="Times New Roman"/>
          <w:color w:val="000000" w:themeColor="text1"/>
          <w14:textFill>
            <w14:solidFill>
              <w14:schemeClr w14:val="tx1"/>
            </w14:solidFill>
          </w14:textFill>
        </w:rPr>
      </w:pPr>
      <w:r>
        <w:rPr>
          <w:rFonts w:eastAsia="宋体" w:cs="Times New Roman"/>
          <w:color w:val="000000" w:themeColor="text1"/>
          <w14:textFill>
            <w14:solidFill>
              <w14:schemeClr w14:val="tx1"/>
            </w14:solidFill>
          </w14:textFill>
        </w:rPr>
        <w:t>Available at: https://adage.com/videos/ford-go-further/1286</w:t>
      </w:r>
    </w:p>
    <w:p>
      <w:pPr>
        <w:spacing w:line="240" w:lineRule="auto"/>
        <w:jc w:val="left"/>
        <w:rPr>
          <w:rFonts w:eastAsia="宋体" w:cs="Times New Roman"/>
          <w:color w:val="000000" w:themeColor="text1"/>
          <w14:textFill>
            <w14:solidFill>
              <w14:schemeClr w14:val="tx1"/>
            </w14:solidFill>
          </w14:textFill>
        </w:rPr>
      </w:pPr>
      <w:r>
        <w:rPr>
          <w:rFonts w:eastAsia="宋体" w:cs="Times New Roman"/>
          <w:color w:val="000000" w:themeColor="text1"/>
          <w14:textFill>
            <w14:solidFill>
              <w14:schemeClr w14:val="tx1"/>
            </w14:solidFill>
          </w14:textFill>
        </w:rPr>
        <w:t>[Accessed 11 7 2023].</w:t>
      </w:r>
    </w:p>
    <w:p>
      <w:pPr>
        <w:spacing w:line="240" w:lineRule="auto"/>
        <w:jc w:val="left"/>
        <w:rPr>
          <w:rFonts w:eastAsia="宋体" w:cs="Times New Roman"/>
          <w:color w:val="000000" w:themeColor="text1"/>
          <w14:textFill>
            <w14:solidFill>
              <w14:schemeClr w14:val="tx1"/>
            </w14:solidFill>
          </w14:textFill>
        </w:rPr>
      </w:pPr>
    </w:p>
    <w:p>
      <w:pPr>
        <w:spacing w:line="240" w:lineRule="auto"/>
        <w:jc w:val="left"/>
        <w:rPr>
          <w:rFonts w:eastAsia="宋体" w:cs="Times New Roman"/>
          <w:color w:val="000000" w:themeColor="text1"/>
          <w14:textFill>
            <w14:solidFill>
              <w14:schemeClr w14:val="tx1"/>
            </w14:solidFill>
          </w14:textFill>
        </w:rPr>
      </w:pPr>
      <w:r>
        <w:rPr>
          <w:rFonts w:eastAsia="宋体" w:cs="Times New Roman"/>
          <w:color w:val="000000" w:themeColor="text1"/>
          <w14:textFill>
            <w14:solidFill>
              <w14:schemeClr w14:val="tx1"/>
            </w14:solidFill>
          </w14:textFill>
        </w:rPr>
        <w:t>Archana Karthikeyan.2023.</w:t>
      </w:r>
      <w:r>
        <w:rPr>
          <w:rFonts w:cs="Times New Roman"/>
          <w:color w:val="000000" w:themeColor="text1"/>
          <w14:textFill>
            <w14:solidFill>
              <w14:schemeClr w14:val="tx1"/>
            </w14:solidFill>
          </w14:textFill>
        </w:rPr>
        <w:t xml:space="preserve"> Marketing Strategies of Ford: Accelerating Growth</w:t>
      </w:r>
      <w:r>
        <w:rPr>
          <w:rFonts w:eastAsia="宋体" w:cs="Times New Roman"/>
          <w:color w:val="000000" w:themeColor="text1"/>
          <w14:textFill>
            <w14:solidFill>
              <w14:schemeClr w14:val="tx1"/>
            </w14:solidFill>
          </w14:textFill>
        </w:rPr>
        <w:t>. [Online]</w:t>
      </w:r>
    </w:p>
    <w:p>
      <w:pPr>
        <w:spacing w:line="240" w:lineRule="auto"/>
        <w:jc w:val="left"/>
        <w:rPr>
          <w:rFonts w:eastAsia="宋体" w:cs="Times New Roman"/>
          <w:color w:val="000000" w:themeColor="text1"/>
          <w14:textFill>
            <w14:solidFill>
              <w14:schemeClr w14:val="tx1"/>
            </w14:solidFill>
          </w14:textFill>
        </w:rPr>
      </w:pPr>
      <w:r>
        <w:rPr>
          <w:rFonts w:eastAsia="宋体" w:cs="Times New Roman"/>
          <w:color w:val="000000" w:themeColor="text1"/>
          <w14:textFill>
            <w14:solidFill>
              <w14:schemeClr w14:val="tx1"/>
            </w14:solidFill>
          </w14:textFill>
        </w:rPr>
        <w:t>Available at: https://startuptalky.com/marketing-strategies-of-ford/#Ford_-_Marketing_Campaigns</w:t>
      </w:r>
    </w:p>
    <w:p>
      <w:pPr>
        <w:spacing w:line="240" w:lineRule="auto"/>
        <w:jc w:val="left"/>
        <w:rPr>
          <w:rFonts w:eastAsia="宋体" w:cs="Times New Roman"/>
          <w:color w:val="000000" w:themeColor="text1"/>
          <w14:textFill>
            <w14:solidFill>
              <w14:schemeClr w14:val="tx1"/>
            </w14:solidFill>
          </w14:textFill>
        </w:rPr>
      </w:pPr>
      <w:r>
        <w:rPr>
          <w:rFonts w:eastAsia="宋体" w:cs="Times New Roman"/>
          <w:color w:val="000000" w:themeColor="text1"/>
          <w14:textFill>
            <w14:solidFill>
              <w14:schemeClr w14:val="tx1"/>
            </w14:solidFill>
          </w14:textFill>
        </w:rPr>
        <w:t>[Accessed 11 7 2023].</w:t>
      </w:r>
    </w:p>
    <w:p>
      <w:pPr>
        <w:spacing w:line="240" w:lineRule="auto"/>
        <w:jc w:val="left"/>
        <w:rPr>
          <w:rFonts w:eastAsia="宋体" w:cs="Times New Roman"/>
          <w:color w:val="000000" w:themeColor="text1"/>
          <w14:textFill>
            <w14:solidFill>
              <w14:schemeClr w14:val="tx1"/>
            </w14:solidFill>
          </w14:textFill>
        </w:rPr>
      </w:pPr>
    </w:p>
    <w:p>
      <w:pPr>
        <w:spacing w:line="240" w:lineRule="auto"/>
        <w:jc w:val="left"/>
        <w:rPr>
          <w:rFonts w:eastAsia="宋体" w:cs="Times New Roman"/>
          <w:color w:val="000000" w:themeColor="text1"/>
          <w14:textFill>
            <w14:solidFill>
              <w14:schemeClr w14:val="tx1"/>
            </w14:solidFill>
          </w14:textFill>
        </w:rPr>
      </w:pPr>
      <w:r>
        <w:rPr>
          <w:rFonts w:eastAsia="宋体" w:cs="Times New Roman"/>
          <w:color w:val="000000" w:themeColor="text1"/>
          <w14:textFill>
            <w14:solidFill>
              <w14:schemeClr w14:val="tx1"/>
            </w14:solidFill>
          </w14:textFill>
        </w:rPr>
        <w:t xml:space="preserve">Danciu, V. (2013), </w:t>
      </w:r>
      <w:r>
        <w:rPr>
          <w:rFonts w:eastAsia="宋体" w:cs="Times New Roman"/>
          <w:i/>
          <w:iCs/>
          <w:color w:val="000000" w:themeColor="text1"/>
          <w14:textFill>
            <w14:solidFill>
              <w14:schemeClr w14:val="tx1"/>
            </w14:solidFill>
          </w14:textFill>
        </w:rPr>
        <w:t>The future of marketing: an appropriate response to the environment changes</w:t>
      </w:r>
      <w:r>
        <w:rPr>
          <w:rFonts w:eastAsia="宋体" w:cs="Times New Roman"/>
          <w:color w:val="000000" w:themeColor="text1"/>
          <w14:textFill>
            <w14:solidFill>
              <w14:schemeClr w14:val="tx1"/>
            </w14:solidFill>
          </w14:textFill>
        </w:rPr>
        <w:t>. Theoretical and Applied Economics, 20(5), pp. 33-52.</w:t>
      </w:r>
    </w:p>
    <w:p>
      <w:pPr>
        <w:spacing w:line="240" w:lineRule="auto"/>
        <w:jc w:val="left"/>
        <w:rPr>
          <w:rFonts w:eastAsia="宋体" w:cs="Times New Roman"/>
          <w:color w:val="000000" w:themeColor="text1"/>
          <w14:textFill>
            <w14:solidFill>
              <w14:schemeClr w14:val="tx1"/>
            </w14:solidFill>
          </w14:textFill>
        </w:rPr>
      </w:pPr>
    </w:p>
    <w:p>
      <w:pPr>
        <w:spacing w:line="240" w:lineRule="auto"/>
        <w:jc w:val="left"/>
        <w:rPr>
          <w:rFonts w:eastAsia="宋体" w:cs="Times New Roman"/>
          <w:color w:val="000000" w:themeColor="text1"/>
          <w14:textFill>
            <w14:solidFill>
              <w14:schemeClr w14:val="tx1"/>
            </w14:solidFill>
          </w14:textFill>
        </w:rPr>
      </w:pPr>
      <w:r>
        <w:rPr>
          <w:rFonts w:eastAsia="宋体" w:cs="Times New Roman"/>
          <w:color w:val="000000" w:themeColor="text1"/>
          <w14:textFill>
            <w14:solidFill>
              <w14:schemeClr w14:val="tx1"/>
            </w14:solidFill>
          </w14:textFill>
        </w:rPr>
        <w:t>Dearborn.2023.</w:t>
      </w:r>
      <w:r>
        <w:rPr>
          <w:rFonts w:cs="Times New Roman"/>
          <w:color w:val="000000" w:themeColor="text1"/>
          <w14:textFill>
            <w14:solidFill>
              <w14:schemeClr w14:val="tx1"/>
            </w14:solidFill>
          </w14:textFill>
        </w:rPr>
        <w:t xml:space="preserve"> Fo</w:t>
      </w:r>
      <w:r>
        <w:rPr>
          <w:rFonts w:eastAsia="宋体" w:cs="Times New Roman"/>
          <w:color w:val="000000" w:themeColor="text1"/>
          <w14:textFill>
            <w14:solidFill>
              <w14:schemeClr w14:val="tx1"/>
            </w14:solidFill>
          </w14:textFill>
        </w:rPr>
        <w:t>rd becomes america’s best-selling brand in the first quarter on rising sales for trucks, vans, broncos, large suvs, evs, mustang. [Online]</w:t>
      </w:r>
    </w:p>
    <w:p>
      <w:pPr>
        <w:spacing w:line="240" w:lineRule="auto"/>
        <w:jc w:val="left"/>
        <w:rPr>
          <w:rFonts w:eastAsia="宋体" w:cs="Times New Roman"/>
          <w:color w:val="000000" w:themeColor="text1"/>
          <w14:textFill>
            <w14:solidFill>
              <w14:schemeClr w14:val="tx1"/>
            </w14:solidFill>
          </w14:textFill>
        </w:rPr>
      </w:pPr>
      <w:r>
        <w:rPr>
          <w:rFonts w:eastAsia="宋体" w:cs="Times New Roman"/>
          <w:color w:val="000000" w:themeColor="text1"/>
          <w14:textFill>
            <w14:solidFill>
              <w14:schemeClr w14:val="tx1"/>
            </w14:solidFill>
          </w14:textFill>
        </w:rPr>
        <w:t>Available at: https://media.ford.com/content/fordmedia/fna/us/en/news/2023/04/04/ford-becomes-americas-best-selling-brand-in-the-first-quarter-on.html</w:t>
      </w:r>
    </w:p>
    <w:p>
      <w:pPr>
        <w:spacing w:line="240" w:lineRule="auto"/>
        <w:jc w:val="left"/>
        <w:rPr>
          <w:rFonts w:eastAsia="宋体" w:cs="Times New Roman"/>
          <w:color w:val="000000" w:themeColor="text1"/>
          <w14:textFill>
            <w14:solidFill>
              <w14:schemeClr w14:val="tx1"/>
            </w14:solidFill>
          </w14:textFill>
        </w:rPr>
      </w:pPr>
      <w:r>
        <w:rPr>
          <w:rFonts w:eastAsia="宋体" w:cs="Times New Roman"/>
          <w:color w:val="000000" w:themeColor="text1"/>
          <w14:textFill>
            <w14:solidFill>
              <w14:schemeClr w14:val="tx1"/>
            </w14:solidFill>
          </w14:textFill>
        </w:rPr>
        <w:t>[Accessed 11 7 2023].</w:t>
      </w:r>
    </w:p>
    <w:p>
      <w:pPr>
        <w:spacing w:line="240" w:lineRule="auto"/>
        <w:jc w:val="left"/>
        <w:rPr>
          <w:rFonts w:eastAsia="宋体" w:cs="Times New Roman"/>
          <w:color w:val="000000" w:themeColor="text1"/>
          <w14:textFill>
            <w14:solidFill>
              <w14:schemeClr w14:val="tx1"/>
            </w14:solidFill>
          </w14:textFill>
        </w:rPr>
      </w:pPr>
    </w:p>
    <w:p>
      <w:pPr>
        <w:spacing w:line="240" w:lineRule="auto"/>
        <w:jc w:val="left"/>
        <w:rPr>
          <w:rFonts w:eastAsia="宋体" w:cs="Times New Roman"/>
          <w:color w:val="000000" w:themeColor="text1"/>
          <w14:textFill>
            <w14:solidFill>
              <w14:schemeClr w14:val="tx1"/>
            </w14:solidFill>
          </w14:textFill>
        </w:rPr>
      </w:pPr>
      <w:r>
        <w:rPr>
          <w:rFonts w:eastAsia="宋体" w:cs="Times New Roman"/>
          <w:color w:val="000000" w:themeColor="text1"/>
          <w14:textFill>
            <w14:solidFill>
              <w14:schemeClr w14:val="tx1"/>
            </w14:solidFill>
          </w14:textFill>
        </w:rPr>
        <w:t xml:space="preserve">Fahy, J., and Jobber, D., (2015), </w:t>
      </w:r>
      <w:r>
        <w:rPr>
          <w:rFonts w:eastAsia="宋体" w:cs="Times New Roman"/>
          <w:i/>
          <w:iCs/>
          <w:color w:val="000000" w:themeColor="text1"/>
          <w14:textFill>
            <w14:solidFill>
              <w14:schemeClr w14:val="tx1"/>
            </w14:solidFill>
          </w14:textFill>
        </w:rPr>
        <w:t>Foundations of Marketing</w:t>
      </w:r>
      <w:r>
        <w:rPr>
          <w:rFonts w:eastAsia="宋体" w:cs="Times New Roman"/>
          <w:color w:val="000000" w:themeColor="text1"/>
          <w14:textFill>
            <w14:solidFill>
              <w14:schemeClr w14:val="tx1"/>
            </w14:solidFill>
          </w14:textFill>
        </w:rPr>
        <w:t>, 5th edition, London: McGraw-Hill</w:t>
      </w:r>
    </w:p>
    <w:p>
      <w:pPr>
        <w:spacing w:line="240" w:lineRule="auto"/>
        <w:jc w:val="left"/>
        <w:rPr>
          <w:rFonts w:eastAsia="宋体" w:cs="Times New Roman"/>
          <w:color w:val="000000" w:themeColor="text1"/>
          <w14:textFill>
            <w14:solidFill>
              <w14:schemeClr w14:val="tx1"/>
            </w14:solidFill>
          </w14:textFill>
        </w:rPr>
      </w:pPr>
    </w:p>
    <w:p>
      <w:pPr>
        <w:spacing w:line="240" w:lineRule="auto"/>
        <w:jc w:val="left"/>
        <w:rPr>
          <w:rFonts w:eastAsia="宋体" w:cs="Times New Roman"/>
          <w:color w:val="000000" w:themeColor="text1"/>
          <w14:textFill>
            <w14:solidFill>
              <w14:schemeClr w14:val="tx1"/>
            </w14:solidFill>
          </w14:textFill>
        </w:rPr>
      </w:pPr>
      <w:r>
        <w:rPr>
          <w:rFonts w:eastAsia="宋体" w:cs="Times New Roman"/>
          <w:color w:val="000000" w:themeColor="text1"/>
          <w14:textFill>
            <w14:solidFill>
              <w14:schemeClr w14:val="tx1"/>
            </w14:solidFill>
          </w14:textFill>
        </w:rPr>
        <w:t>Ford Motor Company.2016.</w:t>
      </w:r>
      <w:r>
        <w:rPr>
          <w:rFonts w:cs="Times New Roman"/>
          <w:color w:val="000000" w:themeColor="text1"/>
          <w14:textFill>
            <w14:solidFill>
              <w14:schemeClr w14:val="tx1"/>
            </w14:solidFill>
          </w14:textFill>
        </w:rPr>
        <w:t xml:space="preserve"> Ford: Go Further Event 2016</w:t>
      </w:r>
      <w:r>
        <w:rPr>
          <w:rFonts w:eastAsia="宋体" w:cs="Times New Roman"/>
          <w:color w:val="000000" w:themeColor="text1"/>
          <w14:textFill>
            <w14:solidFill>
              <w14:schemeClr w14:val="tx1"/>
            </w14:solidFill>
          </w14:textFill>
        </w:rPr>
        <w:t>. [Online]</w:t>
      </w:r>
    </w:p>
    <w:p>
      <w:pPr>
        <w:spacing w:line="240" w:lineRule="auto"/>
        <w:jc w:val="left"/>
        <w:rPr>
          <w:rFonts w:eastAsia="宋体" w:cs="Times New Roman"/>
          <w:color w:val="000000" w:themeColor="text1"/>
          <w14:textFill>
            <w14:solidFill>
              <w14:schemeClr w14:val="tx1"/>
            </w14:solidFill>
          </w14:textFill>
        </w:rPr>
      </w:pPr>
      <w:r>
        <w:rPr>
          <w:rFonts w:eastAsia="宋体" w:cs="Times New Roman"/>
          <w:color w:val="000000" w:themeColor="text1"/>
          <w14:textFill>
            <w14:solidFill>
              <w14:schemeClr w14:val="tx1"/>
            </w14:solidFill>
          </w14:textFill>
        </w:rPr>
        <w:t>Available at: https://www.youtube.com/watch?v=CDzi6zm7SHA</w:t>
      </w:r>
    </w:p>
    <w:p>
      <w:pPr>
        <w:spacing w:line="240" w:lineRule="auto"/>
        <w:jc w:val="left"/>
        <w:rPr>
          <w:rFonts w:eastAsia="宋体" w:cs="Times New Roman"/>
          <w:color w:val="000000" w:themeColor="text1"/>
          <w14:textFill>
            <w14:solidFill>
              <w14:schemeClr w14:val="tx1"/>
            </w14:solidFill>
          </w14:textFill>
        </w:rPr>
      </w:pPr>
      <w:r>
        <w:rPr>
          <w:rFonts w:eastAsia="宋体" w:cs="Times New Roman"/>
          <w:color w:val="000000" w:themeColor="text1"/>
          <w14:textFill>
            <w14:solidFill>
              <w14:schemeClr w14:val="tx1"/>
            </w14:solidFill>
          </w14:textFill>
        </w:rPr>
        <w:t>[Accessed 11 7 2023].</w:t>
      </w:r>
    </w:p>
    <w:p>
      <w:pPr>
        <w:spacing w:line="240" w:lineRule="auto"/>
        <w:jc w:val="left"/>
        <w:rPr>
          <w:rFonts w:eastAsia="宋体" w:cs="Times New Roman"/>
          <w:color w:val="000000" w:themeColor="text1"/>
          <w14:textFill>
            <w14:solidFill>
              <w14:schemeClr w14:val="tx1"/>
            </w14:solidFill>
          </w14:textFill>
        </w:rPr>
      </w:pPr>
    </w:p>
    <w:p>
      <w:pPr>
        <w:spacing w:line="240" w:lineRule="auto"/>
        <w:jc w:val="left"/>
        <w:rPr>
          <w:rFonts w:eastAsia="宋体" w:cs="Times New Roman"/>
          <w:color w:val="000000" w:themeColor="text1"/>
          <w14:textFill>
            <w14:solidFill>
              <w14:schemeClr w14:val="tx1"/>
            </w14:solidFill>
          </w14:textFill>
        </w:rPr>
      </w:pPr>
      <w:r>
        <w:rPr>
          <w:rFonts w:eastAsia="宋体" w:cs="Times New Roman"/>
          <w:color w:val="000000" w:themeColor="text1"/>
          <w14:textFill>
            <w14:solidFill>
              <w14:schemeClr w14:val="tx1"/>
            </w14:solidFill>
          </w14:textFill>
        </w:rPr>
        <w:t>Ford Motor Company.2022.</w:t>
      </w:r>
      <w:r>
        <w:rPr>
          <w:rFonts w:cs="Times New Roman"/>
          <w:color w:val="000000" w:themeColor="text1"/>
          <w14:textFill>
            <w14:solidFill>
              <w14:schemeClr w14:val="tx1"/>
            </w14:solidFill>
          </w14:textFill>
        </w:rPr>
        <w:t xml:space="preserve"> F-150 Lightning: 10,000 LB Max Towing Testing | Built Ford Tough | Ford</w:t>
      </w:r>
      <w:r>
        <w:rPr>
          <w:rFonts w:eastAsia="宋体" w:cs="Times New Roman"/>
          <w:color w:val="000000" w:themeColor="text1"/>
          <w14:textFill>
            <w14:solidFill>
              <w14:schemeClr w14:val="tx1"/>
            </w14:solidFill>
          </w14:textFill>
        </w:rPr>
        <w:t>. [Online]</w:t>
      </w:r>
    </w:p>
    <w:p>
      <w:pPr>
        <w:spacing w:line="240" w:lineRule="auto"/>
        <w:jc w:val="left"/>
        <w:rPr>
          <w:rFonts w:eastAsia="宋体" w:cs="Times New Roman"/>
          <w:color w:val="000000" w:themeColor="text1"/>
          <w14:textFill>
            <w14:solidFill>
              <w14:schemeClr w14:val="tx1"/>
            </w14:solidFill>
          </w14:textFill>
        </w:rPr>
      </w:pPr>
      <w:r>
        <w:rPr>
          <w:rFonts w:eastAsia="宋体" w:cs="Times New Roman"/>
          <w:color w:val="000000" w:themeColor="text1"/>
          <w14:textFill>
            <w14:solidFill>
              <w14:schemeClr w14:val="tx1"/>
            </w14:solidFill>
          </w14:textFill>
        </w:rPr>
        <w:t>Available at: https://www.youtube.com/watch?v=_ZJrkBrruuk</w:t>
      </w:r>
    </w:p>
    <w:p>
      <w:pPr>
        <w:spacing w:line="240" w:lineRule="auto"/>
        <w:jc w:val="left"/>
        <w:rPr>
          <w:rFonts w:eastAsia="宋体" w:cs="Times New Roman"/>
          <w:color w:val="000000" w:themeColor="text1"/>
          <w14:textFill>
            <w14:solidFill>
              <w14:schemeClr w14:val="tx1"/>
            </w14:solidFill>
          </w14:textFill>
        </w:rPr>
      </w:pPr>
      <w:r>
        <w:rPr>
          <w:rFonts w:eastAsia="宋体" w:cs="Times New Roman"/>
          <w:color w:val="000000" w:themeColor="text1"/>
          <w14:textFill>
            <w14:solidFill>
              <w14:schemeClr w14:val="tx1"/>
            </w14:solidFill>
          </w14:textFill>
        </w:rPr>
        <w:t>[Accessed 11 7 2023].</w:t>
      </w:r>
    </w:p>
    <w:p>
      <w:pPr>
        <w:spacing w:line="240" w:lineRule="auto"/>
        <w:jc w:val="left"/>
        <w:rPr>
          <w:rFonts w:eastAsia="宋体" w:cs="Times New Roman"/>
          <w:color w:val="000000" w:themeColor="text1"/>
          <w14:textFill>
            <w14:solidFill>
              <w14:schemeClr w14:val="tx1"/>
            </w14:solidFill>
          </w14:textFill>
        </w:rPr>
      </w:pPr>
    </w:p>
    <w:p>
      <w:pPr>
        <w:spacing w:line="240" w:lineRule="auto"/>
        <w:jc w:val="left"/>
        <w:rPr>
          <w:rFonts w:eastAsia="宋体" w:cs="Times New Roman"/>
          <w:color w:val="000000" w:themeColor="text1"/>
          <w14:textFill>
            <w14:solidFill>
              <w14:schemeClr w14:val="tx1"/>
            </w14:solidFill>
          </w14:textFill>
        </w:rPr>
      </w:pPr>
      <w:r>
        <w:rPr>
          <w:rFonts w:eastAsia="宋体" w:cs="Times New Roman"/>
          <w:color w:val="000000" w:themeColor="text1"/>
          <w14:textFill>
            <w14:solidFill>
              <w14:schemeClr w14:val="tx1"/>
            </w14:solidFill>
          </w14:textFill>
        </w:rPr>
        <w:t xml:space="preserve">Foreman, J. et al (2014), </w:t>
      </w:r>
      <w:r>
        <w:rPr>
          <w:rFonts w:eastAsia="宋体" w:cs="Times New Roman"/>
          <w:i/>
          <w:iCs/>
          <w:color w:val="000000" w:themeColor="text1"/>
          <w14:textFill>
            <w14:solidFill>
              <w14:schemeClr w14:val="tx1"/>
            </w14:solidFill>
          </w14:textFill>
        </w:rPr>
        <w:t>The performance implications of planning, implementation, and evolution of firms’ customer and competitor orientations</w:t>
      </w:r>
      <w:r>
        <w:rPr>
          <w:rFonts w:eastAsia="宋体" w:cs="Times New Roman"/>
          <w:color w:val="000000" w:themeColor="text1"/>
          <w14:textFill>
            <w14:solidFill>
              <w14:schemeClr w14:val="tx1"/>
            </w14:solidFill>
          </w14:textFill>
        </w:rPr>
        <w:t>, Journal of Marketing Theory and Practice, 22(4), pp.349-366.</w:t>
      </w:r>
    </w:p>
    <w:p>
      <w:pPr>
        <w:spacing w:line="240" w:lineRule="auto"/>
        <w:jc w:val="left"/>
        <w:rPr>
          <w:rFonts w:eastAsia="宋体" w:cs="Times New Roman"/>
          <w:color w:val="000000" w:themeColor="text1"/>
          <w14:textFill>
            <w14:solidFill>
              <w14:schemeClr w14:val="tx1"/>
            </w14:solidFill>
          </w14:textFill>
        </w:rPr>
      </w:pPr>
    </w:p>
    <w:p>
      <w:pPr>
        <w:spacing w:line="240" w:lineRule="auto"/>
        <w:rPr>
          <w:rFonts w:cs="Times New Roman"/>
          <w:color w:val="000000" w:themeColor="text1"/>
          <w14:textFill>
            <w14:solidFill>
              <w14:schemeClr w14:val="tx1"/>
            </w14:solidFill>
          </w14:textFill>
        </w:rPr>
      </w:pPr>
      <w:r>
        <w:rPr>
          <w:rFonts w:cs="Times New Roman"/>
          <w:color w:val="000000" w:themeColor="text1"/>
          <w14:textFill>
            <w14:solidFill>
              <w14:schemeClr w14:val="tx1"/>
            </w14:solidFill>
          </w14:textFill>
        </w:rPr>
        <w:t xml:space="preserve">Haralayya, B. (2021). </w:t>
      </w:r>
      <w:r>
        <w:rPr>
          <w:rFonts w:cs="Times New Roman"/>
          <w:i/>
          <w:iCs/>
          <w:color w:val="000000" w:themeColor="text1"/>
          <w14:textFill>
            <w14:solidFill>
              <w14:schemeClr w14:val="tx1"/>
            </w14:solidFill>
          </w14:textFill>
        </w:rPr>
        <w:t>Effect of Branding on Consumer Buying Behaviour at Vijay Bharat Motors Pvt Ltd, Bidar. </w:t>
      </w:r>
      <w:r>
        <w:rPr>
          <w:rFonts w:cs="Times New Roman"/>
          <w:color w:val="000000" w:themeColor="text1"/>
          <w14:textFill>
            <w14:solidFill>
              <w14:schemeClr w14:val="tx1"/>
            </w14:solidFill>
          </w14:textFill>
        </w:rPr>
        <w:t>Iconic Research And Engineering Journals,</w:t>
      </w:r>
      <w:r>
        <w:rPr>
          <w:rFonts w:cs="Times New Roman"/>
          <w:i/>
          <w:iCs/>
          <w:color w:val="000000" w:themeColor="text1"/>
          <w14:textFill>
            <w14:solidFill>
              <w14:schemeClr w14:val="tx1"/>
            </w14:solidFill>
          </w14:textFill>
        </w:rPr>
        <w:t> 4</w:t>
      </w:r>
      <w:r>
        <w:rPr>
          <w:rFonts w:cs="Times New Roman"/>
          <w:color w:val="000000" w:themeColor="text1"/>
          <w14:textFill>
            <w14:solidFill>
              <w14:schemeClr w14:val="tx1"/>
            </w14:solidFill>
          </w14:textFill>
        </w:rPr>
        <w:t>(12), 207-222.</w:t>
      </w:r>
    </w:p>
    <w:p>
      <w:pPr>
        <w:spacing w:line="240" w:lineRule="auto"/>
        <w:jc w:val="left"/>
        <w:rPr>
          <w:rFonts w:eastAsia="宋体" w:cs="Times New Roman"/>
          <w:color w:val="000000" w:themeColor="text1"/>
          <w14:textFill>
            <w14:solidFill>
              <w14:schemeClr w14:val="tx1"/>
            </w14:solidFill>
          </w14:textFill>
        </w:rPr>
      </w:pPr>
    </w:p>
    <w:p>
      <w:pPr>
        <w:spacing w:line="240" w:lineRule="auto"/>
        <w:jc w:val="left"/>
        <w:rPr>
          <w:rFonts w:eastAsia="宋体" w:cs="Times New Roman"/>
          <w:color w:val="000000" w:themeColor="text1"/>
          <w14:textFill>
            <w14:solidFill>
              <w14:schemeClr w14:val="tx1"/>
            </w14:solidFill>
          </w14:textFill>
        </w:rPr>
      </w:pPr>
      <w:r>
        <w:rPr>
          <w:rFonts w:eastAsia="宋体" w:cs="Times New Roman"/>
          <w:color w:val="000000" w:themeColor="text1"/>
          <w14:textFill>
            <w14:solidFill>
              <w14:schemeClr w14:val="tx1"/>
            </w14:solidFill>
          </w14:textFill>
        </w:rPr>
        <w:t xml:space="preserve">Hidrue, M. K., Parsons, G. R, Kempton, W., et al,(2011), </w:t>
      </w:r>
      <w:r>
        <w:rPr>
          <w:rFonts w:eastAsia="宋体" w:cs="Times New Roman"/>
          <w:i/>
          <w:iCs/>
          <w:color w:val="000000" w:themeColor="text1"/>
          <w14:textFill>
            <w14:solidFill>
              <w14:schemeClr w14:val="tx1"/>
            </w14:solidFill>
          </w14:textFill>
        </w:rPr>
        <w:t>Willingness to pay for electricvehicles and their attributes[J]</w:t>
      </w:r>
      <w:r>
        <w:rPr>
          <w:rFonts w:eastAsia="宋体" w:cs="Times New Roman"/>
          <w:color w:val="000000" w:themeColor="text1"/>
          <w14:textFill>
            <w14:solidFill>
              <w14:schemeClr w14:val="tx1"/>
            </w14:solidFill>
          </w14:textFill>
        </w:rPr>
        <w:t>. Resource and Energy Economics.</w:t>
      </w:r>
    </w:p>
    <w:p>
      <w:pPr>
        <w:spacing w:line="240" w:lineRule="auto"/>
        <w:rPr>
          <w:rFonts w:eastAsia="宋体" w:cs="Times New Roman"/>
          <w:color w:val="000000" w:themeColor="text1"/>
          <w14:textFill>
            <w14:solidFill>
              <w14:schemeClr w14:val="tx1"/>
            </w14:solidFill>
          </w14:textFill>
        </w:rPr>
      </w:pPr>
    </w:p>
    <w:p>
      <w:pPr>
        <w:spacing w:line="240" w:lineRule="auto"/>
        <w:jc w:val="left"/>
        <w:rPr>
          <w:rFonts w:eastAsia="宋体" w:cs="Times New Roman"/>
          <w:color w:val="000000" w:themeColor="text1"/>
          <w14:textFill>
            <w14:solidFill>
              <w14:schemeClr w14:val="tx1"/>
            </w14:solidFill>
          </w14:textFill>
        </w:rPr>
      </w:pPr>
      <w:r>
        <w:rPr>
          <w:rFonts w:eastAsia="宋体" w:cs="Times New Roman"/>
          <w:color w:val="000000" w:themeColor="text1"/>
          <w14:textFill>
            <w14:solidFill>
              <w14:schemeClr w14:val="tx1"/>
            </w14:solidFill>
          </w14:textFill>
        </w:rPr>
        <w:t>Interface Express. 2020. Reuters: BYD and Ford reached a battery supply agreement. [online]</w:t>
      </w:r>
    </w:p>
    <w:p>
      <w:pPr>
        <w:spacing w:line="240" w:lineRule="auto"/>
        <w:jc w:val="left"/>
        <w:rPr>
          <w:rFonts w:eastAsia="宋体" w:cs="Times New Roman"/>
          <w:color w:val="000000" w:themeColor="text1"/>
          <w14:textFill>
            <w14:solidFill>
              <w14:schemeClr w14:val="tx1"/>
            </w14:solidFill>
          </w14:textFill>
        </w:rPr>
      </w:pPr>
      <w:r>
        <w:rPr>
          <w:rFonts w:eastAsia="宋体" w:cs="Times New Roman"/>
          <w:color w:val="000000" w:themeColor="text1"/>
          <w14:textFill>
            <w14:solidFill>
              <w14:schemeClr w14:val="tx1"/>
            </w14:solidFill>
          </w14:textFill>
        </w:rPr>
        <w:t xml:space="preserve">Available at: https://www.jiemian.com/article/4463703.html </w:t>
      </w:r>
    </w:p>
    <w:p>
      <w:pPr>
        <w:spacing w:line="240" w:lineRule="auto"/>
        <w:jc w:val="left"/>
        <w:rPr>
          <w:rFonts w:eastAsia="宋体" w:cs="Times New Roman"/>
          <w:color w:val="000000" w:themeColor="text1"/>
          <w14:textFill>
            <w14:solidFill>
              <w14:schemeClr w14:val="tx1"/>
            </w14:solidFill>
          </w14:textFill>
        </w:rPr>
      </w:pPr>
      <w:r>
        <w:rPr>
          <w:rFonts w:eastAsia="宋体" w:cs="Times New Roman"/>
          <w:color w:val="000000" w:themeColor="text1"/>
          <w14:textFill>
            <w14:solidFill>
              <w14:schemeClr w14:val="tx1"/>
            </w14:solidFill>
          </w14:textFill>
        </w:rPr>
        <w:t>[Accessed 11 7 2023].</w:t>
      </w:r>
    </w:p>
    <w:p>
      <w:pPr>
        <w:spacing w:line="240" w:lineRule="auto"/>
        <w:jc w:val="left"/>
        <w:rPr>
          <w:rFonts w:eastAsia="宋体" w:cs="Times New Roman"/>
          <w:color w:val="000000" w:themeColor="text1"/>
          <w14:textFill>
            <w14:solidFill>
              <w14:schemeClr w14:val="tx1"/>
            </w14:solidFill>
          </w14:textFill>
        </w:rPr>
      </w:pPr>
    </w:p>
    <w:p>
      <w:pPr>
        <w:spacing w:line="240" w:lineRule="auto"/>
        <w:jc w:val="left"/>
        <w:rPr>
          <w:rFonts w:eastAsia="宋体" w:cs="Times New Roman"/>
          <w:color w:val="000000" w:themeColor="text1"/>
          <w14:textFill>
            <w14:solidFill>
              <w14:schemeClr w14:val="tx1"/>
            </w14:solidFill>
          </w14:textFill>
        </w:rPr>
      </w:pPr>
      <w:r>
        <w:rPr>
          <w:rFonts w:eastAsia="宋体" w:cs="Times New Roman"/>
          <w:color w:val="000000" w:themeColor="text1"/>
          <w14:textFill>
            <w14:solidFill>
              <w14:schemeClr w14:val="tx1"/>
            </w14:solidFill>
          </w14:textFill>
        </w:rPr>
        <w:t>Investopedia,2023. SWOT Analysis: How To With Table and Example. [online]</w:t>
      </w:r>
    </w:p>
    <w:p>
      <w:pPr>
        <w:spacing w:line="240" w:lineRule="auto"/>
        <w:jc w:val="left"/>
        <w:rPr>
          <w:rFonts w:eastAsia="宋体" w:cs="Times New Roman"/>
          <w:color w:val="000000" w:themeColor="text1"/>
          <w14:textFill>
            <w14:solidFill>
              <w14:schemeClr w14:val="tx1"/>
            </w14:solidFill>
          </w14:textFill>
        </w:rPr>
      </w:pPr>
      <w:r>
        <w:rPr>
          <w:rFonts w:eastAsia="宋体" w:cs="Times New Roman"/>
          <w:color w:val="000000" w:themeColor="text1"/>
          <w14:textFill>
            <w14:solidFill>
              <w14:schemeClr w14:val="tx1"/>
            </w14:solidFill>
          </w14:textFill>
        </w:rPr>
        <w:t>Available at: https://www.investopedia.com/terms/s/swot.asp</w:t>
      </w:r>
    </w:p>
    <w:p>
      <w:pPr>
        <w:spacing w:line="240" w:lineRule="auto"/>
        <w:rPr>
          <w:rFonts w:eastAsia="宋体" w:cs="Times New Roman"/>
          <w:color w:val="000000" w:themeColor="text1"/>
          <w14:textFill>
            <w14:solidFill>
              <w14:schemeClr w14:val="tx1"/>
            </w14:solidFill>
          </w14:textFill>
        </w:rPr>
      </w:pPr>
      <w:r>
        <w:rPr>
          <w:rFonts w:eastAsia="宋体" w:cs="Times New Roman"/>
          <w:color w:val="000000" w:themeColor="text1"/>
          <w14:textFill>
            <w14:solidFill>
              <w14:schemeClr w14:val="tx1"/>
            </w14:solidFill>
          </w14:textFill>
        </w:rPr>
        <w:t>[Accessed 11 7 2023].</w:t>
      </w:r>
    </w:p>
    <w:p>
      <w:pPr>
        <w:spacing w:line="240" w:lineRule="auto"/>
        <w:jc w:val="left"/>
        <w:rPr>
          <w:rFonts w:eastAsia="宋体" w:cs="Times New Roman"/>
          <w:color w:val="000000" w:themeColor="text1"/>
          <w14:textFill>
            <w14:solidFill>
              <w14:schemeClr w14:val="tx1"/>
            </w14:solidFill>
          </w14:textFill>
        </w:rPr>
      </w:pPr>
    </w:p>
    <w:p>
      <w:pPr>
        <w:spacing w:line="240" w:lineRule="auto"/>
        <w:jc w:val="left"/>
        <w:rPr>
          <w:rFonts w:eastAsia="宋体" w:cs="Times New Roman"/>
          <w:color w:val="000000" w:themeColor="text1"/>
          <w14:textFill>
            <w14:solidFill>
              <w14:schemeClr w14:val="tx1"/>
            </w14:solidFill>
          </w14:textFill>
        </w:rPr>
      </w:pPr>
      <w:r>
        <w:rPr>
          <w:rFonts w:eastAsia="宋体" w:cs="Times New Roman"/>
          <w:color w:val="000000" w:themeColor="text1"/>
          <w14:textFill>
            <w14:solidFill>
              <w14:schemeClr w14:val="tx1"/>
            </w14:solidFill>
          </w14:textFill>
        </w:rPr>
        <w:t xml:space="preserve">Kim, W.C. and Mauborgne, R. (2014), </w:t>
      </w:r>
      <w:r>
        <w:rPr>
          <w:rFonts w:eastAsia="宋体" w:cs="Times New Roman"/>
          <w:i/>
          <w:iCs/>
          <w:color w:val="000000" w:themeColor="text1"/>
          <w14:textFill>
            <w14:solidFill>
              <w14:schemeClr w14:val="tx1"/>
            </w14:solidFill>
          </w14:textFill>
        </w:rPr>
        <w:t>Blue ocean leadership</w:t>
      </w:r>
      <w:r>
        <w:rPr>
          <w:rFonts w:eastAsia="宋体" w:cs="Times New Roman"/>
          <w:color w:val="000000" w:themeColor="text1"/>
          <w14:textFill>
            <w14:solidFill>
              <w14:schemeClr w14:val="tx1"/>
            </w14:solidFill>
          </w14:textFill>
        </w:rPr>
        <w:t xml:space="preserve">, Harvard Business Review, 92(5), pp. 60-72. </w:t>
      </w:r>
    </w:p>
    <w:p>
      <w:pPr>
        <w:spacing w:line="240" w:lineRule="auto"/>
        <w:jc w:val="left"/>
        <w:rPr>
          <w:rFonts w:eastAsia="宋体" w:cs="Times New Roman"/>
          <w:color w:val="000000" w:themeColor="text1"/>
          <w14:textFill>
            <w14:solidFill>
              <w14:schemeClr w14:val="tx1"/>
            </w14:solidFill>
          </w14:textFill>
        </w:rPr>
      </w:pPr>
    </w:p>
    <w:p>
      <w:pPr>
        <w:spacing w:line="240" w:lineRule="auto"/>
        <w:jc w:val="left"/>
        <w:rPr>
          <w:rFonts w:eastAsia="宋体" w:cs="Times New Roman"/>
          <w:color w:val="000000" w:themeColor="text1"/>
          <w14:textFill>
            <w14:solidFill>
              <w14:schemeClr w14:val="tx1"/>
            </w14:solidFill>
          </w14:textFill>
        </w:rPr>
      </w:pPr>
      <w:r>
        <w:rPr>
          <w:rFonts w:eastAsia="宋体" w:cs="Times New Roman"/>
          <w:color w:val="000000" w:themeColor="text1"/>
          <w14:textFill>
            <w14:solidFill>
              <w14:schemeClr w14:val="tx1"/>
            </w14:solidFill>
          </w14:textFill>
        </w:rPr>
        <w:t xml:space="preserve">Kotler P and Chernev, A. (2014), </w:t>
      </w:r>
      <w:r>
        <w:rPr>
          <w:rFonts w:eastAsia="宋体" w:cs="Times New Roman"/>
          <w:i/>
          <w:iCs/>
          <w:color w:val="000000" w:themeColor="text1"/>
          <w14:textFill>
            <w14:solidFill>
              <w14:schemeClr w14:val="tx1"/>
            </w14:solidFill>
          </w14:textFill>
        </w:rPr>
        <w:t>Strategic Marketing Management</w:t>
      </w:r>
      <w:r>
        <w:rPr>
          <w:rFonts w:eastAsia="宋体" w:cs="Times New Roman"/>
          <w:color w:val="000000" w:themeColor="text1"/>
          <w14:textFill>
            <w14:solidFill>
              <w14:schemeClr w14:val="tx1"/>
            </w14:solidFill>
          </w14:textFill>
        </w:rPr>
        <w:t>, 8th edition, Cerebellum Press</w:t>
      </w:r>
    </w:p>
    <w:p>
      <w:pPr>
        <w:spacing w:line="240" w:lineRule="auto"/>
        <w:jc w:val="left"/>
        <w:rPr>
          <w:rFonts w:eastAsia="宋体" w:cs="Times New Roman"/>
          <w:color w:val="000000" w:themeColor="text1"/>
          <w14:textFill>
            <w14:solidFill>
              <w14:schemeClr w14:val="tx1"/>
            </w14:solidFill>
          </w14:textFill>
        </w:rPr>
      </w:pPr>
    </w:p>
    <w:p>
      <w:pPr>
        <w:spacing w:line="240" w:lineRule="auto"/>
        <w:jc w:val="left"/>
        <w:rPr>
          <w:rFonts w:eastAsia="宋体" w:cs="Times New Roman"/>
          <w:color w:val="000000" w:themeColor="text1"/>
          <w14:textFill>
            <w14:solidFill>
              <w14:schemeClr w14:val="tx1"/>
            </w14:solidFill>
          </w14:textFill>
        </w:rPr>
      </w:pPr>
      <w:r>
        <w:rPr>
          <w:rFonts w:eastAsia="宋体" w:cs="Times New Roman"/>
          <w:color w:val="000000" w:themeColor="text1"/>
          <w14:textFill>
            <w14:solidFill>
              <w14:schemeClr w14:val="tx1"/>
            </w14:solidFill>
          </w14:textFill>
        </w:rPr>
        <w:t>LAURENCE ILIFF. 2023.</w:t>
      </w:r>
      <w:r>
        <w:rPr>
          <w:rFonts w:cs="Times New Roman"/>
          <w:color w:val="000000" w:themeColor="text1"/>
          <w14:textFill>
            <w14:solidFill>
              <w14:schemeClr w14:val="tx1"/>
            </w14:solidFill>
          </w14:textFill>
        </w:rPr>
        <w:t xml:space="preserve"> </w:t>
      </w:r>
      <w:r>
        <w:rPr>
          <w:rFonts w:eastAsia="宋体" w:cs="Times New Roman"/>
          <w:color w:val="000000" w:themeColor="text1"/>
          <w14:textFill>
            <w14:solidFill>
              <w14:schemeClr w14:val="tx1"/>
            </w14:solidFill>
          </w14:textFill>
        </w:rPr>
        <w:t>Tesla, Ford, GM drive EVs to 5.6% of U.S. market. [online]</w:t>
      </w:r>
    </w:p>
    <w:p>
      <w:pPr>
        <w:spacing w:line="240" w:lineRule="auto"/>
        <w:jc w:val="left"/>
        <w:rPr>
          <w:rFonts w:eastAsia="宋体" w:cs="Times New Roman"/>
          <w:color w:val="000000" w:themeColor="text1"/>
          <w14:textFill>
            <w14:solidFill>
              <w14:schemeClr w14:val="tx1"/>
            </w14:solidFill>
          </w14:textFill>
        </w:rPr>
      </w:pPr>
      <w:r>
        <w:rPr>
          <w:rFonts w:eastAsia="宋体" w:cs="Times New Roman"/>
          <w:color w:val="000000" w:themeColor="text1"/>
          <w14:textFill>
            <w14:solidFill>
              <w14:schemeClr w14:val="tx1"/>
            </w14:solidFill>
          </w14:textFill>
        </w:rPr>
        <w:t>Available at: https://www.autonews.com/sales/evs-rise-56-us-market-led-tesla-ford-gm</w:t>
      </w:r>
    </w:p>
    <w:p>
      <w:pPr>
        <w:spacing w:line="240" w:lineRule="auto"/>
        <w:jc w:val="left"/>
        <w:rPr>
          <w:rFonts w:eastAsia="宋体" w:cs="Times New Roman"/>
          <w:color w:val="000000" w:themeColor="text1"/>
          <w14:textFill>
            <w14:solidFill>
              <w14:schemeClr w14:val="tx1"/>
            </w14:solidFill>
          </w14:textFill>
        </w:rPr>
      </w:pPr>
      <w:r>
        <w:rPr>
          <w:rFonts w:eastAsia="宋体" w:cs="Times New Roman"/>
          <w:color w:val="000000" w:themeColor="text1"/>
          <w14:textFill>
            <w14:solidFill>
              <w14:schemeClr w14:val="tx1"/>
            </w14:solidFill>
          </w14:textFill>
        </w:rPr>
        <w:t>[Accessed 11 7 2023].</w:t>
      </w:r>
    </w:p>
    <w:p>
      <w:pPr>
        <w:spacing w:line="240" w:lineRule="auto"/>
        <w:jc w:val="left"/>
        <w:rPr>
          <w:rFonts w:eastAsia="宋体" w:cs="Times New Roman"/>
          <w:color w:val="000000" w:themeColor="text1"/>
          <w14:textFill>
            <w14:solidFill>
              <w14:schemeClr w14:val="tx1"/>
            </w14:solidFill>
          </w14:textFill>
        </w:rPr>
      </w:pPr>
    </w:p>
    <w:p>
      <w:pPr>
        <w:spacing w:line="240" w:lineRule="auto"/>
        <w:jc w:val="left"/>
        <w:rPr>
          <w:rFonts w:eastAsia="宋体" w:cs="Times New Roman"/>
          <w:color w:val="000000" w:themeColor="text1"/>
          <w14:textFill>
            <w14:solidFill>
              <w14:schemeClr w14:val="tx1"/>
            </w14:solidFill>
          </w14:textFill>
        </w:rPr>
      </w:pPr>
      <w:r>
        <w:rPr>
          <w:rFonts w:eastAsia="宋体" w:cs="Times New Roman"/>
          <w:color w:val="000000" w:themeColor="text1"/>
          <w14:textFill>
            <w14:solidFill>
              <w14:schemeClr w14:val="tx1"/>
            </w14:solidFill>
          </w14:textFill>
        </w:rPr>
        <w:t xml:space="preserve">Lynch, R., (2015), </w:t>
      </w:r>
      <w:r>
        <w:rPr>
          <w:rFonts w:eastAsia="宋体" w:cs="Times New Roman"/>
          <w:i/>
          <w:iCs/>
          <w:color w:val="000000" w:themeColor="text1"/>
          <w14:textFill>
            <w14:solidFill>
              <w14:schemeClr w14:val="tx1"/>
            </w14:solidFill>
          </w14:textFill>
        </w:rPr>
        <w:t>Strategic Marketing 7th edition,</w:t>
      </w:r>
      <w:r>
        <w:rPr>
          <w:rFonts w:eastAsia="宋体" w:cs="Times New Roman"/>
          <w:color w:val="000000" w:themeColor="text1"/>
          <w14:textFill>
            <w14:solidFill>
              <w14:schemeClr w14:val="tx1"/>
            </w14:solidFill>
          </w14:textFill>
        </w:rPr>
        <w:t xml:space="preserve"> Harlow: Pearson </w:t>
      </w:r>
    </w:p>
    <w:p>
      <w:pPr>
        <w:spacing w:line="240" w:lineRule="auto"/>
        <w:jc w:val="left"/>
        <w:rPr>
          <w:rFonts w:eastAsia="宋体" w:cs="Times New Roman"/>
          <w:color w:val="000000" w:themeColor="text1"/>
          <w14:textFill>
            <w14:solidFill>
              <w14:schemeClr w14:val="tx1"/>
            </w14:solidFill>
          </w14:textFill>
        </w:rPr>
      </w:pPr>
    </w:p>
    <w:p>
      <w:pPr>
        <w:spacing w:line="240" w:lineRule="auto"/>
        <w:jc w:val="left"/>
        <w:rPr>
          <w:rFonts w:eastAsia="宋体" w:cs="Times New Roman"/>
          <w:color w:val="000000" w:themeColor="text1"/>
          <w14:textFill>
            <w14:solidFill>
              <w14:schemeClr w14:val="tx1"/>
            </w14:solidFill>
          </w14:textFill>
        </w:rPr>
      </w:pPr>
      <w:r>
        <w:rPr>
          <w:rFonts w:eastAsia="宋体" w:cs="Times New Roman"/>
          <w:color w:val="000000" w:themeColor="text1"/>
          <w14:textFill>
            <w14:solidFill>
              <w14:schemeClr w14:val="tx1"/>
            </w14:solidFill>
          </w14:textFill>
        </w:rPr>
        <w:t xml:space="preserve">Pride, W.M., and Ferrell, O.C. (2016), </w:t>
      </w:r>
      <w:r>
        <w:rPr>
          <w:rFonts w:eastAsia="宋体" w:cs="Times New Roman"/>
          <w:i/>
          <w:iCs/>
          <w:color w:val="000000" w:themeColor="text1"/>
          <w14:textFill>
            <w14:solidFill>
              <w14:schemeClr w14:val="tx1"/>
            </w14:solidFill>
          </w14:textFill>
        </w:rPr>
        <w:t>Marketing: Concepts and Strategies</w:t>
      </w:r>
      <w:r>
        <w:rPr>
          <w:rFonts w:eastAsia="宋体" w:cs="Times New Roman"/>
          <w:color w:val="000000" w:themeColor="text1"/>
          <w14:textFill>
            <w14:solidFill>
              <w14:schemeClr w14:val="tx1"/>
            </w14:solidFill>
          </w14:textFill>
        </w:rPr>
        <w:t>, 7th ed, Houghton Mifflin</w:t>
      </w:r>
    </w:p>
    <w:p>
      <w:pPr>
        <w:spacing w:line="240" w:lineRule="auto"/>
        <w:jc w:val="left"/>
        <w:rPr>
          <w:rFonts w:eastAsia="宋体" w:cs="Times New Roman"/>
          <w:color w:val="000000" w:themeColor="text1"/>
          <w14:textFill>
            <w14:solidFill>
              <w14:schemeClr w14:val="tx1"/>
            </w14:solidFill>
          </w14:textFill>
        </w:rPr>
      </w:pPr>
    </w:p>
    <w:p>
      <w:pPr>
        <w:spacing w:line="240" w:lineRule="auto"/>
        <w:jc w:val="left"/>
        <w:rPr>
          <w:rFonts w:eastAsia="宋体" w:cs="Times New Roman"/>
          <w:color w:val="000000" w:themeColor="text1"/>
          <w14:textFill>
            <w14:solidFill>
              <w14:schemeClr w14:val="tx1"/>
            </w14:solidFill>
          </w14:textFill>
        </w:rPr>
      </w:pPr>
      <w:r>
        <w:rPr>
          <w:rFonts w:eastAsia="宋体" w:cs="Times New Roman"/>
          <w:color w:val="000000" w:themeColor="text1"/>
          <w14:textFill>
            <w14:solidFill>
              <w14:schemeClr w14:val="tx1"/>
            </w14:solidFill>
          </w14:textFill>
        </w:rPr>
        <w:t>M Rahman.2022.</w:t>
      </w:r>
      <w:r>
        <w:rPr>
          <w:rFonts w:cs="Times New Roman"/>
          <w:color w:val="000000" w:themeColor="text1"/>
          <w14:textFill>
            <w14:solidFill>
              <w14:schemeClr w14:val="tx1"/>
            </w14:solidFill>
          </w14:textFill>
        </w:rPr>
        <w:t xml:space="preserve"> PESTEL analysis of the electric car industry</w:t>
      </w:r>
      <w:r>
        <w:rPr>
          <w:rFonts w:eastAsia="宋体" w:cs="Times New Roman"/>
          <w:color w:val="000000" w:themeColor="text1"/>
          <w14:textFill>
            <w14:solidFill>
              <w14:schemeClr w14:val="tx1"/>
            </w14:solidFill>
          </w14:textFill>
        </w:rPr>
        <w:t>. [Online]</w:t>
      </w:r>
    </w:p>
    <w:p>
      <w:pPr>
        <w:spacing w:line="240" w:lineRule="auto"/>
        <w:jc w:val="left"/>
        <w:rPr>
          <w:rFonts w:eastAsia="宋体" w:cs="Times New Roman"/>
          <w:color w:val="000000" w:themeColor="text1"/>
          <w14:textFill>
            <w14:solidFill>
              <w14:schemeClr w14:val="tx1"/>
            </w14:solidFill>
          </w14:textFill>
        </w:rPr>
      </w:pPr>
      <w:r>
        <w:rPr>
          <w:rFonts w:eastAsia="宋体" w:cs="Times New Roman"/>
          <w:color w:val="000000" w:themeColor="text1"/>
          <w14:textFill>
            <w14:solidFill>
              <w14:schemeClr w14:val="tx1"/>
            </w14:solidFill>
          </w14:textFill>
        </w:rPr>
        <w:t>Available at: https://www.howandwhat.net/pestel-analysis-electric-car-industry/</w:t>
      </w:r>
    </w:p>
    <w:p>
      <w:pPr>
        <w:spacing w:line="240" w:lineRule="auto"/>
        <w:jc w:val="left"/>
        <w:rPr>
          <w:rFonts w:eastAsia="宋体" w:cs="Times New Roman"/>
          <w:color w:val="000000" w:themeColor="text1"/>
          <w14:textFill>
            <w14:solidFill>
              <w14:schemeClr w14:val="tx1"/>
            </w14:solidFill>
          </w14:textFill>
        </w:rPr>
      </w:pPr>
      <w:r>
        <w:rPr>
          <w:rFonts w:eastAsia="宋体" w:cs="Times New Roman"/>
          <w:color w:val="000000" w:themeColor="text1"/>
          <w14:textFill>
            <w14:solidFill>
              <w14:schemeClr w14:val="tx1"/>
            </w14:solidFill>
          </w14:textFill>
        </w:rPr>
        <w:t>[Accessed 11 7 2023].</w:t>
      </w:r>
    </w:p>
    <w:p>
      <w:pPr>
        <w:spacing w:line="240" w:lineRule="auto"/>
        <w:jc w:val="left"/>
        <w:rPr>
          <w:rFonts w:eastAsia="宋体" w:cs="Times New Roman"/>
          <w:color w:val="000000" w:themeColor="text1"/>
          <w14:textFill>
            <w14:solidFill>
              <w14:schemeClr w14:val="tx1"/>
            </w14:solidFill>
          </w14:textFill>
        </w:rPr>
      </w:pPr>
    </w:p>
    <w:p>
      <w:pPr>
        <w:spacing w:line="240" w:lineRule="auto"/>
        <w:jc w:val="left"/>
        <w:rPr>
          <w:rFonts w:eastAsia="宋体" w:cs="Times New Roman"/>
          <w:color w:val="000000" w:themeColor="text1"/>
          <w14:textFill>
            <w14:solidFill>
              <w14:schemeClr w14:val="tx1"/>
            </w14:solidFill>
          </w14:textFill>
        </w:rPr>
      </w:pPr>
      <w:r>
        <w:rPr>
          <w:rFonts w:eastAsia="宋体" w:cs="Times New Roman"/>
          <w:color w:val="000000" w:themeColor="text1"/>
          <w14:textFill>
            <w14:solidFill>
              <w14:schemeClr w14:val="tx1"/>
            </w14:solidFill>
          </w14:textFill>
        </w:rPr>
        <w:t>Neal E. Boudette. 2023.</w:t>
      </w:r>
      <w:r>
        <w:rPr>
          <w:rFonts w:cs="Times New Roman"/>
          <w:color w:val="000000" w:themeColor="text1"/>
          <w14:textFill>
            <w14:solidFill>
              <w14:schemeClr w14:val="tx1"/>
            </w14:solidFill>
          </w14:textFill>
        </w:rPr>
        <w:t xml:space="preserve"> </w:t>
      </w:r>
      <w:r>
        <w:rPr>
          <w:rFonts w:eastAsia="宋体" w:cs="Times New Roman"/>
          <w:color w:val="000000" w:themeColor="text1"/>
          <w14:textFill>
            <w14:solidFill>
              <w14:schemeClr w14:val="tx1"/>
            </w14:solidFill>
          </w14:textFill>
        </w:rPr>
        <w:t>Ford Sales Dipped in 2022, but Electric Vehicle Deliveries Surged. [online]</w:t>
      </w:r>
    </w:p>
    <w:p>
      <w:pPr>
        <w:spacing w:line="240" w:lineRule="auto"/>
        <w:jc w:val="left"/>
        <w:rPr>
          <w:rFonts w:eastAsia="宋体" w:cs="Times New Roman"/>
          <w:color w:val="000000" w:themeColor="text1"/>
          <w14:textFill>
            <w14:solidFill>
              <w14:schemeClr w14:val="tx1"/>
            </w14:solidFill>
          </w14:textFill>
        </w:rPr>
      </w:pPr>
      <w:r>
        <w:rPr>
          <w:rFonts w:eastAsia="宋体" w:cs="Times New Roman"/>
          <w:color w:val="000000" w:themeColor="text1"/>
          <w14:textFill>
            <w14:solidFill>
              <w14:schemeClr w14:val="tx1"/>
            </w14:solidFill>
          </w14:textFill>
        </w:rPr>
        <w:t>Available at: https://www.nytimes.com/2023/01/05/business/ford-2022-sales-electric-vehicles.html</w:t>
      </w:r>
    </w:p>
    <w:p>
      <w:pPr>
        <w:spacing w:line="240" w:lineRule="auto"/>
        <w:jc w:val="left"/>
        <w:rPr>
          <w:rFonts w:eastAsia="宋体" w:cs="Times New Roman"/>
          <w:color w:val="000000" w:themeColor="text1"/>
          <w14:textFill>
            <w14:solidFill>
              <w14:schemeClr w14:val="tx1"/>
            </w14:solidFill>
          </w14:textFill>
        </w:rPr>
      </w:pPr>
      <w:r>
        <w:rPr>
          <w:rFonts w:eastAsia="宋体" w:cs="Times New Roman"/>
          <w:color w:val="000000" w:themeColor="text1"/>
          <w14:textFill>
            <w14:solidFill>
              <w14:schemeClr w14:val="tx1"/>
            </w14:solidFill>
          </w14:textFill>
        </w:rPr>
        <w:t>[Accessed 11 7 2023].</w:t>
      </w:r>
    </w:p>
    <w:p>
      <w:pPr>
        <w:spacing w:line="240" w:lineRule="auto"/>
        <w:jc w:val="left"/>
        <w:rPr>
          <w:rFonts w:eastAsia="宋体" w:cs="Times New Roman"/>
          <w:color w:val="000000" w:themeColor="text1"/>
          <w14:textFill>
            <w14:solidFill>
              <w14:schemeClr w14:val="tx1"/>
            </w14:solidFill>
          </w14:textFill>
        </w:rPr>
      </w:pPr>
    </w:p>
    <w:p>
      <w:pPr>
        <w:spacing w:line="240" w:lineRule="auto"/>
        <w:rPr>
          <w:rFonts w:eastAsia="宋体" w:cs="Times New Roman"/>
          <w:color w:val="000000" w:themeColor="text1"/>
          <w14:textFill>
            <w14:solidFill>
              <w14:schemeClr w14:val="tx1"/>
            </w14:solidFill>
          </w14:textFill>
        </w:rPr>
      </w:pPr>
      <w:r>
        <w:rPr>
          <w:rFonts w:eastAsia="宋体" w:cs="Times New Roman"/>
          <w:color w:val="000000" w:themeColor="text1"/>
          <w14:textFill>
            <w14:solidFill>
              <w14:schemeClr w14:val="tx1"/>
            </w14:solidFill>
          </w14:textFill>
        </w:rPr>
        <w:t xml:space="preserve">Porter, M.E. (2008), </w:t>
      </w:r>
      <w:r>
        <w:rPr>
          <w:rFonts w:eastAsia="宋体" w:cs="Times New Roman"/>
          <w:i/>
          <w:iCs/>
          <w:color w:val="000000" w:themeColor="text1"/>
          <w14:textFill>
            <w14:solidFill>
              <w14:schemeClr w14:val="tx1"/>
            </w14:solidFill>
          </w14:textFill>
        </w:rPr>
        <w:t>'The Five Competitive Forces That Shape Strategy,'</w:t>
      </w:r>
      <w:r>
        <w:rPr>
          <w:rFonts w:eastAsia="宋体" w:cs="Times New Roman"/>
          <w:color w:val="000000" w:themeColor="text1"/>
          <w14:textFill>
            <w14:solidFill>
              <w14:schemeClr w14:val="tx1"/>
            </w14:solidFill>
          </w14:textFill>
        </w:rPr>
        <w:t xml:space="preserve"> Harvard Business Review</w:t>
      </w:r>
    </w:p>
    <w:p>
      <w:pPr>
        <w:spacing w:line="240" w:lineRule="auto"/>
        <w:jc w:val="left"/>
        <w:rPr>
          <w:rFonts w:eastAsia="宋体" w:cs="Times New Roman"/>
          <w:color w:val="000000" w:themeColor="text1"/>
          <w14:textFill>
            <w14:solidFill>
              <w14:schemeClr w14:val="tx1"/>
            </w14:solidFill>
          </w14:textFill>
        </w:rPr>
      </w:pPr>
    </w:p>
    <w:p>
      <w:pPr>
        <w:spacing w:line="240" w:lineRule="auto"/>
        <w:jc w:val="left"/>
        <w:rPr>
          <w:rFonts w:eastAsia="宋体" w:cs="Times New Roman"/>
          <w:color w:val="000000" w:themeColor="text1"/>
          <w14:textFill>
            <w14:solidFill>
              <w14:schemeClr w14:val="tx1"/>
            </w14:solidFill>
          </w14:textFill>
        </w:rPr>
      </w:pPr>
      <w:r>
        <w:rPr>
          <w:rFonts w:eastAsia="宋体" w:cs="Times New Roman"/>
          <w:color w:val="000000" w:themeColor="text1"/>
          <w14:textFill>
            <w14:solidFill>
              <w14:schemeClr w14:val="tx1"/>
            </w14:solidFill>
          </w14:textFill>
        </w:rPr>
        <w:t xml:space="preserve">Shao Jihong, Xin Mingliang.(2012), </w:t>
      </w:r>
      <w:r>
        <w:rPr>
          <w:rFonts w:eastAsia="宋体" w:cs="Times New Roman"/>
          <w:i/>
          <w:iCs/>
          <w:color w:val="000000" w:themeColor="text1"/>
          <w14:textFill>
            <w14:solidFill>
              <w14:schemeClr w14:val="tx1"/>
            </w14:solidFill>
          </w14:textFill>
        </w:rPr>
        <w:t>Exploring the Factors Influencing Consumers' Purchase of New Energy Vehicles [J]</w:t>
      </w:r>
      <w:r>
        <w:rPr>
          <w:rFonts w:eastAsia="宋体" w:cs="Times New Roman"/>
          <w:color w:val="000000" w:themeColor="text1"/>
          <w14:textFill>
            <w14:solidFill>
              <w14:schemeClr w14:val="tx1"/>
            </w14:solidFill>
          </w14:textFill>
        </w:rPr>
        <w:t>, Enterprise Guide.</w:t>
      </w:r>
    </w:p>
    <w:p>
      <w:pPr>
        <w:spacing w:line="240" w:lineRule="auto"/>
        <w:jc w:val="left"/>
        <w:rPr>
          <w:rFonts w:eastAsia="宋体" w:cs="Times New Roman"/>
          <w:color w:val="000000" w:themeColor="text1"/>
          <w14:textFill>
            <w14:solidFill>
              <w14:schemeClr w14:val="tx1"/>
            </w14:solidFill>
          </w14:textFill>
        </w:rPr>
      </w:pPr>
    </w:p>
    <w:p>
      <w:pPr>
        <w:spacing w:line="240" w:lineRule="auto"/>
        <w:jc w:val="left"/>
        <w:rPr>
          <w:rFonts w:eastAsia="宋体" w:cs="Times New Roman"/>
          <w:color w:val="000000" w:themeColor="text1"/>
          <w14:textFill>
            <w14:solidFill>
              <w14:schemeClr w14:val="tx1"/>
            </w14:solidFill>
          </w14:textFill>
        </w:rPr>
      </w:pPr>
      <w:r>
        <w:rPr>
          <w:rFonts w:eastAsia="宋体" w:cs="Times New Roman"/>
          <w:color w:val="000000" w:themeColor="text1"/>
          <w14:textFill>
            <w14:solidFill>
              <w14:schemeClr w14:val="tx1"/>
            </w14:solidFill>
          </w14:textFill>
        </w:rPr>
        <w:t xml:space="preserve">Shivakumar, R. (2014), </w:t>
      </w:r>
      <w:r>
        <w:rPr>
          <w:rFonts w:eastAsia="宋体" w:cs="Times New Roman"/>
          <w:i/>
          <w:iCs/>
          <w:color w:val="000000" w:themeColor="text1"/>
          <w14:textFill>
            <w14:solidFill>
              <w14:schemeClr w14:val="tx1"/>
            </w14:solidFill>
          </w14:textFill>
        </w:rPr>
        <w:t>How to tell which decisions are strategic</w:t>
      </w:r>
      <w:r>
        <w:rPr>
          <w:rFonts w:eastAsia="宋体" w:cs="Times New Roman"/>
          <w:color w:val="000000" w:themeColor="text1"/>
          <w14:textFill>
            <w14:solidFill>
              <w14:schemeClr w14:val="tx1"/>
            </w14:solidFill>
          </w14:textFill>
        </w:rPr>
        <w:t xml:space="preserve">, California Management Review, 56(3), pp. 78-97. </w:t>
      </w:r>
    </w:p>
    <w:p>
      <w:pPr>
        <w:spacing w:line="240" w:lineRule="auto"/>
        <w:jc w:val="left"/>
        <w:rPr>
          <w:rFonts w:eastAsia="宋体" w:cs="Times New Roman"/>
          <w:color w:val="000000" w:themeColor="text1"/>
          <w14:textFill>
            <w14:solidFill>
              <w14:schemeClr w14:val="tx1"/>
            </w14:solidFill>
          </w14:textFill>
        </w:rPr>
      </w:pPr>
    </w:p>
    <w:p>
      <w:pPr>
        <w:spacing w:line="240" w:lineRule="auto"/>
        <w:jc w:val="left"/>
        <w:rPr>
          <w:rFonts w:eastAsia="宋体" w:cs="Times New Roman"/>
          <w:color w:val="000000" w:themeColor="text1"/>
          <w14:textFill>
            <w14:solidFill>
              <w14:schemeClr w14:val="tx1"/>
            </w14:solidFill>
          </w14:textFill>
        </w:rPr>
      </w:pPr>
      <w:r>
        <w:rPr>
          <w:rFonts w:eastAsia="宋体" w:cs="Times New Roman"/>
          <w:color w:val="000000" w:themeColor="text1"/>
          <w14:textFill>
            <w14:solidFill>
              <w14:schemeClr w14:val="tx1"/>
            </w14:solidFill>
          </w14:textFill>
        </w:rPr>
        <w:t xml:space="preserve">Sierzchula, W., Bakker,S., Maat, K., van Wee,B.(2014), </w:t>
      </w:r>
      <w:r>
        <w:rPr>
          <w:rFonts w:eastAsia="宋体" w:cs="Times New Roman"/>
          <w:i/>
          <w:iCs/>
          <w:color w:val="000000" w:themeColor="text1"/>
          <w14:textFill>
            <w14:solidFill>
              <w14:schemeClr w14:val="tx1"/>
            </w14:solidFill>
          </w14:textFill>
        </w:rPr>
        <w:t>The influence of financial incentives and other socio-economic factors on electric vehicleadoption [J]</w:t>
      </w:r>
      <w:r>
        <w:rPr>
          <w:rFonts w:eastAsia="宋体" w:cs="Times New Roman"/>
          <w:color w:val="000000" w:themeColor="text1"/>
          <w14:textFill>
            <w14:solidFill>
              <w14:schemeClr w14:val="tx1"/>
            </w14:solidFill>
          </w14:textFill>
        </w:rPr>
        <w:t>. Energy Policy.</w:t>
      </w:r>
    </w:p>
    <w:p>
      <w:pPr>
        <w:spacing w:line="240" w:lineRule="auto"/>
        <w:jc w:val="left"/>
        <w:rPr>
          <w:rFonts w:eastAsia="宋体" w:cs="Times New Roman"/>
          <w:color w:val="000000" w:themeColor="text1"/>
          <w14:textFill>
            <w14:solidFill>
              <w14:schemeClr w14:val="tx1"/>
            </w14:solidFill>
          </w14:textFill>
        </w:rPr>
      </w:pPr>
    </w:p>
    <w:p>
      <w:pPr>
        <w:spacing w:line="240" w:lineRule="auto"/>
        <w:jc w:val="left"/>
        <w:rPr>
          <w:rFonts w:eastAsia="宋体" w:cs="Times New Roman"/>
        </w:rPr>
      </w:pPr>
      <w:r>
        <w:rPr>
          <w:rFonts w:eastAsia="宋体" w:cs="Times New Roman"/>
          <w:color w:val="000000" w:themeColor="text1"/>
          <w14:textFill>
            <w14:solidFill>
              <w14:schemeClr w14:val="tx1"/>
            </w14:solidFill>
          </w14:textFill>
        </w:rPr>
        <w:t xml:space="preserve">Tian Yihui, Zhu Qinghua.(2016), </w:t>
      </w:r>
      <w:r>
        <w:rPr>
          <w:rFonts w:eastAsia="宋体" w:cs="Times New Roman"/>
          <w:i/>
          <w:iCs/>
          <w:color w:val="000000" w:themeColor="text1"/>
          <w14:textFill>
            <w14:solidFill>
              <w14:schemeClr w14:val="tx1"/>
            </w14:solidFill>
          </w14:textFill>
        </w:rPr>
        <w:t>A Game Model for the Diffusion of Green Supply Chain Management under Government Price Subsidies [J]</w:t>
      </w:r>
      <w:r>
        <w:rPr>
          <w:rFonts w:eastAsia="宋体" w:cs="Times New Roman"/>
          <w:color w:val="000000" w:themeColor="text1"/>
          <w14:textFill>
            <w14:solidFill>
              <w14:schemeClr w14:val="tx1"/>
            </w14:solidFill>
          </w14:textFill>
        </w:rPr>
        <w:t>, Journal of Systems Engineering.</w:t>
      </w:r>
    </w:p>
    <w:p>
      <w:pPr>
        <w:spacing w:line="240" w:lineRule="auto"/>
        <w:jc w:val="left"/>
        <w:rPr>
          <w:rFonts w:eastAsia="宋体" w:cs="Times New Roman"/>
        </w:rPr>
      </w:pPr>
    </w:p>
    <w:p>
      <w:pPr>
        <w:spacing w:line="240" w:lineRule="auto"/>
        <w:jc w:val="left"/>
        <w:rPr>
          <w:rFonts w:eastAsia="宋体" w:cs="Times New Roman"/>
          <w:color w:val="000000" w:themeColor="text1"/>
          <w14:textFill>
            <w14:solidFill>
              <w14:schemeClr w14:val="tx1"/>
            </w14:solidFill>
          </w14:textFill>
        </w:rPr>
      </w:pPr>
      <w:r>
        <w:rPr>
          <w:rFonts w:eastAsia="宋体" w:cs="Times New Roman"/>
          <w:color w:val="000000" w:themeColor="text1"/>
          <w14:textFill>
            <w14:solidFill>
              <w14:schemeClr w14:val="tx1"/>
            </w14:solidFill>
          </w14:textFill>
        </w:rPr>
        <w:t xml:space="preserve">Udell, M. (2015), </w:t>
      </w:r>
      <w:r>
        <w:rPr>
          <w:rFonts w:eastAsia="宋体" w:cs="Times New Roman"/>
          <w:i/>
          <w:iCs/>
          <w:color w:val="000000" w:themeColor="text1"/>
          <w14:textFill>
            <w14:solidFill>
              <w14:schemeClr w14:val="tx1"/>
            </w14:solidFill>
          </w14:textFill>
        </w:rPr>
        <w:t>Competitive Edge</w:t>
      </w:r>
      <w:r>
        <w:rPr>
          <w:rFonts w:eastAsia="宋体" w:cs="Times New Roman"/>
          <w:color w:val="000000" w:themeColor="text1"/>
          <w14:textFill>
            <w14:solidFill>
              <w14:schemeClr w14:val="tx1"/>
            </w14:solidFill>
          </w14:textFill>
        </w:rPr>
        <w:t xml:space="preserve">. Marketing Insights, May/Jun, 27(3), p. 48. </w:t>
      </w:r>
    </w:p>
    <w:p>
      <w:pPr>
        <w:spacing w:line="240" w:lineRule="auto"/>
        <w:jc w:val="left"/>
        <w:rPr>
          <w:rFonts w:eastAsia="宋体" w:cs="Times New Roman"/>
        </w:rPr>
      </w:pPr>
    </w:p>
    <w:p>
      <w:pPr>
        <w:spacing w:line="240" w:lineRule="auto"/>
        <w:jc w:val="left"/>
        <w:rPr>
          <w:rFonts w:eastAsia="宋体" w:cs="Times New Roman"/>
          <w:color w:val="000000" w:themeColor="text1"/>
          <w14:textFill>
            <w14:solidFill>
              <w14:schemeClr w14:val="tx1"/>
            </w14:solidFill>
          </w14:textFill>
        </w:rPr>
      </w:pPr>
      <w:r>
        <w:rPr>
          <w:rFonts w:eastAsia="宋体" w:cs="Times New Roman"/>
          <w:color w:val="000000" w:themeColor="text1"/>
          <w14:textFill>
            <w14:solidFill>
              <w14:schemeClr w14:val="tx1"/>
            </w14:solidFill>
          </w14:textFill>
        </w:rPr>
        <w:t>Wikipedia,2023. Ford Motor Company. [online]</w:t>
      </w:r>
    </w:p>
    <w:p>
      <w:pPr>
        <w:spacing w:line="240" w:lineRule="auto"/>
        <w:jc w:val="left"/>
        <w:rPr>
          <w:rFonts w:eastAsia="宋体" w:cs="Times New Roman"/>
          <w:color w:val="000000" w:themeColor="text1"/>
          <w14:textFill>
            <w14:solidFill>
              <w14:schemeClr w14:val="tx1"/>
            </w14:solidFill>
          </w14:textFill>
        </w:rPr>
      </w:pPr>
      <w:r>
        <w:rPr>
          <w:rFonts w:eastAsia="宋体" w:cs="Times New Roman"/>
          <w:color w:val="000000" w:themeColor="text1"/>
          <w14:textFill>
            <w14:solidFill>
              <w14:schemeClr w14:val="tx1"/>
            </w14:solidFill>
          </w14:textFill>
        </w:rPr>
        <w:t>Available at: https://en.wikipedia.org/wiki/Ford_Motor_Company</w:t>
      </w:r>
    </w:p>
    <w:p>
      <w:pPr>
        <w:spacing w:line="240" w:lineRule="auto"/>
        <w:rPr>
          <w:rFonts w:eastAsia="宋体" w:cs="Times New Roman"/>
          <w:color w:val="000000" w:themeColor="text1"/>
          <w14:textFill>
            <w14:solidFill>
              <w14:schemeClr w14:val="tx1"/>
            </w14:solidFill>
          </w14:textFill>
        </w:rPr>
      </w:pPr>
      <w:r>
        <w:rPr>
          <w:rFonts w:eastAsia="宋体" w:cs="Times New Roman"/>
          <w:color w:val="000000" w:themeColor="text1"/>
          <w14:textFill>
            <w14:solidFill>
              <w14:schemeClr w14:val="tx1"/>
            </w14:solidFill>
          </w14:textFill>
        </w:rPr>
        <w:t>[Accessed 11 7 2023].</w:t>
      </w:r>
    </w:p>
    <w:p>
      <w:pPr>
        <w:spacing w:line="240" w:lineRule="auto"/>
        <w:rPr>
          <w:rFonts w:eastAsia="宋体" w:cs="Times New Roman"/>
          <w:color w:val="000000" w:themeColor="text1"/>
          <w14:textFill>
            <w14:solidFill>
              <w14:schemeClr w14:val="tx1"/>
            </w14:solidFill>
          </w14:textFill>
        </w:rPr>
      </w:pPr>
    </w:p>
    <w:p>
      <w:pPr>
        <w:spacing w:line="240" w:lineRule="auto"/>
        <w:jc w:val="left"/>
        <w:rPr>
          <w:rFonts w:eastAsia="宋体" w:cs="Times New Roman"/>
          <w:color w:val="000000" w:themeColor="text1"/>
          <w14:textFill>
            <w14:solidFill>
              <w14:schemeClr w14:val="tx1"/>
            </w14:solidFill>
          </w14:textFill>
        </w:rPr>
      </w:pPr>
      <w:r>
        <w:rPr>
          <w:rFonts w:eastAsia="宋体" w:cs="Times New Roman"/>
          <w:color w:val="000000" w:themeColor="text1"/>
          <w14:textFill>
            <w14:solidFill>
              <w14:schemeClr w14:val="tx1"/>
            </w14:solidFill>
          </w14:textFill>
        </w:rPr>
        <w:t>WILL KENTON,2023. What Is PEST Analysis? Its Applications and Uses in Business. [online]</w:t>
      </w:r>
    </w:p>
    <w:p>
      <w:pPr>
        <w:spacing w:line="240" w:lineRule="auto"/>
        <w:jc w:val="left"/>
        <w:rPr>
          <w:rFonts w:eastAsia="宋体" w:cs="Times New Roman"/>
          <w:color w:val="000000" w:themeColor="text1"/>
          <w14:textFill>
            <w14:solidFill>
              <w14:schemeClr w14:val="tx1"/>
            </w14:solidFill>
          </w14:textFill>
        </w:rPr>
      </w:pPr>
      <w:r>
        <w:rPr>
          <w:rFonts w:eastAsia="宋体" w:cs="Times New Roman"/>
          <w:color w:val="000000" w:themeColor="text1"/>
          <w14:textFill>
            <w14:solidFill>
              <w14:schemeClr w14:val="tx1"/>
            </w14:solidFill>
          </w14:textFill>
        </w:rPr>
        <w:t>Available at: https://www.investopedia.com/terms/p/pest-analysis.asp</w:t>
      </w:r>
    </w:p>
    <w:p>
      <w:pPr>
        <w:spacing w:line="240" w:lineRule="auto"/>
        <w:rPr>
          <w:rFonts w:eastAsia="宋体" w:cs="Times New Roman"/>
          <w:color w:val="000000" w:themeColor="text1"/>
          <w14:textFill>
            <w14:solidFill>
              <w14:schemeClr w14:val="tx1"/>
            </w14:solidFill>
          </w14:textFill>
        </w:rPr>
      </w:pPr>
      <w:r>
        <w:rPr>
          <w:rFonts w:eastAsia="宋体" w:cs="Times New Roman"/>
          <w:color w:val="000000" w:themeColor="text1"/>
          <w14:textFill>
            <w14:solidFill>
              <w14:schemeClr w14:val="tx1"/>
            </w14:solidFill>
          </w14:textFill>
        </w:rPr>
        <w:t>[Accessed 11 7 2023].</w:t>
      </w:r>
    </w:p>
    <w:p>
      <w:pPr>
        <w:spacing w:line="240" w:lineRule="auto"/>
        <w:rPr>
          <w:rFonts w:eastAsia="宋体" w:cs="Times New Roman"/>
          <w:color w:val="000000" w:themeColor="text1"/>
          <w14:textFill>
            <w14:solidFill>
              <w14:schemeClr w14:val="tx1"/>
            </w14:solidFill>
          </w14:textFill>
        </w:rPr>
      </w:pPr>
    </w:p>
    <w:p>
      <w:pPr>
        <w:spacing w:line="240" w:lineRule="auto"/>
        <w:jc w:val="left"/>
        <w:rPr>
          <w:rFonts w:eastAsia="宋体" w:cs="Times New Roman"/>
          <w:color w:val="000000" w:themeColor="text1"/>
          <w14:textFill>
            <w14:solidFill>
              <w14:schemeClr w14:val="tx1"/>
            </w14:solidFill>
          </w14:textFill>
        </w:rPr>
      </w:pPr>
      <w:r>
        <w:rPr>
          <w:rFonts w:eastAsia="宋体" w:cs="Times New Roman"/>
          <w:color w:val="000000" w:themeColor="text1"/>
          <w14:textFill>
            <w14:solidFill>
              <w14:schemeClr w14:val="tx1"/>
            </w14:solidFill>
          </w14:textFill>
        </w:rPr>
        <w:t xml:space="preserve">Yin Xiaozhou, Dai Chenxi, Li Shuanghui.(2019), </w:t>
      </w:r>
      <w:r>
        <w:rPr>
          <w:rFonts w:eastAsia="宋体" w:cs="Times New Roman"/>
          <w:i/>
          <w:iCs/>
          <w:color w:val="000000" w:themeColor="text1"/>
          <w14:textFill>
            <w14:solidFill>
              <w14:schemeClr w14:val="tx1"/>
            </w14:solidFill>
          </w14:textFill>
        </w:rPr>
        <w:t>The impact of consumer preferences on the willingness to buy new energy vehicles in the Low-carbon economy [J]</w:t>
      </w:r>
      <w:r>
        <w:rPr>
          <w:rFonts w:eastAsia="宋体" w:cs="Times New Roman"/>
          <w:color w:val="000000" w:themeColor="text1"/>
          <w14:textFill>
            <w14:solidFill>
              <w14:schemeClr w14:val="tx1"/>
            </w14:solidFill>
          </w14:textFill>
        </w:rPr>
        <w:t>, Market Weekly.</w:t>
      </w:r>
    </w:p>
    <w:p>
      <w:pPr>
        <w:spacing w:line="240" w:lineRule="auto"/>
        <w:jc w:val="left"/>
        <w:rPr>
          <w:rFonts w:eastAsia="宋体" w:cs="Times New Roman"/>
          <w:color w:val="000000" w:themeColor="text1"/>
          <w14:textFill>
            <w14:solidFill>
              <w14:schemeClr w14:val="tx1"/>
            </w14:solidFill>
          </w14:textFill>
        </w:rPr>
      </w:pPr>
    </w:p>
    <w:p>
      <w:pPr>
        <w:spacing w:line="240" w:lineRule="auto"/>
        <w:jc w:val="left"/>
        <w:rPr>
          <w:rFonts w:eastAsia="宋体" w:cs="Times New Roman"/>
          <w:color w:val="000000" w:themeColor="text1"/>
          <w14:textFill>
            <w14:solidFill>
              <w14:schemeClr w14:val="tx1"/>
            </w14:solidFill>
          </w14:textFill>
        </w:rPr>
      </w:pPr>
      <w:r>
        <w:rPr>
          <w:rFonts w:eastAsia="宋体" w:cs="Times New Roman"/>
          <w:color w:val="000000" w:themeColor="text1"/>
          <w14:textFill>
            <w14:solidFill>
              <w14:schemeClr w14:val="tx1"/>
            </w14:solidFill>
          </w14:textFill>
        </w:rPr>
        <w:t xml:space="preserve">Yuan Mengmeng.(2020), </w:t>
      </w:r>
      <w:r>
        <w:rPr>
          <w:rFonts w:eastAsia="宋体" w:cs="Times New Roman"/>
          <w:i/>
          <w:iCs/>
          <w:color w:val="000000" w:themeColor="text1"/>
          <w14:textFill>
            <w14:solidFill>
              <w14:schemeClr w14:val="tx1"/>
            </w14:solidFill>
          </w14:textFill>
        </w:rPr>
        <w:t>Analysis on influencing factors of new energy vehicle Consumer behaviour [D]</w:t>
      </w:r>
      <w:r>
        <w:rPr>
          <w:rFonts w:eastAsia="宋体" w:cs="Times New Roman"/>
          <w:color w:val="000000" w:themeColor="text1"/>
          <w14:textFill>
            <w14:solidFill>
              <w14:schemeClr w14:val="tx1"/>
            </w14:solidFill>
          </w14:textFill>
        </w:rPr>
        <w:t>, Qilu University of Technology, Shandong Province.</w:t>
      </w:r>
    </w:p>
    <w:p>
      <w:pPr>
        <w:spacing w:line="240" w:lineRule="auto"/>
        <w:jc w:val="left"/>
        <w:rPr>
          <w:rFonts w:eastAsia="宋体" w:cs="Times New Roman"/>
          <w:color w:val="000000" w:themeColor="text1"/>
          <w14:textFill>
            <w14:solidFill>
              <w14:schemeClr w14:val="tx1"/>
            </w14:solidFill>
          </w14:textFill>
        </w:rPr>
      </w:pPr>
    </w:p>
    <w:p>
      <w:pPr>
        <w:spacing w:line="240" w:lineRule="auto"/>
        <w:jc w:val="left"/>
        <w:rPr>
          <w:rFonts w:hint="eastAsia" w:eastAsia="宋体" w:cs="Times New Roman"/>
          <w:color w:val="000000" w:themeColor="text1"/>
          <w14:textFill>
            <w14:solidFill>
              <w14:schemeClr w14:val="tx1"/>
            </w14:solidFill>
          </w14:textFill>
        </w:rPr>
      </w:pPr>
      <w:r>
        <w:rPr>
          <w:rFonts w:eastAsia="宋体" w:cs="Times New Roman"/>
          <w:color w:val="000000" w:themeColor="text1"/>
          <w14:textFill>
            <w14:solidFill>
              <w14:schemeClr w14:val="tx1"/>
            </w14:solidFill>
          </w14:textFill>
        </w:rPr>
        <w:t xml:space="preserve">Zhong Taiyong, Du Rong.(2015), </w:t>
      </w:r>
      <w:r>
        <w:rPr>
          <w:rFonts w:eastAsia="宋体" w:cs="Times New Roman"/>
          <w:i/>
          <w:iCs/>
          <w:color w:val="000000" w:themeColor="text1"/>
          <w14:textFill>
            <w14:solidFill>
              <w14:schemeClr w14:val="tx1"/>
            </w14:solidFill>
          </w14:textFill>
        </w:rPr>
        <w:t>Research on subsidy strategy of new energy vehicles based on Game theory [J]</w:t>
      </w:r>
      <w:r>
        <w:rPr>
          <w:rFonts w:eastAsia="宋体" w:cs="Times New Roman"/>
          <w:color w:val="000000" w:themeColor="text1"/>
          <w14:textFill>
            <w14:solidFill>
              <w14:schemeClr w14:val="tx1"/>
            </w14:solidFill>
          </w14:textFill>
        </w:rPr>
        <w:t>, China Management science</w:t>
      </w:r>
    </w:p>
    <w:p>
      <w:pPr>
        <w:spacing w:line="240" w:lineRule="auto"/>
        <w:rPr>
          <w:rFonts w:eastAsia="宋体" w:cs="Times New Roman"/>
        </w:rPr>
      </w:pPr>
    </w:p>
    <w:sectPr>
      <w:footerReference r:id="rId5" w:type="default"/>
      <w:footerReference r:id="rId6" w:type="even"/>
      <w:pgSz w:w="11906" w:h="16838"/>
      <w:pgMar w:top="1440" w:right="1800" w:bottom="1440" w:left="1800" w:header="851" w:footer="992" w:gutter="0"/>
      <w:cols w:space="425" w:num="1"/>
      <w:docGrid w:type="lines" w:linePitch="312"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等线">
    <w:panose1 w:val="02010600030101010101"/>
    <w:charset w:val="86"/>
    <w:family w:val="auto"/>
    <w:pitch w:val="default"/>
    <w:sig w:usb0="A00002BF" w:usb1="38CF7CFA" w:usb2="00000016" w:usb3="00000000" w:csb0="0004000F" w:csb1="00000000"/>
  </w:font>
  <w:font w:name="Arial">
    <w:panose1 w:val="020B0604020202020204"/>
    <w:charset w:val="00"/>
    <w:family w:val="swiss"/>
    <w:pitch w:val="default"/>
    <w:sig w:usb0="E0002EFF" w:usb1="C000785B" w:usb2="00000009" w:usb3="00000000" w:csb0="400001FF" w:csb1="FFFF0000"/>
  </w:font>
  <w:font w:name="Verdana">
    <w:panose1 w:val="020B0604030504040204"/>
    <w:charset w:val="00"/>
    <w:family w:val="swiss"/>
    <w:pitch w:val="default"/>
    <w:sig w:usb0="A00006FF" w:usb1="4000205B" w:usb2="00000010" w:usb3="00000000" w:csb0="2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rPr>
        <w:rStyle w:val="11"/>
      </w:rPr>
      <w:id w:val="-2045588769"/>
      <w:docPartObj>
        <w:docPartGallery w:val="AutoText"/>
      </w:docPartObj>
    </w:sdtPr>
    <w:sdtEndPr>
      <w:rPr>
        <w:rStyle w:val="11"/>
      </w:rPr>
    </w:sdtEndPr>
    <w:sdtContent>
      <w:p>
        <w:pPr>
          <w:pStyle w:val="5"/>
          <w:framePr w:wrap="auto" w:vAnchor="text" w:hAnchor="margin" w:xAlign="right" w:y="1"/>
          <w:rPr>
            <w:rStyle w:val="11"/>
          </w:rPr>
        </w:pPr>
        <w:r>
          <w:rPr>
            <w:rStyle w:val="11"/>
          </w:rPr>
          <w:fldChar w:fldCharType="begin"/>
        </w:r>
        <w:r>
          <w:rPr>
            <w:rStyle w:val="11"/>
          </w:rPr>
          <w:instrText xml:space="preserve"> PAGE </w:instrText>
        </w:r>
        <w:r>
          <w:rPr>
            <w:rStyle w:val="11"/>
          </w:rPr>
          <w:fldChar w:fldCharType="separate"/>
        </w:r>
        <w:r>
          <w:rPr>
            <w:rStyle w:val="11"/>
          </w:rPr>
          <w:t>1</w:t>
        </w:r>
        <w:r>
          <w:rPr>
            <w:rStyle w:val="11"/>
          </w:rPr>
          <w:fldChar w:fldCharType="end"/>
        </w:r>
      </w:p>
    </w:sdtContent>
  </w:sdt>
  <w:p>
    <w:pPr>
      <w:pStyle w:val="5"/>
      <w:ind w:right="360"/>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rPr>
        <w:rStyle w:val="11"/>
      </w:rPr>
      <w:id w:val="-1990477984"/>
      <w:docPartObj>
        <w:docPartGallery w:val="AutoText"/>
      </w:docPartObj>
    </w:sdtPr>
    <w:sdtEndPr>
      <w:rPr>
        <w:rStyle w:val="11"/>
      </w:rPr>
    </w:sdtEndPr>
    <w:sdtContent>
      <w:p>
        <w:pPr>
          <w:pStyle w:val="5"/>
          <w:framePr w:wrap="auto" w:vAnchor="text" w:hAnchor="margin" w:xAlign="right" w:y="1"/>
          <w:rPr>
            <w:rStyle w:val="11"/>
          </w:rPr>
        </w:pPr>
        <w:r>
          <w:rPr>
            <w:rStyle w:val="11"/>
          </w:rPr>
          <w:fldChar w:fldCharType="begin"/>
        </w:r>
        <w:r>
          <w:rPr>
            <w:rStyle w:val="11"/>
          </w:rPr>
          <w:instrText xml:space="preserve"> PAGE </w:instrText>
        </w:r>
        <w:r>
          <w:rPr>
            <w:rStyle w:val="11"/>
          </w:rPr>
          <w:fldChar w:fldCharType="end"/>
        </w:r>
      </w:p>
    </w:sdtContent>
  </w:sdt>
  <w:p>
    <w:pPr>
      <w:pStyle w:val="5"/>
      <w:ind w:right="360"/>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line="480" w:lineRule="auto"/>
      </w:pPr>
      <w:r>
        <w:separator/>
      </w:r>
    </w:p>
  </w:footnote>
  <w:footnote w:type="continuationSeparator" w:id="1">
    <w:p>
      <w:pPr>
        <w:spacing w:line="48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4DBC6A5B"/>
    <w:multiLevelType w:val="multilevel"/>
    <w:tmpl w:val="4DBC6A5B"/>
    <w:lvl w:ilvl="0" w:tentative="0">
      <w:start w:val="1"/>
      <w:numFmt w:val="decimal"/>
      <w:lvlText w:val="%1."/>
      <w:lvlJc w:val="left"/>
      <w:pPr>
        <w:ind w:left="360" w:hanging="360"/>
      </w:pPr>
      <w:rPr>
        <w:rFonts w:hint="default"/>
      </w:rPr>
    </w:lvl>
    <w:lvl w:ilvl="1" w:tentative="0">
      <w:start w:val="1"/>
      <w:numFmt w:val="lowerLetter"/>
      <w:lvlText w:val="%2)"/>
      <w:lvlJc w:val="left"/>
      <w:pPr>
        <w:ind w:left="840" w:hanging="420"/>
      </w:pPr>
    </w:lvl>
    <w:lvl w:ilvl="2" w:tentative="0">
      <w:start w:val="1"/>
      <w:numFmt w:val="lowerRoman"/>
      <w:lvlText w:val="%3."/>
      <w:lvlJc w:val="right"/>
      <w:pPr>
        <w:ind w:left="1260" w:hanging="420"/>
      </w:pPr>
    </w:lvl>
    <w:lvl w:ilvl="3" w:tentative="0">
      <w:start w:val="1"/>
      <w:numFmt w:val="decimal"/>
      <w:lvlText w:val="%4."/>
      <w:lvlJc w:val="left"/>
      <w:pPr>
        <w:ind w:left="1680" w:hanging="420"/>
      </w:pPr>
    </w:lvl>
    <w:lvl w:ilvl="4" w:tentative="0">
      <w:start w:val="1"/>
      <w:numFmt w:val="lowerLetter"/>
      <w:lvlText w:val="%5)"/>
      <w:lvlJc w:val="left"/>
      <w:pPr>
        <w:ind w:left="2100" w:hanging="420"/>
      </w:pPr>
    </w:lvl>
    <w:lvl w:ilvl="5" w:tentative="0">
      <w:start w:val="1"/>
      <w:numFmt w:val="lowerRoman"/>
      <w:lvlText w:val="%6."/>
      <w:lvlJc w:val="right"/>
      <w:pPr>
        <w:ind w:left="2520" w:hanging="420"/>
      </w:pPr>
    </w:lvl>
    <w:lvl w:ilvl="6" w:tentative="0">
      <w:start w:val="1"/>
      <w:numFmt w:val="decimal"/>
      <w:lvlText w:val="%7."/>
      <w:lvlJc w:val="left"/>
      <w:pPr>
        <w:ind w:left="2940" w:hanging="420"/>
      </w:pPr>
    </w:lvl>
    <w:lvl w:ilvl="7" w:tentative="0">
      <w:start w:val="1"/>
      <w:numFmt w:val="lowerLetter"/>
      <w:lvlText w:val="%8)"/>
      <w:lvlJc w:val="left"/>
      <w:pPr>
        <w:ind w:left="3360" w:hanging="420"/>
      </w:pPr>
    </w:lvl>
    <w:lvl w:ilvl="8" w:tentative="0">
      <w:start w:val="1"/>
      <w:numFmt w:val="lowerRoman"/>
      <w:lvlText w:val="%9."/>
      <w:lvlJc w:val="right"/>
      <w:pPr>
        <w:ind w:left="3780" w:hanging="420"/>
      </w:pPr>
    </w:lvl>
  </w:abstractNum>
  <w:abstractNum w:abstractNumId="1">
    <w:nsid w:val="5A25025B"/>
    <w:multiLevelType w:val="multilevel"/>
    <w:tmpl w:val="5A25025B"/>
    <w:lvl w:ilvl="0" w:tentative="0">
      <w:start w:val="3"/>
      <w:numFmt w:val="decimal"/>
      <w:lvlText w:val="%1."/>
      <w:lvlJc w:val="left"/>
      <w:pPr>
        <w:ind w:left="360" w:hanging="360"/>
      </w:pPr>
      <w:rPr>
        <w:rFonts w:hint="default"/>
      </w:rPr>
    </w:lvl>
    <w:lvl w:ilvl="1" w:tentative="0">
      <w:start w:val="1"/>
      <w:numFmt w:val="lowerLetter"/>
      <w:lvlText w:val="%2)"/>
      <w:lvlJc w:val="left"/>
      <w:pPr>
        <w:ind w:left="840" w:hanging="420"/>
      </w:pPr>
    </w:lvl>
    <w:lvl w:ilvl="2" w:tentative="0">
      <w:start w:val="1"/>
      <w:numFmt w:val="lowerRoman"/>
      <w:lvlText w:val="%3."/>
      <w:lvlJc w:val="right"/>
      <w:pPr>
        <w:ind w:left="1260" w:hanging="420"/>
      </w:pPr>
    </w:lvl>
    <w:lvl w:ilvl="3" w:tentative="0">
      <w:start w:val="1"/>
      <w:numFmt w:val="decimal"/>
      <w:lvlText w:val="%4."/>
      <w:lvlJc w:val="left"/>
      <w:pPr>
        <w:ind w:left="1680" w:hanging="420"/>
      </w:pPr>
    </w:lvl>
    <w:lvl w:ilvl="4" w:tentative="0">
      <w:start w:val="1"/>
      <w:numFmt w:val="lowerLetter"/>
      <w:lvlText w:val="%5)"/>
      <w:lvlJc w:val="left"/>
      <w:pPr>
        <w:ind w:left="2100" w:hanging="420"/>
      </w:pPr>
    </w:lvl>
    <w:lvl w:ilvl="5" w:tentative="0">
      <w:start w:val="1"/>
      <w:numFmt w:val="lowerRoman"/>
      <w:lvlText w:val="%6."/>
      <w:lvlJc w:val="right"/>
      <w:pPr>
        <w:ind w:left="2520" w:hanging="420"/>
      </w:pPr>
    </w:lvl>
    <w:lvl w:ilvl="6" w:tentative="0">
      <w:start w:val="1"/>
      <w:numFmt w:val="decimal"/>
      <w:lvlText w:val="%7."/>
      <w:lvlJc w:val="left"/>
      <w:pPr>
        <w:ind w:left="2940" w:hanging="420"/>
      </w:pPr>
    </w:lvl>
    <w:lvl w:ilvl="7" w:tentative="0">
      <w:start w:val="1"/>
      <w:numFmt w:val="lowerLetter"/>
      <w:lvlText w:val="%8)"/>
      <w:lvlJc w:val="left"/>
      <w:pPr>
        <w:ind w:left="3360" w:hanging="420"/>
      </w:pPr>
    </w:lvl>
    <w:lvl w:ilvl="8" w:tentative="0">
      <w:start w:val="1"/>
      <w:numFmt w:val="lowerRoman"/>
      <w:lvlText w:val="%9."/>
      <w:lvlJc w:val="right"/>
      <w:pPr>
        <w:ind w:left="3780" w:hanging="42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footnotePr>
    <w:footnote w:id="0"/>
    <w:footnote w:id="1"/>
  </w:footnotePr>
  <w:endnotePr>
    <w:endnote w:id="0"/>
    <w:endnote w:id="1"/>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commondata" w:val="eyJoZGlkIjoiN2YzNjBkOTgyNWQ1YTMxYzM3MzMwNWFiODNmOWIzYWMifQ=="/>
  </w:docVars>
  <w:rsids>
    <w:rsidRoot w:val="000221C7"/>
    <w:rsid w:val="000221C7"/>
    <w:rsid w:val="0003560F"/>
    <w:rsid w:val="000407A5"/>
    <w:rsid w:val="00044215"/>
    <w:rsid w:val="00055392"/>
    <w:rsid w:val="000603DF"/>
    <w:rsid w:val="0009014D"/>
    <w:rsid w:val="000B238F"/>
    <w:rsid w:val="000B25B1"/>
    <w:rsid w:val="000C60D2"/>
    <w:rsid w:val="00121C63"/>
    <w:rsid w:val="00126922"/>
    <w:rsid w:val="0019414D"/>
    <w:rsid w:val="001C27D0"/>
    <w:rsid w:val="001C46BD"/>
    <w:rsid w:val="00205C48"/>
    <w:rsid w:val="00217F37"/>
    <w:rsid w:val="0023424D"/>
    <w:rsid w:val="00246178"/>
    <w:rsid w:val="002476D6"/>
    <w:rsid w:val="00257289"/>
    <w:rsid w:val="002751DE"/>
    <w:rsid w:val="002D4311"/>
    <w:rsid w:val="002D74E3"/>
    <w:rsid w:val="002E0FA1"/>
    <w:rsid w:val="002F7C88"/>
    <w:rsid w:val="003207DD"/>
    <w:rsid w:val="004301E5"/>
    <w:rsid w:val="004641C4"/>
    <w:rsid w:val="00493086"/>
    <w:rsid w:val="004D2E87"/>
    <w:rsid w:val="00507EC0"/>
    <w:rsid w:val="00511521"/>
    <w:rsid w:val="005236AD"/>
    <w:rsid w:val="0057180D"/>
    <w:rsid w:val="005E4890"/>
    <w:rsid w:val="00614E59"/>
    <w:rsid w:val="006309B4"/>
    <w:rsid w:val="00763E35"/>
    <w:rsid w:val="00773F55"/>
    <w:rsid w:val="00815212"/>
    <w:rsid w:val="00831E49"/>
    <w:rsid w:val="008844BA"/>
    <w:rsid w:val="00890649"/>
    <w:rsid w:val="00897354"/>
    <w:rsid w:val="008C2729"/>
    <w:rsid w:val="008D6850"/>
    <w:rsid w:val="00915BE1"/>
    <w:rsid w:val="00945DA6"/>
    <w:rsid w:val="00947CD4"/>
    <w:rsid w:val="00954A05"/>
    <w:rsid w:val="0095559B"/>
    <w:rsid w:val="00956A06"/>
    <w:rsid w:val="00970E0F"/>
    <w:rsid w:val="00A023A0"/>
    <w:rsid w:val="00A91828"/>
    <w:rsid w:val="00A91E57"/>
    <w:rsid w:val="00AA0E95"/>
    <w:rsid w:val="00AE098C"/>
    <w:rsid w:val="00AF6E9B"/>
    <w:rsid w:val="00AF75AB"/>
    <w:rsid w:val="00B14C92"/>
    <w:rsid w:val="00B16089"/>
    <w:rsid w:val="00B6769A"/>
    <w:rsid w:val="00B72DE6"/>
    <w:rsid w:val="00BA1B1E"/>
    <w:rsid w:val="00BA737B"/>
    <w:rsid w:val="00BC4966"/>
    <w:rsid w:val="00C107E1"/>
    <w:rsid w:val="00C35303"/>
    <w:rsid w:val="00C87F0A"/>
    <w:rsid w:val="00D22442"/>
    <w:rsid w:val="00D61257"/>
    <w:rsid w:val="00DF0CE4"/>
    <w:rsid w:val="00E30301"/>
    <w:rsid w:val="00E444B7"/>
    <w:rsid w:val="00E533FB"/>
    <w:rsid w:val="00E93138"/>
    <w:rsid w:val="00EB330B"/>
    <w:rsid w:val="00EF7F03"/>
    <w:rsid w:val="00F22F8B"/>
    <w:rsid w:val="00F45768"/>
    <w:rsid w:val="00F51822"/>
    <w:rsid w:val="00F5709A"/>
    <w:rsid w:val="00F76FD2"/>
    <w:rsid w:val="00F96465"/>
    <w:rsid w:val="00FA3077"/>
    <w:rsid w:val="00FC0E31"/>
    <w:rsid w:val="00FE0A91"/>
    <w:rsid w:val="00FE1A6F"/>
    <w:rsid w:val="16BF4F7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nhideWhenUsed="0" w:uiPriority="9"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uiPriority="39" w:semiHidden="0"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name="header"/>
    <w:lsdException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qFormat="1"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iPriority="99"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spacing w:line="480" w:lineRule="auto"/>
      <w:jc w:val="both"/>
    </w:pPr>
    <w:rPr>
      <w:rFonts w:ascii="Times New Roman" w:hAnsi="Times New Roman" w:eastAsiaTheme="minorEastAsia" w:cstheme="minorBidi"/>
      <w:kern w:val="2"/>
      <w:sz w:val="24"/>
      <w:szCs w:val="24"/>
      <w:lang w:val="en-US" w:eastAsia="zh-CN" w:bidi="ar-SA"/>
    </w:rPr>
  </w:style>
  <w:style w:type="paragraph" w:styleId="2">
    <w:name w:val="heading 1"/>
    <w:basedOn w:val="1"/>
    <w:next w:val="1"/>
    <w:link w:val="13"/>
    <w:qFormat/>
    <w:uiPriority w:val="9"/>
    <w:pPr>
      <w:keepNext/>
      <w:keepLines/>
      <w:adjustRightInd w:val="0"/>
      <w:contextualSpacing/>
      <w:jc w:val="left"/>
      <w:outlineLvl w:val="0"/>
    </w:pPr>
    <w:rPr>
      <w:rFonts w:eastAsia="Arial" w:cs="Arial"/>
      <w:b/>
      <w:bCs/>
      <w:kern w:val="44"/>
      <w:sz w:val="28"/>
    </w:rPr>
  </w:style>
  <w:style w:type="paragraph" w:styleId="3">
    <w:name w:val="heading 2"/>
    <w:basedOn w:val="1"/>
    <w:next w:val="1"/>
    <w:link w:val="14"/>
    <w:qFormat/>
    <w:uiPriority w:val="9"/>
    <w:pPr>
      <w:autoSpaceDE w:val="0"/>
      <w:autoSpaceDN w:val="0"/>
      <w:contextualSpacing/>
      <w:jc w:val="left"/>
      <w:outlineLvl w:val="1"/>
    </w:pPr>
    <w:rPr>
      <w:rFonts w:eastAsia="Arial" w:cs="Verdana"/>
      <w:bCs/>
      <w:kern w:val="0"/>
      <w:sz w:val="28"/>
      <w:szCs w:val="32"/>
      <w:lang w:val="en" w:eastAsia="en-US"/>
    </w:rPr>
  </w:style>
  <w:style w:type="character" w:default="1" w:styleId="10">
    <w:name w:val="Default Paragraph Font"/>
    <w:semiHidden/>
    <w:unhideWhenUsed/>
    <w:uiPriority w:val="1"/>
  </w:style>
  <w:style w:type="table" w:default="1" w:styleId="9">
    <w:name w:val="Normal Table"/>
    <w:semiHidden/>
    <w:unhideWhenUsed/>
    <w:uiPriority w:val="99"/>
    <w:tblPr>
      <w:tblCellMar>
        <w:top w:w="0" w:type="dxa"/>
        <w:left w:w="108" w:type="dxa"/>
        <w:bottom w:w="0" w:type="dxa"/>
        <w:right w:w="108" w:type="dxa"/>
      </w:tblCellMar>
    </w:tblPr>
  </w:style>
  <w:style w:type="paragraph" w:styleId="4">
    <w:name w:val="Date"/>
    <w:basedOn w:val="1"/>
    <w:next w:val="1"/>
    <w:link w:val="16"/>
    <w:semiHidden/>
    <w:unhideWhenUsed/>
    <w:qFormat/>
    <w:uiPriority w:val="99"/>
    <w:pPr>
      <w:ind w:left="100" w:leftChars="2500"/>
    </w:pPr>
  </w:style>
  <w:style w:type="paragraph" w:styleId="5">
    <w:name w:val="footer"/>
    <w:basedOn w:val="1"/>
    <w:link w:val="18"/>
    <w:unhideWhenUsed/>
    <w:uiPriority w:val="99"/>
    <w:pPr>
      <w:tabs>
        <w:tab w:val="center" w:pos="4153"/>
        <w:tab w:val="right" w:pos="8306"/>
      </w:tabs>
      <w:snapToGrid w:val="0"/>
      <w:spacing w:line="240" w:lineRule="auto"/>
      <w:jc w:val="left"/>
    </w:pPr>
    <w:rPr>
      <w:sz w:val="18"/>
      <w:szCs w:val="18"/>
    </w:rPr>
  </w:style>
  <w:style w:type="paragraph" w:styleId="6">
    <w:name w:val="toc 1"/>
    <w:basedOn w:val="1"/>
    <w:next w:val="1"/>
    <w:unhideWhenUsed/>
    <w:qFormat/>
    <w:uiPriority w:val="39"/>
  </w:style>
  <w:style w:type="paragraph" w:styleId="7">
    <w:name w:val="toc 2"/>
    <w:basedOn w:val="1"/>
    <w:next w:val="1"/>
    <w:unhideWhenUsed/>
    <w:uiPriority w:val="39"/>
    <w:pPr>
      <w:ind w:left="420" w:leftChars="200"/>
    </w:pPr>
  </w:style>
  <w:style w:type="paragraph" w:styleId="8">
    <w:name w:val="Normal (Web)"/>
    <w:basedOn w:val="1"/>
    <w:unhideWhenUsed/>
    <w:qFormat/>
    <w:uiPriority w:val="99"/>
    <w:pPr>
      <w:widowControl/>
      <w:spacing w:before="100" w:beforeAutospacing="1" w:after="100" w:afterAutospacing="1" w:line="240" w:lineRule="auto"/>
      <w:jc w:val="left"/>
    </w:pPr>
    <w:rPr>
      <w:rFonts w:ascii="宋体" w:hAnsi="宋体" w:eastAsia="宋体" w:cs="宋体"/>
      <w:kern w:val="0"/>
    </w:rPr>
  </w:style>
  <w:style w:type="character" w:styleId="11">
    <w:name w:val="page number"/>
    <w:basedOn w:val="10"/>
    <w:semiHidden/>
    <w:unhideWhenUsed/>
    <w:uiPriority w:val="99"/>
  </w:style>
  <w:style w:type="character" w:styleId="12">
    <w:name w:val="Hyperlink"/>
    <w:basedOn w:val="10"/>
    <w:unhideWhenUsed/>
    <w:uiPriority w:val="99"/>
    <w:rPr>
      <w:color w:val="0563C1" w:themeColor="hyperlink"/>
      <w:u w:val="single"/>
      <w14:textFill>
        <w14:solidFill>
          <w14:schemeClr w14:val="hlink"/>
        </w14:solidFill>
      </w14:textFill>
    </w:rPr>
  </w:style>
  <w:style w:type="character" w:customStyle="1" w:styleId="13">
    <w:name w:val="标题 1 字符"/>
    <w:basedOn w:val="10"/>
    <w:link w:val="2"/>
    <w:qFormat/>
    <w:uiPriority w:val="9"/>
    <w:rPr>
      <w:rFonts w:ascii="Times New Roman" w:hAnsi="Times New Roman" w:eastAsia="Arial" w:cs="Arial"/>
      <w:b/>
      <w:bCs/>
      <w:kern w:val="44"/>
      <w:sz w:val="28"/>
    </w:rPr>
  </w:style>
  <w:style w:type="character" w:customStyle="1" w:styleId="14">
    <w:name w:val="标题 2 字符"/>
    <w:basedOn w:val="10"/>
    <w:link w:val="3"/>
    <w:qFormat/>
    <w:uiPriority w:val="9"/>
    <w:rPr>
      <w:rFonts w:ascii="Times New Roman" w:hAnsi="Times New Roman" w:eastAsia="Arial" w:cs="Verdana"/>
      <w:bCs/>
      <w:kern w:val="0"/>
      <w:sz w:val="28"/>
      <w:szCs w:val="32"/>
      <w:lang w:val="en" w:eastAsia="en-US"/>
    </w:rPr>
  </w:style>
  <w:style w:type="paragraph" w:styleId="15">
    <w:name w:val="List Paragraph"/>
    <w:basedOn w:val="1"/>
    <w:qFormat/>
    <w:uiPriority w:val="34"/>
    <w:pPr>
      <w:ind w:firstLine="420" w:firstLineChars="200"/>
    </w:pPr>
  </w:style>
  <w:style w:type="character" w:customStyle="1" w:styleId="16">
    <w:name w:val="日期 字符"/>
    <w:basedOn w:val="10"/>
    <w:link w:val="4"/>
    <w:semiHidden/>
    <w:qFormat/>
    <w:uiPriority w:val="99"/>
    <w:rPr>
      <w:rFonts w:ascii="Times New Roman" w:hAnsi="Times New Roman"/>
      <w:sz w:val="24"/>
    </w:rPr>
  </w:style>
  <w:style w:type="character" w:customStyle="1" w:styleId="17">
    <w:name w:val="Unresolved Mention"/>
    <w:basedOn w:val="10"/>
    <w:semiHidden/>
    <w:unhideWhenUsed/>
    <w:uiPriority w:val="99"/>
    <w:rPr>
      <w:color w:val="605E5C"/>
      <w:shd w:val="clear" w:color="auto" w:fill="E1DFDD"/>
    </w:rPr>
  </w:style>
  <w:style w:type="character" w:customStyle="1" w:styleId="18">
    <w:name w:val="页脚 字符"/>
    <w:basedOn w:val="10"/>
    <w:link w:val="5"/>
    <w:uiPriority w:val="99"/>
    <w:rPr>
      <w:rFonts w:ascii="Times New Roman" w:hAnsi="Times New Roman"/>
      <w:sz w:val="18"/>
      <w:szCs w:val="18"/>
    </w:rPr>
  </w:style>
</w:styles>
</file>

<file path=word/_rels/document.xml.rels><?xml version="1.0" encoding="UTF-8" standalone="yes"?>
<Relationships xmlns="http://schemas.openxmlformats.org/package/2006/relationships"><Relationship Id="rId9" Type="http://schemas.openxmlformats.org/officeDocument/2006/relationships/numbering" Target="numbering.xml"/><Relationship Id="rId8" Type="http://schemas.openxmlformats.org/officeDocument/2006/relationships/image" Target="media/image1.jpeg"/><Relationship Id="rId7" Type="http://schemas.openxmlformats.org/officeDocument/2006/relationships/theme" Target="theme/theme1.xml"/><Relationship Id="rId6" Type="http://schemas.openxmlformats.org/officeDocument/2006/relationships/footer" Target="footer2.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1" Type="http://schemas.openxmlformats.org/officeDocument/2006/relationships/fontTable" Target="fontTable.xml"/><Relationship Id="rId10" Type="http://schemas.openxmlformats.org/officeDocument/2006/relationships/customXml" Target="../customXml/item1.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DB77E48-4B62-7C48-B880-454BBA7226C9}">
  <ds:schemaRefs/>
</ds:datastoreItem>
</file>

<file path=docProps/app.xml><?xml version="1.0" encoding="utf-8"?>
<Properties xmlns="http://schemas.openxmlformats.org/officeDocument/2006/extended-properties" xmlns:vt="http://schemas.openxmlformats.org/officeDocument/2006/docPropsVTypes">
  <Template>Normal.dotm</Template>
  <Pages>18</Pages>
  <Words>3860</Words>
  <Characters>22002</Characters>
  <Lines>183</Lines>
  <Paragraphs>51</Paragraphs>
  <TotalTime>9</TotalTime>
  <ScaleCrop>false</ScaleCrop>
  <LinksUpToDate>false</LinksUpToDate>
  <CharactersWithSpaces>25811</CharactersWithSpaces>
  <Application>WPS Office_11.1.0.14309_F1E327BC-269C-435d-A152-05C5408002CA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2023-07-14T14:43:00Z</dcterms:created>
  <dc:creator>2654002624@qq.com</dc:creator>
  <cp:lastModifiedBy>gzy</cp:lastModifiedBy>
  <dcterms:modified xsi:type="dcterms:W3CDTF">2023-07-17T04:46:22Z</dcterms:modified>
  <cp:revision>50</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2052-11.1.0.14309</vt:lpwstr>
  </property>
  <property fmtid="{D5CDD505-2E9C-101B-9397-08002B2CF9AE}" pid="3" name="ICV">
    <vt:lpwstr>B0262CED63E14EA59576E980D0E6A027_12</vt:lpwstr>
  </property>
</Properties>
</file>