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9FCEF" w14:textId="50ED9109" w:rsidR="00FC50FB" w:rsidRPr="00925681" w:rsidRDefault="00FC50FB" w:rsidP="00FC50FB">
      <w:pPr>
        <w:jc w:val="center"/>
        <w:rPr>
          <w:b/>
          <w:bCs/>
        </w:rPr>
      </w:pPr>
      <w:bookmarkStart w:id="0" w:name="_Hlk181645301"/>
      <w:r w:rsidRPr="00925681">
        <w:rPr>
          <w:b/>
          <w:bCs/>
          <w:sz w:val="28"/>
          <w:szCs w:val="28"/>
        </w:rPr>
        <w:t xml:space="preserve">Component </w:t>
      </w:r>
      <w:r>
        <w:rPr>
          <w:b/>
          <w:bCs/>
          <w:sz w:val="28"/>
          <w:szCs w:val="28"/>
        </w:rPr>
        <w:t>2 - Coursework</w:t>
      </w:r>
      <w:r w:rsidRPr="00925681">
        <w:rPr>
          <w:b/>
          <w:bCs/>
          <w:sz w:val="28"/>
          <w:szCs w:val="28"/>
        </w:rPr>
        <w:t xml:space="preserve"> </w:t>
      </w:r>
      <w:r w:rsidRPr="00925681">
        <w:rPr>
          <w:b/>
          <w:bCs/>
          <w:sz w:val="28"/>
          <w:szCs w:val="28"/>
        </w:rPr>
        <w:br/>
        <w:t xml:space="preserve">Module code and name: </w:t>
      </w:r>
      <w:bookmarkStart w:id="1" w:name="_Hlk181645317"/>
      <w:bookmarkEnd w:id="0"/>
      <w:r>
        <w:rPr>
          <w:b/>
          <w:bCs/>
          <w:sz w:val="28"/>
          <w:szCs w:val="28"/>
        </w:rPr>
        <w:t xml:space="preserve">Principles of Human Resources </w:t>
      </w:r>
      <w:r w:rsidRPr="00925681">
        <w:rPr>
          <w:b/>
          <w:bCs/>
          <w:sz w:val="28"/>
          <w:szCs w:val="28"/>
        </w:rPr>
        <w:t>(LCBB</w:t>
      </w:r>
      <w:r>
        <w:rPr>
          <w:b/>
          <w:bCs/>
          <w:sz w:val="28"/>
          <w:szCs w:val="28"/>
        </w:rPr>
        <w:t>5012</w:t>
      </w:r>
      <w:r w:rsidRPr="00925681">
        <w:rPr>
          <w:b/>
          <w:bCs/>
          <w:sz w:val="28"/>
          <w:szCs w:val="28"/>
        </w:rPr>
        <w:t>_BIRM)</w:t>
      </w:r>
    </w:p>
    <w:p w14:paraId="47B918FE" w14:textId="77777777" w:rsidR="00FC50FB" w:rsidRPr="00925681" w:rsidRDefault="00FC50FB" w:rsidP="00FC50FB">
      <w:pPr>
        <w:rPr>
          <w:b/>
          <w:bCs/>
          <w:sz w:val="28"/>
          <w:szCs w:val="28"/>
        </w:rPr>
      </w:pPr>
    </w:p>
    <w:p w14:paraId="28D81E6A" w14:textId="77777777" w:rsidR="00FC50FB" w:rsidRDefault="00FC50FB" w:rsidP="00FC50FB">
      <w:pPr>
        <w:spacing w:line="360" w:lineRule="auto"/>
        <w:ind w:left="0" w:right="0" w:firstLine="0"/>
        <w:jc w:val="left"/>
        <w:rPr>
          <w:b/>
          <w:bCs/>
          <w:sz w:val="24"/>
        </w:rPr>
      </w:pPr>
      <w:r w:rsidRPr="00925681">
        <w:br/>
      </w:r>
      <w:bookmarkEnd w:id="1"/>
      <w:r w:rsidRPr="00925681">
        <w:t>Student name: Rosen Dodumov</w:t>
      </w:r>
      <w:r w:rsidRPr="00925681">
        <w:br/>
        <w:t>Student number: 2332532</w:t>
      </w:r>
      <w:r w:rsidRPr="00925681">
        <w:rPr>
          <w:b/>
          <w:bCs/>
        </w:rPr>
        <w:br/>
      </w:r>
      <w:r w:rsidRPr="00925681">
        <w:t xml:space="preserve">Lecturer Name: </w:t>
      </w:r>
      <w:r>
        <w:t>Nassir Ibrahim</w:t>
      </w:r>
      <w:r>
        <w:rPr>
          <w:b/>
          <w:bCs/>
          <w:sz w:val="24"/>
        </w:rPr>
        <w:br/>
      </w:r>
    </w:p>
    <w:p w14:paraId="3745A4AA" w14:textId="77777777" w:rsidR="00FC50FB" w:rsidRDefault="00FC50FB" w:rsidP="00FC50FB">
      <w:pPr>
        <w:spacing w:line="360" w:lineRule="auto"/>
        <w:ind w:left="0" w:right="0" w:firstLine="0"/>
        <w:jc w:val="left"/>
        <w:rPr>
          <w:b/>
          <w:bCs/>
          <w:sz w:val="24"/>
        </w:rPr>
      </w:pPr>
    </w:p>
    <w:p w14:paraId="52DBF8FF" w14:textId="77777777" w:rsidR="00FC50FB" w:rsidRDefault="00FC50FB" w:rsidP="00FC50FB">
      <w:pPr>
        <w:spacing w:line="360" w:lineRule="auto"/>
        <w:ind w:left="0" w:right="0" w:firstLine="0"/>
        <w:jc w:val="left"/>
        <w:rPr>
          <w:b/>
          <w:bCs/>
          <w:sz w:val="24"/>
        </w:rPr>
      </w:pPr>
    </w:p>
    <w:p w14:paraId="0F32927A" w14:textId="77777777" w:rsidR="00FC50FB" w:rsidRDefault="00FC50FB" w:rsidP="00FC50FB">
      <w:pPr>
        <w:spacing w:line="360" w:lineRule="auto"/>
        <w:ind w:left="0" w:right="0" w:firstLine="0"/>
        <w:jc w:val="left"/>
        <w:rPr>
          <w:b/>
          <w:bCs/>
          <w:sz w:val="24"/>
        </w:rPr>
      </w:pPr>
    </w:p>
    <w:p w14:paraId="41BCEE51" w14:textId="77777777" w:rsidR="00FC50FB" w:rsidRDefault="00FC50FB" w:rsidP="00FC50FB">
      <w:pPr>
        <w:spacing w:line="360" w:lineRule="auto"/>
        <w:ind w:left="0" w:right="0" w:firstLine="0"/>
        <w:jc w:val="left"/>
        <w:rPr>
          <w:b/>
          <w:bCs/>
          <w:sz w:val="24"/>
        </w:rPr>
      </w:pPr>
    </w:p>
    <w:p w14:paraId="519262B9" w14:textId="77777777" w:rsidR="00FC50FB" w:rsidRDefault="00FC50FB" w:rsidP="00FC50FB">
      <w:pPr>
        <w:spacing w:line="360" w:lineRule="auto"/>
        <w:ind w:left="0" w:right="0" w:firstLine="0"/>
        <w:jc w:val="left"/>
        <w:rPr>
          <w:b/>
          <w:bCs/>
          <w:sz w:val="24"/>
        </w:rPr>
      </w:pPr>
    </w:p>
    <w:p w14:paraId="3B263430" w14:textId="77777777" w:rsidR="00FC50FB" w:rsidRDefault="00FC50FB" w:rsidP="00FC50FB">
      <w:pPr>
        <w:spacing w:line="360" w:lineRule="auto"/>
        <w:ind w:left="0" w:right="0" w:firstLine="0"/>
        <w:jc w:val="left"/>
        <w:rPr>
          <w:b/>
          <w:bCs/>
          <w:sz w:val="24"/>
        </w:rPr>
      </w:pPr>
    </w:p>
    <w:p w14:paraId="5A3C614B" w14:textId="77777777" w:rsidR="00FC50FB" w:rsidRDefault="00FC50FB" w:rsidP="00FC50FB">
      <w:pPr>
        <w:spacing w:line="360" w:lineRule="auto"/>
        <w:ind w:left="0" w:right="0" w:firstLine="0"/>
        <w:jc w:val="left"/>
        <w:rPr>
          <w:b/>
          <w:bCs/>
          <w:sz w:val="24"/>
        </w:rPr>
      </w:pPr>
    </w:p>
    <w:p w14:paraId="55C6390E" w14:textId="77777777" w:rsidR="00FC50FB" w:rsidRDefault="00FC50FB" w:rsidP="00FC50FB">
      <w:pPr>
        <w:spacing w:line="360" w:lineRule="auto"/>
        <w:ind w:left="0" w:right="0" w:firstLine="0"/>
        <w:jc w:val="left"/>
        <w:rPr>
          <w:b/>
          <w:bCs/>
          <w:sz w:val="24"/>
        </w:rPr>
      </w:pPr>
    </w:p>
    <w:p w14:paraId="60BD6FB2" w14:textId="77777777" w:rsidR="00FC50FB" w:rsidRDefault="00FC50FB" w:rsidP="00FC50FB">
      <w:pPr>
        <w:spacing w:line="360" w:lineRule="auto"/>
        <w:ind w:left="0" w:right="0" w:firstLine="0"/>
        <w:jc w:val="left"/>
        <w:rPr>
          <w:b/>
          <w:bCs/>
          <w:sz w:val="24"/>
        </w:rPr>
      </w:pPr>
    </w:p>
    <w:p w14:paraId="7BB505FE" w14:textId="77777777" w:rsidR="00FC50FB" w:rsidRDefault="00FC50FB" w:rsidP="00FC50FB">
      <w:pPr>
        <w:spacing w:line="360" w:lineRule="auto"/>
        <w:ind w:left="0" w:right="0" w:firstLine="0"/>
        <w:jc w:val="left"/>
        <w:rPr>
          <w:b/>
          <w:bCs/>
          <w:sz w:val="24"/>
        </w:rPr>
      </w:pPr>
    </w:p>
    <w:p w14:paraId="0F14F725" w14:textId="77777777" w:rsidR="00FC50FB" w:rsidRDefault="00FC50FB" w:rsidP="00FC50FB">
      <w:pPr>
        <w:spacing w:line="360" w:lineRule="auto"/>
        <w:ind w:left="0" w:right="0" w:firstLine="0"/>
        <w:jc w:val="left"/>
        <w:rPr>
          <w:b/>
          <w:bCs/>
          <w:sz w:val="24"/>
        </w:rPr>
      </w:pPr>
    </w:p>
    <w:p w14:paraId="3FBEAA96" w14:textId="77777777" w:rsidR="00FC50FB" w:rsidRDefault="00FC50FB" w:rsidP="00FC50FB">
      <w:pPr>
        <w:spacing w:line="360" w:lineRule="auto"/>
        <w:ind w:left="0" w:right="0" w:firstLine="0"/>
        <w:jc w:val="left"/>
        <w:rPr>
          <w:b/>
          <w:bCs/>
          <w:sz w:val="24"/>
        </w:rPr>
      </w:pPr>
    </w:p>
    <w:p w14:paraId="5DF55185" w14:textId="77777777" w:rsidR="00FC50FB" w:rsidRDefault="00FC50FB" w:rsidP="00FC50FB">
      <w:pPr>
        <w:spacing w:line="360" w:lineRule="auto"/>
        <w:ind w:left="0" w:right="0" w:firstLine="0"/>
        <w:jc w:val="left"/>
        <w:rPr>
          <w:b/>
          <w:bCs/>
          <w:sz w:val="24"/>
        </w:rPr>
      </w:pPr>
    </w:p>
    <w:p w14:paraId="282B8DA4" w14:textId="77777777" w:rsidR="00FC50FB" w:rsidRDefault="00FC50FB" w:rsidP="00FC50FB">
      <w:pPr>
        <w:spacing w:line="360" w:lineRule="auto"/>
        <w:ind w:left="0" w:right="0" w:firstLine="0"/>
        <w:jc w:val="left"/>
        <w:rPr>
          <w:b/>
          <w:bCs/>
          <w:sz w:val="24"/>
        </w:rPr>
      </w:pPr>
    </w:p>
    <w:p w14:paraId="6700AD24" w14:textId="77777777" w:rsidR="00FC50FB" w:rsidRDefault="00FC50FB" w:rsidP="00FC50FB">
      <w:pPr>
        <w:spacing w:line="360" w:lineRule="auto"/>
        <w:ind w:left="0" w:right="0" w:firstLine="0"/>
        <w:jc w:val="left"/>
        <w:rPr>
          <w:b/>
          <w:bCs/>
          <w:sz w:val="24"/>
        </w:rPr>
      </w:pPr>
    </w:p>
    <w:p w14:paraId="1A816A4F" w14:textId="77777777" w:rsidR="00FC50FB" w:rsidRDefault="00FC50FB" w:rsidP="00FC50FB">
      <w:pPr>
        <w:spacing w:line="360" w:lineRule="auto"/>
        <w:ind w:left="0" w:right="0" w:firstLine="0"/>
        <w:jc w:val="left"/>
        <w:rPr>
          <w:b/>
          <w:bCs/>
          <w:sz w:val="24"/>
        </w:rPr>
      </w:pPr>
    </w:p>
    <w:p w14:paraId="0BDBA38B" w14:textId="77777777" w:rsidR="00FC50FB" w:rsidRDefault="00FC50FB" w:rsidP="00FC50FB">
      <w:pPr>
        <w:spacing w:line="360" w:lineRule="auto"/>
        <w:ind w:left="0" w:right="0" w:firstLine="0"/>
        <w:jc w:val="left"/>
        <w:rPr>
          <w:b/>
          <w:bCs/>
          <w:sz w:val="24"/>
        </w:rPr>
      </w:pPr>
    </w:p>
    <w:p w14:paraId="06508FD2" w14:textId="77777777" w:rsidR="00FC50FB" w:rsidRDefault="00FC50FB" w:rsidP="00FC50FB">
      <w:pPr>
        <w:spacing w:line="360" w:lineRule="auto"/>
        <w:ind w:left="0" w:right="0" w:firstLine="0"/>
        <w:jc w:val="left"/>
        <w:rPr>
          <w:b/>
          <w:bCs/>
          <w:sz w:val="24"/>
        </w:rPr>
      </w:pPr>
    </w:p>
    <w:p w14:paraId="273A6496" w14:textId="77777777" w:rsidR="00FC50FB" w:rsidRDefault="00FC50FB" w:rsidP="00FC50FB">
      <w:pPr>
        <w:spacing w:line="360" w:lineRule="auto"/>
        <w:ind w:left="0" w:right="0" w:firstLine="0"/>
        <w:jc w:val="left"/>
        <w:rPr>
          <w:b/>
          <w:bCs/>
          <w:sz w:val="24"/>
        </w:rPr>
      </w:pPr>
    </w:p>
    <w:p w14:paraId="367BBFF0" w14:textId="77777777" w:rsidR="00FC50FB" w:rsidRDefault="00FC50FB" w:rsidP="00FC50FB">
      <w:pPr>
        <w:spacing w:line="360" w:lineRule="auto"/>
        <w:ind w:left="0" w:right="0" w:firstLine="0"/>
        <w:jc w:val="left"/>
        <w:rPr>
          <w:b/>
          <w:bCs/>
          <w:sz w:val="24"/>
        </w:rPr>
      </w:pPr>
    </w:p>
    <w:p w14:paraId="5B52AC60" w14:textId="77777777" w:rsidR="00FC50FB" w:rsidRDefault="00FC50FB" w:rsidP="00FC50FB">
      <w:pPr>
        <w:spacing w:line="360" w:lineRule="auto"/>
        <w:ind w:left="0" w:right="0" w:firstLine="0"/>
        <w:jc w:val="left"/>
        <w:rPr>
          <w:b/>
          <w:bCs/>
          <w:sz w:val="24"/>
        </w:rPr>
      </w:pPr>
    </w:p>
    <w:p w14:paraId="0FE595A3" w14:textId="77777777" w:rsidR="00FC50FB" w:rsidRDefault="00FC50FB" w:rsidP="00FC50FB">
      <w:pPr>
        <w:spacing w:line="360" w:lineRule="auto"/>
        <w:ind w:left="0" w:right="0" w:firstLine="0"/>
        <w:jc w:val="left"/>
        <w:rPr>
          <w:b/>
          <w:bCs/>
          <w:sz w:val="24"/>
        </w:rPr>
      </w:pPr>
    </w:p>
    <w:p w14:paraId="22DD0FFD" w14:textId="77777777" w:rsidR="00FC50FB" w:rsidRDefault="00FC50FB" w:rsidP="00FC50FB">
      <w:pPr>
        <w:spacing w:line="360" w:lineRule="auto"/>
        <w:ind w:left="0" w:right="0" w:firstLine="0"/>
        <w:jc w:val="left"/>
        <w:rPr>
          <w:b/>
          <w:bCs/>
          <w:sz w:val="24"/>
        </w:rPr>
      </w:pPr>
    </w:p>
    <w:p w14:paraId="501AC045" w14:textId="3F12C2BC" w:rsidR="00160639" w:rsidRPr="009064E6" w:rsidRDefault="00FC50FB" w:rsidP="00FC50FB">
      <w:pPr>
        <w:spacing w:line="360" w:lineRule="auto"/>
        <w:ind w:left="0" w:right="0" w:firstLine="0"/>
        <w:jc w:val="center"/>
        <w:rPr>
          <w:b/>
          <w:bCs/>
          <w:sz w:val="24"/>
        </w:rPr>
      </w:pPr>
      <w:r>
        <w:rPr>
          <w:b/>
          <w:bCs/>
          <w:sz w:val="24"/>
        </w:rPr>
        <w:br/>
      </w:r>
      <w:r>
        <w:rPr>
          <w:b/>
          <w:bCs/>
          <w:sz w:val="24"/>
        </w:rPr>
        <w:br/>
      </w:r>
      <w:r>
        <w:rPr>
          <w:b/>
          <w:bCs/>
          <w:sz w:val="24"/>
        </w:rPr>
        <w:br/>
      </w:r>
      <w:r w:rsidR="00160639" w:rsidRPr="009064E6">
        <w:rPr>
          <w:b/>
          <w:bCs/>
          <w:sz w:val="24"/>
        </w:rPr>
        <w:lastRenderedPageBreak/>
        <w:t>The Influence of Environmental Factors on the Effectiveness of Human Resource Managers: A Case Study of Porsche AG</w:t>
      </w:r>
      <w:r>
        <w:rPr>
          <w:b/>
          <w:bCs/>
          <w:sz w:val="24"/>
        </w:rPr>
        <w:br/>
      </w:r>
      <w:r>
        <w:rPr>
          <w:b/>
          <w:bCs/>
          <w:sz w:val="24"/>
        </w:rPr>
        <w:br/>
      </w:r>
    </w:p>
    <w:p w14:paraId="2D4EE9CA" w14:textId="0F48AF32" w:rsidR="00160639" w:rsidRPr="00FC50FB" w:rsidRDefault="00160639" w:rsidP="00FC50FB">
      <w:pPr>
        <w:pStyle w:val="ListParagraph"/>
        <w:numPr>
          <w:ilvl w:val="0"/>
          <w:numId w:val="6"/>
        </w:numPr>
        <w:spacing w:line="360" w:lineRule="auto"/>
        <w:ind w:right="0"/>
        <w:jc w:val="left"/>
        <w:rPr>
          <w:b/>
          <w:bCs/>
          <w:sz w:val="24"/>
        </w:rPr>
      </w:pPr>
      <w:r w:rsidRPr="00FC50FB">
        <w:rPr>
          <w:b/>
          <w:bCs/>
          <w:sz w:val="24"/>
        </w:rPr>
        <w:t>Introduction</w:t>
      </w:r>
    </w:p>
    <w:p w14:paraId="476BB23D" w14:textId="77777777" w:rsidR="00160639" w:rsidRPr="009064E6" w:rsidRDefault="00160639" w:rsidP="009064E6">
      <w:pPr>
        <w:spacing w:line="360" w:lineRule="auto"/>
        <w:ind w:left="0" w:right="0" w:firstLine="0"/>
        <w:jc w:val="left"/>
        <w:rPr>
          <w:sz w:val="24"/>
        </w:rPr>
      </w:pPr>
      <w:r w:rsidRPr="009064E6">
        <w:rPr>
          <w:sz w:val="24"/>
        </w:rPr>
        <w:t>Human Resource (HR) management is a strategic function that contributes significantly to organisational performance by ensuring that an organisation attracts, develops, motivates and retains a skilled workforce capable of achieving business objectives. HR managers are responsible for aligning people management strategies with organisational goals while responding to changes within the internal and external business environment. In increasingly globalised markets, organisations face economic uncertainty, technological innovation, changing legislation, demographic shifts and evolving employee expectations, all of which influence HR decision-making and organisational effectiveness (CIPD, 2024; Bratton and Gold, 2023).</w:t>
      </w:r>
    </w:p>
    <w:p w14:paraId="09A1AF6C" w14:textId="4DC5811C" w:rsidR="00160639" w:rsidRPr="009064E6" w:rsidRDefault="00160639" w:rsidP="009064E6">
      <w:pPr>
        <w:spacing w:line="360" w:lineRule="auto"/>
        <w:ind w:left="0" w:right="0" w:firstLine="0"/>
        <w:jc w:val="left"/>
        <w:rPr>
          <w:sz w:val="24"/>
        </w:rPr>
      </w:pPr>
      <w:r w:rsidRPr="009064E6">
        <w:rPr>
          <w:sz w:val="24"/>
        </w:rPr>
        <w:t>The core functions of HR include recruitment and selection, training and development, performance management and employee relations. Recruitment enables organisations to acquire employees with the knowledge and competencies required for business success, while training and development ensure employees continuously improve their skills to meet changing organisational needs. Performance management supports productivity by evaluating employee performance and identifying opportunities for improvement, whereas employee relations promote positive workplace relationships, employee wellbeing and conflict resolution, contributing to higher organisational commitment and retention (Armstrong and Taylor, 2023; CIPD, 2024).</w:t>
      </w:r>
      <w:r w:rsidR="00FC50FB">
        <w:rPr>
          <w:sz w:val="24"/>
        </w:rPr>
        <w:br/>
      </w:r>
    </w:p>
    <w:p w14:paraId="1AD36CDF" w14:textId="2CF6EEB5" w:rsidR="00160639" w:rsidRPr="009064E6" w:rsidRDefault="00160639" w:rsidP="009064E6">
      <w:pPr>
        <w:spacing w:line="360" w:lineRule="auto"/>
        <w:ind w:left="0" w:right="0" w:firstLine="0"/>
        <w:jc w:val="left"/>
        <w:rPr>
          <w:sz w:val="24"/>
        </w:rPr>
      </w:pPr>
      <w:r w:rsidRPr="009064E6">
        <w:rPr>
          <w:sz w:val="24"/>
        </w:rPr>
        <w:t xml:space="preserve">This report evaluates how environmental factors influence the effectiveness of HR managers within a global organisation by applying the PESTLE model. The report first examines the usefulness and limitations of the chosen business environment model and explains its relationship with HR functions. It then introduces Porsche AG as the selected multinational organisation and outlines its HR practices. The report subsequently analyses how environmental factors influence Porsche's HR management across different countries before concluding with a summary of key findings and reflections on the future implications for HR managers operating within </w:t>
      </w:r>
      <w:r w:rsidRPr="009064E6">
        <w:rPr>
          <w:sz w:val="24"/>
        </w:rPr>
        <w:lastRenderedPageBreak/>
        <w:t>global organisations (Porsche AG, 2024; World Economic Forum, 2025).</w:t>
      </w:r>
      <w:r w:rsidR="00FC50FB">
        <w:rPr>
          <w:sz w:val="24"/>
        </w:rPr>
        <w:br/>
      </w:r>
    </w:p>
    <w:p w14:paraId="3C04680D" w14:textId="4EA305F1" w:rsidR="00160639" w:rsidRPr="00FC50FB" w:rsidRDefault="00160639" w:rsidP="00FC50FB">
      <w:pPr>
        <w:pStyle w:val="ListParagraph"/>
        <w:numPr>
          <w:ilvl w:val="0"/>
          <w:numId w:val="6"/>
        </w:numPr>
        <w:spacing w:line="360" w:lineRule="auto"/>
        <w:ind w:right="0"/>
        <w:jc w:val="left"/>
        <w:rPr>
          <w:b/>
          <w:bCs/>
          <w:sz w:val="24"/>
        </w:rPr>
      </w:pPr>
      <w:r w:rsidRPr="00FC50FB">
        <w:rPr>
          <w:b/>
          <w:bCs/>
          <w:sz w:val="24"/>
        </w:rPr>
        <w:t>Internal and External Environment</w:t>
      </w:r>
    </w:p>
    <w:p w14:paraId="101887AD" w14:textId="476D02D1" w:rsidR="00160639" w:rsidRPr="009064E6" w:rsidRDefault="00160639" w:rsidP="009064E6">
      <w:pPr>
        <w:spacing w:line="360" w:lineRule="auto"/>
        <w:ind w:left="0" w:right="0" w:firstLine="0"/>
        <w:jc w:val="left"/>
        <w:rPr>
          <w:sz w:val="24"/>
        </w:rPr>
      </w:pPr>
      <w:r w:rsidRPr="009064E6">
        <w:rPr>
          <w:sz w:val="24"/>
        </w:rPr>
        <w:t>Understanding the business environment is essential for organisations seeking to remain competitive in dynamic global markets. One of the most widely used analytical frameworks is the PESTLE model, which evaluates Political, Economic, Social, Technological, Legal and Environmental factors that influence organisational performance. The model assists managers in identifying opportunities and threats arising from external forces, enabling organisations to develop proactive strategies rather than reacting to environmental changes after they occur. For HR managers, PESTLE provides valuable insights into how external developments affect workforce planning, talent management and organisational capability (Johnson, Scholes and Whittington, 2020; CIPD, 2024).</w:t>
      </w:r>
      <w:r w:rsidR="005104B8">
        <w:rPr>
          <w:sz w:val="24"/>
        </w:rPr>
        <w:br/>
      </w:r>
    </w:p>
    <w:p w14:paraId="1819C03B" w14:textId="68C62D65" w:rsidR="00160639" w:rsidRPr="009064E6" w:rsidRDefault="005104B8" w:rsidP="009064E6">
      <w:pPr>
        <w:spacing w:line="360" w:lineRule="auto"/>
        <w:ind w:left="0" w:right="0" w:firstLine="0"/>
        <w:jc w:val="left"/>
        <w:rPr>
          <w:sz w:val="24"/>
        </w:rPr>
      </w:pPr>
      <w:r w:rsidRPr="00C07BB7">
        <w:rPr>
          <w:b/>
          <w:bCs/>
          <w:sz w:val="24"/>
        </w:rPr>
        <w:t>2.1</w:t>
      </w:r>
      <w:r>
        <w:rPr>
          <w:sz w:val="24"/>
        </w:rPr>
        <w:t xml:space="preserve"> </w:t>
      </w:r>
      <w:r w:rsidR="00160639" w:rsidRPr="009064E6">
        <w:rPr>
          <w:sz w:val="24"/>
        </w:rPr>
        <w:t>Political factors include government policies, international trade agreements, employment legislation and labour market regulations. HR managers operating internationally must ensure organisational policies comply with different national employment laws while adapting recruitment, compensation and employee relations practices accordingly. Political instability or changes in immigration policies may also affect access to skilled workers and influence workforce mobility. Consequently, HR professionals must continuously monitor political developments to minimise legal risks and maintain organisational continuity (ILO, 2024; OECD, 2023).</w:t>
      </w:r>
      <w:r>
        <w:rPr>
          <w:sz w:val="24"/>
        </w:rPr>
        <w:br/>
      </w:r>
    </w:p>
    <w:p w14:paraId="2EF05CBE" w14:textId="709D9767" w:rsidR="00160639" w:rsidRPr="009064E6" w:rsidRDefault="005104B8" w:rsidP="009064E6">
      <w:pPr>
        <w:spacing w:line="360" w:lineRule="auto"/>
        <w:ind w:left="0" w:right="0" w:firstLine="0"/>
        <w:jc w:val="left"/>
        <w:rPr>
          <w:sz w:val="24"/>
        </w:rPr>
      </w:pPr>
      <w:r w:rsidRPr="00C07BB7">
        <w:rPr>
          <w:b/>
          <w:bCs/>
          <w:sz w:val="24"/>
        </w:rPr>
        <w:t>2.2</w:t>
      </w:r>
      <w:r>
        <w:rPr>
          <w:sz w:val="24"/>
        </w:rPr>
        <w:t xml:space="preserve"> </w:t>
      </w:r>
      <w:r w:rsidR="00160639" w:rsidRPr="009064E6">
        <w:rPr>
          <w:sz w:val="24"/>
        </w:rPr>
        <w:t>Economic conditions significantly influence organisational decision-making and HR practices. Inflation, recession, exchange rate fluctuations and labour market shortages directly affect recruitment budgets, salary structures and workforce planning. During periods of economic uncertainty, organisations may reduce hiring, restructure operations or invest more heavily in employee reskilling to improve productivity. Conversely, economic growth often increases competition for skilled employees, encouraging organisations to strengthen employer branding and employee reward strategies. HR managers therefore play an essential role in balancing labour costs while maintaining employee engagement and organisational performance (World Economic Forum, 2025; OECD, 2023).</w:t>
      </w:r>
    </w:p>
    <w:p w14:paraId="5622BF89" w14:textId="7741EC99" w:rsidR="00160639" w:rsidRPr="009064E6" w:rsidRDefault="005104B8" w:rsidP="009064E6">
      <w:pPr>
        <w:spacing w:line="360" w:lineRule="auto"/>
        <w:ind w:left="0" w:right="0" w:firstLine="0"/>
        <w:jc w:val="left"/>
        <w:rPr>
          <w:sz w:val="24"/>
        </w:rPr>
      </w:pPr>
      <w:r w:rsidRPr="00C07BB7">
        <w:rPr>
          <w:b/>
          <w:bCs/>
          <w:sz w:val="24"/>
        </w:rPr>
        <w:lastRenderedPageBreak/>
        <w:t>2.3</w:t>
      </w:r>
      <w:r>
        <w:rPr>
          <w:sz w:val="24"/>
        </w:rPr>
        <w:t xml:space="preserve"> </w:t>
      </w:r>
      <w:r w:rsidR="00160639" w:rsidRPr="009064E6">
        <w:rPr>
          <w:sz w:val="24"/>
        </w:rPr>
        <w:t>Social factors represent demographic changes, cultural diversity, employee expectations and workforce values. Modern employees increasingly prioritise flexible working arrangements, diversity, inclusion and career development opportunities. Additionally, global organisations must manage culturally diverse workforces whose communication styles, leadership expectations and workplace behaviours vary considerably across countries. HR managers therefore need culturally sensitive policies that encourage inclusion while maintaining consistent organisational values. Failure to recognise these differences may reduce employee engagement and negatively affect organisational performance (CIPD, 2024; Deloitte, 2024).</w:t>
      </w:r>
      <w:r w:rsidR="00C07BB7">
        <w:rPr>
          <w:sz w:val="24"/>
        </w:rPr>
        <w:br/>
      </w:r>
    </w:p>
    <w:p w14:paraId="0E1AD4CC" w14:textId="371EABA9" w:rsidR="00160639" w:rsidRPr="009064E6" w:rsidRDefault="00C07BB7" w:rsidP="009064E6">
      <w:pPr>
        <w:spacing w:line="360" w:lineRule="auto"/>
        <w:ind w:left="0" w:right="0" w:firstLine="0"/>
        <w:jc w:val="left"/>
        <w:rPr>
          <w:sz w:val="24"/>
        </w:rPr>
      </w:pPr>
      <w:r w:rsidRPr="00C07BB7">
        <w:rPr>
          <w:b/>
          <w:bCs/>
          <w:sz w:val="24"/>
        </w:rPr>
        <w:t>2.4</w:t>
      </w:r>
      <w:r>
        <w:rPr>
          <w:sz w:val="24"/>
        </w:rPr>
        <w:t xml:space="preserve"> </w:t>
      </w:r>
      <w:r w:rsidR="00160639" w:rsidRPr="009064E6">
        <w:rPr>
          <w:sz w:val="24"/>
        </w:rPr>
        <w:t>Technological developments continue to transform HR management by improving operational efficiency and supporting evidence-based decision-making. Digital recruitment platforms, artificial intelligence, cloud-based HR information systems and people analytics enable organisations to streamline recruitment, monitor employee performance and identify future workforce requirements. However, technological change also requires continuous employee training and may create concerns regarding data privacy, cybersecurity and workforce displacement. HR managers must therefore balance technological innovation with ethical considerations and employee wellbeing to maximise organisational benefits (World Economic Forum, 2025; Deloitte, 2024).</w:t>
      </w:r>
      <w:r>
        <w:rPr>
          <w:sz w:val="24"/>
        </w:rPr>
        <w:br/>
      </w:r>
    </w:p>
    <w:p w14:paraId="36624A69" w14:textId="6B0948BF" w:rsidR="00160639" w:rsidRPr="009064E6" w:rsidRDefault="00C07BB7" w:rsidP="009064E6">
      <w:pPr>
        <w:spacing w:line="360" w:lineRule="auto"/>
        <w:ind w:left="0" w:right="0" w:firstLine="0"/>
        <w:jc w:val="left"/>
        <w:rPr>
          <w:sz w:val="24"/>
        </w:rPr>
      </w:pPr>
      <w:r w:rsidRPr="00C07BB7">
        <w:rPr>
          <w:b/>
          <w:bCs/>
          <w:sz w:val="24"/>
        </w:rPr>
        <w:t>2.5</w:t>
      </w:r>
      <w:r>
        <w:rPr>
          <w:sz w:val="24"/>
        </w:rPr>
        <w:t xml:space="preserve"> </w:t>
      </w:r>
      <w:r w:rsidR="00160639" w:rsidRPr="009064E6">
        <w:rPr>
          <w:sz w:val="24"/>
        </w:rPr>
        <w:t>Legal factors have a direct influence on HR functions because employment relationships are governed by national legislation. HR managers must comply with regulations relating to equality, discrimination, health and safety, employee rights, data protection and collective bargaining. For multinational organisations, legal compliance becomes increasingly complex because employment legislation differs substantially between countries. Effective HR management therefore requires continuous monitoring of legislative changes and regular updates to organisational policies to reduce legal and reputational risks (ILO, 2024; CIPD, 2024).</w:t>
      </w:r>
      <w:r>
        <w:rPr>
          <w:sz w:val="24"/>
        </w:rPr>
        <w:br/>
      </w:r>
    </w:p>
    <w:p w14:paraId="73CD6FBD" w14:textId="6C550AD6" w:rsidR="00160639" w:rsidRPr="009064E6" w:rsidRDefault="00C07BB7" w:rsidP="009064E6">
      <w:pPr>
        <w:spacing w:line="360" w:lineRule="auto"/>
        <w:ind w:left="0" w:right="0" w:firstLine="0"/>
        <w:jc w:val="left"/>
        <w:rPr>
          <w:sz w:val="24"/>
        </w:rPr>
      </w:pPr>
      <w:r w:rsidRPr="00C07BB7">
        <w:rPr>
          <w:b/>
          <w:bCs/>
          <w:sz w:val="24"/>
        </w:rPr>
        <w:t>2.6</w:t>
      </w:r>
      <w:r>
        <w:rPr>
          <w:sz w:val="24"/>
        </w:rPr>
        <w:t xml:space="preserve"> </w:t>
      </w:r>
      <w:r w:rsidR="00160639" w:rsidRPr="009064E6">
        <w:rPr>
          <w:sz w:val="24"/>
        </w:rPr>
        <w:t xml:space="preserve">Environmental factors have become increasingly important due to growing public concern regarding climate change and corporate sustainability. Organisations are expected to reduce environmental impacts while promoting sustainable business practices. HR managers contribute by embedding sustainability into recruitment, </w:t>
      </w:r>
      <w:r w:rsidR="00160639" w:rsidRPr="009064E6">
        <w:rPr>
          <w:sz w:val="24"/>
        </w:rPr>
        <w:lastRenderedPageBreak/>
        <w:t>leadership development, employee training and organisational culture. Green HRM initiatives encourage environmentally responsible employee behaviour and support organisations in achieving environmental objectives alongside financial performance. Sustainability has therefore become an integral component of strategic HR management within multinational organisations (Renwick, Redman and Maguire, 2022; Porsche AG, 2024).</w:t>
      </w:r>
      <w:r>
        <w:rPr>
          <w:sz w:val="24"/>
        </w:rPr>
        <w:br/>
      </w:r>
    </w:p>
    <w:p w14:paraId="2B449E72" w14:textId="158D9813" w:rsidR="00160639" w:rsidRPr="009064E6" w:rsidRDefault="00160639" w:rsidP="009064E6">
      <w:pPr>
        <w:spacing w:line="360" w:lineRule="auto"/>
        <w:ind w:left="0" w:right="0" w:firstLine="0"/>
        <w:jc w:val="left"/>
        <w:rPr>
          <w:sz w:val="24"/>
        </w:rPr>
      </w:pPr>
      <w:r w:rsidRPr="009064E6">
        <w:rPr>
          <w:sz w:val="24"/>
        </w:rPr>
        <w:t>Although the PESTLE model provides a comprehensive framework for analysing external environmental influences, it has limitations. The model focuses primarily on macro-environmental factors and gives limited attention to internal organisational capabilities, leadership quality and organisational culture. Furthermore, the framework identifies environmental influences but does not indicate which factors should receive strategic priority or predict the speed at which environmental changes will occur. Consequently, organisations often combine PESTLE with complementary strategic tools to achieve a more comprehensive understanding of organisational performance and decision-making (Johnson, Scholes and Whittington, 2020; Bratton and Gold, 2023).</w:t>
      </w:r>
      <w:r w:rsidR="00C07BB7">
        <w:rPr>
          <w:sz w:val="24"/>
        </w:rPr>
        <w:br/>
      </w:r>
    </w:p>
    <w:p w14:paraId="027F4DC4" w14:textId="77777777" w:rsidR="00160639" w:rsidRPr="009064E6" w:rsidRDefault="00160639" w:rsidP="009064E6">
      <w:pPr>
        <w:spacing w:line="360" w:lineRule="auto"/>
        <w:ind w:left="0" w:right="0" w:firstLine="0"/>
        <w:jc w:val="left"/>
        <w:rPr>
          <w:sz w:val="24"/>
        </w:rPr>
      </w:pPr>
      <w:r w:rsidRPr="009064E6">
        <w:rPr>
          <w:sz w:val="24"/>
        </w:rPr>
        <w:t>The relationship between PESTLE and HR functions is evident because each environmental dimension influences people management decisions. Political and legal changes shape employment policies, economic conditions determine workforce planning and reward strategies, social trends influence employee engagement and diversity initiatives, technological developments require continuous learning and digital capability, while environmental expectations encourage sustainable HR practices. By understanding these environmental influences, HR managers can develop responsive strategies that strengthen organisational resilience, improve employee performance and enhance long-term competitiveness in international markets (Armstrong and Taylor, 2023; CIPD, 2024).</w:t>
      </w:r>
    </w:p>
    <w:p w14:paraId="6D9DBF94" w14:textId="425EADF0" w:rsidR="00B26EE1" w:rsidRPr="009064E6" w:rsidRDefault="00B26EE1" w:rsidP="009064E6">
      <w:pPr>
        <w:spacing w:line="360" w:lineRule="auto"/>
        <w:ind w:left="0" w:right="0" w:firstLine="0"/>
        <w:jc w:val="left"/>
        <w:rPr>
          <w:b/>
          <w:bCs/>
          <w:sz w:val="24"/>
        </w:rPr>
      </w:pPr>
      <w:r w:rsidRPr="009064E6">
        <w:rPr>
          <w:sz w:val="24"/>
        </w:rPr>
        <w:br/>
      </w:r>
      <w:r w:rsidR="00C07BB7">
        <w:rPr>
          <w:b/>
          <w:bCs/>
          <w:sz w:val="24"/>
        </w:rPr>
        <w:t xml:space="preserve">3. </w:t>
      </w:r>
      <w:r w:rsidRPr="009064E6">
        <w:rPr>
          <w:b/>
          <w:bCs/>
          <w:sz w:val="24"/>
        </w:rPr>
        <w:t>Organisation Application</w:t>
      </w:r>
    </w:p>
    <w:p w14:paraId="57CB88E0" w14:textId="4543AFF2" w:rsidR="00B26EE1" w:rsidRPr="009064E6" w:rsidRDefault="00B26EE1" w:rsidP="009064E6">
      <w:pPr>
        <w:spacing w:line="360" w:lineRule="auto"/>
        <w:ind w:left="0" w:right="0" w:firstLine="0"/>
        <w:jc w:val="left"/>
        <w:rPr>
          <w:sz w:val="24"/>
        </w:rPr>
      </w:pPr>
      <w:r w:rsidRPr="009064E6">
        <w:rPr>
          <w:sz w:val="24"/>
        </w:rPr>
        <w:t xml:space="preserve">Porsche AG is a German luxury sports car manufacturer headquartered in Stuttgart, Germany, and operates as part of the Volkswagen Group. The company designs, manufactures and sells premium sports cars, SUVs and electric vehicles in more than 120 countries through an extensive network of subsidiaries, production facilities </w:t>
      </w:r>
      <w:r w:rsidRPr="009064E6">
        <w:rPr>
          <w:sz w:val="24"/>
        </w:rPr>
        <w:lastRenderedPageBreak/>
        <w:t>and dealerships. Porsche has expanded its global operations significantly in recent years, with key markets including Germany, China, the United States and the United Kingdom. As the automotive industry continues to undergo technological and environmental transformation, Porsche's international presence requires HR managers to coordinate people management practices across diverse cultural, legal and economic environments while supporting the organisation's long-term strategic objectives (Porsche AG, 2024; Volkswagen AG, 2024).</w:t>
      </w:r>
      <w:r w:rsidR="00C07BB7">
        <w:rPr>
          <w:sz w:val="24"/>
        </w:rPr>
        <w:br/>
      </w:r>
    </w:p>
    <w:p w14:paraId="364ED9CF" w14:textId="50C1B5FF" w:rsidR="00B26EE1" w:rsidRPr="009064E6" w:rsidRDefault="00B26EE1" w:rsidP="009064E6">
      <w:pPr>
        <w:spacing w:line="360" w:lineRule="auto"/>
        <w:ind w:left="0" w:right="0" w:firstLine="0"/>
        <w:jc w:val="left"/>
        <w:rPr>
          <w:sz w:val="24"/>
        </w:rPr>
      </w:pPr>
      <w:r w:rsidRPr="009064E6">
        <w:rPr>
          <w:sz w:val="24"/>
        </w:rPr>
        <w:t>Porsche's HR strategy focuses on attracting highly skilled employees, developing future talent and maintaining a high-performance organisational culture. Recruitment combines employer branding, graduate programmes and international talent acquisition to secure specialised engineering, manufacturing and digital expertise. Training and development are supported through continuous professional learning, leadership development programmes and digital skills initiatives that prepare employees for emerging technologies and electric mobility. Performance management emphasises continuous feedback, employee development and alignment with organisational objectives, while employee relations are strengthened through collaboration with works councils, employee participation and comprehensive wellbeing initiatives. These HR practices enable Porsche to maintain consistency across its international operations while adapting policies to local employment legislation and cultural expectations (Porsche AG, 2024; CIPD, 2024).</w:t>
      </w:r>
      <w:r w:rsidR="00C07BB7">
        <w:rPr>
          <w:sz w:val="24"/>
        </w:rPr>
        <w:br/>
      </w:r>
    </w:p>
    <w:p w14:paraId="0A06AB46" w14:textId="25FE9546" w:rsidR="00B26EE1" w:rsidRPr="00620A37" w:rsidRDefault="00B26EE1" w:rsidP="00620A37">
      <w:pPr>
        <w:pStyle w:val="ListParagraph"/>
        <w:numPr>
          <w:ilvl w:val="0"/>
          <w:numId w:val="8"/>
        </w:numPr>
        <w:spacing w:line="360" w:lineRule="auto"/>
        <w:ind w:right="0"/>
        <w:jc w:val="left"/>
        <w:rPr>
          <w:b/>
          <w:bCs/>
          <w:sz w:val="24"/>
        </w:rPr>
      </w:pPr>
      <w:r w:rsidRPr="00620A37">
        <w:rPr>
          <w:b/>
          <w:bCs/>
          <w:sz w:val="24"/>
        </w:rPr>
        <w:t>Application of the PESTLE Model</w:t>
      </w:r>
      <w:r w:rsidR="002430AD" w:rsidRPr="00620A37">
        <w:rPr>
          <w:b/>
          <w:bCs/>
          <w:sz w:val="24"/>
        </w:rPr>
        <w:br/>
      </w:r>
    </w:p>
    <w:p w14:paraId="3CE56470" w14:textId="04118F7D" w:rsidR="00B26EE1" w:rsidRPr="009064E6" w:rsidRDefault="00C35516" w:rsidP="009064E6">
      <w:pPr>
        <w:spacing w:line="360" w:lineRule="auto"/>
        <w:ind w:left="0" w:right="0" w:firstLine="0"/>
        <w:jc w:val="left"/>
        <w:rPr>
          <w:sz w:val="24"/>
        </w:rPr>
      </w:pPr>
      <w:r w:rsidRPr="00C35516">
        <w:rPr>
          <w:b/>
          <w:bCs/>
          <w:sz w:val="24"/>
        </w:rPr>
        <w:t>4.1</w:t>
      </w:r>
      <w:r>
        <w:rPr>
          <w:sz w:val="24"/>
        </w:rPr>
        <w:t xml:space="preserve"> </w:t>
      </w:r>
      <w:r w:rsidR="00B26EE1" w:rsidRPr="009064E6">
        <w:rPr>
          <w:sz w:val="24"/>
        </w:rPr>
        <w:t>Political factors significantly influence Porsche's HR management because the organisation operates across countries with different employment legislation, trade policies and labour market regulations. HR managers must ensure compliance with national employment laws relating to recruitment, equality, employee rights and occupational health and safety while maintaining consistent corporate standards. Trade tensions, changing international tariffs and government policies supporting electric vehicle production also influence workforce planning and investment decisions. Consequently, HR managers must remain informed about political developments to ensure organisational resilience and minimise operational risk across international markets (OECD, 2023; Porsche AG, 2024).</w:t>
      </w:r>
    </w:p>
    <w:p w14:paraId="474AE585" w14:textId="30BA5FB7" w:rsidR="00B26EE1" w:rsidRPr="009064E6" w:rsidRDefault="00B26EE1" w:rsidP="009064E6">
      <w:pPr>
        <w:spacing w:line="360" w:lineRule="auto"/>
        <w:ind w:left="0" w:right="0" w:firstLine="0"/>
        <w:jc w:val="left"/>
        <w:rPr>
          <w:sz w:val="24"/>
        </w:rPr>
      </w:pPr>
      <w:r w:rsidRPr="009064E6">
        <w:rPr>
          <w:sz w:val="24"/>
        </w:rPr>
        <w:lastRenderedPageBreak/>
        <w:t>Political influences differ considerably between countries in which Porsche operates. Germany's employment system places strong emphasis on employee participation through works councils and co-determination arrangements, requiring HR managers to engage employees in organisational decision-making. In contrast, employment legislation in the United States generally provides organisations with greater managerial flexibility regarding recruitment, performance management and workforce restructuring. HR managers therefore adapt organisational policies to ensure legal compliance while maintaining Porsche's corporate values and employee engagement across different institutional environments (ILO, 2024; Bratton and Gold, 2023).</w:t>
      </w:r>
      <w:r w:rsidR="00C35516">
        <w:rPr>
          <w:sz w:val="24"/>
        </w:rPr>
        <w:br/>
      </w:r>
    </w:p>
    <w:p w14:paraId="1F53E813" w14:textId="517FB3DF" w:rsidR="00B26EE1" w:rsidRPr="009064E6" w:rsidRDefault="00C35516" w:rsidP="009064E6">
      <w:pPr>
        <w:spacing w:line="360" w:lineRule="auto"/>
        <w:ind w:left="0" w:right="0" w:firstLine="0"/>
        <w:jc w:val="left"/>
        <w:rPr>
          <w:sz w:val="24"/>
        </w:rPr>
      </w:pPr>
      <w:r w:rsidRPr="00C35516">
        <w:rPr>
          <w:b/>
          <w:bCs/>
          <w:sz w:val="24"/>
        </w:rPr>
        <w:t>4.2</w:t>
      </w:r>
      <w:r>
        <w:rPr>
          <w:sz w:val="24"/>
        </w:rPr>
        <w:t xml:space="preserve"> </w:t>
      </w:r>
      <w:r w:rsidR="00B26EE1" w:rsidRPr="009064E6">
        <w:rPr>
          <w:sz w:val="24"/>
        </w:rPr>
        <w:t>Economic conditions also shape Porsche's HR effectiveness by influencing labour availability, recruitment costs and organisational investment in employee development. Rising inflation, supply chain disruptions and fluctuations in consumer demand have increased pressure on automotive manufacturers to improve productivity while controlling operating costs. HR managers therefore play a critical role in workforce planning, succession planning and skills development to ensure Porsche retains highly qualified employees despite increasing competition for engineering and digital talent. Economic uncertainty also requires HR professionals to balance cost efficiency with employee motivation and organisational performance (World Economic Forum, 2025; OECD, 2023).</w:t>
      </w:r>
      <w:r>
        <w:rPr>
          <w:sz w:val="24"/>
        </w:rPr>
        <w:br/>
      </w:r>
    </w:p>
    <w:p w14:paraId="70FAE2B0" w14:textId="38EA33DE" w:rsidR="00B26EE1" w:rsidRPr="009064E6" w:rsidRDefault="001F0955" w:rsidP="009064E6">
      <w:pPr>
        <w:spacing w:line="360" w:lineRule="auto"/>
        <w:ind w:left="0" w:right="0" w:firstLine="0"/>
        <w:jc w:val="left"/>
        <w:rPr>
          <w:sz w:val="24"/>
        </w:rPr>
      </w:pPr>
      <w:r w:rsidRPr="001F0955">
        <w:rPr>
          <w:b/>
          <w:bCs/>
          <w:sz w:val="24"/>
        </w:rPr>
        <w:t>4.3</w:t>
      </w:r>
      <w:r>
        <w:rPr>
          <w:sz w:val="24"/>
        </w:rPr>
        <w:t xml:space="preserve"> </w:t>
      </w:r>
      <w:r w:rsidR="00B26EE1" w:rsidRPr="009064E6">
        <w:rPr>
          <w:sz w:val="24"/>
        </w:rPr>
        <w:t>Economic conditions vary substantially across Porsche's international markets. Germany continues to experience shortages of skilled engineers and technology specialists, increasing competition for qualified employees and encouraging investment in apprenticeships and workforce development. In emerging economies, labour costs may be comparatively lower, but differences in education systems and technical expertise require additional investment in employee training. HR managers therefore adapt recruitment strategies, reward systems and development programmes according to local labour market conditions while maintaining Porsche's global standards of quality and innovation (Porsche AG, 2024; Deloitte, 2024).</w:t>
      </w:r>
    </w:p>
    <w:p w14:paraId="63D76635" w14:textId="77777777" w:rsidR="00B26EE1" w:rsidRPr="009064E6" w:rsidRDefault="00B26EE1" w:rsidP="009064E6">
      <w:pPr>
        <w:spacing w:line="360" w:lineRule="auto"/>
        <w:ind w:left="0" w:right="0" w:firstLine="0"/>
        <w:jc w:val="left"/>
        <w:rPr>
          <w:sz w:val="24"/>
        </w:rPr>
      </w:pPr>
      <w:r w:rsidRPr="009064E6">
        <w:rPr>
          <w:sz w:val="24"/>
        </w:rPr>
        <w:t xml:space="preserve">Social factors have become increasingly important because workforce expectations continue to evolve. Employees now expect flexible working arrangements, career development opportunities, diversity, inclusion and greater attention to wellbeing. </w:t>
      </w:r>
      <w:r w:rsidRPr="009064E6">
        <w:rPr>
          <w:sz w:val="24"/>
        </w:rPr>
        <w:lastRenderedPageBreak/>
        <w:t>Porsche has responded by promoting employee development, health initiatives and inclusive leadership practices that strengthen organisational commitment and employer attractiveness. HR managers therefore contribute to organisational success by developing policies that support employee engagement while aligning individual aspirations with organisational objectives (CIPD, 2024; Porsche AG, 2024).</w:t>
      </w:r>
    </w:p>
    <w:p w14:paraId="5978EB39" w14:textId="0BD49C80" w:rsidR="00B26EE1" w:rsidRPr="009064E6" w:rsidRDefault="00B26EE1" w:rsidP="009064E6">
      <w:pPr>
        <w:spacing w:line="360" w:lineRule="auto"/>
        <w:ind w:left="0" w:right="0" w:firstLine="0"/>
        <w:jc w:val="left"/>
        <w:rPr>
          <w:sz w:val="24"/>
        </w:rPr>
      </w:pPr>
      <w:r w:rsidRPr="009064E6">
        <w:rPr>
          <w:sz w:val="24"/>
        </w:rPr>
        <w:t>Cultural differences require Porsche's HR managers to modify management approaches across countries. German organisational culture traditionally emphasises precision, planning and collaborative decision-making, whereas employees in countries such as China may place greater importance on hierarchical leadership and collective responsibility. Similarly, employees in the United States often expect greater individual autonomy and performance-based recognition. These cultural differences influence communication styles, leadership development, employee motivation and performance management systems. HR managers must therefore demonstrate cultural intelligence to ensure organisational policies remain effective across diverse international workforces (Hofstede Insights, 2024; Bratton and Gold, 2023).</w:t>
      </w:r>
      <w:r w:rsidR="001F0955">
        <w:rPr>
          <w:sz w:val="24"/>
        </w:rPr>
        <w:br/>
      </w:r>
    </w:p>
    <w:p w14:paraId="0EE4E019" w14:textId="6242A057" w:rsidR="00B26EE1" w:rsidRPr="009064E6" w:rsidRDefault="001F0955" w:rsidP="009064E6">
      <w:pPr>
        <w:spacing w:line="360" w:lineRule="auto"/>
        <w:ind w:left="0" w:right="0" w:firstLine="0"/>
        <w:jc w:val="left"/>
        <w:rPr>
          <w:sz w:val="24"/>
        </w:rPr>
      </w:pPr>
      <w:r w:rsidRPr="001F0955">
        <w:rPr>
          <w:b/>
          <w:bCs/>
          <w:sz w:val="24"/>
        </w:rPr>
        <w:t>4.4</w:t>
      </w:r>
      <w:r>
        <w:rPr>
          <w:sz w:val="24"/>
        </w:rPr>
        <w:t xml:space="preserve"> </w:t>
      </w:r>
      <w:r w:rsidR="00B26EE1" w:rsidRPr="009064E6">
        <w:rPr>
          <w:sz w:val="24"/>
        </w:rPr>
        <w:t>Technological developments represent one of the most significant environmental influences affecting Porsche's HR function. The transition towards electric vehicles, digital manufacturing, artificial intelligence and Industry 4.0 technologies has transformed workforce skill requirements throughout the automotive sector. HR managers are increasingly responsible for recruiting specialists in software engineering, battery technology, cybersecurity and data analytics while simultaneously reskilling existing employees whose traditional manufacturing roles continue to evolve. Continuous learning has therefore become essential for maintaining Porsche's long-term competitiveness (World Economic Forum, 2025; Porsche AG, 2024).</w:t>
      </w:r>
    </w:p>
    <w:p w14:paraId="7D75D241" w14:textId="4D330DEA" w:rsidR="00B26EE1" w:rsidRPr="009064E6" w:rsidRDefault="00B26EE1" w:rsidP="009064E6">
      <w:pPr>
        <w:spacing w:line="360" w:lineRule="auto"/>
        <w:ind w:left="0" w:right="0" w:firstLine="0"/>
        <w:jc w:val="left"/>
        <w:rPr>
          <w:sz w:val="24"/>
        </w:rPr>
      </w:pPr>
      <w:r w:rsidRPr="009064E6">
        <w:rPr>
          <w:sz w:val="24"/>
        </w:rPr>
        <w:t xml:space="preserve">The pace of technological transformation differs internationally because countries possess varying levels of digital infrastructure, educational capability and technological readiness. Germany benefits from advanced manufacturing expertise and vocational education systems that support technical workforce development. In contrast, developing economies may require additional investment in employee training to achieve comparable technological capability. HR managers must therefore </w:t>
      </w:r>
      <w:r w:rsidRPr="009064E6">
        <w:rPr>
          <w:sz w:val="24"/>
        </w:rPr>
        <w:lastRenderedPageBreak/>
        <w:t>design learning programmes that reflect local educational contexts while ensuring employees possess the competencies required to support Porsche's global innovation strategy (OECD, 2023; Deloitte, 2024).</w:t>
      </w:r>
      <w:r w:rsidR="00BF0CD1">
        <w:rPr>
          <w:sz w:val="24"/>
        </w:rPr>
        <w:br/>
      </w:r>
    </w:p>
    <w:p w14:paraId="2C100A24" w14:textId="2BF19CFB" w:rsidR="00B26EE1" w:rsidRPr="009064E6" w:rsidRDefault="00BF0CD1" w:rsidP="009064E6">
      <w:pPr>
        <w:spacing w:line="360" w:lineRule="auto"/>
        <w:ind w:left="0" w:right="0" w:firstLine="0"/>
        <w:jc w:val="left"/>
        <w:rPr>
          <w:sz w:val="24"/>
        </w:rPr>
      </w:pPr>
      <w:r w:rsidRPr="00BF0CD1">
        <w:rPr>
          <w:b/>
          <w:bCs/>
          <w:sz w:val="24"/>
        </w:rPr>
        <w:t>4.5</w:t>
      </w:r>
      <w:r>
        <w:rPr>
          <w:sz w:val="24"/>
        </w:rPr>
        <w:t xml:space="preserve"> </w:t>
      </w:r>
      <w:r w:rsidR="00B26EE1" w:rsidRPr="009064E6">
        <w:rPr>
          <w:sz w:val="24"/>
        </w:rPr>
        <w:t>Legal factors directly affect Porsche's HR operations because employment legislation varies considerably between countries. HR managers must ensure compliance with regulations concerning equality, discrimination, data protection, employee privacy, working time, collective bargaining and occupational health and safety. Non-compliance may result in financial penalties, reputational damage and reduced employee trust. Consequently, HR professionals regularly review organisational policies and collaborate with legal specialists to ensure consistent compliance across international operations (ILO, 2024; CIPD, 2024).</w:t>
      </w:r>
    </w:p>
    <w:p w14:paraId="7E61CABC" w14:textId="6F200161" w:rsidR="00B26EE1" w:rsidRPr="009064E6" w:rsidRDefault="00B26EE1" w:rsidP="009064E6">
      <w:pPr>
        <w:spacing w:line="360" w:lineRule="auto"/>
        <w:ind w:left="0" w:right="0" w:firstLine="0"/>
        <w:jc w:val="left"/>
        <w:rPr>
          <w:sz w:val="24"/>
        </w:rPr>
      </w:pPr>
      <w:r w:rsidRPr="009064E6">
        <w:rPr>
          <w:sz w:val="24"/>
        </w:rPr>
        <w:t>Legal variation is particularly evident when comparing European and non-European markets. European Union legislation provides extensive protection for employee rights, including regulations relating to working time, consultation and data protection under the General Data Protection Regulation (GDPR). By comparison, employment legislation in countries outside Europe may provide different levels of employee protection, requiring HR managers to adjust organisational procedures while preserving Porsche's commitment to ethical employment practices and corporate responsibility (European Commission, 2024; Porsche AG, 2024).</w:t>
      </w:r>
      <w:r w:rsidR="00BF0CD1">
        <w:rPr>
          <w:sz w:val="24"/>
        </w:rPr>
        <w:br/>
      </w:r>
    </w:p>
    <w:p w14:paraId="08AB8F54" w14:textId="33D9C0D9" w:rsidR="00B26EE1" w:rsidRPr="009064E6" w:rsidRDefault="00BF0CD1" w:rsidP="009064E6">
      <w:pPr>
        <w:spacing w:line="360" w:lineRule="auto"/>
        <w:ind w:left="0" w:right="0" w:firstLine="0"/>
        <w:jc w:val="left"/>
        <w:rPr>
          <w:sz w:val="24"/>
        </w:rPr>
      </w:pPr>
      <w:r w:rsidRPr="00BF0CD1">
        <w:rPr>
          <w:b/>
          <w:bCs/>
          <w:sz w:val="24"/>
        </w:rPr>
        <w:t>4.6</w:t>
      </w:r>
      <w:r>
        <w:rPr>
          <w:sz w:val="24"/>
        </w:rPr>
        <w:t xml:space="preserve"> </w:t>
      </w:r>
      <w:r w:rsidR="00B26EE1" w:rsidRPr="009064E6">
        <w:rPr>
          <w:sz w:val="24"/>
        </w:rPr>
        <w:t>Environmental sustainability has become a strategic priority for Porsche as governments, investors and consumers increasingly expect organisations to reduce carbon emissions and promote responsible business practices. HR managers support these objectives by embedding sustainability into recruitment, leadership development, employee training and organisational culture. Green HRM initiatives encourage employees to adopt environmentally responsible behaviours while supporting Porsche's transition towards electric mobility and carbon-neutral production. Consequently, environmental sustainability has expanded the strategic responsibilities of HR professionals beyond traditional personnel management (Porsche AG, 2024; Renwick, Redman and Maguire, 2022).</w:t>
      </w:r>
      <w:r>
        <w:rPr>
          <w:sz w:val="24"/>
        </w:rPr>
        <w:br/>
      </w:r>
    </w:p>
    <w:p w14:paraId="38A634E6" w14:textId="77777777" w:rsidR="00B26EE1" w:rsidRPr="009064E6" w:rsidRDefault="00B26EE1" w:rsidP="009064E6">
      <w:pPr>
        <w:spacing w:line="360" w:lineRule="auto"/>
        <w:ind w:left="0" w:right="0" w:firstLine="0"/>
        <w:jc w:val="left"/>
        <w:rPr>
          <w:sz w:val="24"/>
        </w:rPr>
      </w:pPr>
      <w:r w:rsidRPr="009064E6">
        <w:rPr>
          <w:sz w:val="24"/>
        </w:rPr>
        <w:t xml:space="preserve">Overall, the PESTLE model demonstrates that HR managers operate within an increasingly complex environment where political, economic, social, technological, </w:t>
      </w:r>
      <w:r w:rsidRPr="009064E6">
        <w:rPr>
          <w:sz w:val="24"/>
        </w:rPr>
        <w:lastRenderedPageBreak/>
        <w:t>legal and environmental factors continuously interact. For Porsche, effective HR management depends on balancing global consistency with local responsiveness by adapting HR practices to diverse national contexts without compromising organisational values or strategic objectives. HR managers therefore function not only as operational specialists but also as strategic partners who strengthen organisational resilience, innovation and sustainable competitive advantage in an increasingly dynamic international business environment (Armstrong and Taylor, 2023; World Economic Forum, 2025).</w:t>
      </w:r>
    </w:p>
    <w:p w14:paraId="5B315C2F" w14:textId="1955E055" w:rsidR="009064E6" w:rsidRPr="009064E6" w:rsidRDefault="009064E6" w:rsidP="009064E6">
      <w:pPr>
        <w:spacing w:line="360" w:lineRule="auto"/>
        <w:ind w:left="0" w:right="0" w:firstLine="0"/>
        <w:jc w:val="left"/>
        <w:rPr>
          <w:b/>
          <w:bCs/>
          <w:sz w:val="24"/>
        </w:rPr>
      </w:pPr>
      <w:r w:rsidRPr="009064E6">
        <w:rPr>
          <w:sz w:val="24"/>
        </w:rPr>
        <w:br/>
      </w:r>
      <w:r w:rsidR="00BF0CD1">
        <w:rPr>
          <w:b/>
          <w:bCs/>
          <w:sz w:val="24"/>
        </w:rPr>
        <w:t xml:space="preserve">5. </w:t>
      </w:r>
      <w:r w:rsidRPr="009064E6">
        <w:rPr>
          <w:b/>
          <w:bCs/>
          <w:sz w:val="24"/>
        </w:rPr>
        <w:t>Conclusion</w:t>
      </w:r>
    </w:p>
    <w:p w14:paraId="0FAA5D6E" w14:textId="0E8BE171" w:rsidR="009064E6" w:rsidRPr="009064E6" w:rsidRDefault="009064E6" w:rsidP="009064E6">
      <w:pPr>
        <w:spacing w:line="360" w:lineRule="auto"/>
        <w:ind w:left="0" w:right="0" w:firstLine="0"/>
        <w:jc w:val="left"/>
        <w:rPr>
          <w:sz w:val="24"/>
        </w:rPr>
      </w:pPr>
      <w:r w:rsidRPr="009064E6">
        <w:rPr>
          <w:sz w:val="24"/>
        </w:rPr>
        <w:t>Human Resource (HR) managers play a fundamental role in enabling organisations to achieve sustainable competitive advantage by effectively managing their workforce and aligning people strategies with organisational objectives. This report has demonstrated that HR functions, including recruitment, training and development, performance management and employee relations, are essential for attracting skilled employees, enhancing workforce capabilities and maintaining employee engagement. However, the effectiveness of HR managers is increasingly influenced by changes within the wider business environment, making environmental analysis an important component of strategic HR management (Armstrong and Taylor, 2023; CIPD, 2024).</w:t>
      </w:r>
      <w:r w:rsidR="00BF0CD1">
        <w:rPr>
          <w:sz w:val="24"/>
        </w:rPr>
        <w:br/>
      </w:r>
    </w:p>
    <w:p w14:paraId="15CEFD16" w14:textId="77777777" w:rsidR="009064E6" w:rsidRPr="009064E6" w:rsidRDefault="009064E6" w:rsidP="009064E6">
      <w:pPr>
        <w:spacing w:line="360" w:lineRule="auto"/>
        <w:ind w:left="0" w:right="0" w:firstLine="0"/>
        <w:jc w:val="left"/>
        <w:rPr>
          <w:sz w:val="24"/>
        </w:rPr>
      </w:pPr>
      <w:r w:rsidRPr="009064E6">
        <w:rPr>
          <w:sz w:val="24"/>
        </w:rPr>
        <w:t>The report applied the PESTLE model to evaluate how political, economic, social, technological, legal and environmental factors influence HR management within Porsche AG. Although the model has limitations because it focuses primarily on external environmental forces, it provides a valuable framework for understanding how organisations must respond to changing business conditions. The analysis demonstrated that Porsche's HR managers must continuously adapt recruitment strategies, employee development initiatives, performance management systems and workforce policies in response to technological innovation, economic uncertainty, evolving legislation and increasing sustainability expectations. Furthermore, differences in national cultures, labour market conditions and employment regulations require HR professionals to balance global consistency with local responsiveness to ensure organisational effectiveness across international operations (Bratton and Gold, 2023; Porsche AG, 2024).</w:t>
      </w:r>
    </w:p>
    <w:p w14:paraId="40CFEA57" w14:textId="77777777" w:rsidR="009064E6" w:rsidRPr="009064E6" w:rsidRDefault="009064E6" w:rsidP="009064E6">
      <w:pPr>
        <w:spacing w:line="360" w:lineRule="auto"/>
        <w:ind w:left="0" w:right="0" w:firstLine="0"/>
        <w:jc w:val="left"/>
        <w:rPr>
          <w:sz w:val="24"/>
        </w:rPr>
      </w:pPr>
      <w:r w:rsidRPr="009064E6">
        <w:rPr>
          <w:sz w:val="24"/>
        </w:rPr>
        <w:lastRenderedPageBreak/>
        <w:t>Looking ahead, HR managers within global organisations such as Porsche are likely to face increasingly complex challenges resulting from digital transformation, artificial intelligence, demographic change, climate-related policies and evolving employee expectations. These developments will require HR professionals to strengthen strategic workforce planning, promote continuous learning, enhance organisational agility and foster inclusive workplace cultures capable of supporting innovation and sustainable business growth. Future HR success will therefore depend upon the ability to anticipate environmental change, make evidence-based decisions and develop flexible people management strategies that support long-term organisational resilience within an increasingly dynamic global business environment (World Economic Forum, 2025; Deloitte, 2024).</w:t>
      </w:r>
    </w:p>
    <w:p w14:paraId="024D0BAC" w14:textId="77777777" w:rsidR="009064E6" w:rsidRPr="009064E6" w:rsidRDefault="009064E6" w:rsidP="009064E6">
      <w:pPr>
        <w:spacing w:line="360" w:lineRule="auto"/>
        <w:ind w:left="0" w:right="0" w:firstLine="0"/>
        <w:jc w:val="left"/>
        <w:rPr>
          <w:sz w:val="24"/>
        </w:rPr>
      </w:pPr>
    </w:p>
    <w:p w14:paraId="123CECDD" w14:textId="77777777" w:rsidR="009064E6" w:rsidRPr="009064E6" w:rsidRDefault="009064E6" w:rsidP="009064E6">
      <w:pPr>
        <w:spacing w:line="360" w:lineRule="auto"/>
        <w:ind w:left="0" w:right="0" w:firstLine="0"/>
        <w:jc w:val="left"/>
        <w:rPr>
          <w:sz w:val="24"/>
        </w:rPr>
      </w:pPr>
    </w:p>
    <w:p w14:paraId="2A532794" w14:textId="77777777" w:rsidR="009064E6" w:rsidRPr="009064E6" w:rsidRDefault="009064E6" w:rsidP="009064E6">
      <w:pPr>
        <w:spacing w:line="360" w:lineRule="auto"/>
        <w:ind w:left="0" w:right="0" w:firstLine="0"/>
        <w:jc w:val="left"/>
        <w:rPr>
          <w:sz w:val="24"/>
        </w:rPr>
      </w:pPr>
    </w:p>
    <w:p w14:paraId="60C00434" w14:textId="77777777" w:rsidR="009064E6" w:rsidRPr="009064E6" w:rsidRDefault="009064E6" w:rsidP="009064E6">
      <w:pPr>
        <w:spacing w:line="360" w:lineRule="auto"/>
        <w:ind w:left="0" w:right="0" w:firstLine="0"/>
        <w:jc w:val="left"/>
        <w:rPr>
          <w:sz w:val="24"/>
        </w:rPr>
      </w:pPr>
    </w:p>
    <w:p w14:paraId="3C57DA53" w14:textId="77777777" w:rsidR="009064E6" w:rsidRPr="009064E6" w:rsidRDefault="009064E6" w:rsidP="009064E6">
      <w:pPr>
        <w:spacing w:line="360" w:lineRule="auto"/>
        <w:ind w:left="0" w:right="0" w:firstLine="0"/>
        <w:jc w:val="left"/>
        <w:rPr>
          <w:sz w:val="24"/>
        </w:rPr>
      </w:pPr>
    </w:p>
    <w:p w14:paraId="1597E2CC" w14:textId="77777777" w:rsidR="009064E6" w:rsidRPr="009064E6" w:rsidRDefault="009064E6" w:rsidP="009064E6">
      <w:pPr>
        <w:spacing w:line="360" w:lineRule="auto"/>
        <w:ind w:left="0" w:right="0" w:firstLine="0"/>
        <w:jc w:val="left"/>
        <w:rPr>
          <w:sz w:val="24"/>
        </w:rPr>
      </w:pPr>
    </w:p>
    <w:p w14:paraId="191FDB95" w14:textId="77777777" w:rsidR="009064E6" w:rsidRPr="009064E6" w:rsidRDefault="009064E6" w:rsidP="009064E6">
      <w:pPr>
        <w:spacing w:line="360" w:lineRule="auto"/>
        <w:ind w:left="0" w:right="0" w:firstLine="0"/>
        <w:jc w:val="left"/>
        <w:rPr>
          <w:sz w:val="24"/>
        </w:rPr>
      </w:pPr>
    </w:p>
    <w:p w14:paraId="4F59F5CE" w14:textId="77777777" w:rsidR="009064E6" w:rsidRPr="009064E6" w:rsidRDefault="009064E6" w:rsidP="009064E6">
      <w:pPr>
        <w:spacing w:line="360" w:lineRule="auto"/>
        <w:ind w:left="0" w:right="0" w:firstLine="0"/>
        <w:jc w:val="left"/>
        <w:rPr>
          <w:sz w:val="24"/>
        </w:rPr>
      </w:pPr>
    </w:p>
    <w:p w14:paraId="7B33E3FF" w14:textId="77777777" w:rsidR="009064E6" w:rsidRPr="009064E6" w:rsidRDefault="009064E6" w:rsidP="009064E6">
      <w:pPr>
        <w:spacing w:line="360" w:lineRule="auto"/>
        <w:ind w:left="0" w:right="0" w:firstLine="0"/>
        <w:jc w:val="left"/>
        <w:rPr>
          <w:sz w:val="24"/>
        </w:rPr>
      </w:pPr>
    </w:p>
    <w:p w14:paraId="7EAF9C62" w14:textId="77777777" w:rsidR="009064E6" w:rsidRPr="009064E6" w:rsidRDefault="009064E6" w:rsidP="009064E6">
      <w:pPr>
        <w:spacing w:line="360" w:lineRule="auto"/>
        <w:ind w:left="0" w:right="0" w:firstLine="0"/>
        <w:jc w:val="left"/>
        <w:rPr>
          <w:sz w:val="24"/>
        </w:rPr>
      </w:pPr>
    </w:p>
    <w:p w14:paraId="1119ACD5" w14:textId="77777777" w:rsidR="009064E6" w:rsidRPr="009064E6" w:rsidRDefault="009064E6" w:rsidP="009064E6">
      <w:pPr>
        <w:spacing w:line="360" w:lineRule="auto"/>
        <w:ind w:left="0" w:right="0" w:firstLine="0"/>
        <w:jc w:val="left"/>
        <w:rPr>
          <w:sz w:val="24"/>
        </w:rPr>
      </w:pPr>
    </w:p>
    <w:p w14:paraId="4F48B1BD" w14:textId="77777777" w:rsidR="009064E6" w:rsidRPr="009064E6" w:rsidRDefault="009064E6" w:rsidP="009064E6">
      <w:pPr>
        <w:spacing w:line="360" w:lineRule="auto"/>
        <w:ind w:left="0" w:right="0" w:firstLine="0"/>
        <w:jc w:val="left"/>
        <w:rPr>
          <w:sz w:val="24"/>
        </w:rPr>
      </w:pPr>
    </w:p>
    <w:p w14:paraId="0FDE4F5B" w14:textId="77777777" w:rsidR="009064E6" w:rsidRPr="009064E6" w:rsidRDefault="009064E6" w:rsidP="009064E6">
      <w:pPr>
        <w:spacing w:line="360" w:lineRule="auto"/>
        <w:ind w:left="0" w:right="0" w:firstLine="0"/>
        <w:jc w:val="left"/>
        <w:rPr>
          <w:sz w:val="24"/>
        </w:rPr>
      </w:pPr>
    </w:p>
    <w:p w14:paraId="6438B439" w14:textId="77777777" w:rsidR="009064E6" w:rsidRPr="009064E6" w:rsidRDefault="009064E6" w:rsidP="009064E6">
      <w:pPr>
        <w:spacing w:line="360" w:lineRule="auto"/>
        <w:ind w:left="0" w:right="0" w:firstLine="0"/>
        <w:jc w:val="left"/>
        <w:rPr>
          <w:sz w:val="24"/>
        </w:rPr>
      </w:pPr>
    </w:p>
    <w:p w14:paraId="7B0B334B" w14:textId="77777777" w:rsidR="009064E6" w:rsidRPr="009064E6" w:rsidRDefault="009064E6" w:rsidP="009064E6">
      <w:pPr>
        <w:spacing w:line="360" w:lineRule="auto"/>
        <w:ind w:left="0" w:right="0" w:firstLine="0"/>
        <w:jc w:val="left"/>
        <w:rPr>
          <w:sz w:val="24"/>
        </w:rPr>
      </w:pPr>
    </w:p>
    <w:p w14:paraId="75DFEA63" w14:textId="77777777" w:rsidR="009064E6" w:rsidRPr="009064E6" w:rsidRDefault="009064E6" w:rsidP="009064E6">
      <w:pPr>
        <w:spacing w:line="360" w:lineRule="auto"/>
        <w:ind w:left="0" w:right="0" w:firstLine="0"/>
        <w:jc w:val="left"/>
        <w:rPr>
          <w:sz w:val="24"/>
        </w:rPr>
      </w:pPr>
    </w:p>
    <w:p w14:paraId="0931339D" w14:textId="77777777" w:rsidR="009064E6" w:rsidRPr="009064E6" w:rsidRDefault="009064E6" w:rsidP="009064E6">
      <w:pPr>
        <w:spacing w:line="360" w:lineRule="auto"/>
        <w:ind w:left="0" w:right="0" w:firstLine="0"/>
        <w:jc w:val="left"/>
        <w:rPr>
          <w:sz w:val="24"/>
        </w:rPr>
      </w:pPr>
    </w:p>
    <w:p w14:paraId="6D98427F" w14:textId="77777777" w:rsidR="009064E6" w:rsidRPr="009064E6" w:rsidRDefault="009064E6" w:rsidP="009064E6">
      <w:pPr>
        <w:spacing w:line="360" w:lineRule="auto"/>
        <w:ind w:left="0" w:right="0" w:firstLine="0"/>
        <w:jc w:val="left"/>
        <w:rPr>
          <w:sz w:val="24"/>
        </w:rPr>
      </w:pPr>
    </w:p>
    <w:p w14:paraId="65392E91" w14:textId="77777777" w:rsidR="009064E6" w:rsidRPr="009064E6" w:rsidRDefault="009064E6" w:rsidP="009064E6">
      <w:pPr>
        <w:spacing w:line="360" w:lineRule="auto"/>
        <w:ind w:left="0" w:right="0" w:firstLine="0"/>
        <w:jc w:val="left"/>
        <w:rPr>
          <w:sz w:val="24"/>
        </w:rPr>
      </w:pPr>
    </w:p>
    <w:p w14:paraId="1ED3757A" w14:textId="77777777" w:rsidR="009064E6" w:rsidRPr="009064E6" w:rsidRDefault="009064E6" w:rsidP="009064E6">
      <w:pPr>
        <w:spacing w:line="360" w:lineRule="auto"/>
        <w:ind w:left="0" w:right="0" w:firstLine="0"/>
        <w:jc w:val="left"/>
        <w:rPr>
          <w:sz w:val="24"/>
        </w:rPr>
      </w:pPr>
    </w:p>
    <w:p w14:paraId="50D5A152" w14:textId="77777777" w:rsidR="009064E6" w:rsidRDefault="009064E6" w:rsidP="009064E6">
      <w:pPr>
        <w:spacing w:line="360" w:lineRule="auto"/>
        <w:ind w:left="0" w:right="0" w:firstLine="0"/>
        <w:jc w:val="left"/>
        <w:rPr>
          <w:sz w:val="24"/>
        </w:rPr>
      </w:pPr>
    </w:p>
    <w:p w14:paraId="739552C9" w14:textId="77777777" w:rsidR="00BF0CD1" w:rsidRPr="009064E6" w:rsidRDefault="00BF0CD1" w:rsidP="009064E6">
      <w:pPr>
        <w:spacing w:line="360" w:lineRule="auto"/>
        <w:ind w:left="0" w:right="0" w:firstLine="0"/>
        <w:jc w:val="left"/>
        <w:rPr>
          <w:sz w:val="24"/>
        </w:rPr>
      </w:pPr>
    </w:p>
    <w:p w14:paraId="7CFFD2EF" w14:textId="77777777" w:rsidR="009064E6" w:rsidRPr="009064E6" w:rsidRDefault="009064E6" w:rsidP="009064E6">
      <w:pPr>
        <w:spacing w:line="360" w:lineRule="auto"/>
        <w:ind w:left="0" w:right="0" w:firstLine="0"/>
        <w:jc w:val="left"/>
        <w:rPr>
          <w:sz w:val="24"/>
        </w:rPr>
      </w:pPr>
    </w:p>
    <w:p w14:paraId="461B025C" w14:textId="541C9333" w:rsidR="009064E6" w:rsidRPr="00712E32" w:rsidRDefault="00712E32" w:rsidP="00712E32">
      <w:pPr>
        <w:spacing w:line="360" w:lineRule="auto"/>
        <w:ind w:left="360" w:right="0" w:firstLine="0"/>
        <w:jc w:val="left"/>
        <w:rPr>
          <w:sz w:val="24"/>
        </w:rPr>
      </w:pPr>
      <w:r>
        <w:rPr>
          <w:b/>
          <w:bCs/>
          <w:sz w:val="24"/>
        </w:rPr>
        <w:lastRenderedPageBreak/>
        <w:t xml:space="preserve">                                            </w:t>
      </w:r>
      <w:r w:rsidRPr="00712E32">
        <w:rPr>
          <w:b/>
          <w:bCs/>
          <w:sz w:val="24"/>
        </w:rPr>
        <w:t>Reference List</w:t>
      </w:r>
      <w:r>
        <w:rPr>
          <w:sz w:val="24"/>
        </w:rPr>
        <w:br/>
      </w:r>
      <w:r w:rsidR="00712276">
        <w:rPr>
          <w:sz w:val="24"/>
        </w:rPr>
        <w:t xml:space="preserve">1. </w:t>
      </w:r>
      <w:r w:rsidR="009064E6" w:rsidRPr="00712E32">
        <w:rPr>
          <w:sz w:val="24"/>
        </w:rPr>
        <w:t>Armstrong, M. and Taylor, S. (2023) Armstrong's Handbook of Human Resource</w:t>
      </w:r>
      <w:r w:rsidR="00047668">
        <w:rPr>
          <w:sz w:val="24"/>
        </w:rPr>
        <w:t xml:space="preserve"> </w:t>
      </w:r>
      <w:r w:rsidR="009064E6" w:rsidRPr="00712E32">
        <w:rPr>
          <w:sz w:val="24"/>
        </w:rPr>
        <w:t>Management Practice. 16th edn. London: Kogan Page.</w:t>
      </w:r>
      <w:r w:rsidR="00712276">
        <w:rPr>
          <w:sz w:val="24"/>
        </w:rPr>
        <w:br/>
      </w:r>
    </w:p>
    <w:p w14:paraId="15EB05AE" w14:textId="5894051E" w:rsidR="00712276" w:rsidRDefault="009064E6" w:rsidP="00620A37">
      <w:pPr>
        <w:pStyle w:val="ListParagraph"/>
        <w:numPr>
          <w:ilvl w:val="0"/>
          <w:numId w:val="8"/>
        </w:numPr>
        <w:spacing w:line="360" w:lineRule="auto"/>
        <w:ind w:right="0"/>
        <w:jc w:val="left"/>
        <w:rPr>
          <w:sz w:val="24"/>
        </w:rPr>
      </w:pPr>
      <w:r w:rsidRPr="00712276">
        <w:rPr>
          <w:sz w:val="24"/>
        </w:rPr>
        <w:t>Bratton, J. and Gold, J. (2023) Human Resource Management: Theory and Practice. 8th edn. London: Palgrave Macmillan.</w:t>
      </w:r>
    </w:p>
    <w:p w14:paraId="614E68E4" w14:textId="77777777" w:rsidR="009064E6" w:rsidRDefault="009064E6" w:rsidP="00620A37">
      <w:pPr>
        <w:pStyle w:val="ListParagraph"/>
        <w:numPr>
          <w:ilvl w:val="0"/>
          <w:numId w:val="8"/>
        </w:numPr>
        <w:spacing w:line="360" w:lineRule="auto"/>
        <w:ind w:right="0"/>
        <w:jc w:val="left"/>
        <w:rPr>
          <w:sz w:val="24"/>
        </w:rPr>
      </w:pPr>
      <w:r w:rsidRPr="00712276">
        <w:rPr>
          <w:sz w:val="24"/>
        </w:rPr>
        <w:t>Chartered Institute of Personnel and Development (CIPD) (2024) People Profession Survey 2024. London: CIPD.</w:t>
      </w:r>
    </w:p>
    <w:p w14:paraId="7F83AB5D" w14:textId="77777777" w:rsidR="00712276" w:rsidRDefault="009064E6" w:rsidP="00620A37">
      <w:pPr>
        <w:pStyle w:val="ListParagraph"/>
        <w:numPr>
          <w:ilvl w:val="0"/>
          <w:numId w:val="8"/>
        </w:numPr>
        <w:spacing w:line="360" w:lineRule="auto"/>
        <w:ind w:right="0"/>
        <w:jc w:val="left"/>
        <w:rPr>
          <w:sz w:val="24"/>
        </w:rPr>
      </w:pPr>
      <w:r w:rsidRPr="00712276">
        <w:rPr>
          <w:sz w:val="24"/>
        </w:rPr>
        <w:t>Chartered Institute of Personnel and Development (CIPD) (2024) Strategic Human Resource Management Factsheet. London: CIPD.</w:t>
      </w:r>
    </w:p>
    <w:p w14:paraId="2E1968B4" w14:textId="77777777" w:rsidR="0023102D" w:rsidRDefault="009064E6" w:rsidP="00620A37">
      <w:pPr>
        <w:pStyle w:val="ListParagraph"/>
        <w:numPr>
          <w:ilvl w:val="0"/>
          <w:numId w:val="8"/>
        </w:numPr>
        <w:spacing w:line="360" w:lineRule="auto"/>
        <w:ind w:right="0"/>
        <w:jc w:val="left"/>
        <w:rPr>
          <w:sz w:val="24"/>
        </w:rPr>
      </w:pPr>
      <w:r w:rsidRPr="00712276">
        <w:rPr>
          <w:sz w:val="24"/>
        </w:rPr>
        <w:t>Deloitte (2024) 2024 Global Human Capital Trends. London: Deloitte Insights.</w:t>
      </w:r>
    </w:p>
    <w:p w14:paraId="2C93781F" w14:textId="77777777" w:rsidR="0023102D" w:rsidRDefault="009064E6" w:rsidP="00620A37">
      <w:pPr>
        <w:pStyle w:val="ListParagraph"/>
        <w:numPr>
          <w:ilvl w:val="0"/>
          <w:numId w:val="8"/>
        </w:numPr>
        <w:spacing w:line="360" w:lineRule="auto"/>
        <w:ind w:right="0"/>
        <w:jc w:val="left"/>
        <w:rPr>
          <w:sz w:val="24"/>
        </w:rPr>
      </w:pPr>
      <w:r w:rsidRPr="0023102D">
        <w:rPr>
          <w:sz w:val="24"/>
        </w:rPr>
        <w:t>European Commission (2024) Employment and Social Affairs. Brussels: European Commission.</w:t>
      </w:r>
    </w:p>
    <w:p w14:paraId="384E2CDA" w14:textId="77777777" w:rsidR="0023102D" w:rsidRDefault="009064E6" w:rsidP="00620A37">
      <w:pPr>
        <w:pStyle w:val="ListParagraph"/>
        <w:numPr>
          <w:ilvl w:val="0"/>
          <w:numId w:val="8"/>
        </w:numPr>
        <w:spacing w:line="360" w:lineRule="auto"/>
        <w:ind w:right="0"/>
        <w:jc w:val="left"/>
        <w:rPr>
          <w:sz w:val="24"/>
        </w:rPr>
      </w:pPr>
      <w:r w:rsidRPr="0023102D">
        <w:rPr>
          <w:sz w:val="24"/>
        </w:rPr>
        <w:t>International Labour Organization (ILO) (2024) World Employment and Social Outlook: Trends 2024. Geneva: ILO.</w:t>
      </w:r>
    </w:p>
    <w:p w14:paraId="0F4BB141" w14:textId="77777777" w:rsidR="0023102D" w:rsidRDefault="009064E6" w:rsidP="00620A37">
      <w:pPr>
        <w:pStyle w:val="ListParagraph"/>
        <w:numPr>
          <w:ilvl w:val="0"/>
          <w:numId w:val="8"/>
        </w:numPr>
        <w:spacing w:line="360" w:lineRule="auto"/>
        <w:ind w:right="0"/>
        <w:jc w:val="left"/>
        <w:rPr>
          <w:sz w:val="24"/>
        </w:rPr>
      </w:pPr>
      <w:r w:rsidRPr="0023102D">
        <w:rPr>
          <w:sz w:val="24"/>
        </w:rPr>
        <w:t>Johnson, G., Scholes, K. and Whittington, R. (2020) Exploring Strategy. 12th edn. Harlow: Pearson Education.</w:t>
      </w:r>
    </w:p>
    <w:p w14:paraId="32F10D59" w14:textId="77777777" w:rsidR="0023102D" w:rsidRDefault="009064E6" w:rsidP="00620A37">
      <w:pPr>
        <w:pStyle w:val="ListParagraph"/>
        <w:numPr>
          <w:ilvl w:val="0"/>
          <w:numId w:val="8"/>
        </w:numPr>
        <w:spacing w:line="360" w:lineRule="auto"/>
        <w:ind w:right="0"/>
        <w:jc w:val="left"/>
        <w:rPr>
          <w:sz w:val="24"/>
        </w:rPr>
      </w:pPr>
      <w:r w:rsidRPr="0023102D">
        <w:rPr>
          <w:sz w:val="24"/>
        </w:rPr>
        <w:t>Organisation for Economic Co-operation and Development (OECD) (2023) Employment Outlook 2023. Paris: OECD Publishing.</w:t>
      </w:r>
    </w:p>
    <w:p w14:paraId="49FB8B86" w14:textId="77777777" w:rsidR="0023102D" w:rsidRDefault="009064E6" w:rsidP="00620A37">
      <w:pPr>
        <w:pStyle w:val="ListParagraph"/>
        <w:numPr>
          <w:ilvl w:val="0"/>
          <w:numId w:val="8"/>
        </w:numPr>
        <w:spacing w:line="360" w:lineRule="auto"/>
        <w:ind w:right="0"/>
        <w:jc w:val="left"/>
        <w:rPr>
          <w:sz w:val="24"/>
        </w:rPr>
      </w:pPr>
      <w:r w:rsidRPr="0023102D">
        <w:rPr>
          <w:sz w:val="24"/>
        </w:rPr>
        <w:t>Porsche AG (2023) Annual and Sustainability Report 2023. Stuttgart: Porsche AG.</w:t>
      </w:r>
    </w:p>
    <w:p w14:paraId="6BF7D2F1" w14:textId="77777777" w:rsidR="0023102D" w:rsidRDefault="009064E6" w:rsidP="00620A37">
      <w:pPr>
        <w:pStyle w:val="ListParagraph"/>
        <w:numPr>
          <w:ilvl w:val="0"/>
          <w:numId w:val="8"/>
        </w:numPr>
        <w:spacing w:line="360" w:lineRule="auto"/>
        <w:ind w:right="0"/>
        <w:jc w:val="left"/>
        <w:rPr>
          <w:sz w:val="24"/>
        </w:rPr>
      </w:pPr>
      <w:r w:rsidRPr="0023102D">
        <w:rPr>
          <w:sz w:val="24"/>
        </w:rPr>
        <w:t>Porsche AG (2024) Annual and Sustainability Report 2024. Stuttgart: Porsche AG.</w:t>
      </w:r>
    </w:p>
    <w:p w14:paraId="31C11B2B" w14:textId="77777777" w:rsidR="003050D5" w:rsidRDefault="009064E6" w:rsidP="00620A37">
      <w:pPr>
        <w:pStyle w:val="ListParagraph"/>
        <w:numPr>
          <w:ilvl w:val="0"/>
          <w:numId w:val="8"/>
        </w:numPr>
        <w:spacing w:line="360" w:lineRule="auto"/>
        <w:ind w:right="0"/>
        <w:jc w:val="left"/>
        <w:rPr>
          <w:sz w:val="24"/>
        </w:rPr>
      </w:pPr>
      <w:r w:rsidRPr="0023102D">
        <w:rPr>
          <w:sz w:val="24"/>
        </w:rPr>
        <w:t>Renwick, D.W.S., Redman, T. and Maguire, S. (2022) ‘Green Huma</w:t>
      </w:r>
      <w:r w:rsidR="003050D5">
        <w:rPr>
          <w:sz w:val="24"/>
        </w:rPr>
        <w:t>n</w:t>
      </w:r>
    </w:p>
    <w:p w14:paraId="3D1DB6BF" w14:textId="77777777" w:rsidR="003050D5" w:rsidRDefault="009064E6" w:rsidP="00620A37">
      <w:pPr>
        <w:pStyle w:val="ListParagraph"/>
        <w:numPr>
          <w:ilvl w:val="0"/>
          <w:numId w:val="8"/>
        </w:numPr>
        <w:spacing w:line="360" w:lineRule="auto"/>
        <w:ind w:right="0"/>
        <w:jc w:val="left"/>
        <w:rPr>
          <w:sz w:val="24"/>
        </w:rPr>
      </w:pPr>
      <w:r w:rsidRPr="0023102D">
        <w:rPr>
          <w:sz w:val="24"/>
        </w:rPr>
        <w:t>Resource Management: A Review and Research Agenda’, International Journal of Management Reviews, 24(3), pp. 289–313.</w:t>
      </w:r>
    </w:p>
    <w:p w14:paraId="580E4503" w14:textId="77777777" w:rsidR="003050D5" w:rsidRDefault="009064E6" w:rsidP="00620A37">
      <w:pPr>
        <w:pStyle w:val="ListParagraph"/>
        <w:numPr>
          <w:ilvl w:val="0"/>
          <w:numId w:val="8"/>
        </w:numPr>
        <w:spacing w:line="360" w:lineRule="auto"/>
        <w:ind w:right="0"/>
        <w:jc w:val="left"/>
        <w:rPr>
          <w:sz w:val="24"/>
        </w:rPr>
      </w:pPr>
      <w:r w:rsidRPr="003050D5">
        <w:rPr>
          <w:sz w:val="24"/>
        </w:rPr>
        <w:t>Society for Human Resource Management (SHRM) (2024) State of the Workplace Report 2024. Alexandria, VA: SHRM.</w:t>
      </w:r>
    </w:p>
    <w:p w14:paraId="414DF41D" w14:textId="77777777" w:rsidR="003050D5" w:rsidRDefault="009064E6" w:rsidP="00620A37">
      <w:pPr>
        <w:pStyle w:val="ListParagraph"/>
        <w:numPr>
          <w:ilvl w:val="0"/>
          <w:numId w:val="8"/>
        </w:numPr>
        <w:spacing w:line="360" w:lineRule="auto"/>
        <w:ind w:right="0"/>
        <w:jc w:val="left"/>
        <w:rPr>
          <w:sz w:val="24"/>
        </w:rPr>
      </w:pPr>
      <w:r w:rsidRPr="003050D5">
        <w:rPr>
          <w:sz w:val="24"/>
        </w:rPr>
        <w:t>Statista (2024) Porsche: Global Vehicle Deliveries and Revenue Statistics. Hamburg: Statista.</w:t>
      </w:r>
    </w:p>
    <w:p w14:paraId="2BAC0057" w14:textId="77777777" w:rsidR="00736916" w:rsidRDefault="009064E6" w:rsidP="00620A37">
      <w:pPr>
        <w:pStyle w:val="ListParagraph"/>
        <w:numPr>
          <w:ilvl w:val="0"/>
          <w:numId w:val="8"/>
        </w:numPr>
        <w:spacing w:line="360" w:lineRule="auto"/>
        <w:ind w:right="0"/>
        <w:jc w:val="left"/>
        <w:rPr>
          <w:sz w:val="24"/>
        </w:rPr>
      </w:pPr>
      <w:r w:rsidRPr="003050D5">
        <w:rPr>
          <w:sz w:val="24"/>
        </w:rPr>
        <w:t>United Nations Global Compact (2023) Corporate Sustainability in a Changing World. New York: United Nations Global Compact.</w:t>
      </w:r>
    </w:p>
    <w:p w14:paraId="112CEEC3" w14:textId="77777777" w:rsidR="00736916" w:rsidRPr="00736916" w:rsidRDefault="009064E6" w:rsidP="00620A37">
      <w:pPr>
        <w:pStyle w:val="ListParagraph"/>
        <w:numPr>
          <w:ilvl w:val="0"/>
          <w:numId w:val="8"/>
        </w:numPr>
        <w:spacing w:line="360" w:lineRule="auto"/>
        <w:ind w:right="0"/>
        <w:jc w:val="left"/>
        <w:rPr>
          <w:sz w:val="24"/>
          <w:lang w:val="de-DE"/>
        </w:rPr>
      </w:pPr>
      <w:r w:rsidRPr="00736916">
        <w:rPr>
          <w:sz w:val="24"/>
          <w:lang w:val="de-DE"/>
        </w:rPr>
        <w:t>Volkswagen AG (2024) Annual Report 2024. Wolfsburg: Volkswagen AG.</w:t>
      </w:r>
    </w:p>
    <w:p w14:paraId="027C3571" w14:textId="77777777" w:rsidR="00736916" w:rsidRDefault="009064E6" w:rsidP="00620A37">
      <w:pPr>
        <w:pStyle w:val="ListParagraph"/>
        <w:numPr>
          <w:ilvl w:val="0"/>
          <w:numId w:val="8"/>
        </w:numPr>
        <w:spacing w:line="360" w:lineRule="auto"/>
        <w:ind w:right="0"/>
        <w:jc w:val="left"/>
        <w:rPr>
          <w:sz w:val="24"/>
        </w:rPr>
      </w:pPr>
      <w:r w:rsidRPr="00736916">
        <w:rPr>
          <w:sz w:val="24"/>
        </w:rPr>
        <w:lastRenderedPageBreak/>
        <w:t>World Economic Forum (2023) The Future of Jobs Report 2023. Geneva: World Economic Forum.</w:t>
      </w:r>
    </w:p>
    <w:p w14:paraId="1A139B3F" w14:textId="77777777" w:rsidR="00736916" w:rsidRDefault="009064E6" w:rsidP="00620A37">
      <w:pPr>
        <w:pStyle w:val="ListParagraph"/>
        <w:numPr>
          <w:ilvl w:val="0"/>
          <w:numId w:val="8"/>
        </w:numPr>
        <w:spacing w:line="360" w:lineRule="auto"/>
        <w:ind w:right="0"/>
        <w:jc w:val="left"/>
        <w:rPr>
          <w:sz w:val="24"/>
        </w:rPr>
      </w:pPr>
      <w:r w:rsidRPr="00736916">
        <w:rPr>
          <w:sz w:val="24"/>
        </w:rPr>
        <w:t>World Economic Forum (2025) The Future of Jobs Report 2025. Geneva: World Economic Forum.</w:t>
      </w:r>
    </w:p>
    <w:p w14:paraId="6ABD802A" w14:textId="13E02C63" w:rsidR="009064E6" w:rsidRPr="00736916" w:rsidRDefault="009064E6" w:rsidP="00620A37">
      <w:pPr>
        <w:pStyle w:val="ListParagraph"/>
        <w:numPr>
          <w:ilvl w:val="0"/>
          <w:numId w:val="8"/>
        </w:numPr>
        <w:spacing w:line="360" w:lineRule="auto"/>
        <w:ind w:right="0"/>
        <w:jc w:val="left"/>
        <w:rPr>
          <w:sz w:val="24"/>
        </w:rPr>
      </w:pPr>
      <w:r w:rsidRPr="00736916">
        <w:rPr>
          <w:sz w:val="24"/>
        </w:rPr>
        <w:t>World Health Organization (2023) Healthy Workplaces Framework. Geneva: World Health Organization.</w:t>
      </w:r>
    </w:p>
    <w:p w14:paraId="638D6B43" w14:textId="02EAAA7F" w:rsidR="00350C4F" w:rsidRPr="00BF0CD1" w:rsidRDefault="00350C4F" w:rsidP="00712E32">
      <w:pPr>
        <w:spacing w:line="259" w:lineRule="auto"/>
        <w:ind w:left="0" w:right="0" w:firstLine="0"/>
        <w:jc w:val="left"/>
      </w:pPr>
    </w:p>
    <w:p w14:paraId="4358CC8C" w14:textId="7174B005" w:rsidR="00350C4F" w:rsidRDefault="00350C4F" w:rsidP="00712E32">
      <w:pPr>
        <w:spacing w:line="259" w:lineRule="auto"/>
        <w:ind w:left="72" w:right="0" w:firstLine="0"/>
        <w:jc w:val="left"/>
      </w:pPr>
    </w:p>
    <w:p w14:paraId="40ABDD38" w14:textId="24919EDD" w:rsidR="00350C4F" w:rsidRDefault="00350C4F" w:rsidP="00712E32">
      <w:pPr>
        <w:spacing w:line="259" w:lineRule="auto"/>
        <w:ind w:left="72" w:right="0" w:firstLine="0"/>
        <w:jc w:val="left"/>
      </w:pPr>
    </w:p>
    <w:p w14:paraId="1C527654" w14:textId="72DCCC43" w:rsidR="00350C4F" w:rsidRDefault="00350C4F" w:rsidP="00712E32">
      <w:pPr>
        <w:spacing w:line="259" w:lineRule="auto"/>
        <w:ind w:left="72" w:right="0" w:firstLine="0"/>
        <w:jc w:val="left"/>
      </w:pPr>
    </w:p>
    <w:p w14:paraId="229224D9" w14:textId="1B951922" w:rsidR="00350C4F" w:rsidRDefault="00350C4F" w:rsidP="00712E32">
      <w:pPr>
        <w:spacing w:line="259" w:lineRule="auto"/>
        <w:ind w:left="72" w:right="0" w:firstLine="0"/>
        <w:jc w:val="left"/>
      </w:pPr>
    </w:p>
    <w:p w14:paraId="5B9C5260" w14:textId="41F1EB51" w:rsidR="00350C4F" w:rsidRDefault="00350C4F" w:rsidP="00712E32">
      <w:pPr>
        <w:spacing w:line="259" w:lineRule="auto"/>
        <w:ind w:left="72" w:right="0" w:firstLine="0"/>
        <w:jc w:val="left"/>
      </w:pPr>
    </w:p>
    <w:p w14:paraId="171119E6" w14:textId="78DD6494" w:rsidR="00350C4F" w:rsidRDefault="00350C4F" w:rsidP="00712E32">
      <w:pPr>
        <w:spacing w:line="259" w:lineRule="auto"/>
        <w:ind w:left="72" w:right="0" w:firstLine="0"/>
        <w:jc w:val="left"/>
      </w:pPr>
    </w:p>
    <w:p w14:paraId="061B4B0C" w14:textId="60688005" w:rsidR="00350C4F" w:rsidRDefault="00350C4F" w:rsidP="00712E32">
      <w:pPr>
        <w:spacing w:line="259" w:lineRule="auto"/>
        <w:ind w:left="72" w:right="0" w:firstLine="0"/>
        <w:jc w:val="left"/>
      </w:pPr>
    </w:p>
    <w:p w14:paraId="601AD191" w14:textId="24041C34" w:rsidR="00350C4F" w:rsidRDefault="00350C4F" w:rsidP="00712E32">
      <w:pPr>
        <w:spacing w:line="259" w:lineRule="auto"/>
        <w:ind w:left="72" w:right="0" w:firstLine="0"/>
        <w:jc w:val="left"/>
      </w:pPr>
    </w:p>
    <w:p w14:paraId="7FE68914" w14:textId="4CBACF4E" w:rsidR="00350C4F" w:rsidRDefault="00350C4F" w:rsidP="00712E32">
      <w:pPr>
        <w:spacing w:line="259" w:lineRule="auto"/>
        <w:ind w:left="72" w:right="0" w:firstLine="0"/>
        <w:jc w:val="left"/>
      </w:pPr>
    </w:p>
    <w:p w14:paraId="4A25C990" w14:textId="35AFCA10" w:rsidR="00350C4F" w:rsidRDefault="00350C4F" w:rsidP="00712E32">
      <w:pPr>
        <w:spacing w:line="259" w:lineRule="auto"/>
        <w:ind w:left="72" w:right="0" w:firstLine="0"/>
        <w:jc w:val="left"/>
      </w:pPr>
    </w:p>
    <w:p w14:paraId="26B2788C" w14:textId="33E7A2C7" w:rsidR="00350C4F" w:rsidRDefault="00350C4F" w:rsidP="00712E32">
      <w:pPr>
        <w:spacing w:line="259" w:lineRule="auto"/>
        <w:ind w:left="72" w:right="0" w:firstLine="0"/>
        <w:jc w:val="left"/>
      </w:pPr>
    </w:p>
    <w:p w14:paraId="402FAEE9" w14:textId="33609474" w:rsidR="00C36187" w:rsidRDefault="00C36187" w:rsidP="00712E32">
      <w:pPr>
        <w:ind w:left="0" w:firstLine="0"/>
      </w:pPr>
    </w:p>
    <w:sectPr w:rsidR="00C361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3512B"/>
    <w:multiLevelType w:val="hybridMultilevel"/>
    <w:tmpl w:val="3B3608C2"/>
    <w:lvl w:ilvl="0" w:tplc="41908D4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C69AF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F7E2CF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54EBE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06865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096B3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E8516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606FE6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54EA41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2087947"/>
    <w:multiLevelType w:val="hybridMultilevel"/>
    <w:tmpl w:val="CA14F04E"/>
    <w:lvl w:ilvl="0" w:tplc="8D8CC63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22C9A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970CB4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B1C9C9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77A76F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7202AB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C5A503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54768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BA01CE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44F611D"/>
    <w:multiLevelType w:val="hybridMultilevel"/>
    <w:tmpl w:val="DA162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2A2F95"/>
    <w:multiLevelType w:val="hybridMultilevel"/>
    <w:tmpl w:val="6C4E8350"/>
    <w:lvl w:ilvl="0" w:tplc="FF2863E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ACA67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42F00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672930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38222C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D747B4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4C8BA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B0AE3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468E9A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9D27409"/>
    <w:multiLevelType w:val="hybridMultilevel"/>
    <w:tmpl w:val="9C0C0B86"/>
    <w:lvl w:ilvl="0" w:tplc="5628AE5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6C0B9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3417B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8A02B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F74394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FE4E16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6B2375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10E72B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6D2E10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A9E59EB"/>
    <w:multiLevelType w:val="hybridMultilevel"/>
    <w:tmpl w:val="B2D87D56"/>
    <w:lvl w:ilvl="0" w:tplc="C276AD8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46083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AC890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EB69A2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7627E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556960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44501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FEC17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9361B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6AE0DF2"/>
    <w:multiLevelType w:val="hybridMultilevel"/>
    <w:tmpl w:val="1CECE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954966"/>
    <w:multiLevelType w:val="hybridMultilevel"/>
    <w:tmpl w:val="135AA06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1087811">
    <w:abstractNumId w:val="3"/>
  </w:num>
  <w:num w:numId="2" w16cid:durableId="1677878553">
    <w:abstractNumId w:val="1"/>
  </w:num>
  <w:num w:numId="3" w16cid:durableId="1106390288">
    <w:abstractNumId w:val="0"/>
  </w:num>
  <w:num w:numId="4" w16cid:durableId="300813360">
    <w:abstractNumId w:val="4"/>
  </w:num>
  <w:num w:numId="5" w16cid:durableId="981888147">
    <w:abstractNumId w:val="5"/>
  </w:num>
  <w:num w:numId="6" w16cid:durableId="1221474684">
    <w:abstractNumId w:val="6"/>
  </w:num>
  <w:num w:numId="7" w16cid:durableId="2107269298">
    <w:abstractNumId w:val="2"/>
  </w:num>
  <w:num w:numId="8" w16cid:durableId="15652905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187"/>
    <w:rsid w:val="00047668"/>
    <w:rsid w:val="00065D80"/>
    <w:rsid w:val="00096F2C"/>
    <w:rsid w:val="00160639"/>
    <w:rsid w:val="00162817"/>
    <w:rsid w:val="001725D3"/>
    <w:rsid w:val="00186024"/>
    <w:rsid w:val="001B50C8"/>
    <w:rsid w:val="001D052D"/>
    <w:rsid w:val="001F0955"/>
    <w:rsid w:val="0023102D"/>
    <w:rsid w:val="002430AD"/>
    <w:rsid w:val="002811BF"/>
    <w:rsid w:val="002A496D"/>
    <w:rsid w:val="003050D5"/>
    <w:rsid w:val="00344F00"/>
    <w:rsid w:val="00350C4F"/>
    <w:rsid w:val="00443503"/>
    <w:rsid w:val="0046691F"/>
    <w:rsid w:val="004B407C"/>
    <w:rsid w:val="005104B8"/>
    <w:rsid w:val="0051739C"/>
    <w:rsid w:val="005220D5"/>
    <w:rsid w:val="00557C90"/>
    <w:rsid w:val="00620A37"/>
    <w:rsid w:val="006568D2"/>
    <w:rsid w:val="0069304B"/>
    <w:rsid w:val="00712276"/>
    <w:rsid w:val="00712E32"/>
    <w:rsid w:val="00736916"/>
    <w:rsid w:val="00751DEF"/>
    <w:rsid w:val="00794B0D"/>
    <w:rsid w:val="007B18F4"/>
    <w:rsid w:val="008552EE"/>
    <w:rsid w:val="008B3FB6"/>
    <w:rsid w:val="009064E6"/>
    <w:rsid w:val="009E4C66"/>
    <w:rsid w:val="00A866F9"/>
    <w:rsid w:val="00AD082F"/>
    <w:rsid w:val="00B1237D"/>
    <w:rsid w:val="00B26EE1"/>
    <w:rsid w:val="00BF0CD1"/>
    <w:rsid w:val="00C07BB7"/>
    <w:rsid w:val="00C35516"/>
    <w:rsid w:val="00C36187"/>
    <w:rsid w:val="00C57597"/>
    <w:rsid w:val="00C92BE1"/>
    <w:rsid w:val="00CC3D43"/>
    <w:rsid w:val="00CD5192"/>
    <w:rsid w:val="00D301ED"/>
    <w:rsid w:val="00DB7BB0"/>
    <w:rsid w:val="00E00BED"/>
    <w:rsid w:val="00E32DF1"/>
    <w:rsid w:val="00F37C75"/>
    <w:rsid w:val="00F665A7"/>
    <w:rsid w:val="00F71AA6"/>
    <w:rsid w:val="00F7751F"/>
    <w:rsid w:val="00FB0B4F"/>
    <w:rsid w:val="00FC00FB"/>
    <w:rsid w:val="00FC1521"/>
    <w:rsid w:val="00FC50FB"/>
    <w:rsid w:val="00FF5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6ACFB"/>
  <w15:chartTrackingRefBased/>
  <w15:docId w15:val="{9B25AC04-86DB-401A-BB39-4E6E99952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C4F"/>
    <w:pPr>
      <w:spacing w:after="0" w:line="239" w:lineRule="auto"/>
      <w:ind w:left="10" w:right="106" w:hanging="10"/>
      <w:jc w:val="both"/>
    </w:pPr>
    <w:rPr>
      <w:rFonts w:ascii="Arial" w:eastAsia="Arial" w:hAnsi="Arial" w:cs="Arial"/>
      <w:color w:val="000000"/>
      <w:sz w:val="22"/>
      <w:lang w:eastAsia="zh-CN"/>
    </w:rPr>
  </w:style>
  <w:style w:type="paragraph" w:styleId="Heading1">
    <w:name w:val="heading 1"/>
    <w:basedOn w:val="Normal"/>
    <w:next w:val="Normal"/>
    <w:link w:val="Heading1Char"/>
    <w:uiPriority w:val="9"/>
    <w:qFormat/>
    <w:rsid w:val="00C361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61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61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61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61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618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18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18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18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1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C361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61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61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61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61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61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61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6187"/>
    <w:rPr>
      <w:rFonts w:eastAsiaTheme="majorEastAsia" w:cstheme="majorBidi"/>
      <w:color w:val="272727" w:themeColor="text1" w:themeTint="D8"/>
    </w:rPr>
  </w:style>
  <w:style w:type="paragraph" w:styleId="Title">
    <w:name w:val="Title"/>
    <w:basedOn w:val="Normal"/>
    <w:next w:val="Normal"/>
    <w:link w:val="TitleChar"/>
    <w:uiPriority w:val="10"/>
    <w:qFormat/>
    <w:rsid w:val="00C361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1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6187"/>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61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187"/>
    <w:pPr>
      <w:spacing w:before="160"/>
      <w:jc w:val="center"/>
    </w:pPr>
    <w:rPr>
      <w:i/>
      <w:iCs/>
      <w:color w:val="404040" w:themeColor="text1" w:themeTint="BF"/>
    </w:rPr>
  </w:style>
  <w:style w:type="character" w:customStyle="1" w:styleId="QuoteChar">
    <w:name w:val="Quote Char"/>
    <w:basedOn w:val="DefaultParagraphFont"/>
    <w:link w:val="Quote"/>
    <w:uiPriority w:val="29"/>
    <w:rsid w:val="00C36187"/>
    <w:rPr>
      <w:i/>
      <w:iCs/>
      <w:color w:val="404040" w:themeColor="text1" w:themeTint="BF"/>
    </w:rPr>
  </w:style>
  <w:style w:type="paragraph" w:styleId="ListParagraph">
    <w:name w:val="List Paragraph"/>
    <w:basedOn w:val="Normal"/>
    <w:uiPriority w:val="34"/>
    <w:qFormat/>
    <w:rsid w:val="00C36187"/>
    <w:pPr>
      <w:ind w:left="720"/>
      <w:contextualSpacing/>
    </w:pPr>
  </w:style>
  <w:style w:type="character" w:styleId="IntenseEmphasis">
    <w:name w:val="Intense Emphasis"/>
    <w:basedOn w:val="DefaultParagraphFont"/>
    <w:uiPriority w:val="21"/>
    <w:qFormat/>
    <w:rsid w:val="00C36187"/>
    <w:rPr>
      <w:i/>
      <w:iCs/>
      <w:color w:val="0F4761" w:themeColor="accent1" w:themeShade="BF"/>
    </w:rPr>
  </w:style>
  <w:style w:type="paragraph" w:styleId="IntenseQuote">
    <w:name w:val="Intense Quote"/>
    <w:basedOn w:val="Normal"/>
    <w:next w:val="Normal"/>
    <w:link w:val="IntenseQuoteChar"/>
    <w:uiPriority w:val="30"/>
    <w:qFormat/>
    <w:rsid w:val="00C361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6187"/>
    <w:rPr>
      <w:i/>
      <w:iCs/>
      <w:color w:val="0F4761" w:themeColor="accent1" w:themeShade="BF"/>
    </w:rPr>
  </w:style>
  <w:style w:type="character" w:styleId="IntenseReference">
    <w:name w:val="Intense Reference"/>
    <w:basedOn w:val="DefaultParagraphFont"/>
    <w:uiPriority w:val="32"/>
    <w:qFormat/>
    <w:rsid w:val="00C36187"/>
    <w:rPr>
      <w:b/>
      <w:bCs/>
      <w:smallCaps/>
      <w:color w:val="0F4761" w:themeColor="accent1" w:themeShade="BF"/>
      <w:spacing w:val="5"/>
    </w:rPr>
  </w:style>
  <w:style w:type="character" w:styleId="Hyperlink">
    <w:name w:val="Hyperlink"/>
    <w:basedOn w:val="DefaultParagraphFont"/>
    <w:uiPriority w:val="99"/>
    <w:unhideWhenUsed/>
    <w:rsid w:val="009064E6"/>
    <w:rPr>
      <w:color w:val="467886" w:themeColor="hyperlink"/>
      <w:u w:val="single"/>
    </w:rPr>
  </w:style>
  <w:style w:type="character" w:styleId="UnresolvedMention">
    <w:name w:val="Unresolved Mention"/>
    <w:basedOn w:val="DefaultParagraphFont"/>
    <w:uiPriority w:val="99"/>
    <w:semiHidden/>
    <w:unhideWhenUsed/>
    <w:rsid w:val="009064E6"/>
    <w:rPr>
      <w:color w:val="605E5C"/>
      <w:shd w:val="clear" w:color="auto" w:fill="E1DFDD"/>
    </w:rPr>
  </w:style>
  <w:style w:type="character" w:styleId="FollowedHyperlink">
    <w:name w:val="FollowedHyperlink"/>
    <w:basedOn w:val="DefaultParagraphFont"/>
    <w:uiPriority w:val="99"/>
    <w:semiHidden/>
    <w:unhideWhenUsed/>
    <w:rsid w:val="0073691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3626</Words>
  <Characters>20673</Characters>
  <Application>Microsoft Office Word</Application>
  <DocSecurity>0</DocSecurity>
  <Lines>172</Lines>
  <Paragraphs>48</Paragraphs>
  <ScaleCrop>false</ScaleCrop>
  <Company/>
  <LinksUpToDate>false</LinksUpToDate>
  <CharactersWithSpaces>24251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Rosen Dodumov</dc:creator>
  <cp:keywords/>
  <dc:description/>
  <cp:lastModifiedBy>Rosen Dodumov</cp:lastModifiedBy>
  <cp:revision>60</cp:revision>
  <dcterms:created xsi:type="dcterms:W3CDTF">2026-07-12T10:33:00Z</dcterms:created>
  <dcterms:modified xsi:type="dcterms:W3CDTF">2026-07-27T23:45:00Z</dcterms:modified>
</cp:coreProperties>
</file>