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355260" w14:textId="0F755A2B" w:rsidR="001319E2" w:rsidRDefault="00B2433D">
      <w:r>
        <w:t>There are a number of historical theories of crime and deviance.</w:t>
      </w:r>
      <w:r w:rsidR="00FB20F2">
        <w:t xml:space="preserve"> On</w:t>
      </w:r>
      <w:r w:rsidR="00D933DC">
        <w:t>e of the historical theories is Classicism.</w:t>
      </w:r>
      <w:r w:rsidR="00E82ABF">
        <w:t xml:space="preserve"> </w:t>
      </w:r>
      <w:r w:rsidR="0061605F">
        <w:t>Newman (2017)</w:t>
      </w:r>
      <w:r w:rsidR="002A4E8F">
        <w:t xml:space="preserve"> wrote that Classicism is the </w:t>
      </w:r>
      <w:r w:rsidR="006432F6">
        <w:t>first-time</w:t>
      </w:r>
      <w:r w:rsidR="0044215E">
        <w:t xml:space="preserve"> theories of criminology have been </w:t>
      </w:r>
      <w:r w:rsidR="00E91D21">
        <w:t>discussed</w:t>
      </w:r>
      <w:r w:rsidR="00B10972">
        <w:t xml:space="preserve"> in so</w:t>
      </w:r>
      <w:r w:rsidR="002B47BF">
        <w:t>ciety.</w:t>
      </w:r>
      <w:r w:rsidR="00D933DC">
        <w:t xml:space="preserve"> Baldock, Manning and </w:t>
      </w:r>
      <w:proofErr w:type="spellStart"/>
      <w:r w:rsidR="00D933DC">
        <w:t>Vickerstaff</w:t>
      </w:r>
      <w:proofErr w:type="spellEnd"/>
      <w:r w:rsidR="00D933DC">
        <w:t xml:space="preserve"> (2007) </w:t>
      </w:r>
      <w:r w:rsidR="00481085">
        <w:t xml:space="preserve">suggests that Classicism </w:t>
      </w:r>
      <w:r w:rsidR="00DF04DA">
        <w:t>“views humans as rational, self-interested and exercising free-will”</w:t>
      </w:r>
      <w:r w:rsidR="00E97EE4">
        <w:t xml:space="preserve"> and as a result </w:t>
      </w:r>
      <w:r w:rsidR="008E4D48">
        <w:t xml:space="preserve">humans can be </w:t>
      </w:r>
      <w:r w:rsidR="00CB7DF5">
        <w:t>deterred</w:t>
      </w:r>
      <w:r w:rsidR="008E4D48">
        <w:t xml:space="preserve"> from committing crimes th</w:t>
      </w:r>
      <w:r w:rsidR="00B451D6">
        <w:t xml:space="preserve">rough “proportional punishment” (Baldock, Manning and </w:t>
      </w:r>
      <w:proofErr w:type="spellStart"/>
      <w:r w:rsidR="00B451D6">
        <w:t>Vickerstaff</w:t>
      </w:r>
      <w:proofErr w:type="spellEnd"/>
      <w:r w:rsidR="00B451D6">
        <w:t xml:space="preserve">, </w:t>
      </w:r>
      <w:r w:rsidR="00EB6213">
        <w:t>2007)</w:t>
      </w:r>
      <w:r w:rsidR="00515015">
        <w:t>.</w:t>
      </w:r>
      <w:r w:rsidR="005A6F16">
        <w:t xml:space="preserve"> Newman (2017)</w:t>
      </w:r>
      <w:r w:rsidR="00CB1245">
        <w:t xml:space="preserve"> suggests that this new way of thinking emerged as a result of excessive punishments.</w:t>
      </w:r>
    </w:p>
    <w:p w14:paraId="5B842A6F" w14:textId="0CD89FE9" w:rsidR="0088786F" w:rsidRDefault="0088786F">
      <w:r>
        <w:t xml:space="preserve">Two main theorists in the Classicism era </w:t>
      </w:r>
      <w:r w:rsidR="005521F1">
        <w:t>are Cesare de Beccaria and Jeremy Bentham</w:t>
      </w:r>
      <w:r w:rsidR="003F625F">
        <w:t xml:space="preserve">. Beccaria </w:t>
      </w:r>
      <w:r w:rsidR="00B25D50">
        <w:t xml:space="preserve">summarised that </w:t>
      </w:r>
      <w:r w:rsidR="001A357E">
        <w:t xml:space="preserve">the </w:t>
      </w:r>
      <w:r w:rsidR="00444EF0">
        <w:t>“</w:t>
      </w:r>
      <w:r w:rsidR="001A357E">
        <w:t>seriousness of cri</w:t>
      </w:r>
      <w:r w:rsidR="00444EF0">
        <w:t>me should be determined by the harm it inflicts”</w:t>
      </w:r>
      <w:r w:rsidR="00177B44">
        <w:t xml:space="preserve"> and that punishments should be proportionate </w:t>
      </w:r>
      <w:r w:rsidR="00B46E52">
        <w:t xml:space="preserve">and free of bias. (Valier 2002 and </w:t>
      </w:r>
      <w:proofErr w:type="spellStart"/>
      <w:r w:rsidR="00B46E52">
        <w:t>Vold</w:t>
      </w:r>
      <w:proofErr w:type="spellEnd"/>
      <w:r w:rsidR="00B46E52">
        <w:t xml:space="preserve"> et al 2002, cited in Newburn 2017)</w:t>
      </w:r>
      <w:r w:rsidR="00CE673B">
        <w:t>.</w:t>
      </w:r>
      <w:r w:rsidR="00DC56D4">
        <w:t xml:space="preserve"> Bentham, on the other hand, suggested that human behaviour was derived</w:t>
      </w:r>
      <w:r w:rsidR="00997BDB">
        <w:t xml:space="preserve"> from the pleasure/pain principle and a threat of punishment </w:t>
      </w:r>
      <w:r w:rsidR="00485878">
        <w:t>outweighed any type of pleasure</w:t>
      </w:r>
      <w:r w:rsidR="0090670B">
        <w:t>. (Newburn, 2017)</w:t>
      </w:r>
    </w:p>
    <w:p w14:paraId="65921339" w14:textId="682ABFB3" w:rsidR="00515015" w:rsidRDefault="00515015">
      <w:r>
        <w:t>Another theory</w:t>
      </w:r>
      <w:r w:rsidR="00F705EA">
        <w:t xml:space="preserve"> is positivism</w:t>
      </w:r>
      <w:r w:rsidR="00C84944">
        <w:t xml:space="preserve"> which suggests that </w:t>
      </w:r>
      <w:r w:rsidR="00550C4F">
        <w:t>an offender commits a crime due to c</w:t>
      </w:r>
      <w:r w:rsidR="00C643D0">
        <w:t>ircumstances</w:t>
      </w:r>
      <w:r w:rsidR="00550C4F">
        <w:t xml:space="preserve"> beyond their control </w:t>
      </w:r>
      <w:r w:rsidR="00933015">
        <w:t>which includes psychological</w:t>
      </w:r>
      <w:r w:rsidR="00042DBB">
        <w:t xml:space="preserve">, </w:t>
      </w:r>
      <w:r w:rsidR="0031574B">
        <w:t>sociological</w:t>
      </w:r>
      <w:r w:rsidR="00933015">
        <w:t xml:space="preserve"> or biological </w:t>
      </w:r>
      <w:r w:rsidR="00CF3EFB">
        <w:t>factors</w:t>
      </w:r>
      <w:r w:rsidR="001F01B7">
        <w:t xml:space="preserve"> which pre-disposes a person to commit a crime.</w:t>
      </w:r>
      <w:r w:rsidR="00CF3EFB">
        <w:t xml:space="preserve"> </w:t>
      </w:r>
      <w:r w:rsidR="003E4731">
        <w:t>A</w:t>
      </w:r>
      <w:r w:rsidR="00F85F03">
        <w:t xml:space="preserve">s a </w:t>
      </w:r>
      <w:r w:rsidR="001F01B7">
        <w:t>result,</w:t>
      </w:r>
      <w:r w:rsidR="00F85F03">
        <w:t xml:space="preserve"> punishments are focussed on rehabilitatio</w:t>
      </w:r>
      <w:r w:rsidR="008B770B">
        <w:t>n</w:t>
      </w:r>
      <w:r w:rsidR="00E1430A">
        <w:t xml:space="preserve"> and are focused on the individual.</w:t>
      </w:r>
      <w:r w:rsidR="003E7186">
        <w:t xml:space="preserve"> (Baldock, Manning and </w:t>
      </w:r>
      <w:proofErr w:type="spellStart"/>
      <w:r w:rsidR="003E7186">
        <w:t>Vickerstaff</w:t>
      </w:r>
      <w:proofErr w:type="spellEnd"/>
      <w:r w:rsidR="003E7186">
        <w:t>, 2007)</w:t>
      </w:r>
      <w:r w:rsidR="004119D5">
        <w:t>. Newburn (2017</w:t>
      </w:r>
      <w:r w:rsidR="007739DB">
        <w:t xml:space="preserve">) </w:t>
      </w:r>
      <w:r w:rsidR="00A950A5">
        <w:t xml:space="preserve">separates </w:t>
      </w:r>
      <w:r w:rsidR="003A1720">
        <w:t xml:space="preserve">positivism into </w:t>
      </w:r>
      <w:r w:rsidR="007C349E">
        <w:t>‘biological positivism’ and ‘psychological positivism’</w:t>
      </w:r>
      <w:r w:rsidR="002E6E8D">
        <w:t xml:space="preserve">. </w:t>
      </w:r>
    </w:p>
    <w:p w14:paraId="51A6D849" w14:textId="006831A3" w:rsidR="00413EE8" w:rsidRDefault="00F1614F">
      <w:r>
        <w:t xml:space="preserve">Cesare Lombroso is </w:t>
      </w:r>
      <w:r w:rsidR="001F125B">
        <w:t>often tou</w:t>
      </w:r>
      <w:r w:rsidR="00B66680">
        <w:t xml:space="preserve">ted </w:t>
      </w:r>
      <w:r w:rsidR="00146AA4">
        <w:t>as “the father of modern crim</w:t>
      </w:r>
      <w:r w:rsidR="007B771C">
        <w:t xml:space="preserve">inology” </w:t>
      </w:r>
      <w:r w:rsidR="00675F68">
        <w:t xml:space="preserve">(Newburn, 2017) </w:t>
      </w:r>
      <w:r w:rsidR="00C8580B">
        <w:t xml:space="preserve">as he started his work through phrenology. Lombroso </w:t>
      </w:r>
      <w:r w:rsidR="006311E0">
        <w:t xml:space="preserve">used this to assess that the size of a </w:t>
      </w:r>
      <w:r w:rsidR="00F606F4">
        <w:t>person’s</w:t>
      </w:r>
      <w:r w:rsidR="006311E0">
        <w:t xml:space="preserve"> head </w:t>
      </w:r>
      <w:r w:rsidR="004E0F31">
        <w:t>will determine criminality</w:t>
      </w:r>
      <w:r w:rsidR="004900E7">
        <w:t xml:space="preserve"> but further developed this </w:t>
      </w:r>
      <w:r w:rsidR="00941E86">
        <w:t>to include those with conditions such as epileps</w:t>
      </w:r>
      <w:r w:rsidR="003339BE">
        <w:t>y.</w:t>
      </w:r>
      <w:r w:rsidR="006D58B6">
        <w:t xml:space="preserve"> This is</w:t>
      </w:r>
      <w:r w:rsidR="009C5FA2">
        <w:t xml:space="preserve"> the first example of biological positivism as he determined that those with certain conditions or body shapes were </w:t>
      </w:r>
      <w:r w:rsidR="00251504">
        <w:t>more likely to become criminal. (Fitzgerald, 2011)</w:t>
      </w:r>
      <w:r w:rsidR="0082382D">
        <w:t xml:space="preserve">. Rafter </w:t>
      </w:r>
      <w:r w:rsidR="00DA662C">
        <w:t xml:space="preserve">(1997, cited in Fitzgerald, 2011) supports </w:t>
      </w:r>
      <w:r w:rsidR="009058CE">
        <w:t xml:space="preserve">the view of Lombroso, which suggests that criminals </w:t>
      </w:r>
      <w:r w:rsidR="00374DAD">
        <w:t>could be recognised through</w:t>
      </w:r>
      <w:r w:rsidR="00F6590F">
        <w:t xml:space="preserve"> a physical examination and a review of </w:t>
      </w:r>
      <w:r w:rsidR="00D3344A">
        <w:t>the family history.</w:t>
      </w:r>
      <w:r w:rsidR="00596BE7">
        <w:t xml:space="preserve"> </w:t>
      </w:r>
      <w:r w:rsidR="00413EE8">
        <w:t>Yar an</w:t>
      </w:r>
      <w:r w:rsidR="00D26917">
        <w:t>d</w:t>
      </w:r>
      <w:r w:rsidR="00413EE8">
        <w:t xml:space="preserve"> Penna (</w:t>
      </w:r>
      <w:r w:rsidR="00D26917">
        <w:t xml:space="preserve">2004) </w:t>
      </w:r>
      <w:r w:rsidR="00AD085B">
        <w:t>discuss</w:t>
      </w:r>
      <w:r w:rsidR="009F293A">
        <w:t xml:space="preserve">es </w:t>
      </w:r>
      <w:r w:rsidR="003569AE">
        <w:t>social positivism</w:t>
      </w:r>
      <w:r w:rsidR="004A5302">
        <w:t xml:space="preserve"> </w:t>
      </w:r>
      <w:r w:rsidR="00D77518">
        <w:t>as the presence of socio-economic conditions such as poverty increases the chances that a person will be involved in crime</w:t>
      </w:r>
      <w:r w:rsidR="00596BE7">
        <w:t>.</w:t>
      </w:r>
    </w:p>
    <w:p w14:paraId="0FA7AC30" w14:textId="04118123" w:rsidR="005C07F3" w:rsidRPr="00F0551C" w:rsidRDefault="00F0551C">
      <w:r>
        <w:t xml:space="preserve">Newburn (2017) argues </w:t>
      </w:r>
      <w:r w:rsidR="009D6F74">
        <w:t xml:space="preserve">Freud </w:t>
      </w:r>
      <w:r w:rsidR="00444852">
        <w:t>was the creator of psychological positivism</w:t>
      </w:r>
      <w:r w:rsidR="00152CDB">
        <w:t xml:space="preserve">. Newburn (2017) </w:t>
      </w:r>
      <w:r w:rsidR="00083C0A">
        <w:t xml:space="preserve">suggests </w:t>
      </w:r>
      <w:r w:rsidR="001F1A00">
        <w:t xml:space="preserve">inadequate formation </w:t>
      </w:r>
      <w:r w:rsidR="008C3961">
        <w:t xml:space="preserve">of the </w:t>
      </w:r>
      <w:r w:rsidR="001C3F1B">
        <w:t>unconscious mind, leads to criminal behaviour</w:t>
      </w:r>
      <w:r w:rsidR="00430C7A">
        <w:t xml:space="preserve">. </w:t>
      </w:r>
      <w:r w:rsidR="001046AB">
        <w:t xml:space="preserve">Newburn (2017) also </w:t>
      </w:r>
      <w:r w:rsidR="00444852">
        <w:t>suggest</w:t>
      </w:r>
      <w:r w:rsidR="001046AB">
        <w:t>s</w:t>
      </w:r>
      <w:r w:rsidR="00444852">
        <w:t xml:space="preserve"> </w:t>
      </w:r>
      <w:r>
        <w:t>that Rational Choice Theory and by extension</w:t>
      </w:r>
      <w:r w:rsidR="00596BE7">
        <w:t xml:space="preserve"> Routine Activity Theory</w:t>
      </w:r>
      <w:r w:rsidR="00BF23FA">
        <w:t xml:space="preserve"> comes from learned behaviour </w:t>
      </w:r>
      <w:r w:rsidR="0004147B">
        <w:t xml:space="preserve">however </w:t>
      </w:r>
      <w:r w:rsidR="00051C68">
        <w:t>suggests</w:t>
      </w:r>
      <w:r w:rsidR="0004147B">
        <w:t xml:space="preserve"> these theories </w:t>
      </w:r>
      <w:r w:rsidR="00141732">
        <w:t>are an amalgamation of psychological and sociological theories.</w:t>
      </w:r>
    </w:p>
    <w:p w14:paraId="6425535A" w14:textId="1D3CB892" w:rsidR="00532A33" w:rsidRDefault="00532A33">
      <w:r>
        <w:t xml:space="preserve">Fitzgerald (2011) </w:t>
      </w:r>
      <w:r w:rsidR="008D140C">
        <w:t>also notes that there are two more theories which haven’t gained as much traction as positivism and classicism</w:t>
      </w:r>
      <w:r w:rsidR="00060D93">
        <w:t>, the first being Constructionism</w:t>
      </w:r>
      <w:r w:rsidR="000F663D">
        <w:t xml:space="preserve">, </w:t>
      </w:r>
      <w:r w:rsidR="005C59B8">
        <w:t>where the definition of crime changes throughout history</w:t>
      </w:r>
      <w:r w:rsidR="00714E00">
        <w:t xml:space="preserve"> where certain crimes </w:t>
      </w:r>
      <w:r w:rsidR="00C353A8">
        <w:t xml:space="preserve">“have been criminalized, decriminalized, and recriminalized” </w:t>
      </w:r>
      <w:r w:rsidR="00E62671">
        <w:t xml:space="preserve">Reagan (1997, cited in Fitzgerald 2011) suggests that this </w:t>
      </w:r>
      <w:r w:rsidR="00611C7F">
        <w:t xml:space="preserve">abortion could be attributed to constructionism. </w:t>
      </w:r>
      <w:r w:rsidR="00F03A04">
        <w:t xml:space="preserve">Fitzgerald (2011) notes that </w:t>
      </w:r>
      <w:r w:rsidR="002F3EA0">
        <w:t>social control theory is an example of a constructionist theory.</w:t>
      </w:r>
    </w:p>
    <w:p w14:paraId="50850CF3" w14:textId="516B4607" w:rsidR="007A26BB" w:rsidRDefault="007A26BB" w:rsidP="004179B5">
      <w:pPr>
        <w:spacing w:before="240"/>
      </w:pPr>
      <w:r>
        <w:t xml:space="preserve">The </w:t>
      </w:r>
      <w:r w:rsidR="00E16BE0">
        <w:t>second theory that Fitzgerald (</w:t>
      </w:r>
      <w:r w:rsidR="00BF1DA0">
        <w:t>2011)</w:t>
      </w:r>
      <w:r w:rsidR="00E16BE0">
        <w:t xml:space="preserve"> notes is </w:t>
      </w:r>
      <w:r w:rsidR="0032747F">
        <w:t>s</w:t>
      </w:r>
      <w:r w:rsidR="003C0A18">
        <w:t>tructu</w:t>
      </w:r>
      <w:r w:rsidR="0032747F">
        <w:t xml:space="preserve">ralism. This theory uses external factors such as </w:t>
      </w:r>
      <w:r w:rsidR="00640DE9">
        <w:t>poli</w:t>
      </w:r>
      <w:r w:rsidR="006816B7">
        <w:t>ti</w:t>
      </w:r>
      <w:r w:rsidR="00640DE9">
        <w:t>cal, social and ec</w:t>
      </w:r>
      <w:r w:rsidR="009E7257">
        <w:t>onomic factors to explain crime and deviancy</w:t>
      </w:r>
      <w:r w:rsidR="00B82145">
        <w:t>, for example urbanisation</w:t>
      </w:r>
      <w:r w:rsidR="009643A8">
        <w:t>, industrialisation</w:t>
      </w:r>
      <w:r w:rsidR="00F16DBD">
        <w:t xml:space="preserve"> and residential composition</w:t>
      </w:r>
      <w:r w:rsidR="00B82145">
        <w:t xml:space="preserve"> </w:t>
      </w:r>
      <w:r w:rsidR="00C342E2">
        <w:t>and poverty increases crime rates within a community</w:t>
      </w:r>
      <w:r w:rsidR="00B00C6E">
        <w:t>.</w:t>
      </w:r>
      <w:r w:rsidR="00C5190B">
        <w:t xml:space="preserve"> An example of a theory that uses </w:t>
      </w:r>
      <w:r w:rsidR="004179B5">
        <w:t>these factors is Burgess</w:t>
      </w:r>
      <w:r w:rsidR="00A61A5B">
        <w:t>’</w:t>
      </w:r>
      <w:r w:rsidR="004179B5">
        <w:t xml:space="preserve"> (1925, cited in Newburn 2017)</w:t>
      </w:r>
      <w:r w:rsidR="009A554E">
        <w:t xml:space="preserve"> concentric circles </w:t>
      </w:r>
      <w:r w:rsidR="007911DD">
        <w:t>or zonal hyp</w:t>
      </w:r>
      <w:r w:rsidR="000E4978">
        <w:t xml:space="preserve">othesis </w:t>
      </w:r>
      <w:r w:rsidR="009A554E">
        <w:t>which is part of the Chicago School of Criminology.</w:t>
      </w:r>
    </w:p>
    <w:p w14:paraId="6D24322B" w14:textId="77777777" w:rsidR="00B00C6E" w:rsidRDefault="00B00C6E"/>
    <w:p w14:paraId="0A5DD62A" w14:textId="58457002" w:rsidR="00B00C6E" w:rsidRDefault="00B00C6E">
      <w:r>
        <w:t>On the 20</w:t>
      </w:r>
      <w:r w:rsidRPr="00B00C6E">
        <w:rPr>
          <w:vertAlign w:val="superscript"/>
        </w:rPr>
        <w:t>th</w:t>
      </w:r>
      <w:r>
        <w:t xml:space="preserve"> May 2021, </w:t>
      </w:r>
      <w:r w:rsidR="00F43C06">
        <w:t>South Wales Police were called to a disturbance in the Mayhill area of Swansea</w:t>
      </w:r>
      <w:r w:rsidR="00977BCA">
        <w:t>.</w:t>
      </w:r>
      <w:r w:rsidR="00DF6038">
        <w:t xml:space="preserve"> A vigil was being held for </w:t>
      </w:r>
      <w:r w:rsidR="002F4BFB">
        <w:t>a young man who had recently passed away when the</w:t>
      </w:r>
      <w:r w:rsidR="00B77498">
        <w:t xml:space="preserve"> disturbance broke out</w:t>
      </w:r>
      <w:r w:rsidR="00780F0E">
        <w:t xml:space="preserve"> which started with fireworks </w:t>
      </w:r>
      <w:r w:rsidR="001F3E14">
        <w:t>then led to violence and criminal damage</w:t>
      </w:r>
      <w:r w:rsidR="00AA2577">
        <w:t xml:space="preserve"> and has been since touted as a riot</w:t>
      </w:r>
      <w:r w:rsidR="006003A1">
        <w:t xml:space="preserve">. </w:t>
      </w:r>
      <w:r w:rsidR="00F75E13">
        <w:t xml:space="preserve">Many cars were broken into and set alight </w:t>
      </w:r>
      <w:r w:rsidR="00E80E7C">
        <w:t xml:space="preserve">and some homes </w:t>
      </w:r>
      <w:r w:rsidR="00AF4EA2">
        <w:t>had windows broken</w:t>
      </w:r>
      <w:r w:rsidR="00912ED0">
        <w:t>. Seven police officers were also injured during the disturbance</w:t>
      </w:r>
      <w:r w:rsidR="001F3E14">
        <w:t xml:space="preserve"> (BBC News 2021)</w:t>
      </w:r>
      <w:r w:rsidR="002A3DB1">
        <w:t xml:space="preserve">. Since </w:t>
      </w:r>
      <w:r w:rsidR="00945E08">
        <w:t>then,</w:t>
      </w:r>
      <w:r w:rsidR="002A3DB1">
        <w:t xml:space="preserve"> 27 people</w:t>
      </w:r>
      <w:r w:rsidR="0096206A">
        <w:t xml:space="preserve"> aged between 15 and 44 have been charged with offences relating to this disturbance </w:t>
      </w:r>
      <w:r w:rsidR="008F14F4">
        <w:t xml:space="preserve">which include riot offences and arson with an intent to endanger lives </w:t>
      </w:r>
      <w:r w:rsidR="00945E08">
        <w:t>(South Wales Police, 2022)</w:t>
      </w:r>
      <w:r w:rsidR="00DE68DB">
        <w:t xml:space="preserve">. </w:t>
      </w:r>
      <w:r w:rsidR="00553E6A">
        <w:t xml:space="preserve"> </w:t>
      </w:r>
      <w:r w:rsidR="0002255C">
        <w:t xml:space="preserve">Swansea Council (2022) </w:t>
      </w:r>
      <w:r w:rsidR="000E4978">
        <w:t>refer</w:t>
      </w:r>
      <w:r w:rsidR="00543673">
        <w:t xml:space="preserve"> to Covid-19 lockdowns, </w:t>
      </w:r>
      <w:r w:rsidR="00936EAB">
        <w:t xml:space="preserve">social media, criminal behaviour, socio-economic dynamics </w:t>
      </w:r>
      <w:r w:rsidR="000D634E">
        <w:t>and the death of a local young man as contributing factors to the disturbance in the area</w:t>
      </w:r>
      <w:r w:rsidR="00332266">
        <w:t xml:space="preserve"> in a report published</w:t>
      </w:r>
      <w:r w:rsidR="0014018C">
        <w:t xml:space="preserve"> as part of an inde</w:t>
      </w:r>
      <w:r w:rsidR="00015789">
        <w:t>pendent learning review</w:t>
      </w:r>
      <w:r w:rsidR="000D634E">
        <w:t>.</w:t>
      </w:r>
      <w:r w:rsidR="002C0E9B">
        <w:t xml:space="preserve"> While there were no deaths during this incident, Swansea City Council (2022) </w:t>
      </w:r>
      <w:r w:rsidR="00340343">
        <w:t xml:space="preserve">deemed the incident </w:t>
      </w:r>
      <w:r w:rsidR="005F1DEF">
        <w:t>as a potential danger to life.</w:t>
      </w:r>
    </w:p>
    <w:p w14:paraId="58975EF9" w14:textId="0ADE8EB4" w:rsidR="004D4C69" w:rsidRDefault="00493F6C">
      <w:r>
        <w:t xml:space="preserve">One </w:t>
      </w:r>
      <w:r w:rsidR="003958F9">
        <w:t>theory that can explain this disturbance is the Chicago School of Criminology</w:t>
      </w:r>
      <w:r w:rsidR="00D965DA">
        <w:t>. Ernest Burgess (</w:t>
      </w:r>
      <w:r w:rsidR="00743CF7">
        <w:t>1925, cited in Newburn 2017) developed what has become known as the Zonal Hypothesis</w:t>
      </w:r>
      <w:r w:rsidR="005F52AF">
        <w:t>. This is a series of concentric circles</w:t>
      </w:r>
      <w:r w:rsidR="0007105F">
        <w:t xml:space="preserve"> which represented a different area of social life, these areas </w:t>
      </w:r>
      <w:r w:rsidR="00102BA8">
        <w:t>usually have their own subcultures</w:t>
      </w:r>
      <w:r w:rsidR="00521B8F">
        <w:t xml:space="preserve">, histories and traditions. </w:t>
      </w:r>
      <w:r w:rsidR="004D4C69">
        <w:t>McLaughlin and Muncie (2006)</w:t>
      </w:r>
      <w:r w:rsidR="00A06F8C">
        <w:t xml:space="preserve"> identified that </w:t>
      </w:r>
      <w:r w:rsidR="001E4C8A">
        <w:t xml:space="preserve">each </w:t>
      </w:r>
      <w:r w:rsidR="00A3194D">
        <w:t xml:space="preserve">of these concentric circles are around two miles wide. </w:t>
      </w:r>
    </w:p>
    <w:p w14:paraId="45FB84CE" w14:textId="3FACF710" w:rsidR="00493F6C" w:rsidRDefault="00521B8F">
      <w:r>
        <w:t xml:space="preserve">The first zone, which is the inner </w:t>
      </w:r>
      <w:r w:rsidR="00A73EC0">
        <w:t>most circle is known as the business district, this sector has a very small residential populatio</w:t>
      </w:r>
      <w:r w:rsidR="009B6713">
        <w:t>n. Burgess (19</w:t>
      </w:r>
      <w:r w:rsidR="002A294C">
        <w:t>25, cited in Newburn 2017) argues that the second zone, known as the ‘zone of transition’ is the most important zone</w:t>
      </w:r>
      <w:r w:rsidR="005E1045">
        <w:t xml:space="preserve">. This zone </w:t>
      </w:r>
      <w:r w:rsidR="00A654A9">
        <w:t>has very high levels of poverty, deep rooted deprivation and inadequate social housing</w:t>
      </w:r>
      <w:r w:rsidR="00CF6518">
        <w:t xml:space="preserve">. The third zone consists of residential homes, usually families who have escaped </w:t>
      </w:r>
      <w:r w:rsidR="005E6C67">
        <w:t xml:space="preserve">zone two. The fourth zone is a more affluent community </w:t>
      </w:r>
      <w:r w:rsidR="000C602F">
        <w:t xml:space="preserve">which extends to the city limits and the final zone </w:t>
      </w:r>
      <w:r w:rsidR="00A0596A">
        <w:t xml:space="preserve">is the suburban areas or the commuter zone. </w:t>
      </w:r>
      <w:r w:rsidR="00150CDF">
        <w:t>Mayhill is approximately two miles away from Swansea city centre</w:t>
      </w:r>
      <w:r w:rsidR="009A2C04">
        <w:t>, which would put it firmly into the ‘zone of trans</w:t>
      </w:r>
      <w:r w:rsidR="003E0EF8">
        <w:t>ition</w:t>
      </w:r>
      <w:r w:rsidR="00FD02AD">
        <w:t>’</w:t>
      </w:r>
      <w:r w:rsidR="00171F58">
        <w:t xml:space="preserve"> when you consider McLaughlin and Muncie’s (2006) analysis that each zone is 2 miles wide.</w:t>
      </w:r>
    </w:p>
    <w:p w14:paraId="7BDA4E30" w14:textId="38587FD7" w:rsidR="003634C5" w:rsidRDefault="003634C5">
      <w:r>
        <w:t xml:space="preserve">Williams (2008) examines </w:t>
      </w:r>
      <w:r w:rsidR="002C2557">
        <w:t>the localities where offenders will commit crimes</w:t>
      </w:r>
      <w:r w:rsidR="007546D2">
        <w:t>, suggesting that offenders will commit crimes within two miles from their own home</w:t>
      </w:r>
      <w:r w:rsidR="004E69EF">
        <w:t xml:space="preserve"> (Wiles and Costello 2000 cited in Williams 2008) </w:t>
      </w:r>
      <w:r w:rsidR="00434B88">
        <w:t>so these are familiar areas to offenders</w:t>
      </w:r>
      <w:r w:rsidR="007478CD">
        <w:t>. The two</w:t>
      </w:r>
      <w:r w:rsidR="000821F4">
        <w:t>-</w:t>
      </w:r>
      <w:r w:rsidR="007478CD">
        <w:t>mile radius fits in with</w:t>
      </w:r>
      <w:r w:rsidR="00D26E56">
        <w:t xml:space="preserve"> Burgess (1925) zonal </w:t>
      </w:r>
      <w:r w:rsidR="00F74281">
        <w:t>hypothesis</w:t>
      </w:r>
      <w:r w:rsidR="00240773">
        <w:t xml:space="preserve">, however Williams (2008) makes the assumption that offenders may be banned from the main shopping </w:t>
      </w:r>
      <w:r w:rsidR="00FE3470">
        <w:t>or business district so therefore would only be able to commit crimes in their home locality.</w:t>
      </w:r>
    </w:p>
    <w:p w14:paraId="441C0A03" w14:textId="2BEE7B66" w:rsidR="00434E88" w:rsidRDefault="00C32541">
      <w:r>
        <w:t xml:space="preserve">The Zonal Hypothesis has come under criticism over the years, one example is Quinn (1940) </w:t>
      </w:r>
      <w:r w:rsidR="00FC4929">
        <w:t xml:space="preserve">who </w:t>
      </w:r>
      <w:r w:rsidR="00A90275">
        <w:t>refers</w:t>
      </w:r>
      <w:r w:rsidR="00FC4929">
        <w:t xml:space="preserve"> to </w:t>
      </w:r>
      <w:r w:rsidR="009C16CE">
        <w:t>widespread</w:t>
      </w:r>
      <w:r w:rsidR="00FC4929">
        <w:t xml:space="preserve"> criticism </w:t>
      </w:r>
      <w:r w:rsidR="00535E00">
        <w:t xml:space="preserve">of the hypothesis </w:t>
      </w:r>
      <w:r w:rsidR="009F5FF8">
        <w:t xml:space="preserve">and suggests that when the zonal hypothesis is applied to other </w:t>
      </w:r>
      <w:r w:rsidR="00EC005B">
        <w:t>areas</w:t>
      </w:r>
      <w:r w:rsidR="00B56F76">
        <w:t xml:space="preserve">, </w:t>
      </w:r>
      <w:r w:rsidR="00EC005B">
        <w:t>“various cities do not actually conform to an ideal circular spatial pattern”</w:t>
      </w:r>
      <w:r w:rsidR="00A33092">
        <w:t xml:space="preserve"> and </w:t>
      </w:r>
      <w:r w:rsidR="00341D74">
        <w:t>“that local irregularities frequently violate the pattern of geometrically accurate concentric zone</w:t>
      </w:r>
      <w:r w:rsidR="00BA14BC">
        <w:t>” (Quinn, 1940)</w:t>
      </w:r>
      <w:r w:rsidR="00395A99">
        <w:t>. It is also mentioned that the city centre, should be the business district and housing</w:t>
      </w:r>
      <w:r w:rsidR="00D03C4E">
        <w:t>,</w:t>
      </w:r>
      <w:r w:rsidR="00395A99">
        <w:t xml:space="preserve"> </w:t>
      </w:r>
      <w:r w:rsidR="00D03C4E">
        <w:t xml:space="preserve">therefore, </w:t>
      </w:r>
      <w:r w:rsidR="00184CA1">
        <w:t>should be located</w:t>
      </w:r>
      <w:r w:rsidR="00D03C4E">
        <w:t xml:space="preserve"> in the zones</w:t>
      </w:r>
      <w:r w:rsidR="00E85768">
        <w:t xml:space="preserve">, starting from the poorer homes in the ‘zone of transition’ to </w:t>
      </w:r>
      <w:r w:rsidR="002554D1">
        <w:t>the more affluent homes in the outer circles (Quinn, 1940)</w:t>
      </w:r>
      <w:r w:rsidR="001146D2">
        <w:t>.</w:t>
      </w:r>
    </w:p>
    <w:p w14:paraId="4D72585E" w14:textId="0A1E8A80" w:rsidR="00274E95" w:rsidRDefault="00274E95">
      <w:r>
        <w:t xml:space="preserve">Another criticism of the Zonal Hypothesis </w:t>
      </w:r>
      <w:r w:rsidR="00ED7627">
        <w:t xml:space="preserve">is that it has failed to </w:t>
      </w:r>
      <w:r w:rsidR="005C6702">
        <w:t xml:space="preserve">move with the times </w:t>
      </w:r>
      <w:r w:rsidR="002D1F63">
        <w:t>and as a result, development of housing estates have traditionally moved away from the city centres</w:t>
      </w:r>
      <w:r w:rsidR="004B63A5">
        <w:t>, which has led to complex patterns in more modern times</w:t>
      </w:r>
      <w:r w:rsidR="00D4081E">
        <w:t xml:space="preserve"> (Morris, 1957, Baldwin</w:t>
      </w:r>
      <w:r w:rsidR="00706AC7">
        <w:t xml:space="preserve"> and Bottoms 1976 cited in </w:t>
      </w:r>
      <w:r w:rsidR="00706AC7">
        <w:lastRenderedPageBreak/>
        <w:t>Coleman and Norris 2000)</w:t>
      </w:r>
      <w:r w:rsidR="0035361A">
        <w:t xml:space="preserve">. </w:t>
      </w:r>
      <w:proofErr w:type="spellStart"/>
      <w:r w:rsidR="004C7B11">
        <w:t>Bur</w:t>
      </w:r>
      <w:r w:rsidR="00BB6BD8">
        <w:t>sik</w:t>
      </w:r>
      <w:proofErr w:type="spellEnd"/>
      <w:r w:rsidR="00BB6BD8">
        <w:t xml:space="preserve"> (1986 cited in Coleman and Norris 2000) points out that even the original zonal hypothesis no longer </w:t>
      </w:r>
      <w:r w:rsidR="00F8563C">
        <w:t>fits the city of Chicago.</w:t>
      </w:r>
    </w:p>
    <w:p w14:paraId="24F1E9DD" w14:textId="2971F29C" w:rsidR="00584368" w:rsidRDefault="008C5A2F">
      <w:r>
        <w:t xml:space="preserve">One area that the zonal hypothesis does </w:t>
      </w:r>
      <w:r w:rsidR="0005639B">
        <w:t xml:space="preserve">represent, </w:t>
      </w:r>
      <w:r>
        <w:t>in relation to the disturbance</w:t>
      </w:r>
      <w:r w:rsidR="00E9362D">
        <w:t xml:space="preserve"> in Mayhill</w:t>
      </w:r>
      <w:r w:rsidR="004B3384">
        <w:t>, Swansea is the high levels of deprivation and poverty</w:t>
      </w:r>
      <w:r w:rsidR="00F4509D">
        <w:t>. Newburn (2017) references Burgess (1925) and states that the ‘Zone of Trans</w:t>
      </w:r>
      <w:r w:rsidR="00B609A0">
        <w:t xml:space="preserve">ition’ </w:t>
      </w:r>
      <w:r w:rsidR="005C21A1">
        <w:t>has a transient population, that is poor</w:t>
      </w:r>
      <w:r w:rsidR="00E95922">
        <w:t xml:space="preserve"> and living in inadequate housing</w:t>
      </w:r>
      <w:r w:rsidR="00CF0D24">
        <w:t xml:space="preserve"> where there are high levels of deviant behaviour and social problems.</w:t>
      </w:r>
      <w:r w:rsidR="002055AE">
        <w:t xml:space="preserve"> </w:t>
      </w:r>
      <w:proofErr w:type="spellStart"/>
      <w:r w:rsidR="00512D90">
        <w:t>McLauglin</w:t>
      </w:r>
      <w:proofErr w:type="spellEnd"/>
      <w:r w:rsidR="00512D90">
        <w:t xml:space="preserve"> and Muncie </w:t>
      </w:r>
      <w:r w:rsidR="00765B87">
        <w:t xml:space="preserve">(2006) also suggest that the ‘zone of transition has high levels of poverty. </w:t>
      </w:r>
      <w:r w:rsidR="002055AE">
        <w:t xml:space="preserve">The Wales Index of Multiple Deprivation (WIMD, 2019) has </w:t>
      </w:r>
      <w:r w:rsidR="00B51BF6">
        <w:t>categorised</w:t>
      </w:r>
      <w:r w:rsidR="002055AE">
        <w:t xml:space="preserve"> </w:t>
      </w:r>
      <w:r w:rsidR="00B51BF6">
        <w:t>Mayhill, Swansea</w:t>
      </w:r>
      <w:r w:rsidR="00776808">
        <w:t xml:space="preserve"> as an area that that </w:t>
      </w:r>
      <w:r w:rsidR="00723F86">
        <w:t xml:space="preserve">is currently in deep-rooted </w:t>
      </w:r>
      <w:r w:rsidR="00890B08">
        <w:t>deprivation</w:t>
      </w:r>
      <w:r w:rsidR="0068301C">
        <w:t>. To be categorised as an</w:t>
      </w:r>
      <w:r w:rsidR="00FE6D45">
        <w:t xml:space="preserve"> area of deep-rooted deprivation</w:t>
      </w:r>
      <w:r w:rsidR="00100B52">
        <w:t xml:space="preserve"> an area </w:t>
      </w:r>
      <w:r w:rsidR="008503BE">
        <w:t>must</w:t>
      </w:r>
      <w:r w:rsidR="00100B52">
        <w:t xml:space="preserve"> be in the top fifty deprived areas for at least five reporting periods.</w:t>
      </w:r>
      <w:r w:rsidR="00822C62">
        <w:t xml:space="preserve"> </w:t>
      </w:r>
      <w:r w:rsidR="008C0226">
        <w:t xml:space="preserve">However in regards to Mayhill, that locality </w:t>
      </w:r>
      <w:r w:rsidR="0003170B">
        <w:t>is</w:t>
      </w:r>
      <w:r w:rsidR="008C0226">
        <w:t xml:space="preserve"> often paired with neighbouring locality, </w:t>
      </w:r>
      <w:proofErr w:type="spellStart"/>
      <w:r w:rsidR="008C0226">
        <w:t>Townhill</w:t>
      </w:r>
      <w:proofErr w:type="spellEnd"/>
      <w:r w:rsidR="003D2CD6">
        <w:t>, for the purposes of the Wales Index of Multiple deprivation (2019) and Police.UK (2022)</w:t>
      </w:r>
      <w:r w:rsidR="0025698E">
        <w:t>. This is</w:t>
      </w:r>
      <w:r w:rsidR="00943AAB">
        <w:t xml:space="preserve"> also noted in the</w:t>
      </w:r>
      <w:r w:rsidR="00E30CF9">
        <w:t xml:space="preserve"> </w:t>
      </w:r>
      <w:r w:rsidR="00FD2AF0">
        <w:t>i</w:t>
      </w:r>
      <w:r w:rsidR="00943AAB">
        <w:t>ndependent learning review Swansea council (2022) published</w:t>
      </w:r>
      <w:r w:rsidR="00E30CF9">
        <w:t>, but has noted that each of these localities are separate of</w:t>
      </w:r>
      <w:r w:rsidR="00BA14BD">
        <w:t xml:space="preserve"> each other with distinct subcultures</w:t>
      </w:r>
      <w:r w:rsidR="00661EA8">
        <w:t xml:space="preserve"> and investments in the area do not necessarily benefit the population of both areas</w:t>
      </w:r>
      <w:r w:rsidR="00A72799">
        <w:t>.</w:t>
      </w:r>
      <w:r w:rsidR="00E250F3">
        <w:t xml:space="preserve"> </w:t>
      </w:r>
    </w:p>
    <w:p w14:paraId="214522E5" w14:textId="15F1EA8A" w:rsidR="008C5A2F" w:rsidRDefault="00BE3E71">
      <w:r>
        <w:t xml:space="preserve">This is supported by Barken and </w:t>
      </w:r>
      <w:proofErr w:type="spellStart"/>
      <w:r>
        <w:t>Rocque</w:t>
      </w:r>
      <w:proofErr w:type="spellEnd"/>
      <w:r>
        <w:t xml:space="preserve"> (2018)</w:t>
      </w:r>
      <w:r w:rsidR="00E04D04">
        <w:t xml:space="preserve"> who say that </w:t>
      </w:r>
      <w:r w:rsidR="00A15CF2">
        <w:t xml:space="preserve">the same indicators for good health </w:t>
      </w:r>
      <w:r w:rsidR="00E91277">
        <w:t>also prevent individuals from committing crimes.</w:t>
      </w:r>
      <w:r w:rsidR="00BB6421">
        <w:t xml:space="preserve"> </w:t>
      </w:r>
      <w:r w:rsidR="00613E9F">
        <w:t xml:space="preserve">Barken and </w:t>
      </w:r>
      <w:proofErr w:type="spellStart"/>
      <w:r w:rsidR="00613E9F">
        <w:t>Rocque</w:t>
      </w:r>
      <w:proofErr w:type="spellEnd"/>
      <w:r w:rsidR="00613E9F">
        <w:t xml:space="preserve"> (2018) also support the link between crime and</w:t>
      </w:r>
      <w:r w:rsidR="006271BC">
        <w:t xml:space="preserve"> those living in high deprivation </w:t>
      </w:r>
      <w:r w:rsidR="00E64251">
        <w:t>by suggesting that these areas produce criminal behaviour due to the</w:t>
      </w:r>
      <w:r w:rsidR="00EA5E0E">
        <w:t xml:space="preserve"> conditions of the neighbourhood which includes population density, high turnover of residents</w:t>
      </w:r>
      <w:r w:rsidR="004E4EDA">
        <w:t>, which supports Burgess’ (1925) Zone of transition with the transient population</w:t>
      </w:r>
      <w:r w:rsidR="00BB0E77">
        <w:t xml:space="preserve"> and a high number of single parent households.</w:t>
      </w:r>
    </w:p>
    <w:p w14:paraId="78142599" w14:textId="694579F8" w:rsidR="00734380" w:rsidRDefault="00734380">
      <w:r>
        <w:t>Newburn (2014) suggests that when you place riots in a historical context, it has been found that many individuals become involved “as an expression of their generalised discontent with elements of the society around them”. Which is supported by Swansea Council (2022) who suggested that Covid-19 lockdowns and socio-economic factors, amongst other things were contributing factors in the disturbance.</w:t>
      </w:r>
      <w:r w:rsidR="00345DF1">
        <w:t xml:space="preserve"> Swansea Council (2022) </w:t>
      </w:r>
      <w:r w:rsidR="002B18B6">
        <w:t xml:space="preserve">also notes the death of a young man as a contributing factor to the disturbance, when placed in a historical context, </w:t>
      </w:r>
      <w:r w:rsidR="000B2A62">
        <w:t>Morrell and Currie (2015)</w:t>
      </w:r>
      <w:r w:rsidR="009C18A6">
        <w:t xml:space="preserve"> note that the riots in London 2011</w:t>
      </w:r>
      <w:r w:rsidR="00811681">
        <w:t xml:space="preserve"> ha</w:t>
      </w:r>
      <w:r w:rsidR="00A412BD">
        <w:t>d</w:t>
      </w:r>
      <w:r w:rsidR="00811681">
        <w:t xml:space="preserve"> begun as a hijacking of a peaceful protest over police handling of</w:t>
      </w:r>
      <w:r w:rsidR="00A9537A">
        <w:t xml:space="preserve"> the death of</w:t>
      </w:r>
      <w:r w:rsidR="00811681">
        <w:t xml:space="preserve"> </w:t>
      </w:r>
      <w:r w:rsidR="00A9537A">
        <w:t xml:space="preserve">Mark Duggan, a young </w:t>
      </w:r>
      <w:r w:rsidR="00FA2382">
        <w:t xml:space="preserve">black </w:t>
      </w:r>
      <w:r w:rsidR="00A9537A">
        <w:t>man from London</w:t>
      </w:r>
      <w:r w:rsidR="00FA2382">
        <w:t>.</w:t>
      </w:r>
    </w:p>
    <w:p w14:paraId="719819B0" w14:textId="77777777" w:rsidR="005074A2" w:rsidRDefault="005074A2"/>
    <w:p w14:paraId="7F6F8A7A" w14:textId="77777777" w:rsidR="00EF522D" w:rsidRDefault="00D22EFF">
      <w:r>
        <w:t>Another the</w:t>
      </w:r>
      <w:r w:rsidR="00C90BD9">
        <w:t>ory that</w:t>
      </w:r>
      <w:r w:rsidR="00BC75F6">
        <w:t xml:space="preserve"> su</w:t>
      </w:r>
      <w:r w:rsidR="007A4B7C">
        <w:t xml:space="preserve">pports both the disturbance in Mayhill, Swansea and Burgess’ (1925) concentric circle theory is </w:t>
      </w:r>
      <w:r w:rsidR="00575CE1">
        <w:t xml:space="preserve">the Broken Window theory </w:t>
      </w:r>
      <w:r w:rsidR="008249C8">
        <w:t>developed by Phillip Zimbardo (1969</w:t>
      </w:r>
      <w:r w:rsidR="00867841">
        <w:t xml:space="preserve"> cited in Wilson and Kelling 2005)</w:t>
      </w:r>
      <w:r w:rsidR="00D42E02">
        <w:t>. Zim</w:t>
      </w:r>
      <w:r w:rsidR="00F92F81">
        <w:t xml:space="preserve">bardo carried out an experiment whereby a car was left </w:t>
      </w:r>
      <w:r w:rsidR="0070394F">
        <w:t xml:space="preserve">on a street in New York was damaged and eventually dismantled within 24 hours and a similar vehicle </w:t>
      </w:r>
      <w:r w:rsidR="00340ABD">
        <w:t xml:space="preserve">in a more affluent neighbourhood in California </w:t>
      </w:r>
      <w:r w:rsidR="00222A7D">
        <w:t>was left untouched for a week.</w:t>
      </w:r>
      <w:r w:rsidR="00575103">
        <w:t xml:space="preserve"> </w:t>
      </w:r>
    </w:p>
    <w:p w14:paraId="35E3919F" w14:textId="0FADCF16" w:rsidR="0022407B" w:rsidRDefault="005C312A">
      <w:r>
        <w:t xml:space="preserve">McLaughlin (2006) </w:t>
      </w:r>
      <w:r w:rsidR="005A189F">
        <w:t xml:space="preserve">writes about </w:t>
      </w:r>
      <w:r w:rsidR="008B4C56">
        <w:t xml:space="preserve">Kelling and Coles (1996 cited in McLaughlin 2006) </w:t>
      </w:r>
      <w:r w:rsidR="00F945D3">
        <w:t>updating the ‘broken windows’ theory</w:t>
      </w:r>
      <w:r w:rsidR="00D90C7E">
        <w:t xml:space="preserve"> and suggests that </w:t>
      </w:r>
      <w:r w:rsidR="00110809">
        <w:t xml:space="preserve">“petty disorderly acts… trigger a train reaction that undermines </w:t>
      </w:r>
      <w:r w:rsidR="006A45CE">
        <w:t xml:space="preserve">community safety and paves the </w:t>
      </w:r>
      <w:r w:rsidR="006E0F96">
        <w:t xml:space="preserve">way for serious criminality.” </w:t>
      </w:r>
      <w:r w:rsidR="00675829">
        <w:t>Wilson and Kelling (</w:t>
      </w:r>
      <w:r w:rsidR="006B71AE">
        <w:t>1982 cited in McLaugh</w:t>
      </w:r>
      <w:r w:rsidR="00325F36">
        <w:t xml:space="preserve">lin 2006) </w:t>
      </w:r>
      <w:r w:rsidR="004520DD">
        <w:t xml:space="preserve">write that basic police </w:t>
      </w:r>
      <w:r w:rsidR="00C43778">
        <w:t>foot patrols</w:t>
      </w:r>
      <w:r w:rsidR="003567D5">
        <w:t xml:space="preserve"> </w:t>
      </w:r>
      <w:r w:rsidR="00EF522D">
        <w:t>allow</w:t>
      </w:r>
      <w:r w:rsidR="003567D5">
        <w:t xml:space="preserve"> officers to judge when any behaviour </w:t>
      </w:r>
      <w:r w:rsidR="002B1204">
        <w:t>is out of the ordinary</w:t>
      </w:r>
      <w:r w:rsidR="002D0D68">
        <w:t xml:space="preserve"> and </w:t>
      </w:r>
      <w:r w:rsidR="00676E62">
        <w:t>be able to use stop and search powers.</w:t>
      </w:r>
      <w:r w:rsidR="00034312">
        <w:t xml:space="preserve"> For </w:t>
      </w:r>
      <w:r w:rsidR="000904DB">
        <w:t>instance,</w:t>
      </w:r>
      <w:r w:rsidR="00034312">
        <w:t xml:space="preserve"> Police.UK (2022) details officers use of stop and search</w:t>
      </w:r>
      <w:r w:rsidR="002F37A7">
        <w:t xml:space="preserve"> </w:t>
      </w:r>
      <w:r w:rsidR="00665BAA">
        <w:t>comparing the levels pre-pandemic, in May 2019</w:t>
      </w:r>
      <w:r w:rsidR="00F810AD">
        <w:t xml:space="preserve"> there were no instances of stop and search</w:t>
      </w:r>
      <w:r w:rsidR="005823E7">
        <w:t>. Considering Swansea City Council</w:t>
      </w:r>
      <w:r w:rsidR="00570474">
        <w:t>’s</w:t>
      </w:r>
      <w:r w:rsidR="005823E7">
        <w:t xml:space="preserve"> (2022)</w:t>
      </w:r>
      <w:r w:rsidR="00570474">
        <w:t xml:space="preserve"> statement that lockdown has had an impact on crime levels</w:t>
      </w:r>
      <w:r w:rsidR="007A734A">
        <w:t>, in May 2020</w:t>
      </w:r>
      <w:r w:rsidR="004D7569">
        <w:t xml:space="preserve"> there were </w:t>
      </w:r>
      <w:r w:rsidR="004F0911">
        <w:t>20 with most of them on suspicion of controlled drugs</w:t>
      </w:r>
      <w:r w:rsidR="009A0A65">
        <w:t xml:space="preserve"> and in May 2021, there were 30 stop and searches recorded</w:t>
      </w:r>
      <w:r w:rsidR="00BF3EB6">
        <w:t>.</w:t>
      </w:r>
    </w:p>
    <w:p w14:paraId="1597A1AF" w14:textId="7CDA2614" w:rsidR="007E009D" w:rsidRDefault="00575103">
      <w:r>
        <w:lastRenderedPageBreak/>
        <w:t>Wilson and Kelling (2005)</w:t>
      </w:r>
      <w:r w:rsidR="00565749">
        <w:t xml:space="preserve"> </w:t>
      </w:r>
      <w:r w:rsidR="00ED7C90">
        <w:t>suggested</w:t>
      </w:r>
      <w:r w:rsidR="00565749">
        <w:t xml:space="preserve"> vandalism happens </w:t>
      </w:r>
      <w:r w:rsidR="00E958EC">
        <w:t>“anywhere once communal barriers…</w:t>
      </w:r>
      <w:r w:rsidR="00BF66CE">
        <w:t xml:space="preserve"> are lowered by actions that seem to signal ‘that no one cares’”</w:t>
      </w:r>
      <w:r w:rsidR="00793075">
        <w:t xml:space="preserve">. </w:t>
      </w:r>
      <w:r w:rsidR="00921B8E">
        <w:t xml:space="preserve">Wilson and Kelling </w:t>
      </w:r>
      <w:r w:rsidR="002609BA">
        <w:t>(</w:t>
      </w:r>
      <w:r w:rsidR="00921B8E">
        <w:t>1982 cited in</w:t>
      </w:r>
      <w:r w:rsidR="009C65BD">
        <w:t xml:space="preserve"> Dixon</w:t>
      </w:r>
      <w:r w:rsidR="009A1AAC">
        <w:t xml:space="preserve"> 2005)</w:t>
      </w:r>
      <w:r w:rsidR="00DD6D07">
        <w:t xml:space="preserve"> </w:t>
      </w:r>
      <w:r w:rsidR="00ED7C90">
        <w:t>say</w:t>
      </w:r>
      <w:r w:rsidR="0029360F">
        <w:t xml:space="preserve"> “</w:t>
      </w:r>
      <w:r w:rsidR="00141806">
        <w:t xml:space="preserve">if human ‘broken windows’ are not fixed, disorder will turn into serious crime because </w:t>
      </w:r>
      <w:r w:rsidR="00EF5E87">
        <w:t>‘serious street crime flourishes in areas in which disorderly behaviour goes unchecked’”.</w:t>
      </w:r>
      <w:r w:rsidR="0092734A">
        <w:t xml:space="preserve"> In relation to the dis</w:t>
      </w:r>
      <w:r w:rsidR="004E44D2">
        <w:t>turbance in Mayhill, Swansea, the most common crime</w:t>
      </w:r>
      <w:r w:rsidR="004263B6">
        <w:t xml:space="preserve"> recorded in 2021</w:t>
      </w:r>
      <w:r w:rsidR="000734EA">
        <w:t xml:space="preserve"> is violence and sexual offences</w:t>
      </w:r>
      <w:r w:rsidR="00154EB8">
        <w:t xml:space="preserve"> (34%) </w:t>
      </w:r>
      <w:r w:rsidR="006F5E43">
        <w:t>and the</w:t>
      </w:r>
      <w:r w:rsidR="00A87049">
        <w:t xml:space="preserve"> next most common crime is anti-social behaviour (21%) and criminal damage and arson (</w:t>
      </w:r>
      <w:r w:rsidR="0012774E">
        <w:t>14%)</w:t>
      </w:r>
      <w:r w:rsidR="008B4C5B">
        <w:t>.</w:t>
      </w:r>
    </w:p>
    <w:p w14:paraId="1A5D1354" w14:textId="452576B2" w:rsidR="00B227C9" w:rsidRDefault="00804C0F">
      <w:r>
        <w:t xml:space="preserve">Ranasinghe (2011) </w:t>
      </w:r>
      <w:r w:rsidR="009D1248">
        <w:t xml:space="preserve">examines </w:t>
      </w:r>
      <w:r w:rsidR="00B227C9">
        <w:t>the ‘broken windows’ theory</w:t>
      </w:r>
      <w:r w:rsidR="00083443">
        <w:t xml:space="preserve"> and suggests that “the changing nature of urban spaces and the </w:t>
      </w:r>
      <w:r w:rsidR="0032407A">
        <w:t xml:space="preserve">relations in these spaces: for example, not only </w:t>
      </w:r>
      <w:r w:rsidR="00FC08BE">
        <w:t>was crime on the rise, but riots had become a common occurrence in large urban areas</w:t>
      </w:r>
      <w:r w:rsidR="00426D3E">
        <w:t>” (Banfield 1974. Zimbardo 1970 Cited in Ranasinghe 2011)</w:t>
      </w:r>
      <w:r w:rsidR="0006260C">
        <w:t xml:space="preserve">. This shows support for the </w:t>
      </w:r>
      <w:r w:rsidR="00DE7233">
        <w:t>dis</w:t>
      </w:r>
      <w:r w:rsidR="00B838F7">
        <w:t>turbance in Mayhill, Swansea</w:t>
      </w:r>
      <w:r w:rsidR="00AC0BD0">
        <w:t xml:space="preserve">, even though Police.UK (2022) </w:t>
      </w:r>
      <w:r w:rsidR="00130943">
        <w:t xml:space="preserve">data shows there has been a small decrease in the number of crimes recorded </w:t>
      </w:r>
      <w:r w:rsidR="005C7638">
        <w:t>every quarter from April 2019,</w:t>
      </w:r>
      <w:r w:rsidR="002D3085">
        <w:t xml:space="preserve"> there was a huge increase in crimes recorded </w:t>
      </w:r>
      <w:r w:rsidR="00F863D1">
        <w:t>during the covid</w:t>
      </w:r>
      <w:r w:rsidR="00DB52B9">
        <w:t xml:space="preserve">-19 lockdowns. Swansea city Council (2022) issued a statement which </w:t>
      </w:r>
      <w:r w:rsidR="00471F3D">
        <w:t xml:space="preserve">suggests that </w:t>
      </w:r>
      <w:r w:rsidR="002A5356">
        <w:t>the lockdow</w:t>
      </w:r>
      <w:r w:rsidR="008704CD">
        <w:t>ns and subsequent criminal behaviour were responsible for the disturbance</w:t>
      </w:r>
      <w:r w:rsidR="009415C4">
        <w:t xml:space="preserve"> and </w:t>
      </w:r>
      <w:r w:rsidR="00CF1C8C">
        <w:t>as a result has done some work to improve the local area such as repairing criminal damage</w:t>
      </w:r>
      <w:r w:rsidR="00285F47">
        <w:t xml:space="preserve"> and creating a new playground. Swansea City Council also </w:t>
      </w:r>
      <w:r w:rsidR="003A6AF5">
        <w:t>referred</w:t>
      </w:r>
      <w:r w:rsidR="00285F47">
        <w:t xml:space="preserve"> to </w:t>
      </w:r>
      <w:r w:rsidR="001F1B4C">
        <w:t xml:space="preserve">the improvements made to the area prior to lockdowns which included a new health and well-being centre, </w:t>
      </w:r>
      <w:r w:rsidR="00E43BAC">
        <w:t>improved access to flying start provision</w:t>
      </w:r>
      <w:r w:rsidR="00DC4732">
        <w:t xml:space="preserve"> and youth provisions such as holiday and after-school clubs.</w:t>
      </w:r>
    </w:p>
    <w:p w14:paraId="7E544296" w14:textId="77777777" w:rsidR="007009DA" w:rsidRDefault="007009DA"/>
    <w:p w14:paraId="5D1CED04" w14:textId="3EF1B03F" w:rsidR="007009DA" w:rsidRDefault="00E17619">
      <w:r>
        <w:t>R</w:t>
      </w:r>
      <w:r w:rsidR="004B49A4">
        <w:t>ational ch</w:t>
      </w:r>
      <w:r w:rsidR="009B78C6">
        <w:t>oice theory</w:t>
      </w:r>
      <w:r w:rsidR="001170FC">
        <w:t xml:space="preserve"> </w:t>
      </w:r>
      <w:r w:rsidR="00323E91">
        <w:t>is based upon a cost benefit analysis</w:t>
      </w:r>
      <w:r w:rsidR="00F208DF">
        <w:t xml:space="preserve"> where </w:t>
      </w:r>
      <w:r w:rsidR="00F428A1">
        <w:t xml:space="preserve">individuals will commit a crime </w:t>
      </w:r>
      <w:r w:rsidR="00E47F1F">
        <w:t xml:space="preserve">based upon the benefits outweighing any potential losses or risks. </w:t>
      </w:r>
      <w:r w:rsidR="009B02C5">
        <w:t>This theory was developed by Clarke and Cornish (</w:t>
      </w:r>
      <w:r w:rsidR="001A2506">
        <w:t xml:space="preserve">1985, 1986 cited in Newburn 2017) </w:t>
      </w:r>
      <w:r w:rsidR="00044392">
        <w:t xml:space="preserve">who argue that </w:t>
      </w:r>
      <w:r w:rsidR="00CB4D74">
        <w:t>“choices are influenced by a number of social and psychological factors</w:t>
      </w:r>
      <w:r w:rsidR="001523B5">
        <w:t>”</w:t>
      </w:r>
      <w:r w:rsidR="00E621FD">
        <w:t xml:space="preserve">. Cornish and Clarke (2006 cited in Newburn 2017) </w:t>
      </w:r>
      <w:r w:rsidR="00852649">
        <w:t xml:space="preserve">outline </w:t>
      </w:r>
      <w:r w:rsidR="00767D46">
        <w:t>the basis of the theory which is the crimes are committed in order to benefit the offender</w:t>
      </w:r>
      <w:r w:rsidR="0024149D">
        <w:t>, individuals make the best decisions based upon the information that is known</w:t>
      </w:r>
      <w:r w:rsidR="003B7213">
        <w:t xml:space="preserve"> and that decision </w:t>
      </w:r>
      <w:r w:rsidR="00393561">
        <w:t xml:space="preserve">making </w:t>
      </w:r>
      <w:r w:rsidR="004E4728">
        <w:t>varies between individuals</w:t>
      </w:r>
      <w:r w:rsidR="00B9404C">
        <w:t xml:space="preserve"> and involve a series of </w:t>
      </w:r>
      <w:r w:rsidR="000C7A7A">
        <w:t xml:space="preserve">choices made at each stage. Involvement </w:t>
      </w:r>
      <w:r w:rsidR="0013396F">
        <w:t xml:space="preserve">is </w:t>
      </w:r>
      <w:r w:rsidR="002C7193">
        <w:t xml:space="preserve">usually based around three things, habituation, </w:t>
      </w:r>
      <w:r w:rsidR="00650672">
        <w:t>initiation and desistance</w:t>
      </w:r>
      <w:r w:rsidR="00B12579">
        <w:t>.</w:t>
      </w:r>
    </w:p>
    <w:p w14:paraId="54B8CAD8" w14:textId="77777777" w:rsidR="00F1604C" w:rsidRDefault="00FA6796">
      <w:r>
        <w:t xml:space="preserve">Williams (2008) </w:t>
      </w:r>
      <w:r w:rsidR="004B5565">
        <w:t xml:space="preserve">discusses Mayhew et al (1976) </w:t>
      </w:r>
      <w:r w:rsidR="00162029">
        <w:t xml:space="preserve">which uses rational choice theory as the basis </w:t>
      </w:r>
      <w:r w:rsidR="00BA558A">
        <w:t xml:space="preserve">of a new theory first identified as ‘target </w:t>
      </w:r>
      <w:r w:rsidR="00CC723F">
        <w:t>attractiveness</w:t>
      </w:r>
      <w:r w:rsidR="00BA558A">
        <w:t>’</w:t>
      </w:r>
      <w:r w:rsidR="00CC723F">
        <w:t xml:space="preserve"> which means to say that a crime is more likely to be committed </w:t>
      </w:r>
      <w:r w:rsidR="00DB2B5F">
        <w:t xml:space="preserve">if it goes </w:t>
      </w:r>
      <w:r w:rsidR="00660EFC">
        <w:t>undetected but</w:t>
      </w:r>
      <w:r w:rsidR="00391CB6">
        <w:t xml:space="preserve"> altering the environment doesn’t necessarily prevent crime</w:t>
      </w:r>
      <w:r w:rsidR="00072C20">
        <w:t xml:space="preserve"> but </w:t>
      </w:r>
      <w:r w:rsidR="000A5200">
        <w:t xml:space="preserve">some added street furniture </w:t>
      </w:r>
      <w:r w:rsidR="003242C9">
        <w:t>such as lighting can be effective.</w:t>
      </w:r>
      <w:r w:rsidR="00A51D9B">
        <w:t xml:space="preserve"> In relation to the Mayhill disturbance, Swansea city council (2022) has completed some work in relation</w:t>
      </w:r>
      <w:r w:rsidR="00AA0FC8">
        <w:t xml:space="preserve"> to improving street furniture and creating barriers</w:t>
      </w:r>
      <w:r w:rsidR="00BA558A">
        <w:t xml:space="preserve"> </w:t>
      </w:r>
      <w:r w:rsidR="00417798">
        <w:t>with the intention of improving community safety.</w:t>
      </w:r>
      <w:r w:rsidR="00E43BB4">
        <w:t xml:space="preserve"> </w:t>
      </w:r>
    </w:p>
    <w:p w14:paraId="7A2E2152" w14:textId="1564BD24" w:rsidR="00FA6796" w:rsidRDefault="00000FEC">
      <w:r>
        <w:t xml:space="preserve">Tittle (1995, cited in Williams 2008) </w:t>
      </w:r>
      <w:r w:rsidR="006C14B5">
        <w:t>criti</w:t>
      </w:r>
      <w:r w:rsidR="007D1A6D">
        <w:t xml:space="preserve">cises routine activity theory by suggesting </w:t>
      </w:r>
      <w:r w:rsidR="00666CF4">
        <w:t>“it does not really explain crime”</w:t>
      </w:r>
      <w:r w:rsidR="004B7FB5">
        <w:t>.</w:t>
      </w:r>
      <w:r w:rsidR="00020501">
        <w:t xml:space="preserve"> Hopkins Burke (</w:t>
      </w:r>
      <w:r w:rsidR="00B65159">
        <w:t>2008) also offers a criticism as rational choice theory cannot explain the criminal behaviour</w:t>
      </w:r>
      <w:r w:rsidR="004900FA">
        <w:t xml:space="preserve"> that is presented </w:t>
      </w:r>
      <w:r w:rsidR="00904FE2">
        <w:t>in</w:t>
      </w:r>
      <w:r w:rsidR="005839D2">
        <w:t xml:space="preserve"> children and adolescents </w:t>
      </w:r>
      <w:r w:rsidR="00681FC5">
        <w:t>as</w:t>
      </w:r>
      <w:r w:rsidR="006C4219">
        <w:t xml:space="preserve"> these groups usually have a “less developed</w:t>
      </w:r>
      <w:r w:rsidR="00D45A6C">
        <w:t xml:space="preserve"> sense of rationality.”</w:t>
      </w:r>
      <w:r w:rsidR="009C7EB5">
        <w:t xml:space="preserve"> How</w:t>
      </w:r>
      <w:r w:rsidR="000509F2">
        <w:t xml:space="preserve">ever </w:t>
      </w:r>
      <w:proofErr w:type="spellStart"/>
      <w:r w:rsidR="000509F2">
        <w:t>Barkan</w:t>
      </w:r>
      <w:proofErr w:type="spellEnd"/>
      <w:r w:rsidR="000509F2">
        <w:t xml:space="preserve"> and </w:t>
      </w:r>
      <w:proofErr w:type="spellStart"/>
      <w:r w:rsidR="000509F2">
        <w:t>Rocque</w:t>
      </w:r>
      <w:proofErr w:type="spellEnd"/>
      <w:r w:rsidR="000509F2">
        <w:t xml:space="preserve"> (</w:t>
      </w:r>
      <w:r w:rsidR="00802987">
        <w:t>2018)</w:t>
      </w:r>
      <w:r w:rsidR="00F77C47">
        <w:t xml:space="preserve"> argue that many criminologists and theories</w:t>
      </w:r>
      <w:r w:rsidR="00B07FD7">
        <w:t xml:space="preserve"> o</w:t>
      </w:r>
      <w:r w:rsidR="005A0898">
        <w:t>f crime</w:t>
      </w:r>
      <w:r w:rsidR="00F77C47">
        <w:t xml:space="preserve"> assume that criminality </w:t>
      </w:r>
      <w:r w:rsidR="00F525AA">
        <w:t>in regards to street violence begins during childhood and adolescence</w:t>
      </w:r>
      <w:r w:rsidR="005A0898">
        <w:t xml:space="preserve"> and makes the connection that “children in poor families are more likely to experience abuse and neglect</w:t>
      </w:r>
      <w:r w:rsidR="00880ED2">
        <w:t>, neighbourhood violence and other adverse childhood experiences”</w:t>
      </w:r>
      <w:r w:rsidR="002B2EBA">
        <w:t xml:space="preserve"> and as a result increases the chance that individuals will become involved in crime and criminality.</w:t>
      </w:r>
    </w:p>
    <w:p w14:paraId="63E3DE26" w14:textId="79B33C34" w:rsidR="002055CF" w:rsidRDefault="00C6419F">
      <w:r>
        <w:lastRenderedPageBreak/>
        <w:t>Routine Activity Theory</w:t>
      </w:r>
      <w:r w:rsidR="005A36D2">
        <w:t xml:space="preserve"> is another theory that</w:t>
      </w:r>
      <w:r w:rsidR="0007607D">
        <w:t xml:space="preserve"> tries to make sense of rising cr</w:t>
      </w:r>
      <w:r w:rsidR="00786B9C">
        <w:t>ime rates</w:t>
      </w:r>
      <w:r w:rsidR="00577A53">
        <w:t>.</w:t>
      </w:r>
      <w:r w:rsidR="00305B6C">
        <w:t xml:space="preserve"> Pease (2006) </w:t>
      </w:r>
      <w:r w:rsidR="000A60C3">
        <w:t>says that rational choice theory has many similarities with routine activity theory.</w:t>
      </w:r>
      <w:r w:rsidR="00577A53">
        <w:t xml:space="preserve"> This theory was </w:t>
      </w:r>
      <w:r w:rsidR="009D5010">
        <w:t>developed by Cohen and Felson (</w:t>
      </w:r>
      <w:r w:rsidR="00926B1E">
        <w:t xml:space="preserve">1979, cited in Newburn 2017) </w:t>
      </w:r>
      <w:r w:rsidR="00E65003">
        <w:t>and requires three elements to be present before</w:t>
      </w:r>
      <w:r w:rsidR="000B6E2C">
        <w:t xml:space="preserve"> a crime can be committed, these are, </w:t>
      </w:r>
      <w:r w:rsidR="009F6D6C">
        <w:t>motivated offenders</w:t>
      </w:r>
      <w:r w:rsidR="00EC6132">
        <w:t xml:space="preserve"> </w:t>
      </w:r>
      <w:r w:rsidR="0094440E">
        <w:t>who</w:t>
      </w:r>
      <w:r w:rsidR="00EC6132">
        <w:t xml:space="preserve"> are usually </w:t>
      </w:r>
      <w:r w:rsidR="00702E25">
        <w:t>young males</w:t>
      </w:r>
      <w:r w:rsidR="009F6D6C">
        <w:t xml:space="preserve">, suitable targets </w:t>
      </w:r>
      <w:r w:rsidR="00E4133C">
        <w:t xml:space="preserve">which can include </w:t>
      </w:r>
      <w:r w:rsidR="0055770A">
        <w:t xml:space="preserve">property or people </w:t>
      </w:r>
      <w:r w:rsidR="000421AA">
        <w:t xml:space="preserve">and the absence of guardians, which can include </w:t>
      </w:r>
      <w:r w:rsidR="00A8060B">
        <w:t xml:space="preserve">technology in the forms of CCTV, official guardians </w:t>
      </w:r>
      <w:r w:rsidR="002552DE">
        <w:t xml:space="preserve">which include police and law enforcement, but can also be informal guardians </w:t>
      </w:r>
      <w:r w:rsidR="00A844EA">
        <w:t>such as family and friends</w:t>
      </w:r>
      <w:r w:rsidR="008A0729">
        <w:t xml:space="preserve"> (Pease 2006)</w:t>
      </w:r>
      <w:r w:rsidR="00A844EA">
        <w:t>.</w:t>
      </w:r>
      <w:r w:rsidR="0080649D">
        <w:t xml:space="preserve"> </w:t>
      </w:r>
      <w:r w:rsidR="0027602E">
        <w:t>Pease (2006)</w:t>
      </w:r>
      <w:r w:rsidR="00F063C1">
        <w:t xml:space="preserve"> </w:t>
      </w:r>
      <w:r w:rsidR="00F7011E">
        <w:t xml:space="preserve">suggests that this theory uses the term </w:t>
      </w:r>
      <w:r w:rsidR="00CD4CE3">
        <w:t xml:space="preserve">targets as crimes </w:t>
      </w:r>
      <w:r w:rsidR="00841D33">
        <w:t xml:space="preserve">and criminality </w:t>
      </w:r>
      <w:r w:rsidR="003C0274">
        <w:t>targets mainly property acq</w:t>
      </w:r>
      <w:r w:rsidR="00583682">
        <w:t>uisition.</w:t>
      </w:r>
      <w:r w:rsidR="0094440E">
        <w:t xml:space="preserve"> It is worth noting here, that while </w:t>
      </w:r>
      <w:r w:rsidR="00365265">
        <w:t xml:space="preserve">27 arrests have been made in relation to the disturbance, police have not released any information </w:t>
      </w:r>
      <w:r w:rsidR="007A4F4C">
        <w:t>regarding</w:t>
      </w:r>
      <w:r w:rsidR="00365265">
        <w:t xml:space="preserve"> the gender </w:t>
      </w:r>
      <w:r w:rsidR="000D2E3A">
        <w:t>of those arrested.</w:t>
      </w:r>
    </w:p>
    <w:p w14:paraId="287CE293" w14:textId="6CEF941C" w:rsidR="00B87715" w:rsidRDefault="0080649D">
      <w:r>
        <w:t>Newburn (2017)</w:t>
      </w:r>
      <w:r w:rsidR="00444429">
        <w:t xml:space="preserve"> discusses that for each of these elements to be present </w:t>
      </w:r>
      <w:r w:rsidR="00D445D8">
        <w:t>is dependent on the conditions at the time</w:t>
      </w:r>
      <w:r w:rsidR="007C6FEA">
        <w:t xml:space="preserve">, so what this boils down to means that the more people in a locality, the more likely there are to be </w:t>
      </w:r>
      <w:r w:rsidR="0059762A">
        <w:t>motivated offenders.</w:t>
      </w:r>
      <w:r w:rsidR="00070487">
        <w:t xml:space="preserve"> In order to link this to</w:t>
      </w:r>
      <w:r w:rsidR="00A04502">
        <w:t xml:space="preserve"> the Mayhill disturbance</w:t>
      </w:r>
      <w:r w:rsidR="00B77765">
        <w:t xml:space="preserve">, the police response to the incident </w:t>
      </w:r>
      <w:r w:rsidR="00533047">
        <w:t>must</w:t>
      </w:r>
      <w:r w:rsidR="00B77765">
        <w:t xml:space="preserve"> be considered, an independent learning review</w:t>
      </w:r>
      <w:r w:rsidR="00014FAF">
        <w:t xml:space="preserve"> by Swansea City Council (2022) </w:t>
      </w:r>
      <w:r w:rsidR="00533047">
        <w:t>reported that residents</w:t>
      </w:r>
      <w:r w:rsidR="008A2FD1">
        <w:t xml:space="preserve"> who were calling the emergency services felt </w:t>
      </w:r>
      <w:r w:rsidR="0006012C">
        <w:t>unprotected</w:t>
      </w:r>
      <w:r w:rsidR="001C5217">
        <w:t xml:space="preserve"> </w:t>
      </w:r>
      <w:r w:rsidR="00293719">
        <w:t xml:space="preserve">as there wasn’t an adequate police response on the night in question which </w:t>
      </w:r>
      <w:r w:rsidR="000662E7">
        <w:t xml:space="preserve">is the absence of a suitable </w:t>
      </w:r>
      <w:r w:rsidR="00832E3B">
        <w:t>guardian</w:t>
      </w:r>
      <w:r w:rsidR="000662E7">
        <w:t xml:space="preserve"> in </w:t>
      </w:r>
      <w:r w:rsidR="000C120A">
        <w:t>Cohen and Felson’s (1979 cited in Newburn 2017</w:t>
      </w:r>
      <w:r w:rsidR="00753A76">
        <w:t>) theory.</w:t>
      </w:r>
      <w:r w:rsidR="003D74E9">
        <w:t xml:space="preserve"> Pease (2006) does have some criticism of this theory</w:t>
      </w:r>
      <w:r w:rsidR="0031640B">
        <w:t>,</w:t>
      </w:r>
      <w:r w:rsidR="003D74E9">
        <w:t xml:space="preserve"> however</w:t>
      </w:r>
      <w:r w:rsidR="00306BF0">
        <w:t xml:space="preserve">, as </w:t>
      </w:r>
      <w:r w:rsidR="005D0953">
        <w:t xml:space="preserve">the theory </w:t>
      </w:r>
      <w:r w:rsidR="004739A2">
        <w:t xml:space="preserve">blames the victim and </w:t>
      </w:r>
      <w:r w:rsidR="00995B93">
        <w:t>doesn’t answer the question as to why some offenders are more motivated than others.</w:t>
      </w:r>
    </w:p>
    <w:p w14:paraId="1434E87F" w14:textId="77777777" w:rsidR="00424628" w:rsidRDefault="00424628"/>
    <w:p w14:paraId="2F9B9714" w14:textId="1BDA322D" w:rsidR="00424628" w:rsidRDefault="00620822">
      <w:r>
        <w:t>In conclusion, throughout history there ha</w:t>
      </w:r>
      <w:r w:rsidR="00DA5D1A">
        <w:t>ve</w:t>
      </w:r>
      <w:r>
        <w:t xml:space="preserve"> been </w:t>
      </w:r>
      <w:r w:rsidR="00DA5D1A">
        <w:t>several</w:t>
      </w:r>
      <w:r>
        <w:t xml:space="preserve"> criminological theories</w:t>
      </w:r>
      <w:r w:rsidR="005E73DD">
        <w:t xml:space="preserve">. One of the first historical theories include </w:t>
      </w:r>
      <w:r w:rsidR="004B02C0">
        <w:t>classicism</w:t>
      </w:r>
      <w:r w:rsidR="00440F59">
        <w:t xml:space="preserve">, Beccaria and Bentham were two classicists who determined that crime </w:t>
      </w:r>
      <w:r w:rsidR="000B7BA1">
        <w:t>centred</w:t>
      </w:r>
      <w:r w:rsidR="00440F59">
        <w:t xml:space="preserve"> aroun</w:t>
      </w:r>
      <w:r w:rsidR="000B7BA1">
        <w:t>d the pleasure and pain principle. Positivism is another theory</w:t>
      </w:r>
      <w:r w:rsidR="004C7C90">
        <w:t>, which suggests that criminals commit crimes due to circumstances beyond</w:t>
      </w:r>
      <w:r w:rsidR="00AC2F35">
        <w:t xml:space="preserve"> their control. Lombroso was</w:t>
      </w:r>
      <w:r w:rsidR="00DA5D1A">
        <w:t xml:space="preserve"> one of the first to study this type of behaviour.</w:t>
      </w:r>
    </w:p>
    <w:p w14:paraId="0F2344BF" w14:textId="0400F2F9" w:rsidR="00055794" w:rsidRDefault="00055794">
      <w:r>
        <w:t xml:space="preserve">Structuralism and </w:t>
      </w:r>
      <w:r w:rsidR="00421B37">
        <w:t>construct</w:t>
      </w:r>
      <w:r w:rsidR="00522233">
        <w:t>ionism are two more theories, constructionism centres around the beliefs of the criminal</w:t>
      </w:r>
      <w:r w:rsidR="005002B4">
        <w:t xml:space="preserve"> acts and the perception of deviance in the general public.</w:t>
      </w:r>
      <w:r w:rsidR="00C96363">
        <w:t xml:space="preserve"> Structuralism uses social, political and economic factors to explain crime and deviancy</w:t>
      </w:r>
      <w:r w:rsidR="005F557A">
        <w:t>.</w:t>
      </w:r>
    </w:p>
    <w:p w14:paraId="5B72B13C" w14:textId="67D78D3D" w:rsidR="00242FAD" w:rsidRDefault="002252C9">
      <w:r>
        <w:t xml:space="preserve">Linking criminal theories to </w:t>
      </w:r>
      <w:r w:rsidR="004B71C4">
        <w:t>a contemporary issue</w:t>
      </w:r>
      <w:r w:rsidR="004A07AA">
        <w:t xml:space="preserve"> such as the riots in Mayhill, Swansea</w:t>
      </w:r>
      <w:r w:rsidR="00C35D0A">
        <w:t xml:space="preserve"> shows that the theories are still relevant</w:t>
      </w:r>
      <w:r w:rsidR="007C5138">
        <w:t xml:space="preserve">. Burgess (1925) developed the zonal hypothesis and this can still be applied in this case, even though that due to </w:t>
      </w:r>
      <w:r w:rsidR="00BD2A74">
        <w:t xml:space="preserve">housing developments, city structures are very different </w:t>
      </w:r>
      <w:r w:rsidR="007941E2">
        <w:t>(Quinn, 1940)</w:t>
      </w:r>
      <w:r w:rsidR="00184D1F">
        <w:t xml:space="preserve">. </w:t>
      </w:r>
      <w:r w:rsidR="00242FAD">
        <w:t>Ranasinghe (2011)</w:t>
      </w:r>
      <w:r w:rsidR="00242FAD">
        <w:t xml:space="preserve"> details </w:t>
      </w:r>
      <w:r w:rsidR="00737D90">
        <w:t xml:space="preserve">the ‘broken windows’ theory and how that changing urban spaces means that </w:t>
      </w:r>
      <w:r w:rsidR="00A33182">
        <w:t>it is increasingly more likely that riots will happen.</w:t>
      </w:r>
    </w:p>
    <w:p w14:paraId="182B1D9A" w14:textId="56DC9C5C" w:rsidR="002E2D42" w:rsidRDefault="00184D1F">
      <w:r>
        <w:t>Rational choice theory and routine activity theory</w:t>
      </w:r>
      <w:r w:rsidR="00557088">
        <w:t xml:space="preserve"> are linked theories</w:t>
      </w:r>
      <w:r w:rsidR="00376931">
        <w:t>. Rational choice theor</w:t>
      </w:r>
      <w:r w:rsidR="00FF76A8">
        <w:t xml:space="preserve">y focuses upon </w:t>
      </w:r>
      <w:r w:rsidR="00470211">
        <w:t>a cost benefit analysis, whereby offenders will commit a crime based upon the information in front of them at any point</w:t>
      </w:r>
      <w:r w:rsidR="002235FE">
        <w:t xml:space="preserve">, however </w:t>
      </w:r>
      <w:proofErr w:type="spellStart"/>
      <w:r w:rsidR="002235FE">
        <w:t>Barkan</w:t>
      </w:r>
      <w:proofErr w:type="spellEnd"/>
      <w:r w:rsidR="002235FE">
        <w:t xml:space="preserve"> and </w:t>
      </w:r>
      <w:proofErr w:type="spellStart"/>
      <w:r w:rsidR="002235FE">
        <w:t>Rocque</w:t>
      </w:r>
      <w:proofErr w:type="spellEnd"/>
      <w:r w:rsidR="002235FE">
        <w:t xml:space="preserve"> (2018) suggest that this theory cannot be applied to young people.</w:t>
      </w:r>
      <w:r w:rsidR="00793E4C">
        <w:t xml:space="preserve"> Routine activity theory</w:t>
      </w:r>
      <w:r w:rsidR="002F50CB">
        <w:t xml:space="preserve"> requires three elements to be present for a crime to be committed- a motivated offender, a target and the absence of a guardian</w:t>
      </w:r>
      <w:r w:rsidR="001964B8">
        <w:t>. Cohen and Felson (1979) suggest that the majority of offenders are young males</w:t>
      </w:r>
      <w:r w:rsidR="00867CDF">
        <w:t xml:space="preserve">, Pease (2006) </w:t>
      </w:r>
      <w:r w:rsidR="00886520">
        <w:t>suggests that the term target is used in relation to property acquisition rather than victims</w:t>
      </w:r>
      <w:r w:rsidR="00917084">
        <w:t xml:space="preserve"> and that guardians can include formal guardians such as police and law enforcement</w:t>
      </w:r>
      <w:r w:rsidR="0014164B">
        <w:t>, but also technology such as CCTV and can incorporate informal guardians such as family and friends.</w:t>
      </w:r>
    </w:p>
    <w:p w14:paraId="68675CF8" w14:textId="77777777" w:rsidR="002E2D42" w:rsidRDefault="002E2D42">
      <w:r>
        <w:br w:type="page"/>
      </w:r>
    </w:p>
    <w:sdt>
      <w:sdtPr>
        <w:id w:val="194727670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16B712F" w14:textId="704C4BE9" w:rsidR="00FB1830" w:rsidRDefault="00FB1830">
          <w:pPr>
            <w:pStyle w:val="Heading1"/>
          </w:pPr>
          <w:r>
            <w:t>References</w:t>
          </w:r>
        </w:p>
        <w:sdt>
          <w:sdtPr>
            <w:id w:val="-573587230"/>
            <w:bibliography/>
          </w:sdtPr>
          <w:sdtContent>
            <w:p w14:paraId="0C054A42" w14:textId="77777777" w:rsidR="00FB1830" w:rsidRDefault="00FB1830" w:rsidP="00FB1830">
              <w:pPr>
                <w:pStyle w:val="Bibliography"/>
                <w:rPr>
                  <w:noProof/>
                  <w:sz w:val="24"/>
                  <w:szCs w:val="24"/>
                  <w:lang w:val="en-US"/>
                </w:rPr>
              </w:pPr>
              <w:r>
                <w:fldChar w:fldCharType="begin"/>
              </w:r>
              <w:r>
                <w:instrText xml:space="preserve"> BIBLIOGRAPHY </w:instrText>
              </w:r>
              <w:r>
                <w:fldChar w:fldCharType="separate"/>
              </w:r>
              <w:r>
                <w:rPr>
                  <w:noProof/>
                  <w:lang w:val="en-US"/>
                </w:rPr>
                <w:t xml:space="preserve">Baldock, J., Manning, N. &amp; Vickerstaff, S., 2007. </w:t>
              </w:r>
              <w:r>
                <w:rPr>
                  <w:i/>
                  <w:iCs/>
                  <w:noProof/>
                  <w:lang w:val="en-US"/>
                </w:rPr>
                <w:t xml:space="preserve">Social Policy. </w:t>
              </w:r>
              <w:r>
                <w:rPr>
                  <w:noProof/>
                  <w:lang w:val="en-US"/>
                </w:rPr>
                <w:t>3rd ed. Oxford: Oxford University Press.</w:t>
              </w:r>
            </w:p>
            <w:p w14:paraId="41FE8BF6" w14:textId="77777777" w:rsidR="00FB1830" w:rsidRDefault="00FB1830" w:rsidP="00FB1830">
              <w:pPr>
                <w:pStyle w:val="Bibliography"/>
                <w:rPr>
                  <w:noProof/>
                  <w:lang w:val="en-US"/>
                </w:rPr>
              </w:pPr>
              <w:r>
                <w:rPr>
                  <w:noProof/>
                  <w:lang w:val="en-US"/>
                </w:rPr>
                <w:t xml:space="preserve">Barkan, S. E. &amp; Rocque, M., 2018. Socioeconomic Status and Racism as Fundamental Causes of Street Criminality. </w:t>
              </w:r>
              <w:r>
                <w:rPr>
                  <w:i/>
                  <w:iCs/>
                  <w:noProof/>
                  <w:lang w:val="en-US"/>
                </w:rPr>
                <w:t xml:space="preserve">Critical Criminology, </w:t>
              </w:r>
              <w:r>
                <w:rPr>
                  <w:noProof/>
                  <w:lang w:val="en-US"/>
                </w:rPr>
                <w:t>26(2), pp. 211-231.</w:t>
              </w:r>
            </w:p>
            <w:p w14:paraId="5D4C28DE" w14:textId="77777777" w:rsidR="00FB1830" w:rsidRDefault="00FB1830" w:rsidP="00FB1830">
              <w:pPr>
                <w:pStyle w:val="Bibliography"/>
                <w:rPr>
                  <w:noProof/>
                  <w:lang w:val="en-US"/>
                </w:rPr>
              </w:pPr>
              <w:r>
                <w:rPr>
                  <w:noProof/>
                  <w:lang w:val="en-US"/>
                </w:rPr>
                <w:t xml:space="preserve">BBC News, 2021. </w:t>
              </w:r>
              <w:r>
                <w:rPr>
                  <w:i/>
                  <w:iCs/>
                  <w:noProof/>
                  <w:lang w:val="en-US"/>
                </w:rPr>
                <w:t xml:space="preserve">Shocking footage as Swansea 'yobs' set cars on fire in Mayhill. </w:t>
              </w:r>
              <w:r>
                <w:rPr>
                  <w:noProof/>
                  <w:lang w:val="en-US"/>
                </w:rPr>
                <w:t xml:space="preserve">[Online] </w:t>
              </w:r>
              <w:r>
                <w:rPr>
                  <w:noProof/>
                  <w:lang w:val="en-US"/>
                </w:rPr>
                <w:br/>
                <w:t xml:space="preserve">Available at: </w:t>
              </w:r>
              <w:r>
                <w:rPr>
                  <w:noProof/>
                  <w:u w:val="single"/>
                  <w:lang w:val="en-US"/>
                </w:rPr>
                <w:t>https://www.bbc.co.uk/news/uk-wales-57195717</w:t>
              </w:r>
              <w:r>
                <w:rPr>
                  <w:noProof/>
                  <w:lang w:val="en-US"/>
                </w:rPr>
                <w:br/>
                <w:t>[Accessed 16 02 2022].</w:t>
              </w:r>
            </w:p>
            <w:p w14:paraId="4DC8B7F2" w14:textId="77777777" w:rsidR="00FB1830" w:rsidRDefault="00FB1830" w:rsidP="00FB1830">
              <w:pPr>
                <w:pStyle w:val="Bibliography"/>
                <w:rPr>
                  <w:noProof/>
                  <w:lang w:val="en-US"/>
                </w:rPr>
              </w:pPr>
              <w:r>
                <w:rPr>
                  <w:noProof/>
                  <w:lang w:val="en-US"/>
                </w:rPr>
                <w:t xml:space="preserve">Coleman, C. &amp; Norris, C., 2000. </w:t>
              </w:r>
              <w:r>
                <w:rPr>
                  <w:i/>
                  <w:iCs/>
                  <w:noProof/>
                  <w:lang w:val="en-US"/>
                </w:rPr>
                <w:t xml:space="preserve">Introducing Criminology. </w:t>
              </w:r>
              <w:r>
                <w:rPr>
                  <w:noProof/>
                  <w:lang w:val="en-US"/>
                </w:rPr>
                <w:t>first ed. Devon: Willan Publishing.</w:t>
              </w:r>
            </w:p>
            <w:p w14:paraId="28459CF3" w14:textId="77777777" w:rsidR="00FB1830" w:rsidRDefault="00FB1830" w:rsidP="00FB1830">
              <w:pPr>
                <w:pStyle w:val="Bibliography"/>
                <w:rPr>
                  <w:noProof/>
                  <w:lang w:val="en-US"/>
                </w:rPr>
              </w:pPr>
              <w:r>
                <w:rPr>
                  <w:noProof/>
                  <w:lang w:val="en-US"/>
                </w:rPr>
                <w:t xml:space="preserve">Dixon, D., 2005. Beyond Zero Tolerance. In: T. Newburn, ed. </w:t>
              </w:r>
              <w:r>
                <w:rPr>
                  <w:i/>
                  <w:iCs/>
                  <w:noProof/>
                  <w:lang w:val="en-US"/>
                </w:rPr>
                <w:t xml:space="preserve">Policing Key Readings. </w:t>
              </w:r>
              <w:r>
                <w:rPr>
                  <w:noProof/>
                  <w:lang w:val="en-US"/>
                </w:rPr>
                <w:t>Devon: Willan Publishing, pp. 483-507.</w:t>
              </w:r>
            </w:p>
            <w:p w14:paraId="11A2EE8C" w14:textId="77777777" w:rsidR="00FB1830" w:rsidRDefault="00FB1830" w:rsidP="00FB1830">
              <w:pPr>
                <w:pStyle w:val="Bibliography"/>
                <w:rPr>
                  <w:noProof/>
                  <w:lang w:val="en-US"/>
                </w:rPr>
              </w:pPr>
              <w:r>
                <w:rPr>
                  <w:noProof/>
                  <w:lang w:val="en-US"/>
                </w:rPr>
                <w:t xml:space="preserve">Fitzgerald, C. S., 2011. Historical Theories of Crime and Delinquency. </w:t>
              </w:r>
              <w:r>
                <w:rPr>
                  <w:i/>
                  <w:iCs/>
                  <w:noProof/>
                  <w:lang w:val="en-US"/>
                </w:rPr>
                <w:t xml:space="preserve">Journal of Human Behavior in the Social Environment,, </w:t>
              </w:r>
              <w:r>
                <w:rPr>
                  <w:noProof/>
                  <w:lang w:val="en-US"/>
                </w:rPr>
                <w:t>21(1), pp. 297-311.</w:t>
              </w:r>
            </w:p>
            <w:p w14:paraId="32A6234A" w14:textId="77777777" w:rsidR="00FB1830" w:rsidRDefault="00FB1830" w:rsidP="00FB1830">
              <w:pPr>
                <w:pStyle w:val="Bibliography"/>
                <w:rPr>
                  <w:noProof/>
                  <w:lang w:val="en-US"/>
                </w:rPr>
              </w:pPr>
              <w:r>
                <w:rPr>
                  <w:noProof/>
                  <w:lang w:val="en-US"/>
                </w:rPr>
                <w:t xml:space="preserve">Hopkins Burke, R., 2008. </w:t>
              </w:r>
              <w:r>
                <w:rPr>
                  <w:i/>
                  <w:iCs/>
                  <w:noProof/>
                  <w:lang w:val="en-US"/>
                </w:rPr>
                <w:t xml:space="preserve">Young People, Crime and Justice. </w:t>
              </w:r>
              <w:r>
                <w:rPr>
                  <w:noProof/>
                  <w:lang w:val="en-US"/>
                </w:rPr>
                <w:t>Devon: Willan Publishing.</w:t>
              </w:r>
            </w:p>
            <w:p w14:paraId="2AA48ABA" w14:textId="77777777" w:rsidR="00FB1830" w:rsidRDefault="00FB1830" w:rsidP="00FB1830">
              <w:pPr>
                <w:pStyle w:val="Bibliography"/>
                <w:rPr>
                  <w:noProof/>
                  <w:lang w:val="en-US"/>
                </w:rPr>
              </w:pPr>
              <w:r>
                <w:rPr>
                  <w:noProof/>
                  <w:lang w:val="en-US"/>
                </w:rPr>
                <w:t xml:space="preserve">McLaughlin, E., 2006. 'Broken Windows'. In: E. McLaughlin &amp; J. Muncie, eds. </w:t>
              </w:r>
              <w:r>
                <w:rPr>
                  <w:i/>
                  <w:iCs/>
                  <w:noProof/>
                  <w:lang w:val="en-US"/>
                </w:rPr>
                <w:t xml:space="preserve">The Sage Dictionary of Criminology. </w:t>
              </w:r>
              <w:r>
                <w:rPr>
                  <w:noProof/>
                  <w:lang w:val="en-US"/>
                </w:rPr>
                <w:t>London: Sage Publications, pp. 27-29.</w:t>
              </w:r>
            </w:p>
            <w:p w14:paraId="056AC7EF" w14:textId="77777777" w:rsidR="00FB1830" w:rsidRDefault="00FB1830" w:rsidP="00FB1830">
              <w:pPr>
                <w:pStyle w:val="Bibliography"/>
                <w:rPr>
                  <w:noProof/>
                  <w:lang w:val="en-US"/>
                </w:rPr>
              </w:pPr>
              <w:r>
                <w:rPr>
                  <w:noProof/>
                  <w:lang w:val="en-US"/>
                </w:rPr>
                <w:t xml:space="preserve">McLaughlin, E. &amp; Muncie, J., 2006. </w:t>
              </w:r>
              <w:r>
                <w:rPr>
                  <w:i/>
                  <w:iCs/>
                  <w:noProof/>
                  <w:lang w:val="en-US"/>
                </w:rPr>
                <w:t xml:space="preserve">The Sage Dictionary of Criminology. </w:t>
              </w:r>
              <w:r>
                <w:rPr>
                  <w:noProof/>
                  <w:lang w:val="en-US"/>
                </w:rPr>
                <w:t>Second ed. London: Sage.</w:t>
              </w:r>
            </w:p>
            <w:p w14:paraId="6C84BE70" w14:textId="77777777" w:rsidR="00FB1830" w:rsidRDefault="00FB1830" w:rsidP="00FB1830">
              <w:pPr>
                <w:pStyle w:val="Bibliography"/>
                <w:rPr>
                  <w:noProof/>
                  <w:lang w:val="en-US"/>
                </w:rPr>
              </w:pPr>
              <w:r>
                <w:rPr>
                  <w:noProof/>
                  <w:lang w:val="en-US"/>
                </w:rPr>
                <w:t xml:space="preserve">Morrell, K. &amp; Currie, G., 2015. Impossible Jobs or Impossible tasks? Client volatility and Frontline Policing practice in Urban Riots. </w:t>
              </w:r>
              <w:r>
                <w:rPr>
                  <w:i/>
                  <w:iCs/>
                  <w:noProof/>
                  <w:lang w:val="en-US"/>
                </w:rPr>
                <w:t xml:space="preserve">Public Administration Review, </w:t>
              </w:r>
              <w:r>
                <w:rPr>
                  <w:noProof/>
                  <w:lang w:val="en-US"/>
                </w:rPr>
                <w:t>75(2), pp. 264-27.</w:t>
              </w:r>
            </w:p>
            <w:p w14:paraId="3B8ACBBE" w14:textId="77777777" w:rsidR="00FB1830" w:rsidRDefault="00FB1830" w:rsidP="00FB1830">
              <w:pPr>
                <w:pStyle w:val="Bibliography"/>
                <w:rPr>
                  <w:noProof/>
                  <w:lang w:val="en-US"/>
                </w:rPr>
              </w:pPr>
              <w:r>
                <w:rPr>
                  <w:noProof/>
                  <w:lang w:val="en-US"/>
                </w:rPr>
                <w:t xml:space="preserve">Newburn, T., 2014. The 2011 England Riots in Recent Historical Perspective. </w:t>
              </w:r>
              <w:r>
                <w:rPr>
                  <w:i/>
                  <w:iCs/>
                  <w:noProof/>
                  <w:lang w:val="en-US"/>
                </w:rPr>
                <w:t xml:space="preserve">British Journal of Criminology, </w:t>
              </w:r>
              <w:r>
                <w:rPr>
                  <w:noProof/>
                  <w:lang w:val="en-US"/>
                </w:rPr>
                <w:t>55(1), pp. 39-64.</w:t>
              </w:r>
            </w:p>
            <w:p w14:paraId="56B71801" w14:textId="77777777" w:rsidR="00FB1830" w:rsidRDefault="00FB1830" w:rsidP="00FB1830">
              <w:pPr>
                <w:pStyle w:val="Bibliography"/>
                <w:rPr>
                  <w:noProof/>
                  <w:lang w:val="en-US"/>
                </w:rPr>
              </w:pPr>
              <w:r>
                <w:rPr>
                  <w:noProof/>
                  <w:lang w:val="en-US"/>
                </w:rPr>
                <w:t xml:space="preserve">Newburn, T., 2017. </w:t>
              </w:r>
              <w:r>
                <w:rPr>
                  <w:i/>
                  <w:iCs/>
                  <w:noProof/>
                  <w:lang w:val="en-US"/>
                </w:rPr>
                <w:t xml:space="preserve">Criminology. </w:t>
              </w:r>
              <w:r>
                <w:rPr>
                  <w:noProof/>
                  <w:lang w:val="en-US"/>
                </w:rPr>
                <w:t>3rd ed. New York: Routledge.</w:t>
              </w:r>
            </w:p>
            <w:p w14:paraId="4920D25A" w14:textId="77777777" w:rsidR="00FB1830" w:rsidRDefault="00FB1830" w:rsidP="00FB1830">
              <w:pPr>
                <w:pStyle w:val="Bibliography"/>
                <w:rPr>
                  <w:noProof/>
                  <w:lang w:val="en-US"/>
                </w:rPr>
              </w:pPr>
              <w:r>
                <w:rPr>
                  <w:noProof/>
                  <w:lang w:val="en-US"/>
                </w:rPr>
                <w:t xml:space="preserve">Pease, K., 2006. Rational Choice Theory. In: E. McLaughlin &amp; J. Muncie, eds. </w:t>
              </w:r>
              <w:r>
                <w:rPr>
                  <w:i/>
                  <w:iCs/>
                  <w:noProof/>
                  <w:lang w:val="en-US"/>
                </w:rPr>
                <w:t xml:space="preserve">The Sage Dictionary of Criminology. </w:t>
              </w:r>
              <w:r>
                <w:rPr>
                  <w:noProof/>
                  <w:lang w:val="en-US"/>
                </w:rPr>
                <w:t>London: Sage Publications, pp. 339-341.</w:t>
              </w:r>
            </w:p>
            <w:p w14:paraId="0B32A76E" w14:textId="77777777" w:rsidR="00FB1830" w:rsidRDefault="00FB1830" w:rsidP="00FB1830">
              <w:pPr>
                <w:pStyle w:val="Bibliography"/>
                <w:rPr>
                  <w:noProof/>
                  <w:lang w:val="en-US"/>
                </w:rPr>
              </w:pPr>
              <w:r>
                <w:rPr>
                  <w:noProof/>
                  <w:lang w:val="en-US"/>
                </w:rPr>
                <w:t xml:space="preserve">Police.uk, 2022. </w:t>
              </w:r>
              <w:r>
                <w:rPr>
                  <w:i/>
                  <w:iCs/>
                  <w:noProof/>
                  <w:lang w:val="en-US"/>
                </w:rPr>
                <w:t xml:space="preserve">Townhill: Crime Types Overview. </w:t>
              </w:r>
              <w:r>
                <w:rPr>
                  <w:noProof/>
                  <w:lang w:val="en-US"/>
                </w:rPr>
                <w:t xml:space="preserve">[Online] </w:t>
              </w:r>
              <w:r>
                <w:rPr>
                  <w:noProof/>
                  <w:lang w:val="en-US"/>
                </w:rPr>
                <w:br/>
                <w:t xml:space="preserve">Available at: </w:t>
              </w:r>
              <w:r>
                <w:rPr>
                  <w:noProof/>
                  <w:u w:val="single"/>
                  <w:lang w:val="en-US"/>
                </w:rPr>
                <w:t>https://www.police.uk/pu/your-area/south-wales-police/townhill/?tab=Statistics</w:t>
              </w:r>
              <w:r>
                <w:rPr>
                  <w:noProof/>
                  <w:lang w:val="en-US"/>
                </w:rPr>
                <w:br/>
                <w:t>[Accessed 24 02 2022].</w:t>
              </w:r>
            </w:p>
            <w:p w14:paraId="314DED8B" w14:textId="77777777" w:rsidR="00FB1830" w:rsidRDefault="00FB1830" w:rsidP="00FB1830">
              <w:pPr>
                <w:pStyle w:val="Bibliography"/>
                <w:rPr>
                  <w:noProof/>
                  <w:lang w:val="en-US"/>
                </w:rPr>
              </w:pPr>
              <w:r>
                <w:rPr>
                  <w:noProof/>
                  <w:lang w:val="en-US"/>
                </w:rPr>
                <w:t xml:space="preserve">Quinn, J. A., 1940. The Burgess Zonal Hypothesis and its Critics. </w:t>
              </w:r>
              <w:r>
                <w:rPr>
                  <w:i/>
                  <w:iCs/>
                  <w:noProof/>
                  <w:lang w:val="en-US"/>
                </w:rPr>
                <w:t xml:space="preserve">American Sociological Review, </w:t>
              </w:r>
              <w:r>
                <w:rPr>
                  <w:noProof/>
                  <w:lang w:val="en-US"/>
                </w:rPr>
                <w:t>5(2), pp. 210-218.</w:t>
              </w:r>
            </w:p>
            <w:p w14:paraId="159ECB62" w14:textId="77777777" w:rsidR="00FB1830" w:rsidRDefault="00FB1830" w:rsidP="00FB1830">
              <w:pPr>
                <w:pStyle w:val="Bibliography"/>
                <w:rPr>
                  <w:noProof/>
                  <w:lang w:val="en-US"/>
                </w:rPr>
              </w:pPr>
              <w:r>
                <w:rPr>
                  <w:noProof/>
                  <w:lang w:val="en-US"/>
                </w:rPr>
                <w:t xml:space="preserve">Ranasinghe, P., 2011. Jane Jacob's framing of public disorder and its relation to the 'broken windows' theory. </w:t>
              </w:r>
              <w:r>
                <w:rPr>
                  <w:i/>
                  <w:iCs/>
                  <w:noProof/>
                  <w:lang w:val="en-US"/>
                </w:rPr>
                <w:t xml:space="preserve">Theoretical Criminology, </w:t>
              </w:r>
              <w:r>
                <w:rPr>
                  <w:noProof/>
                  <w:lang w:val="en-US"/>
                </w:rPr>
                <w:t>16(1), pp. 63-84.</w:t>
              </w:r>
            </w:p>
            <w:p w14:paraId="07ED38EF" w14:textId="77777777" w:rsidR="00FB1830" w:rsidRDefault="00FB1830" w:rsidP="00FB1830">
              <w:pPr>
                <w:pStyle w:val="Bibliography"/>
                <w:rPr>
                  <w:noProof/>
                  <w:lang w:val="en-US"/>
                </w:rPr>
              </w:pPr>
              <w:r>
                <w:rPr>
                  <w:noProof/>
                  <w:lang w:val="en-US"/>
                </w:rPr>
                <w:t xml:space="preserve">South Wales Police, 2022. </w:t>
              </w:r>
              <w:r>
                <w:rPr>
                  <w:i/>
                  <w:iCs/>
                  <w:noProof/>
                  <w:lang w:val="en-US"/>
                </w:rPr>
                <w:t xml:space="preserve">Mayhill disorder: 27 people charged with offences. </w:t>
              </w:r>
              <w:r>
                <w:rPr>
                  <w:noProof/>
                  <w:lang w:val="en-US"/>
                </w:rPr>
                <w:t xml:space="preserve">[Online] </w:t>
              </w:r>
              <w:r>
                <w:rPr>
                  <w:noProof/>
                  <w:lang w:val="en-US"/>
                </w:rPr>
                <w:br/>
                <w:t xml:space="preserve">Available at: </w:t>
              </w:r>
              <w:r>
                <w:rPr>
                  <w:noProof/>
                  <w:u w:val="single"/>
                  <w:lang w:val="en-US"/>
                </w:rPr>
                <w:t>https://www.south-wales.police.uk/news/south-wales/news/2022/chw-feb/mayhill-disorder-27-people-charged-with-offences/</w:t>
              </w:r>
              <w:r>
                <w:rPr>
                  <w:noProof/>
                  <w:lang w:val="en-US"/>
                </w:rPr>
                <w:br/>
                <w:t>[Accessed 16 02 2022].</w:t>
              </w:r>
            </w:p>
            <w:p w14:paraId="32ADE37F" w14:textId="77777777" w:rsidR="00FB1830" w:rsidRDefault="00FB1830" w:rsidP="00FB1830">
              <w:pPr>
                <w:pStyle w:val="Bibliography"/>
                <w:rPr>
                  <w:noProof/>
                  <w:lang w:val="en-US"/>
                </w:rPr>
              </w:pPr>
              <w:r>
                <w:rPr>
                  <w:noProof/>
                  <w:lang w:val="en-US"/>
                </w:rPr>
                <w:t xml:space="preserve">South Wales Police, 2022. </w:t>
              </w:r>
              <w:r>
                <w:rPr>
                  <w:i/>
                  <w:iCs/>
                  <w:noProof/>
                  <w:lang w:val="en-US"/>
                </w:rPr>
                <w:t xml:space="preserve">Mayhill disturbance Independent Learning Review. </w:t>
              </w:r>
              <w:r>
                <w:rPr>
                  <w:noProof/>
                  <w:lang w:val="en-US"/>
                </w:rPr>
                <w:t xml:space="preserve">[Online] </w:t>
              </w:r>
              <w:r>
                <w:rPr>
                  <w:noProof/>
                  <w:lang w:val="en-US"/>
                </w:rPr>
                <w:br/>
                <w:t xml:space="preserve">Available at: </w:t>
              </w:r>
              <w:r>
                <w:rPr>
                  <w:noProof/>
                  <w:u w:val="single"/>
                  <w:lang w:val="en-US"/>
                </w:rPr>
                <w:t>https://www.south-wales.police.uk/news/south-wales/news/2022/ion-jan/south-wales-police-apologises-for-response-to-mayhill-incident/mayhill-disturbance-independent-learning-</w:t>
              </w:r>
              <w:r>
                <w:rPr>
                  <w:noProof/>
                  <w:u w:val="single"/>
                  <w:lang w:val="en-US"/>
                </w:rPr>
                <w:lastRenderedPageBreak/>
                <w:t>review/</w:t>
              </w:r>
              <w:r>
                <w:rPr>
                  <w:noProof/>
                  <w:lang w:val="en-US"/>
                </w:rPr>
                <w:br/>
                <w:t>[Accessed 16 02 2022].</w:t>
              </w:r>
            </w:p>
            <w:p w14:paraId="53FD3B3A" w14:textId="77777777" w:rsidR="00FB1830" w:rsidRDefault="00FB1830" w:rsidP="00FB1830">
              <w:pPr>
                <w:pStyle w:val="Bibliography"/>
                <w:rPr>
                  <w:noProof/>
                  <w:lang w:val="en-US"/>
                </w:rPr>
              </w:pPr>
              <w:r>
                <w:rPr>
                  <w:noProof/>
                  <w:lang w:val="en-US"/>
                </w:rPr>
                <w:t xml:space="preserve">Stats Wales, 2019. </w:t>
              </w:r>
              <w:r>
                <w:rPr>
                  <w:i/>
                  <w:iCs/>
                  <w:noProof/>
                  <w:lang w:val="en-US"/>
                </w:rPr>
                <w:t xml:space="preserve">Lower-layer Super Output Areas (LSOAs) in Deep-Rooted Deprivation. </w:t>
              </w:r>
              <w:r>
                <w:rPr>
                  <w:noProof/>
                  <w:lang w:val="en-US"/>
                </w:rPr>
                <w:t xml:space="preserve">[Online] </w:t>
              </w:r>
              <w:r>
                <w:rPr>
                  <w:noProof/>
                  <w:lang w:val="en-US"/>
                </w:rPr>
                <w:br/>
                <w:t xml:space="preserve">Available at: </w:t>
              </w:r>
              <w:r>
                <w:rPr>
                  <w:noProof/>
                  <w:u w:val="single"/>
                  <w:lang w:val="en-US"/>
                </w:rPr>
                <w:t>https://statswales.gov.wales/Catalogue/Community-Safety-and-Social-Inclusion/Welsh-Index-of-Multiple-Deprivation/Deep-rooted-Deprivation/lsoasindeeprooteddeprivation</w:t>
              </w:r>
              <w:r>
                <w:rPr>
                  <w:noProof/>
                  <w:lang w:val="en-US"/>
                </w:rPr>
                <w:br/>
                <w:t>[Accessed 21 02 2022].</w:t>
              </w:r>
            </w:p>
            <w:p w14:paraId="34D613D6" w14:textId="77777777" w:rsidR="00FB1830" w:rsidRDefault="00FB1830" w:rsidP="00FB1830">
              <w:pPr>
                <w:pStyle w:val="Bibliography"/>
                <w:rPr>
                  <w:noProof/>
                  <w:lang w:val="en-US"/>
                </w:rPr>
              </w:pPr>
              <w:r>
                <w:rPr>
                  <w:noProof/>
                  <w:lang w:val="en-US"/>
                </w:rPr>
                <w:t xml:space="preserve">Swansea Council, 2022. </w:t>
              </w:r>
              <w:r>
                <w:rPr>
                  <w:i/>
                  <w:iCs/>
                  <w:noProof/>
                  <w:lang w:val="en-US"/>
                </w:rPr>
                <w:t xml:space="preserve">Events at Mayhill and Waun Wen May 2021 - Independent Learning Review. </w:t>
              </w:r>
              <w:r>
                <w:rPr>
                  <w:noProof/>
                  <w:lang w:val="en-US"/>
                </w:rPr>
                <w:t xml:space="preserve">[Online] </w:t>
              </w:r>
              <w:r>
                <w:rPr>
                  <w:noProof/>
                  <w:lang w:val="en-US"/>
                </w:rPr>
                <w:br/>
                <w:t xml:space="preserve">Available at: </w:t>
              </w:r>
              <w:r>
                <w:rPr>
                  <w:noProof/>
                  <w:u w:val="single"/>
                  <w:lang w:val="en-US"/>
                </w:rPr>
                <w:t>https://www.swansea.gov.uk/mayhillreview</w:t>
              </w:r>
              <w:r>
                <w:rPr>
                  <w:noProof/>
                  <w:lang w:val="en-US"/>
                </w:rPr>
                <w:br/>
                <w:t>[Accessed 16 02 2022].</w:t>
              </w:r>
            </w:p>
            <w:p w14:paraId="13C3C493" w14:textId="77777777" w:rsidR="00FB1830" w:rsidRDefault="00FB1830" w:rsidP="00FB1830">
              <w:pPr>
                <w:pStyle w:val="Bibliography"/>
                <w:rPr>
                  <w:noProof/>
                  <w:lang w:val="en-US"/>
                </w:rPr>
              </w:pPr>
              <w:r>
                <w:rPr>
                  <w:noProof/>
                  <w:lang w:val="en-US"/>
                </w:rPr>
                <w:t xml:space="preserve">Williams, K. S., 2008. </w:t>
              </w:r>
              <w:r>
                <w:rPr>
                  <w:i/>
                  <w:iCs/>
                  <w:noProof/>
                  <w:lang w:val="en-US"/>
                </w:rPr>
                <w:t xml:space="preserve">Textbook on Criminology. </w:t>
              </w:r>
              <w:r>
                <w:rPr>
                  <w:noProof/>
                  <w:lang w:val="en-US"/>
                </w:rPr>
                <w:t>6th ed. Oxford: Oxford University Press.</w:t>
              </w:r>
            </w:p>
            <w:p w14:paraId="5858E7FC" w14:textId="77777777" w:rsidR="00FB1830" w:rsidRDefault="00FB1830" w:rsidP="00FB1830">
              <w:pPr>
                <w:pStyle w:val="Bibliography"/>
                <w:rPr>
                  <w:noProof/>
                  <w:lang w:val="en-US"/>
                </w:rPr>
              </w:pPr>
              <w:r>
                <w:rPr>
                  <w:noProof/>
                  <w:lang w:val="en-US"/>
                </w:rPr>
                <w:t xml:space="preserve">Wilson, J. Q. &amp; Kelling, G. L., 2005. Broken Windows: the police and neighbourhood safety. In: T. Newburn, ed. </w:t>
              </w:r>
              <w:r>
                <w:rPr>
                  <w:i/>
                  <w:iCs/>
                  <w:noProof/>
                  <w:lang w:val="en-US"/>
                </w:rPr>
                <w:t xml:space="preserve">Policing Key Readings. </w:t>
              </w:r>
              <w:r>
                <w:rPr>
                  <w:noProof/>
                  <w:lang w:val="en-US"/>
                </w:rPr>
                <w:t>Devon: Willan Publishing, pp. 460-471.</w:t>
              </w:r>
            </w:p>
            <w:p w14:paraId="65C88B4E" w14:textId="77777777" w:rsidR="00FB1830" w:rsidRDefault="00FB1830" w:rsidP="00FB1830">
              <w:pPr>
                <w:pStyle w:val="Bibliography"/>
                <w:rPr>
                  <w:noProof/>
                  <w:lang w:val="en-US"/>
                </w:rPr>
              </w:pPr>
              <w:r>
                <w:rPr>
                  <w:noProof/>
                  <w:lang w:val="en-US"/>
                </w:rPr>
                <w:t xml:space="preserve">Yar, M. &amp; Penna, S., 2004. Between Positivism and Post-Modernity. </w:t>
              </w:r>
              <w:r>
                <w:rPr>
                  <w:i/>
                  <w:iCs/>
                  <w:noProof/>
                  <w:lang w:val="en-US"/>
                </w:rPr>
                <w:t xml:space="preserve">Brit.J.Criminol, </w:t>
              </w:r>
              <w:r>
                <w:rPr>
                  <w:noProof/>
                  <w:lang w:val="en-US"/>
                </w:rPr>
                <w:t>Volume 44, pp. 533-549.</w:t>
              </w:r>
            </w:p>
            <w:p w14:paraId="01E1D3A5" w14:textId="0BDE7572" w:rsidR="00FB1830" w:rsidRDefault="00FB1830" w:rsidP="00FB1830">
              <w:r>
                <w:rPr>
                  <w:b/>
                  <w:bCs/>
                  <w:noProof/>
                </w:rPr>
                <w:fldChar w:fldCharType="end"/>
              </w:r>
            </w:p>
          </w:sdtContent>
        </w:sdt>
      </w:sdtContent>
    </w:sdt>
    <w:p w14:paraId="466CCC0B" w14:textId="77777777" w:rsidR="00184D1F" w:rsidRDefault="00184D1F"/>
    <w:sectPr w:rsidR="00184D1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AA63CA" w14:textId="77777777" w:rsidR="00FE222B" w:rsidRDefault="00FE222B" w:rsidP="00FB1830">
      <w:pPr>
        <w:spacing w:after="0" w:line="240" w:lineRule="auto"/>
      </w:pPr>
      <w:r>
        <w:separator/>
      </w:r>
    </w:p>
  </w:endnote>
  <w:endnote w:type="continuationSeparator" w:id="0">
    <w:p w14:paraId="5E3BE84A" w14:textId="77777777" w:rsidR="00FE222B" w:rsidRDefault="00FE222B" w:rsidP="00FB18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91C15F" w14:textId="77777777" w:rsidR="00FE222B" w:rsidRDefault="00FE222B" w:rsidP="00FB1830">
      <w:pPr>
        <w:spacing w:after="0" w:line="240" w:lineRule="auto"/>
      </w:pPr>
      <w:r>
        <w:separator/>
      </w:r>
    </w:p>
  </w:footnote>
  <w:footnote w:type="continuationSeparator" w:id="0">
    <w:p w14:paraId="7E05D74B" w14:textId="77777777" w:rsidR="00FE222B" w:rsidRDefault="00FE222B" w:rsidP="00FB18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53B721" w14:textId="17A62469" w:rsidR="00FB1830" w:rsidRDefault="00FB1830">
    <w:pPr>
      <w:pStyle w:val="Header"/>
    </w:pPr>
    <w:r>
      <w:t>Katy Connelly</w:t>
    </w:r>
  </w:p>
  <w:p w14:paraId="477708B4" w14:textId="5708C28D" w:rsidR="00FB1830" w:rsidRDefault="00FB1830">
    <w:pPr>
      <w:pStyle w:val="Header"/>
    </w:pPr>
    <w:r>
      <w:t>2114099</w:t>
    </w:r>
  </w:p>
  <w:p w14:paraId="0B6A36F6" w14:textId="77777777" w:rsidR="00FB1830" w:rsidRDefault="00FB183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2433D"/>
    <w:rsid w:val="00000FEC"/>
    <w:rsid w:val="00014FAF"/>
    <w:rsid w:val="00015789"/>
    <w:rsid w:val="00020501"/>
    <w:rsid w:val="0002255C"/>
    <w:rsid w:val="00027FB5"/>
    <w:rsid w:val="0003170B"/>
    <w:rsid w:val="00034312"/>
    <w:rsid w:val="0004147B"/>
    <w:rsid w:val="000421AA"/>
    <w:rsid w:val="00042DBB"/>
    <w:rsid w:val="00044392"/>
    <w:rsid w:val="000509F2"/>
    <w:rsid w:val="00051C68"/>
    <w:rsid w:val="00055794"/>
    <w:rsid w:val="0005639B"/>
    <w:rsid w:val="0006012C"/>
    <w:rsid w:val="00060D93"/>
    <w:rsid w:val="0006260C"/>
    <w:rsid w:val="000662E7"/>
    <w:rsid w:val="00070487"/>
    <w:rsid w:val="0007105F"/>
    <w:rsid w:val="00072C20"/>
    <w:rsid w:val="000734EA"/>
    <w:rsid w:val="0007607D"/>
    <w:rsid w:val="000821F4"/>
    <w:rsid w:val="00083443"/>
    <w:rsid w:val="00083C0A"/>
    <w:rsid w:val="000904DB"/>
    <w:rsid w:val="000A5200"/>
    <w:rsid w:val="000A60C3"/>
    <w:rsid w:val="000B054C"/>
    <w:rsid w:val="000B2A62"/>
    <w:rsid w:val="000B6E2C"/>
    <w:rsid w:val="000B7BA1"/>
    <w:rsid w:val="000C120A"/>
    <w:rsid w:val="000C602F"/>
    <w:rsid w:val="000C7A7A"/>
    <w:rsid w:val="000D2E3A"/>
    <w:rsid w:val="000D634E"/>
    <w:rsid w:val="000E4978"/>
    <w:rsid w:val="000F663D"/>
    <w:rsid w:val="00100B52"/>
    <w:rsid w:val="00102BA8"/>
    <w:rsid w:val="001046AB"/>
    <w:rsid w:val="00110809"/>
    <w:rsid w:val="001146D2"/>
    <w:rsid w:val="001170FC"/>
    <w:rsid w:val="0012774E"/>
    <w:rsid w:val="00130943"/>
    <w:rsid w:val="001319E2"/>
    <w:rsid w:val="0013396F"/>
    <w:rsid w:val="0014018C"/>
    <w:rsid w:val="0014164B"/>
    <w:rsid w:val="00141732"/>
    <w:rsid w:val="00141806"/>
    <w:rsid w:val="00146AA4"/>
    <w:rsid w:val="00150CDF"/>
    <w:rsid w:val="001523B5"/>
    <w:rsid w:val="00152CDB"/>
    <w:rsid w:val="00154EB8"/>
    <w:rsid w:val="00162029"/>
    <w:rsid w:val="00162FE5"/>
    <w:rsid w:val="00171F58"/>
    <w:rsid w:val="00177B44"/>
    <w:rsid w:val="00184CA1"/>
    <w:rsid w:val="00184D1F"/>
    <w:rsid w:val="001964B8"/>
    <w:rsid w:val="00196C2C"/>
    <w:rsid w:val="001A2506"/>
    <w:rsid w:val="001A357E"/>
    <w:rsid w:val="001C070E"/>
    <w:rsid w:val="001C3F1B"/>
    <w:rsid w:val="001C5217"/>
    <w:rsid w:val="001E4C8A"/>
    <w:rsid w:val="001F01B7"/>
    <w:rsid w:val="001F125B"/>
    <w:rsid w:val="001F1A00"/>
    <w:rsid w:val="001F1B4C"/>
    <w:rsid w:val="001F3E14"/>
    <w:rsid w:val="002055AE"/>
    <w:rsid w:val="002055CF"/>
    <w:rsid w:val="00222A7D"/>
    <w:rsid w:val="002235FE"/>
    <w:rsid w:val="0022407B"/>
    <w:rsid w:val="002252C9"/>
    <w:rsid w:val="00240773"/>
    <w:rsid w:val="0024149D"/>
    <w:rsid w:val="00242FAD"/>
    <w:rsid w:val="00251504"/>
    <w:rsid w:val="002552DE"/>
    <w:rsid w:val="002554D1"/>
    <w:rsid w:val="0025698E"/>
    <w:rsid w:val="002609BA"/>
    <w:rsid w:val="00260C79"/>
    <w:rsid w:val="00274E95"/>
    <w:rsid w:val="0027602E"/>
    <w:rsid w:val="002844BE"/>
    <w:rsid w:val="00285F47"/>
    <w:rsid w:val="0029360F"/>
    <w:rsid w:val="00293719"/>
    <w:rsid w:val="002A294C"/>
    <w:rsid w:val="002A3DB1"/>
    <w:rsid w:val="002A4E8F"/>
    <w:rsid w:val="002A5356"/>
    <w:rsid w:val="002A6936"/>
    <w:rsid w:val="002B1204"/>
    <w:rsid w:val="002B18B6"/>
    <w:rsid w:val="002B2EBA"/>
    <w:rsid w:val="002B47BF"/>
    <w:rsid w:val="002C0E9B"/>
    <w:rsid w:val="002C2557"/>
    <w:rsid w:val="002C7193"/>
    <w:rsid w:val="002D0D68"/>
    <w:rsid w:val="002D1F63"/>
    <w:rsid w:val="002D3085"/>
    <w:rsid w:val="002E2D42"/>
    <w:rsid w:val="002E6E8D"/>
    <w:rsid w:val="002F37A7"/>
    <w:rsid w:val="002F3EA0"/>
    <w:rsid w:val="002F4BFB"/>
    <w:rsid w:val="002F50CB"/>
    <w:rsid w:val="00305B6C"/>
    <w:rsid w:val="00306BF0"/>
    <w:rsid w:val="0031574B"/>
    <w:rsid w:val="0031640B"/>
    <w:rsid w:val="00323E91"/>
    <w:rsid w:val="0032407A"/>
    <w:rsid w:val="003242C9"/>
    <w:rsid w:val="00325F36"/>
    <w:rsid w:val="0032747F"/>
    <w:rsid w:val="00332266"/>
    <w:rsid w:val="003339BE"/>
    <w:rsid w:val="00336D35"/>
    <w:rsid w:val="00340343"/>
    <w:rsid w:val="003404FF"/>
    <w:rsid w:val="00340ABD"/>
    <w:rsid w:val="00341D74"/>
    <w:rsid w:val="00345DF1"/>
    <w:rsid w:val="0035361A"/>
    <w:rsid w:val="003567D5"/>
    <w:rsid w:val="003569AE"/>
    <w:rsid w:val="003634C5"/>
    <w:rsid w:val="00365265"/>
    <w:rsid w:val="00374DAD"/>
    <w:rsid w:val="00376931"/>
    <w:rsid w:val="00391CB6"/>
    <w:rsid w:val="00393561"/>
    <w:rsid w:val="003958F9"/>
    <w:rsid w:val="00395A99"/>
    <w:rsid w:val="003A1720"/>
    <w:rsid w:val="003A5ABF"/>
    <w:rsid w:val="003A6AF5"/>
    <w:rsid w:val="003B7213"/>
    <w:rsid w:val="003C0274"/>
    <w:rsid w:val="003C0A18"/>
    <w:rsid w:val="003D2CD6"/>
    <w:rsid w:val="003D65CA"/>
    <w:rsid w:val="003D74E9"/>
    <w:rsid w:val="003D75A9"/>
    <w:rsid w:val="003E0EF8"/>
    <w:rsid w:val="003E4731"/>
    <w:rsid w:val="003E7186"/>
    <w:rsid w:val="003F625F"/>
    <w:rsid w:val="004119D5"/>
    <w:rsid w:val="00413EE8"/>
    <w:rsid w:val="00417798"/>
    <w:rsid w:val="004179B5"/>
    <w:rsid w:val="00421B37"/>
    <w:rsid w:val="00424628"/>
    <w:rsid w:val="00425A90"/>
    <w:rsid w:val="004263B6"/>
    <w:rsid w:val="00426D3E"/>
    <w:rsid w:val="00430C7A"/>
    <w:rsid w:val="00434B88"/>
    <w:rsid w:val="00434E88"/>
    <w:rsid w:val="00440F59"/>
    <w:rsid w:val="0044215E"/>
    <w:rsid w:val="00444429"/>
    <w:rsid w:val="00444852"/>
    <w:rsid w:val="00444EF0"/>
    <w:rsid w:val="004520DD"/>
    <w:rsid w:val="00470211"/>
    <w:rsid w:val="00471F3D"/>
    <w:rsid w:val="004739A2"/>
    <w:rsid w:val="00481085"/>
    <w:rsid w:val="00485878"/>
    <w:rsid w:val="004900E7"/>
    <w:rsid w:val="004900FA"/>
    <w:rsid w:val="00493F6C"/>
    <w:rsid w:val="004A07AA"/>
    <w:rsid w:val="004A5302"/>
    <w:rsid w:val="004B02C0"/>
    <w:rsid w:val="004B3384"/>
    <w:rsid w:val="004B49A4"/>
    <w:rsid w:val="004B5565"/>
    <w:rsid w:val="004B5599"/>
    <w:rsid w:val="004B63A5"/>
    <w:rsid w:val="004B71C4"/>
    <w:rsid w:val="004B7FB5"/>
    <w:rsid w:val="004C7B11"/>
    <w:rsid w:val="004C7C90"/>
    <w:rsid w:val="004D458B"/>
    <w:rsid w:val="004D4C69"/>
    <w:rsid w:val="004D7569"/>
    <w:rsid w:val="004E0F31"/>
    <w:rsid w:val="004E44D2"/>
    <w:rsid w:val="004E4728"/>
    <w:rsid w:val="004E4EDA"/>
    <w:rsid w:val="004E69EF"/>
    <w:rsid w:val="004F0911"/>
    <w:rsid w:val="005002B4"/>
    <w:rsid w:val="005074A2"/>
    <w:rsid w:val="00512D90"/>
    <w:rsid w:val="00515015"/>
    <w:rsid w:val="00521B8F"/>
    <w:rsid w:val="00522233"/>
    <w:rsid w:val="00532A33"/>
    <w:rsid w:val="00533047"/>
    <w:rsid w:val="00535E00"/>
    <w:rsid w:val="00543673"/>
    <w:rsid w:val="00550C4F"/>
    <w:rsid w:val="005521F1"/>
    <w:rsid w:val="00553E6A"/>
    <w:rsid w:val="00557088"/>
    <w:rsid w:val="0055770A"/>
    <w:rsid w:val="00565749"/>
    <w:rsid w:val="00570474"/>
    <w:rsid w:val="00571B1D"/>
    <w:rsid w:val="00575103"/>
    <w:rsid w:val="00575CE1"/>
    <w:rsid w:val="00577A53"/>
    <w:rsid w:val="005823E7"/>
    <w:rsid w:val="00583682"/>
    <w:rsid w:val="005839D2"/>
    <w:rsid w:val="00584368"/>
    <w:rsid w:val="00596BE7"/>
    <w:rsid w:val="0059762A"/>
    <w:rsid w:val="005A0898"/>
    <w:rsid w:val="005A189F"/>
    <w:rsid w:val="005A36D2"/>
    <w:rsid w:val="005A6F16"/>
    <w:rsid w:val="005C07F3"/>
    <w:rsid w:val="005C21A1"/>
    <w:rsid w:val="005C312A"/>
    <w:rsid w:val="005C59B8"/>
    <w:rsid w:val="005C6702"/>
    <w:rsid w:val="005C7638"/>
    <w:rsid w:val="005D0953"/>
    <w:rsid w:val="005E1045"/>
    <w:rsid w:val="005E6C67"/>
    <w:rsid w:val="005E73DD"/>
    <w:rsid w:val="005F1DEF"/>
    <w:rsid w:val="005F36BD"/>
    <w:rsid w:val="005F52AF"/>
    <w:rsid w:val="005F557A"/>
    <w:rsid w:val="006003A1"/>
    <w:rsid w:val="00611732"/>
    <w:rsid w:val="00611C7F"/>
    <w:rsid w:val="00613E9F"/>
    <w:rsid w:val="0061605F"/>
    <w:rsid w:val="00620822"/>
    <w:rsid w:val="006271BC"/>
    <w:rsid w:val="006311E0"/>
    <w:rsid w:val="00640DE9"/>
    <w:rsid w:val="006432F6"/>
    <w:rsid w:val="00650672"/>
    <w:rsid w:val="00660EFC"/>
    <w:rsid w:val="00661EA8"/>
    <w:rsid w:val="00665BAA"/>
    <w:rsid w:val="00666CF4"/>
    <w:rsid w:val="00675829"/>
    <w:rsid w:val="00675F68"/>
    <w:rsid w:val="00676E62"/>
    <w:rsid w:val="006816B7"/>
    <w:rsid w:val="00681FC5"/>
    <w:rsid w:val="0068301C"/>
    <w:rsid w:val="00691010"/>
    <w:rsid w:val="006A45CE"/>
    <w:rsid w:val="006B71AE"/>
    <w:rsid w:val="006C14B5"/>
    <w:rsid w:val="006C4219"/>
    <w:rsid w:val="006D58B6"/>
    <w:rsid w:val="006E0F96"/>
    <w:rsid w:val="006F5E43"/>
    <w:rsid w:val="007009DA"/>
    <w:rsid w:val="00702E25"/>
    <w:rsid w:val="0070394F"/>
    <w:rsid w:val="00706AC7"/>
    <w:rsid w:val="00714E00"/>
    <w:rsid w:val="00723F86"/>
    <w:rsid w:val="00734380"/>
    <w:rsid w:val="00737D90"/>
    <w:rsid w:val="00743CF7"/>
    <w:rsid w:val="007478CD"/>
    <w:rsid w:val="00753A76"/>
    <w:rsid w:val="007546D2"/>
    <w:rsid w:val="00765B87"/>
    <w:rsid w:val="00767D46"/>
    <w:rsid w:val="007739DB"/>
    <w:rsid w:val="00776808"/>
    <w:rsid w:val="00780F0E"/>
    <w:rsid w:val="00783DC9"/>
    <w:rsid w:val="00786B9C"/>
    <w:rsid w:val="007911DD"/>
    <w:rsid w:val="00793075"/>
    <w:rsid w:val="00793E4C"/>
    <w:rsid w:val="007941E2"/>
    <w:rsid w:val="007A26BB"/>
    <w:rsid w:val="007A4B7C"/>
    <w:rsid w:val="007A4F4C"/>
    <w:rsid w:val="007A734A"/>
    <w:rsid w:val="007B771C"/>
    <w:rsid w:val="007C349E"/>
    <w:rsid w:val="007C5138"/>
    <w:rsid w:val="007C6FEA"/>
    <w:rsid w:val="007D1A6D"/>
    <w:rsid w:val="007D3957"/>
    <w:rsid w:val="007E009D"/>
    <w:rsid w:val="008000F9"/>
    <w:rsid w:val="00802987"/>
    <w:rsid w:val="00803F46"/>
    <w:rsid w:val="00804C0F"/>
    <w:rsid w:val="0080649D"/>
    <w:rsid w:val="00811681"/>
    <w:rsid w:val="00822C62"/>
    <w:rsid w:val="0082382D"/>
    <w:rsid w:val="008249C8"/>
    <w:rsid w:val="00825E83"/>
    <w:rsid w:val="00832E3B"/>
    <w:rsid w:val="00841D33"/>
    <w:rsid w:val="008503BE"/>
    <w:rsid w:val="00852649"/>
    <w:rsid w:val="00867841"/>
    <w:rsid w:val="00867CDF"/>
    <w:rsid w:val="008704CD"/>
    <w:rsid w:val="00880ED2"/>
    <w:rsid w:val="00886520"/>
    <w:rsid w:val="0088786F"/>
    <w:rsid w:val="00890B08"/>
    <w:rsid w:val="008A0729"/>
    <w:rsid w:val="008A2FD1"/>
    <w:rsid w:val="008B4C56"/>
    <w:rsid w:val="008B4C5B"/>
    <w:rsid w:val="008B770B"/>
    <w:rsid w:val="008C0226"/>
    <w:rsid w:val="008C3961"/>
    <w:rsid w:val="008C5A2F"/>
    <w:rsid w:val="008D140C"/>
    <w:rsid w:val="008E4D48"/>
    <w:rsid w:val="008F14F4"/>
    <w:rsid w:val="00904FE2"/>
    <w:rsid w:val="009058CE"/>
    <w:rsid w:val="0090670B"/>
    <w:rsid w:val="00912ED0"/>
    <w:rsid w:val="00912FFA"/>
    <w:rsid w:val="00917084"/>
    <w:rsid w:val="00921B8E"/>
    <w:rsid w:val="00926B1E"/>
    <w:rsid w:val="0092734A"/>
    <w:rsid w:val="00933015"/>
    <w:rsid w:val="00936EAB"/>
    <w:rsid w:val="009415C4"/>
    <w:rsid w:val="00941E86"/>
    <w:rsid w:val="00943AAB"/>
    <w:rsid w:val="0094440E"/>
    <w:rsid w:val="00945E08"/>
    <w:rsid w:val="0095201C"/>
    <w:rsid w:val="0096206A"/>
    <w:rsid w:val="009643A8"/>
    <w:rsid w:val="00977BCA"/>
    <w:rsid w:val="00995B93"/>
    <w:rsid w:val="00997BDB"/>
    <w:rsid w:val="009A0A65"/>
    <w:rsid w:val="009A1AAC"/>
    <w:rsid w:val="009A2C04"/>
    <w:rsid w:val="009A554E"/>
    <w:rsid w:val="009B02C5"/>
    <w:rsid w:val="009B6713"/>
    <w:rsid w:val="009B78C6"/>
    <w:rsid w:val="009C16CE"/>
    <w:rsid w:val="009C18A6"/>
    <w:rsid w:val="009C5FA2"/>
    <w:rsid w:val="009C65BD"/>
    <w:rsid w:val="009C7451"/>
    <w:rsid w:val="009C7EB5"/>
    <w:rsid w:val="009D1248"/>
    <w:rsid w:val="009D5010"/>
    <w:rsid w:val="009D6F74"/>
    <w:rsid w:val="009E7257"/>
    <w:rsid w:val="009F293A"/>
    <w:rsid w:val="009F40F8"/>
    <w:rsid w:val="009F5FF8"/>
    <w:rsid w:val="009F6D6C"/>
    <w:rsid w:val="00A04502"/>
    <w:rsid w:val="00A0596A"/>
    <w:rsid w:val="00A06F8C"/>
    <w:rsid w:val="00A15CF2"/>
    <w:rsid w:val="00A228A3"/>
    <w:rsid w:val="00A25EBB"/>
    <w:rsid w:val="00A304F4"/>
    <w:rsid w:val="00A3194D"/>
    <w:rsid w:val="00A33092"/>
    <w:rsid w:val="00A33182"/>
    <w:rsid w:val="00A36ACB"/>
    <w:rsid w:val="00A412BD"/>
    <w:rsid w:val="00A51D9B"/>
    <w:rsid w:val="00A61A5B"/>
    <w:rsid w:val="00A654A9"/>
    <w:rsid w:val="00A72799"/>
    <w:rsid w:val="00A73EC0"/>
    <w:rsid w:val="00A8060B"/>
    <w:rsid w:val="00A844EA"/>
    <w:rsid w:val="00A87049"/>
    <w:rsid w:val="00A87A18"/>
    <w:rsid w:val="00A90275"/>
    <w:rsid w:val="00A950A5"/>
    <w:rsid w:val="00A9537A"/>
    <w:rsid w:val="00AA0FC8"/>
    <w:rsid w:val="00AA2577"/>
    <w:rsid w:val="00AC0BD0"/>
    <w:rsid w:val="00AC2F35"/>
    <w:rsid w:val="00AD085B"/>
    <w:rsid w:val="00AF4EA2"/>
    <w:rsid w:val="00B00C6E"/>
    <w:rsid w:val="00B07FD7"/>
    <w:rsid w:val="00B10972"/>
    <w:rsid w:val="00B12579"/>
    <w:rsid w:val="00B227C9"/>
    <w:rsid w:val="00B22A5F"/>
    <w:rsid w:val="00B2433D"/>
    <w:rsid w:val="00B25D50"/>
    <w:rsid w:val="00B451D6"/>
    <w:rsid w:val="00B46E52"/>
    <w:rsid w:val="00B51BF6"/>
    <w:rsid w:val="00B533E6"/>
    <w:rsid w:val="00B56F76"/>
    <w:rsid w:val="00B609A0"/>
    <w:rsid w:val="00B65159"/>
    <w:rsid w:val="00B66680"/>
    <w:rsid w:val="00B77498"/>
    <w:rsid w:val="00B77765"/>
    <w:rsid w:val="00B82145"/>
    <w:rsid w:val="00B838F7"/>
    <w:rsid w:val="00B87715"/>
    <w:rsid w:val="00B9404C"/>
    <w:rsid w:val="00BA14BC"/>
    <w:rsid w:val="00BA14BD"/>
    <w:rsid w:val="00BA558A"/>
    <w:rsid w:val="00BB0E77"/>
    <w:rsid w:val="00BB6421"/>
    <w:rsid w:val="00BB6BD8"/>
    <w:rsid w:val="00BC75F6"/>
    <w:rsid w:val="00BD2A74"/>
    <w:rsid w:val="00BE3E71"/>
    <w:rsid w:val="00BF1DA0"/>
    <w:rsid w:val="00BF23FA"/>
    <w:rsid w:val="00BF3EB6"/>
    <w:rsid w:val="00BF66CE"/>
    <w:rsid w:val="00C1730A"/>
    <w:rsid w:val="00C32541"/>
    <w:rsid w:val="00C3402A"/>
    <w:rsid w:val="00C342E2"/>
    <w:rsid w:val="00C353A8"/>
    <w:rsid w:val="00C35D0A"/>
    <w:rsid w:val="00C43778"/>
    <w:rsid w:val="00C5190B"/>
    <w:rsid w:val="00C6419F"/>
    <w:rsid w:val="00C643D0"/>
    <w:rsid w:val="00C84944"/>
    <w:rsid w:val="00C8580B"/>
    <w:rsid w:val="00C90BD9"/>
    <w:rsid w:val="00C96363"/>
    <w:rsid w:val="00CB1245"/>
    <w:rsid w:val="00CB284E"/>
    <w:rsid w:val="00CB4D74"/>
    <w:rsid w:val="00CB7DF5"/>
    <w:rsid w:val="00CC723F"/>
    <w:rsid w:val="00CD4CE3"/>
    <w:rsid w:val="00CD51FD"/>
    <w:rsid w:val="00CE673B"/>
    <w:rsid w:val="00CF0D24"/>
    <w:rsid w:val="00CF1C8C"/>
    <w:rsid w:val="00CF3EFB"/>
    <w:rsid w:val="00CF6518"/>
    <w:rsid w:val="00D03C4E"/>
    <w:rsid w:val="00D22EFF"/>
    <w:rsid w:val="00D26917"/>
    <w:rsid w:val="00D26E56"/>
    <w:rsid w:val="00D3344A"/>
    <w:rsid w:val="00D4081E"/>
    <w:rsid w:val="00D42E02"/>
    <w:rsid w:val="00D445D8"/>
    <w:rsid w:val="00D45A6C"/>
    <w:rsid w:val="00D46547"/>
    <w:rsid w:val="00D77518"/>
    <w:rsid w:val="00D90C7E"/>
    <w:rsid w:val="00D933DC"/>
    <w:rsid w:val="00D965DA"/>
    <w:rsid w:val="00DA5D1A"/>
    <w:rsid w:val="00DA662C"/>
    <w:rsid w:val="00DB2B5F"/>
    <w:rsid w:val="00DB52B9"/>
    <w:rsid w:val="00DC4732"/>
    <w:rsid w:val="00DC56D4"/>
    <w:rsid w:val="00DD0F9D"/>
    <w:rsid w:val="00DD6D07"/>
    <w:rsid w:val="00DE68DB"/>
    <w:rsid w:val="00DE7233"/>
    <w:rsid w:val="00DF04DA"/>
    <w:rsid w:val="00DF2837"/>
    <w:rsid w:val="00DF53A6"/>
    <w:rsid w:val="00DF6038"/>
    <w:rsid w:val="00E04D04"/>
    <w:rsid w:val="00E1430A"/>
    <w:rsid w:val="00E16BE0"/>
    <w:rsid w:val="00E17619"/>
    <w:rsid w:val="00E250F3"/>
    <w:rsid w:val="00E30CF9"/>
    <w:rsid w:val="00E4133C"/>
    <w:rsid w:val="00E43BAC"/>
    <w:rsid w:val="00E43BB4"/>
    <w:rsid w:val="00E47F1F"/>
    <w:rsid w:val="00E621FD"/>
    <w:rsid w:val="00E62671"/>
    <w:rsid w:val="00E64251"/>
    <w:rsid w:val="00E65003"/>
    <w:rsid w:val="00E80E7C"/>
    <w:rsid w:val="00E82ABF"/>
    <w:rsid w:val="00E85768"/>
    <w:rsid w:val="00E91277"/>
    <w:rsid w:val="00E91D21"/>
    <w:rsid w:val="00E9362D"/>
    <w:rsid w:val="00E958EC"/>
    <w:rsid w:val="00E95922"/>
    <w:rsid w:val="00E97EE4"/>
    <w:rsid w:val="00EA5E0E"/>
    <w:rsid w:val="00EB6213"/>
    <w:rsid w:val="00EB6A2B"/>
    <w:rsid w:val="00EC005B"/>
    <w:rsid w:val="00EC6132"/>
    <w:rsid w:val="00ED7627"/>
    <w:rsid w:val="00ED7C90"/>
    <w:rsid w:val="00EF522D"/>
    <w:rsid w:val="00EF5E87"/>
    <w:rsid w:val="00F03A04"/>
    <w:rsid w:val="00F0551C"/>
    <w:rsid w:val="00F063C1"/>
    <w:rsid w:val="00F1604C"/>
    <w:rsid w:val="00F1614F"/>
    <w:rsid w:val="00F16DBD"/>
    <w:rsid w:val="00F208DF"/>
    <w:rsid w:val="00F2304F"/>
    <w:rsid w:val="00F428A1"/>
    <w:rsid w:val="00F43C06"/>
    <w:rsid w:val="00F4509D"/>
    <w:rsid w:val="00F525AA"/>
    <w:rsid w:val="00F606F4"/>
    <w:rsid w:val="00F6590F"/>
    <w:rsid w:val="00F7011E"/>
    <w:rsid w:val="00F705EA"/>
    <w:rsid w:val="00F74281"/>
    <w:rsid w:val="00F75E13"/>
    <w:rsid w:val="00F77C47"/>
    <w:rsid w:val="00F810AD"/>
    <w:rsid w:val="00F8563C"/>
    <w:rsid w:val="00F85F03"/>
    <w:rsid w:val="00F863D1"/>
    <w:rsid w:val="00F92F81"/>
    <w:rsid w:val="00F945D3"/>
    <w:rsid w:val="00FA2382"/>
    <w:rsid w:val="00FA6796"/>
    <w:rsid w:val="00FB1830"/>
    <w:rsid w:val="00FB20F2"/>
    <w:rsid w:val="00FC08BE"/>
    <w:rsid w:val="00FC4929"/>
    <w:rsid w:val="00FD02AD"/>
    <w:rsid w:val="00FD2AF0"/>
    <w:rsid w:val="00FE222B"/>
    <w:rsid w:val="00FE3470"/>
    <w:rsid w:val="00FE6D45"/>
    <w:rsid w:val="00FF76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80CBE"/>
  <w15:docId w15:val="{B43BA782-6231-4DCB-BD99-E8D1EC7D2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183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183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B1830"/>
  </w:style>
  <w:style w:type="paragraph" w:styleId="Header">
    <w:name w:val="header"/>
    <w:basedOn w:val="Normal"/>
    <w:link w:val="HeaderChar"/>
    <w:uiPriority w:val="99"/>
    <w:unhideWhenUsed/>
    <w:rsid w:val="00FB18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1830"/>
  </w:style>
  <w:style w:type="paragraph" w:styleId="Footer">
    <w:name w:val="footer"/>
    <w:basedOn w:val="Normal"/>
    <w:link w:val="FooterChar"/>
    <w:uiPriority w:val="99"/>
    <w:unhideWhenUsed/>
    <w:rsid w:val="00FB18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18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37989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Tim17</b:Tag>
    <b:SourceType>Book</b:SourceType>
    <b:Guid>{623F79C8-2F39-462C-A9DC-848D00587DEF}</b:Guid>
    <b:Title>Criminology</b:Title>
    <b:Year>2017</b:Year>
    <b:Author>
      <b:Author>
        <b:NameList>
          <b:Person>
            <b:Last>Newburn</b:Last>
            <b:First>Tim</b:First>
          </b:Person>
        </b:NameList>
      </b:Author>
    </b:Author>
    <b:City>New York</b:City>
    <b:Publisher>Routledge</b:Publisher>
    <b:Edition>3rd</b:Edition>
    <b:RefOrder>1</b:RefOrder>
  </b:Source>
  <b:Source>
    <b:Tag>Bal07</b:Tag>
    <b:SourceType>Book</b:SourceType>
    <b:Guid>{B50A892A-2128-4971-97FD-40946333AE81}</b:Guid>
    <b:Title>Social Policy</b:Title>
    <b:Year>2007</b:Year>
    <b:City>Oxford</b:City>
    <b:Publisher>Oxford University Press</b:Publisher>
    <b:Edition>3rd</b:Edition>
    <b:Author>
      <b:Author>
        <b:NameList>
          <b:Person>
            <b:Last>Baldock</b:Last>
            <b:First>John</b:First>
          </b:Person>
          <b:Person>
            <b:Last>Manning</b:Last>
            <b:First>Nick</b:First>
          </b:Person>
          <b:Person>
            <b:Last>Vickerstaff</b:Last>
            <b:First>Sarah</b:First>
          </b:Person>
        </b:NameList>
      </b:Author>
    </b:Author>
    <b:RefOrder>2</b:RefOrder>
  </b:Source>
  <b:Source>
    <b:Tag>Fit11</b:Tag>
    <b:SourceType>JournalArticle</b:SourceType>
    <b:Guid>{C0972093-505A-41A7-B22A-CB992F7DECBA}</b:Guid>
    <b:Title>Historical Theories of Crime and Delinquency</b:Title>
    <b:Year>2011</b:Year>
    <b:JournalName>Journal of Human Behavior in the Social Environment,</b:JournalName>
    <b:Pages>297-311</b:Pages>
    <b:Volume>21</b:Volume>
    <b:Issue>1</b:Issue>
    <b:Author>
      <b:Author>
        <b:NameList>
          <b:Person>
            <b:Last>Fitzgerald</b:Last>
            <b:Middle>Samantha</b:Middle>
            <b:First>Charity</b:First>
          </b:Person>
        </b:NameList>
      </b:Author>
    </b:Author>
    <b:RefOrder>3</b:RefOrder>
  </b:Source>
  <b:Source>
    <b:Tag>BBC21</b:Tag>
    <b:SourceType>InternetSite</b:SourceType>
    <b:Guid>{0E758429-178E-4F6F-B7D0-6D22162677A0}</b:Guid>
    <b:Title>Shocking footage as Swansea 'yobs' set cars on fire in Mayhill</b:Title>
    <b:Year>2021</b:Year>
    <b:Author>
      <b:Author>
        <b:Corporate>BBC News</b:Corporate>
      </b:Author>
    </b:Author>
    <b:YearAccessed>2022</b:YearAccessed>
    <b:MonthAccessed>02</b:MonthAccessed>
    <b:DayAccessed>16</b:DayAccessed>
    <b:URL>https://www.bbc.co.uk/news/uk-wales-57195717</b:URL>
    <b:RefOrder>4</b:RefOrder>
  </b:Source>
  <b:Source>
    <b:Tag>Sou22</b:Tag>
    <b:SourceType>InternetSite</b:SourceType>
    <b:Guid>{85B45C2D-CA98-48C9-B5DF-0D72051D8247}</b:Guid>
    <b:Author>
      <b:Author>
        <b:Corporate>South Wales Police</b:Corporate>
      </b:Author>
    </b:Author>
    <b:Title>Mayhill disturbance Independent Learning Review</b:Title>
    <b:Year>2022</b:Year>
    <b:YearAccessed>2022</b:YearAccessed>
    <b:MonthAccessed>02</b:MonthAccessed>
    <b:DayAccessed>16</b:DayAccessed>
    <b:URL>https://www.south-wales.police.uk/news/south-wales/news/2022/ion-jan/south-wales-police-apologises-for-response-to-mayhill-incident/mayhill-disturbance-independent-learning-review/</b:URL>
    <b:RefOrder>5</b:RefOrder>
  </b:Source>
  <b:Source>
    <b:Tag>Sou221</b:Tag>
    <b:SourceType>InternetSite</b:SourceType>
    <b:Guid>{D473D7DA-E899-4A33-85CC-1FBB5900C109}</b:Guid>
    <b:Author>
      <b:Author>
        <b:Corporate>South Wales Police</b:Corporate>
      </b:Author>
    </b:Author>
    <b:Title>Mayhill disorder: 27 people charged with offences</b:Title>
    <b:Year>2022</b:Year>
    <b:YearAccessed>2022</b:YearAccessed>
    <b:MonthAccessed>02</b:MonthAccessed>
    <b:DayAccessed>16</b:DayAccessed>
    <b:URL>https://www.south-wales.police.uk/news/south-wales/news/2022/chw-feb/mayhill-disorder-27-people-charged-with-offences/</b:URL>
    <b:RefOrder>6</b:RefOrder>
  </b:Source>
  <b:Source>
    <b:Tag>Swa22</b:Tag>
    <b:SourceType>InternetSite</b:SourceType>
    <b:Guid>{FA517F71-967B-4413-BC9C-DEA40D22DE86}</b:Guid>
    <b:Author>
      <b:Author>
        <b:Corporate>Swansea Council</b:Corporate>
      </b:Author>
    </b:Author>
    <b:Title>Events at Mayhill and Waun Wen May 2021 - Independent Learning Review</b:Title>
    <b:Year>2022</b:Year>
    <b:YearAccessed>2022</b:YearAccessed>
    <b:MonthAccessed>02</b:MonthAccessed>
    <b:DayAccessed>16</b:DayAccessed>
    <b:URL>https://www.swansea.gov.uk/mayhillreview</b:URL>
    <b:RefOrder>7</b:RefOrder>
  </b:Source>
  <b:Source>
    <b:Tag>Yar04</b:Tag>
    <b:SourceType>JournalArticle</b:SourceType>
    <b:Guid>{0441A00C-4372-4F66-87B0-3855D06DB428}</b:Guid>
    <b:Title>Between Positivism and Post-Modernity</b:Title>
    <b:Year>2004</b:Year>
    <b:JournalName>Brit.J.Criminol</b:JournalName>
    <b:Pages>533-549</b:Pages>
    <b:Volume>44</b:Volume>
    <b:Author>
      <b:Author>
        <b:NameList>
          <b:Person>
            <b:Last>Yar</b:Last>
            <b:First>Majid</b:First>
          </b:Person>
          <b:Person>
            <b:Last>Penna</b:Last>
            <b:First>Sue</b:First>
          </b:Person>
        </b:NameList>
      </b:Author>
    </b:Author>
    <b:RefOrder>8</b:RefOrder>
  </b:Source>
  <b:Source>
    <b:Tag>McL06</b:Tag>
    <b:SourceType>Book</b:SourceType>
    <b:Guid>{77845D14-3D6D-43F8-AFFE-C4879FF3EB28}</b:Guid>
    <b:Title>The Sage Dictionary of Criminology</b:Title>
    <b:Year>2006</b:Year>
    <b:City>London</b:City>
    <b:Publisher>Sage</b:Publisher>
    <b:Edition>Second</b:Edition>
    <b:Author>
      <b:Author>
        <b:NameList>
          <b:Person>
            <b:Last>McLaughlin</b:Last>
            <b:First>Eugene</b:First>
          </b:Person>
          <b:Person>
            <b:Last>Muncie</b:Last>
            <b:First>John</b:First>
          </b:Person>
        </b:NameList>
      </b:Author>
    </b:Author>
    <b:RefOrder>9</b:RefOrder>
  </b:Source>
  <b:Source>
    <b:Tag>Qui40</b:Tag>
    <b:SourceType>JournalArticle</b:SourceType>
    <b:Guid>{A75A7355-13EE-4A7B-AC8B-86CA7465C356}</b:Guid>
    <b:Title>The Burgess Zonal Hypothesis and its Critics</b:Title>
    <b:Year>1940</b:Year>
    <b:JournalName>American Sociological Review</b:JournalName>
    <b:Pages>210-218</b:Pages>
    <b:Volume>5</b:Volume>
    <b:Issue>2</b:Issue>
    <b:Author>
      <b:Author>
        <b:NameList>
          <b:Person>
            <b:Last>Quinn</b:Last>
            <b:Middle>A</b:Middle>
            <b:First>James</b:First>
          </b:Person>
        </b:NameList>
      </b:Author>
    </b:Author>
    <b:RefOrder>10</b:RefOrder>
  </b:Source>
  <b:Source>
    <b:Tag>Col00</b:Tag>
    <b:SourceType>Book</b:SourceType>
    <b:Guid>{BB187A12-3019-4929-BAC3-F1E257066B50}</b:Guid>
    <b:Title>Introducing Criminology</b:Title>
    <b:Year>2000</b:Year>
    <b:Author>
      <b:Author>
        <b:NameList>
          <b:Person>
            <b:Last>Coleman</b:Last>
            <b:First>Clive</b:First>
          </b:Person>
          <b:Person>
            <b:Last>Norris</b:Last>
            <b:First>Clive</b:First>
          </b:Person>
        </b:NameList>
      </b:Author>
    </b:Author>
    <b:City>Devon</b:City>
    <b:Publisher>Willan Publishing</b:Publisher>
    <b:Edition>first</b:Edition>
    <b:RefOrder>11</b:RefOrder>
  </b:Source>
  <b:Source>
    <b:Tag>Sta19</b:Tag>
    <b:SourceType>InternetSite</b:SourceType>
    <b:Guid>{18C4F725-4CC2-4FB1-BD7E-2E6E9F8C4594}</b:Guid>
    <b:Title>Lower-layer Super Output Areas (LSOAs) in Deep-Rooted Deprivation</b:Title>
    <b:Year>2019</b:Year>
    <b:Author>
      <b:Author>
        <b:Corporate>Stats Wales</b:Corporate>
      </b:Author>
    </b:Author>
    <b:YearAccessed>2022</b:YearAccessed>
    <b:MonthAccessed>02</b:MonthAccessed>
    <b:DayAccessed>21</b:DayAccessed>
    <b:URL>https://statswales.gov.wales/Catalogue/Community-Safety-and-Social-Inclusion/Welsh-Index-of-Multiple-Deprivation/Deep-rooted-Deprivation/lsoasindeeprooteddeprivation</b:URL>
    <b:RefOrder>12</b:RefOrder>
  </b:Source>
  <b:Source>
    <b:Tag>Wil05</b:Tag>
    <b:SourceType>BookSection</b:SourceType>
    <b:Guid>{20A1D9FE-D7BC-41F6-9A5F-955627EDBA6E}</b:Guid>
    <b:Title>Broken Windows: the police and neighbourhood safety</b:Title>
    <b:Year>2005</b:Year>
    <b:BookTitle>Policing Key Readings</b:BookTitle>
    <b:Pages>460-471</b:Pages>
    <b:City>Devon</b:City>
    <b:Publisher>Willan Publishing</b:Publisher>
    <b:Author>
      <b:Author>
        <b:NameList>
          <b:Person>
            <b:Last>Wilson</b:Last>
            <b:Middle>Q</b:Middle>
            <b:First>James</b:First>
          </b:Person>
          <b:Person>
            <b:Last>Kelling</b:Last>
            <b:Middle>L</b:Middle>
            <b:First>George</b:First>
          </b:Person>
        </b:NameList>
      </b:Author>
      <b:Editor>
        <b:NameList>
          <b:Person>
            <b:Last>Newburn</b:Last>
            <b:First>Tim</b:First>
          </b:Person>
        </b:NameList>
      </b:Editor>
    </b:Author>
    <b:RefOrder>13</b:RefOrder>
  </b:Source>
  <b:Source>
    <b:Tag>Dav05</b:Tag>
    <b:SourceType>BookSection</b:SourceType>
    <b:Guid>{EFBF4B45-9BE0-4C4B-BE4B-EDA4B0A59743}</b:Guid>
    <b:Author>
      <b:Author>
        <b:NameList>
          <b:Person>
            <b:Last>Dixon</b:Last>
            <b:First>David</b:First>
          </b:Person>
        </b:NameList>
      </b:Author>
      <b:Editor>
        <b:NameList>
          <b:Person>
            <b:Last>Newburn</b:Last>
            <b:First>Tim</b:First>
          </b:Person>
        </b:NameList>
      </b:Editor>
    </b:Author>
    <b:Title>Beyond Zero Tolerance</b:Title>
    <b:BookTitle>Policing Key Readings</b:BookTitle>
    <b:Year>2005</b:Year>
    <b:Pages>483-507</b:Pages>
    <b:City>Devon</b:City>
    <b:Publisher>Willan Publishing</b:Publisher>
    <b:RefOrder>14</b:RefOrder>
  </b:Source>
  <b:Source>
    <b:Tag>Pol22</b:Tag>
    <b:SourceType>InternetSite</b:SourceType>
    <b:Guid>{07EBDA8C-0618-4CEE-AE9A-E67FAE6EB88C}</b:Guid>
    <b:Title>Townhill: Crime Types Overview</b:Title>
    <b:Year>2022</b:Year>
    <b:Author>
      <b:Author>
        <b:NameList>
          <b:Person>
            <b:Last>Police.uk</b:Last>
          </b:Person>
        </b:NameList>
      </b:Author>
    </b:Author>
    <b:YearAccessed>2022</b:YearAccessed>
    <b:MonthAccessed>02</b:MonthAccessed>
    <b:DayAccessed>24</b:DayAccessed>
    <b:URL>https://www.police.uk/pu/your-area/south-wales-police/townhill/?tab=Statistics</b:URL>
    <b:RefOrder>15</b:RefOrder>
  </b:Source>
  <b:Source>
    <b:Tag>Ran11</b:Tag>
    <b:SourceType>JournalArticle</b:SourceType>
    <b:Guid>{2AB27F52-8E24-40BC-810C-4AD104F37B82}</b:Guid>
    <b:Author>
      <b:Author>
        <b:NameList>
          <b:Person>
            <b:Last>Ranasinghe</b:Last>
            <b:First>Prashan</b:First>
          </b:Person>
        </b:NameList>
      </b:Author>
    </b:Author>
    <b:Title>Jane Jacob's framing of public disorder and its relation to the 'broken windows' theory</b:Title>
    <b:Year>2011</b:Year>
    <b:Pages>63-84</b:Pages>
    <b:JournalName>Theoretical Criminology</b:JournalName>
    <b:Volume>16</b:Volume>
    <b:Issue>1</b:Issue>
    <b:RefOrder>16</b:RefOrder>
  </b:Source>
  <b:Source>
    <b:Tag>Hop08</b:Tag>
    <b:SourceType>Book</b:SourceType>
    <b:Guid>{9E64931C-81D7-412D-8A84-E96A4064DA32}</b:Guid>
    <b:Title>Young People, Crime and Justice</b:Title>
    <b:Year>2008</b:Year>
    <b:City>Devon</b:City>
    <b:Publisher>Willan Publishing</b:Publisher>
    <b:Author>
      <b:Author>
        <b:NameList>
          <b:Person>
            <b:Last>Hopkins Burke</b:Last>
            <b:First>Roger</b:First>
          </b:Person>
        </b:NameList>
      </b:Author>
    </b:Author>
    <b:RefOrder>17</b:RefOrder>
  </b:Source>
  <b:Source>
    <b:Tag>McL061</b:Tag>
    <b:SourceType>BookSection</b:SourceType>
    <b:Guid>{06A62393-A8E5-4A6D-9400-F39871AD5B66}</b:Guid>
    <b:Title>'Broken Windows'</b:Title>
    <b:Year>2006</b:Year>
    <b:City>London</b:City>
    <b:Publisher>Sage Publications</b:Publisher>
    <b:Author>
      <b:Author>
        <b:NameList>
          <b:Person>
            <b:Last>McLaughlin</b:Last>
            <b:First>Eugene</b:First>
          </b:Person>
        </b:NameList>
      </b:Author>
      <b:Editor>
        <b:NameList>
          <b:Person>
            <b:Last>McLaughlin</b:Last>
            <b:First>Eugene</b:First>
          </b:Person>
          <b:Person>
            <b:Last>Muncie</b:Last>
            <b:First>John</b:First>
          </b:Person>
        </b:NameList>
      </b:Editor>
    </b:Author>
    <b:BookTitle>The Sage Dictionary of Criminology</b:BookTitle>
    <b:Pages>27-29</b:Pages>
    <b:RefOrder>18</b:RefOrder>
  </b:Source>
  <b:Source>
    <b:Tag>Wil08</b:Tag>
    <b:SourceType>Book</b:SourceType>
    <b:Guid>{74D1FB63-4B41-4052-9687-87BDB4922D44}</b:Guid>
    <b:Title>Textbook on Criminology</b:Title>
    <b:Year>2008</b:Year>
    <b:City>Oxford</b:City>
    <b:Publisher>Oxford University Press</b:Publisher>
    <b:Edition>6th</b:Edition>
    <b:Author>
      <b:Author>
        <b:NameList>
          <b:Person>
            <b:Last>Williams</b:Last>
            <b:Middle>S</b:Middle>
            <b:First>Katherine</b:First>
          </b:Person>
        </b:NameList>
      </b:Author>
    </b:Author>
    <b:RefOrder>19</b:RefOrder>
  </b:Source>
  <b:Source>
    <b:Tag>Pea06</b:Tag>
    <b:SourceType>BookSection</b:SourceType>
    <b:Guid>{0B5FB16A-2831-43A2-8A0E-CAE82006470F}</b:Guid>
    <b:Title>Rational Choice Theory</b:Title>
    <b:Year>2006</b:Year>
    <b:City>London</b:City>
    <b:Publisher>Sage Publications</b:Publisher>
    <b:Author>
      <b:Author>
        <b:NameList>
          <b:Person>
            <b:Last>Pease</b:Last>
            <b:First>Ken</b:First>
          </b:Person>
        </b:NameList>
      </b:Author>
      <b:Editor>
        <b:NameList>
          <b:Person>
            <b:Last>McLaughlin</b:Last>
            <b:First>Eugene</b:First>
          </b:Person>
          <b:Person>
            <b:Last>Muncie</b:Last>
            <b:First>John</b:First>
          </b:Person>
        </b:NameList>
      </b:Editor>
    </b:Author>
    <b:BookTitle>The Sage Dictionary of Criminology</b:BookTitle>
    <b:Pages>339-341</b:Pages>
    <b:RefOrder>20</b:RefOrder>
  </b:Source>
  <b:Source>
    <b:Tag>Bar18</b:Tag>
    <b:SourceType>JournalArticle</b:SourceType>
    <b:Guid>{5ED7D6F5-0F74-40D2-AD9E-94918B594769}</b:Guid>
    <b:Title>Socioeconomic Status and Racism as Fundamental Causes of Street Criminality</b:Title>
    <b:Year>2018</b:Year>
    <b:Pages>211-231</b:Pages>
    <b:JournalName>Critical Criminology</b:JournalName>
    <b:Volume>26</b:Volume>
    <b:Issue>2</b:Issue>
    <b:Author>
      <b:Author>
        <b:NameList>
          <b:Person>
            <b:Last>Barkan</b:Last>
            <b:Middle>E</b:Middle>
            <b:First>Steven</b:First>
          </b:Person>
          <b:Person>
            <b:Last>Rocque</b:Last>
            <b:First>Michael</b:First>
          </b:Person>
        </b:NameList>
      </b:Author>
    </b:Author>
    <b:RefOrder>21</b:RefOrder>
  </b:Source>
  <b:Source>
    <b:Tag>Tim14</b:Tag>
    <b:SourceType>JournalArticle</b:SourceType>
    <b:Guid>{71501802-3BCA-46DD-9D05-10841612A736}</b:Guid>
    <b:Author>
      <b:Author>
        <b:NameList>
          <b:Person>
            <b:Last>Newburn</b:Last>
            <b:First>Tim</b:First>
          </b:Person>
        </b:NameList>
      </b:Author>
    </b:Author>
    <b:Title>The 2011 England Riots in Recent Historical Perspective</b:Title>
    <b:JournalName>British Journal of Criminology</b:JournalName>
    <b:Year>2014</b:Year>
    <b:Pages>39-64</b:Pages>
    <b:Volume>55</b:Volume>
    <b:Issue>1</b:Issue>
    <b:RefOrder>22</b:RefOrder>
  </b:Source>
  <b:Source>
    <b:Tag>Mor15</b:Tag>
    <b:SourceType>JournalArticle</b:SourceType>
    <b:Guid>{4D63EE03-01C3-4FDB-AA69-78F07D217A41}</b:Guid>
    <b:Title>Impossible Jobs or Impossible tasks? Client volatility and Frontline Policing practice in Urban Riots</b:Title>
    <b:JournalName>Public Administration Review</b:JournalName>
    <b:Year>2015</b:Year>
    <b:Pages>264-27</b:Pages>
    <b:Volume>75</b:Volume>
    <b:Issue>2</b:Issue>
    <b:Author>
      <b:Author>
        <b:NameList>
          <b:Person>
            <b:Last>Morrell</b:Last>
            <b:First>Kevin</b:First>
          </b:Person>
          <b:Person>
            <b:Last>Currie</b:Last>
            <b:First>Graeme</b:First>
          </b:Person>
        </b:NameList>
      </b:Author>
    </b:Author>
    <b:RefOrder>23</b:RefOrder>
  </b:Source>
</b:Sources>
</file>

<file path=customXml/itemProps1.xml><?xml version="1.0" encoding="utf-8"?>
<ds:datastoreItem xmlns:ds="http://schemas.openxmlformats.org/officeDocument/2006/customXml" ds:itemID="{AE93558A-FD95-46FE-A9CE-C76D6770D7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14572</TotalTime>
  <Pages>7</Pages>
  <Words>3387</Words>
  <Characters>19307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Connelly</dc:creator>
  <cp:keywords/>
  <dc:description/>
  <cp:lastModifiedBy>Katy Connelly</cp:lastModifiedBy>
  <cp:revision>579</cp:revision>
  <dcterms:created xsi:type="dcterms:W3CDTF">2022-02-14T16:00:00Z</dcterms:created>
  <dcterms:modified xsi:type="dcterms:W3CDTF">2022-02-28T16:18:00Z</dcterms:modified>
</cp:coreProperties>
</file>