
<file path=[Content_Types].xml><?xml version="1.0" encoding="utf-8"?>
<Types xmlns="http://schemas.openxmlformats.org/package/2006/content-types">
  <Default Extension="xml" ContentType="application/xml"/>
  <Default Extension="png" ContentType="image/pn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Arial" w:cs="Times New Roman"/>
          <w:b/>
          <w:bCs/>
          <w:color w:val="000000"/>
          <w:sz w:val="32"/>
          <w:szCs w:val="32"/>
        </w:rPr>
      </w:pPr>
      <w:r>
        <w:rPr>
          <w:rFonts w:ascii="Times New Roman" w:hAnsi="Times New Roman" w:eastAsia="Arial" w:cs="Times New Roman"/>
          <w:b/>
          <w:bCs/>
          <w:color w:val="000000"/>
          <w:sz w:val="56"/>
          <w:szCs w:val="56"/>
        </w:rPr>
        <w:t>PROJECT MANAGEMENT</w:t>
      </w:r>
      <w:r>
        <w:rPr>
          <w:rFonts w:ascii="Times New Roman" w:hAnsi="Times New Roman" w:eastAsia="Arial" w:cs="Times New Roman"/>
          <w:b/>
          <w:bCs/>
          <w:color w:val="000000"/>
          <w:sz w:val="32"/>
          <w:szCs w:val="32"/>
        </w:rPr>
        <w:t xml:space="preserve"> </w:t>
      </w:r>
    </w:p>
    <w:p>
      <w:pPr>
        <w:jc w:val="center"/>
        <w:rPr>
          <w:rFonts w:ascii="Times New Roman" w:hAnsi="Times New Roman" w:eastAsia="Arial" w:cs="Times New Roman"/>
          <w:b/>
          <w:bCs/>
          <w:color w:val="000000"/>
          <w:sz w:val="32"/>
          <w:szCs w:val="32"/>
        </w:rPr>
      </w:pPr>
      <w:r>
        <w:rPr>
          <w:rFonts w:ascii="Times New Roman" w:hAnsi="Times New Roman" w:eastAsia="Arial" w:cs="Times New Roman"/>
          <w:b/>
          <w:bCs/>
          <w:color w:val="000000"/>
          <w:sz w:val="32"/>
          <w:szCs w:val="32"/>
        </w:rPr>
        <w:t>ASSESSMENT 2</w:t>
      </w:r>
    </w:p>
    <w:p>
      <w:pPr>
        <w:jc w:val="center"/>
        <w:rPr>
          <w:rFonts w:ascii="Times New Roman" w:hAnsi="Times New Roman" w:cs="Times New Roman"/>
          <w:b/>
          <w:color w:val="000000" w:themeColor="text1"/>
          <w:sz w:val="32"/>
          <w14:textFill>
            <w14:solidFill>
              <w14:schemeClr w14:val="tx1"/>
            </w14:solidFill>
          </w14:textFill>
        </w:rPr>
      </w:pPr>
      <w:r>
        <w:rPr>
          <w:rFonts w:ascii="Times New Roman" w:hAnsi="Times New Roman" w:cs="Times New Roman"/>
          <w:b/>
          <w:color w:val="000000" w:themeColor="text1"/>
          <w:sz w:val="32"/>
          <w14:textFill>
            <w14:solidFill>
              <w14:schemeClr w14:val="tx1"/>
            </w14:solidFill>
          </w14:textFill>
        </w:rPr>
        <w:t>SIMONA ELENA BECHEANU</w:t>
      </w:r>
    </w:p>
    <w:p>
      <w:pPr>
        <w:jc w:val="center"/>
        <w:rPr>
          <w:rFonts w:ascii="Times New Roman" w:hAnsi="Times New Roman" w:cs="Times New Roman"/>
          <w:b/>
          <w:color w:val="000000" w:themeColor="text1"/>
          <w:sz w:val="32"/>
          <w14:textFill>
            <w14:solidFill>
              <w14:schemeClr w14:val="tx1"/>
            </w14:solidFill>
          </w14:textFill>
        </w:rPr>
      </w:pPr>
      <w:r>
        <w:rPr>
          <w:rFonts w:ascii="Times New Roman" w:hAnsi="Times New Roman" w:cs="Times New Roman"/>
          <w:b/>
          <w:color w:val="000000" w:themeColor="text1"/>
          <w:sz w:val="32"/>
          <w14:textFill>
            <w14:solidFill>
              <w14:schemeClr w14:val="tx1"/>
            </w14:solidFill>
          </w14:textFill>
        </w:rPr>
        <w:t>STUDENT ID:2019936</w:t>
      </w:r>
    </w:p>
    <w:p>
      <w:pPr>
        <w:jc w:val="center"/>
      </w:pPr>
    </w:p>
    <w:p>
      <w:pPr>
        <w:jc w:val="center"/>
      </w:pPr>
    </w:p>
    <w:p>
      <w:pPr>
        <w:jc w:val="center"/>
      </w:pPr>
    </w:p>
    <w:p>
      <w:pPr>
        <w:jc w:val="center"/>
      </w:pPr>
    </w:p>
    <w:p>
      <w:pPr>
        <w:jc w:val="center"/>
      </w:pPr>
      <w:bookmarkStart w:id="1" w:name="_GoBack"/>
      <w:bookmarkEnd w:id="1"/>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spacing w:line="360" w:lineRule="auto"/>
        <w:jc w:val="center"/>
        <w:rPr>
          <w:rFonts w:ascii="Times New Roman" w:hAnsi="Times New Roman" w:eastAsia="Arial" w:cs="Times New Roman"/>
          <w:b/>
          <w:bCs/>
          <w:color w:val="000000"/>
          <w:sz w:val="28"/>
          <w:szCs w:val="28"/>
        </w:rPr>
      </w:pPr>
      <w:r>
        <w:rPr>
          <w:rFonts w:ascii="Times New Roman" w:hAnsi="Times New Roman" w:eastAsia="Arial" w:cs="Times New Roman"/>
          <w:b/>
          <w:bCs/>
          <w:color w:val="000000"/>
          <w:sz w:val="28"/>
          <w:szCs w:val="28"/>
        </w:rPr>
        <w:t>Executive Summary</w:t>
      </w:r>
    </w:p>
    <w:p>
      <w:pPr>
        <w:rPr>
          <w:rFonts w:ascii="Times New Roman" w:hAnsi="Times New Roman" w:cs="Times New Roman"/>
          <w:sz w:val="24"/>
          <w:szCs w:val="24"/>
        </w:rPr>
      </w:pPr>
      <w:r>
        <w:rPr>
          <w:rFonts w:ascii="Times New Roman" w:hAnsi="Times New Roman" w:cs="Times New Roman"/>
          <w:sz w:val="24"/>
          <w:szCs w:val="24"/>
        </w:rPr>
        <w:t>Project management is the collection of procedures used to create a project while upholding its requirements. The Crossrail project, which connects a larger variety of locations, is the longest project currently being planned and built in London. This report will address some of the variables that contributed to its early success, the most important project management techniques, and the problems that made it seem like a failure and a nightmare. Along with failure causes, other project management success factors have been presented. Last but not least, a suggestion has been made outlining the required actions that may save the Crossrail project from failing.</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Style w:val="9"/>
        <w:spacing w:line="360" w:lineRule="auto"/>
        <w:jc w:val="center"/>
        <w:rPr>
          <w:rFonts w:ascii="Times New Roman" w:hAnsi="Times New Roman"/>
          <w:color w:val="000000"/>
        </w:rPr>
      </w:pPr>
      <w:r>
        <w:rPr>
          <w:rFonts w:ascii="Times New Roman" w:hAnsi="Times New Roman"/>
          <w:color w:val="000000"/>
        </w:rPr>
        <w:t>Table of Contents</w:t>
      </w:r>
    </w:p>
    <w:p>
      <w:pPr>
        <w:pStyle w:val="3"/>
        <w:spacing w:line="360" w:lineRule="auto"/>
        <w:jc w:val="both"/>
        <w:rPr>
          <w:rFonts w:ascii="Times New Roman" w:hAnsi="Times New Roman" w:eastAsia="Arial" w:cs="Times New Roman"/>
          <w:color w:val="000000"/>
          <w:sz w:val="24"/>
          <w:szCs w:val="24"/>
        </w:rPr>
      </w:pPr>
      <w:r>
        <w:fldChar w:fldCharType="begin"/>
      </w:r>
      <w:r>
        <w:instrText xml:space="preserve"> HYPERLINK \l "_Toc110005609" </w:instrText>
      </w:r>
      <w:r>
        <w:fldChar w:fldCharType="separate"/>
      </w:r>
      <w:r>
        <w:rPr>
          <w:rStyle w:val="10"/>
          <w:rFonts w:ascii="Times New Roman" w:hAnsi="Times New Roman" w:cs="Times New Roman"/>
          <w:color w:val="000000"/>
          <w:sz w:val="24"/>
          <w:szCs w:val="24"/>
        </w:rPr>
        <w:t>1. Introduction</w:t>
      </w:r>
      <w:r>
        <w:rPr>
          <w:rStyle w:val="6"/>
          <w:rFonts w:ascii="Times New Roman" w:hAnsi="Times New Roman" w:eastAsia="Arial" w:cs="Times New Roman"/>
          <w:color w:val="000000"/>
          <w:sz w:val="24"/>
          <w:szCs w:val="24"/>
        </w:rPr>
        <w:tab/>
      </w:r>
      <w:r>
        <w:rPr>
          <w:rStyle w:val="6"/>
          <w:rFonts w:ascii="Times New Roman" w:hAnsi="Times New Roman" w:eastAsia="Arial" w:cs="Times New Roman"/>
          <w:color w:val="000000"/>
          <w:sz w:val="24"/>
          <w:szCs w:val="24"/>
        </w:rPr>
        <w:t>……………………………………………………………………...4</w:t>
      </w:r>
      <w:r>
        <w:rPr>
          <w:rStyle w:val="6"/>
          <w:rFonts w:ascii="Times New Roman" w:hAnsi="Times New Roman" w:eastAsia="Arial" w:cs="Times New Roman"/>
          <w:color w:val="000000"/>
          <w:sz w:val="24"/>
          <w:szCs w:val="24"/>
        </w:rPr>
        <w:fldChar w:fldCharType="end"/>
      </w:r>
    </w:p>
    <w:p>
      <w:pPr>
        <w:pStyle w:val="3"/>
        <w:spacing w:line="360" w:lineRule="auto"/>
        <w:jc w:val="both"/>
        <w:rPr>
          <w:rFonts w:ascii="Times New Roman" w:hAnsi="Times New Roman" w:eastAsia="Arial" w:cs="Times New Roman"/>
          <w:color w:val="000000"/>
          <w:sz w:val="24"/>
          <w:szCs w:val="24"/>
        </w:rPr>
      </w:pPr>
      <w:r>
        <w:fldChar w:fldCharType="begin"/>
      </w:r>
      <w:r>
        <w:instrText xml:space="preserve"> HYPERLINK \l "_Toc110005610" </w:instrText>
      </w:r>
      <w:r>
        <w:fldChar w:fldCharType="separate"/>
      </w:r>
      <w:r>
        <w:rPr>
          <w:rStyle w:val="10"/>
          <w:rFonts w:ascii="Times New Roman" w:hAnsi="Times New Roman" w:cs="Times New Roman"/>
          <w:color w:val="000000"/>
          <w:sz w:val="24"/>
          <w:szCs w:val="24"/>
        </w:rPr>
        <w:t>2. What did I learn from this project……………………………………………</w:t>
      </w:r>
      <w:r>
        <w:rPr>
          <w:rStyle w:val="6"/>
          <w:rFonts w:ascii="Times New Roman" w:hAnsi="Times New Roman" w:eastAsia="Arial" w:cs="Times New Roman"/>
          <w:color w:val="000000"/>
          <w:sz w:val="24"/>
          <w:szCs w:val="24"/>
        </w:rPr>
        <w:t>…..4</w:t>
      </w:r>
      <w:r>
        <w:rPr>
          <w:rStyle w:val="6"/>
          <w:rFonts w:ascii="Times New Roman" w:hAnsi="Times New Roman" w:eastAsia="Arial" w:cs="Times New Roman"/>
          <w:color w:val="000000"/>
          <w:sz w:val="24"/>
          <w:szCs w:val="24"/>
        </w:rPr>
        <w:fldChar w:fldCharType="end"/>
      </w:r>
    </w:p>
    <w:p>
      <w:pPr>
        <w:pStyle w:val="4"/>
        <w:spacing w:line="360" w:lineRule="auto"/>
        <w:jc w:val="both"/>
        <w:rPr>
          <w:rFonts w:ascii="Times New Roman" w:hAnsi="Times New Roman" w:eastAsia="Arial" w:cs="Times New Roman"/>
          <w:color w:val="000000"/>
          <w:sz w:val="24"/>
          <w:szCs w:val="24"/>
        </w:rPr>
      </w:pPr>
      <w:r>
        <w:fldChar w:fldCharType="begin"/>
      </w:r>
      <w:r>
        <w:instrText xml:space="preserve"> HYPERLINK \l "_Toc110005611" </w:instrText>
      </w:r>
      <w:r>
        <w:fldChar w:fldCharType="separate"/>
      </w:r>
      <w:r>
        <w:rPr>
          <w:rStyle w:val="10"/>
          <w:rFonts w:ascii="Times New Roman" w:hAnsi="Times New Roman" w:cs="Times New Roman"/>
          <w:color w:val="000000"/>
          <w:sz w:val="24"/>
          <w:szCs w:val="24"/>
        </w:rPr>
        <w:t>2.1. The project first success...</w:t>
      </w:r>
      <w:r>
        <w:rPr>
          <w:rStyle w:val="6"/>
          <w:rFonts w:ascii="Times New Roman" w:hAnsi="Times New Roman" w:eastAsia="Arial" w:cs="Times New Roman"/>
          <w:color w:val="000000"/>
          <w:sz w:val="24"/>
          <w:szCs w:val="24"/>
        </w:rPr>
        <w:t>……………………………………………………4</w:t>
      </w:r>
      <w:r>
        <w:rPr>
          <w:rStyle w:val="6"/>
          <w:rFonts w:ascii="Times New Roman" w:hAnsi="Times New Roman" w:eastAsia="Arial" w:cs="Times New Roman"/>
          <w:color w:val="000000"/>
          <w:sz w:val="24"/>
          <w:szCs w:val="24"/>
        </w:rPr>
        <w:fldChar w:fldCharType="end"/>
      </w:r>
    </w:p>
    <w:p>
      <w:pPr>
        <w:pStyle w:val="4"/>
        <w:spacing w:line="360" w:lineRule="auto"/>
        <w:jc w:val="both"/>
        <w:rPr>
          <w:rFonts w:ascii="Times New Roman" w:hAnsi="Times New Roman" w:eastAsia="Arial" w:cs="Times New Roman"/>
          <w:color w:val="000000"/>
          <w:sz w:val="24"/>
          <w:szCs w:val="24"/>
        </w:rPr>
      </w:pPr>
      <w:r>
        <w:fldChar w:fldCharType="begin"/>
      </w:r>
      <w:r>
        <w:instrText xml:space="preserve"> HYPERLINK \l "_Toc110005612" </w:instrText>
      </w:r>
      <w:r>
        <w:fldChar w:fldCharType="separate"/>
      </w:r>
      <w:r>
        <w:rPr>
          <w:rStyle w:val="10"/>
          <w:rFonts w:ascii="Times New Roman" w:hAnsi="Times New Roman" w:cs="Times New Roman"/>
          <w:color w:val="000000"/>
          <w:sz w:val="24"/>
          <w:szCs w:val="24"/>
        </w:rPr>
        <w:t>2.2.</w:t>
      </w:r>
      <w:r>
        <w:t xml:space="preserve"> </w:t>
      </w:r>
      <w:r>
        <w:rPr>
          <w:rStyle w:val="10"/>
          <w:rFonts w:ascii="Times New Roman" w:hAnsi="Times New Roman" w:cs="Times New Roman"/>
          <w:color w:val="000000"/>
          <w:sz w:val="24"/>
          <w:szCs w:val="24"/>
        </w:rPr>
        <w:t>Key Project Management Actions…………………………………………. .</w:t>
      </w:r>
      <w:r>
        <w:rPr>
          <w:rStyle w:val="6"/>
          <w:rFonts w:ascii="Times New Roman" w:hAnsi="Times New Roman" w:eastAsia="Arial" w:cs="Times New Roman"/>
          <w:color w:val="000000"/>
          <w:sz w:val="24"/>
          <w:szCs w:val="24"/>
        </w:rPr>
        <w:t>6</w:t>
      </w:r>
      <w:r>
        <w:rPr>
          <w:rStyle w:val="6"/>
          <w:rFonts w:ascii="Times New Roman" w:hAnsi="Times New Roman" w:eastAsia="Arial" w:cs="Times New Roman"/>
          <w:color w:val="000000"/>
          <w:sz w:val="24"/>
          <w:szCs w:val="24"/>
        </w:rPr>
        <w:fldChar w:fldCharType="end"/>
      </w:r>
    </w:p>
    <w:p>
      <w:pPr>
        <w:pStyle w:val="4"/>
        <w:spacing w:line="360" w:lineRule="auto"/>
        <w:jc w:val="both"/>
        <w:rPr>
          <w:rFonts w:ascii="Times New Roman" w:hAnsi="Times New Roman" w:eastAsia="Arial" w:cs="Times New Roman"/>
          <w:color w:val="000000"/>
          <w:sz w:val="24"/>
          <w:szCs w:val="24"/>
        </w:rPr>
      </w:pPr>
      <w:r>
        <w:fldChar w:fldCharType="begin"/>
      </w:r>
      <w:r>
        <w:instrText xml:space="preserve"> HYPERLINK \l "_Toc110005613" </w:instrText>
      </w:r>
      <w:r>
        <w:fldChar w:fldCharType="separate"/>
      </w:r>
      <w:r>
        <w:rPr>
          <w:rStyle w:val="10"/>
          <w:rFonts w:ascii="Times New Roman" w:hAnsi="Times New Roman" w:cs="Times New Roman"/>
          <w:color w:val="000000"/>
          <w:sz w:val="24"/>
          <w:szCs w:val="24"/>
        </w:rPr>
        <w:t>2.3. Problems that contributed to Crossrail 9's project collapse</w:t>
      </w:r>
      <w:r>
        <w:rPr>
          <w:rStyle w:val="6"/>
          <w:rFonts w:ascii="Times New Roman" w:hAnsi="Times New Roman" w:eastAsia="Arial" w:cs="Times New Roman"/>
          <w:color w:val="000000"/>
          <w:sz w:val="24"/>
          <w:szCs w:val="24"/>
        </w:rPr>
        <w:t>………………….7</w:t>
      </w:r>
      <w:r>
        <w:rPr>
          <w:rStyle w:val="6"/>
          <w:rFonts w:ascii="Times New Roman" w:hAnsi="Times New Roman" w:eastAsia="Arial" w:cs="Times New Roman"/>
          <w:color w:val="000000"/>
          <w:sz w:val="24"/>
          <w:szCs w:val="24"/>
        </w:rPr>
        <w:fldChar w:fldCharType="end"/>
      </w:r>
    </w:p>
    <w:p>
      <w:pPr>
        <w:pStyle w:val="3"/>
        <w:spacing w:line="360" w:lineRule="auto"/>
        <w:jc w:val="both"/>
        <w:rPr>
          <w:rFonts w:ascii="Times New Roman" w:hAnsi="Times New Roman" w:eastAsia="Arial" w:cs="Times New Roman"/>
          <w:color w:val="000000"/>
          <w:sz w:val="24"/>
          <w:szCs w:val="24"/>
        </w:rPr>
      </w:pPr>
      <w:r>
        <w:fldChar w:fldCharType="begin"/>
      </w:r>
      <w:r>
        <w:instrText xml:space="preserve"> HYPERLINK \l "_Toc110005614" </w:instrText>
      </w:r>
      <w:r>
        <w:fldChar w:fldCharType="separate"/>
      </w:r>
      <w:r>
        <w:rPr>
          <w:rStyle w:val="10"/>
          <w:rFonts w:ascii="Times New Roman" w:hAnsi="Times New Roman" w:cs="Times New Roman"/>
          <w:color w:val="000000"/>
          <w:sz w:val="24"/>
          <w:szCs w:val="24"/>
        </w:rPr>
        <w:t>3. Conclusion ……………………………………………………………………….</w:t>
      </w:r>
      <w:r>
        <w:rPr>
          <w:rStyle w:val="6"/>
          <w:rFonts w:ascii="Times New Roman" w:hAnsi="Times New Roman" w:eastAsia="Arial" w:cs="Times New Roman"/>
          <w:color w:val="000000"/>
          <w:sz w:val="24"/>
          <w:szCs w:val="24"/>
        </w:rPr>
        <w:t>9</w:t>
      </w:r>
      <w:r>
        <w:rPr>
          <w:rStyle w:val="6"/>
          <w:rFonts w:ascii="Times New Roman" w:hAnsi="Times New Roman" w:eastAsia="Arial" w:cs="Times New Roman"/>
          <w:color w:val="000000"/>
          <w:sz w:val="24"/>
          <w:szCs w:val="24"/>
        </w:rPr>
        <w:fldChar w:fldCharType="end"/>
      </w:r>
    </w:p>
    <w:p>
      <w:pPr>
        <w:pStyle w:val="3"/>
        <w:spacing w:line="360" w:lineRule="auto"/>
        <w:jc w:val="both"/>
        <w:rPr>
          <w:rFonts w:ascii="Times New Roman" w:hAnsi="Times New Roman" w:eastAsia="Arial" w:cs="Times New Roman"/>
          <w:color w:val="000000"/>
          <w:sz w:val="24"/>
          <w:szCs w:val="24"/>
        </w:rPr>
      </w:pPr>
      <w:r>
        <w:fldChar w:fldCharType="begin"/>
      </w:r>
      <w:r>
        <w:instrText xml:space="preserve"> HYPERLINK \l "_Toc110005615" </w:instrText>
      </w:r>
      <w:r>
        <w:fldChar w:fldCharType="separate"/>
      </w:r>
      <w:r>
        <w:rPr>
          <w:rStyle w:val="10"/>
          <w:rFonts w:ascii="Times New Roman" w:hAnsi="Times New Roman" w:cs="Times New Roman"/>
          <w:color w:val="000000"/>
          <w:sz w:val="24"/>
          <w:szCs w:val="24"/>
        </w:rPr>
        <w:t>Reference…………………………………………………………………………...</w:t>
      </w:r>
      <w:r>
        <w:rPr>
          <w:rStyle w:val="6"/>
          <w:rFonts w:ascii="Times New Roman" w:hAnsi="Times New Roman" w:eastAsia="Arial" w:cs="Times New Roman"/>
          <w:color w:val="000000"/>
          <w:sz w:val="24"/>
          <w:szCs w:val="24"/>
        </w:rPr>
        <w:t>10</w:t>
      </w:r>
      <w:r>
        <w:rPr>
          <w:rStyle w:val="6"/>
          <w:rFonts w:ascii="Times New Roman" w:hAnsi="Times New Roman" w:eastAsia="Arial" w:cs="Times New Roman"/>
          <w:color w:val="000000"/>
          <w:sz w:val="24"/>
          <w:szCs w:val="24"/>
        </w:rPr>
        <w:fldChar w:fldCharType="end"/>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Style w:val="2"/>
        <w:numPr>
          <w:ilvl w:val="0"/>
          <w:numId w:val="1"/>
        </w:numPr>
        <w:rPr>
          <w:rFonts w:ascii="Times New Roman" w:hAnsi="Times New Roman" w:cs="Times New Roman"/>
          <w:b/>
          <w:bCs/>
          <w:color w:val="000000" w:themeColor="text1"/>
          <w:kern w:val="36"/>
          <w:sz w:val="24"/>
          <w:szCs w:val="24"/>
          <w14:textFill>
            <w14:solidFill>
              <w14:schemeClr w14:val="tx1"/>
            </w14:solidFill>
          </w14:textFill>
        </w:rPr>
      </w:pPr>
      <w:r>
        <w:rPr>
          <w:rFonts w:ascii="Times New Roman" w:hAnsi="Times New Roman" w:cs="Times New Roman"/>
          <w:b/>
          <w:bCs/>
          <w:color w:val="000000" w:themeColor="text1"/>
          <w:kern w:val="36"/>
          <w:sz w:val="24"/>
          <w:szCs w:val="24"/>
          <w14:textFill>
            <w14:solidFill>
              <w14:schemeClr w14:val="tx1"/>
            </w14:solidFill>
          </w14:textFill>
        </w:rPr>
        <w:t>Introduction</w:t>
      </w:r>
    </w:p>
    <w:p>
      <w:pPr>
        <w:rPr>
          <w:rFonts w:ascii="Times New Roman" w:hAnsi="Times New Roman" w:cs="Times New Roman"/>
          <w:sz w:val="24"/>
          <w:szCs w:val="24"/>
        </w:rPr>
      </w:pPr>
      <w:r>
        <w:rPr>
          <w:rFonts w:ascii="Times New Roman" w:hAnsi="Times New Roman" w:cs="Times New Roman"/>
          <w:sz w:val="24"/>
          <w:szCs w:val="24"/>
        </w:rPr>
        <w:t>Crossrail is a London building project linking several areas. The Crossrail project spans 73 miles and 41 stops. Crossrail will connect Heathrow, Reading, Shenfield, and Abbey Wood. Several things affect this project. Crossrail aims to link 200 million people annually to economic centres. TfL and the UK government are funding this initiative. Innovation and sustainability make this a dream project (Crossrail.co.uk, 2022). Project management determines a project's success or failure. As the project advanced, it encountered setbacks.</w:t>
      </w:r>
    </w:p>
    <w:p>
      <w:pPr>
        <w:rPr>
          <w:rFonts w:ascii="Times New Roman" w:hAnsi="Times New Roman" w:cs="Times New Roman"/>
          <w:sz w:val="24"/>
          <w:szCs w:val="24"/>
        </w:rPr>
      </w:pPr>
      <w:r>
        <w:rPr>
          <w:rFonts w:ascii="Times New Roman" w:hAnsi="Times New Roman" w:cs="Times New Roman"/>
          <w:sz w:val="24"/>
          <w:szCs w:val="24"/>
        </w:rPr>
        <w:t>Project management is the process of defining and managing a project's criteria. Steps in project management include managing continuous activities and resources including staff, funds, IP, and technology. Every project needs a detailed plan of start-to-finish actions. Risks and uncertainties in project development need distinct project management techniques. Crossrail is a huge, risky project. This dream project was managed differently. In this report, I'll examine its early success, major project management milestones, and challenges that led to its failure and nightmare status.</w:t>
      </w:r>
    </w:p>
    <w:p>
      <w:pPr>
        <w:rPr>
          <w:rFonts w:ascii="Times New Roman" w:hAnsi="Times New Roman" w:cs="Times New Roman"/>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t>2.What did I learn from this project?</w:t>
      </w:r>
    </w:p>
    <w:p>
      <w:pPr>
        <w:rPr>
          <w:rFonts w:ascii="Times New Roman" w:hAnsi="Times New Roman" w:cs="Times New Roman"/>
          <w:b/>
          <w:bCs/>
          <w:sz w:val="24"/>
          <w:szCs w:val="24"/>
        </w:rPr>
      </w:pPr>
      <w:r>
        <w:rPr>
          <w:rFonts w:ascii="Times New Roman" w:hAnsi="Times New Roman" w:cs="Times New Roman"/>
          <w:b/>
          <w:bCs/>
          <w:sz w:val="24"/>
          <w:szCs w:val="24"/>
        </w:rPr>
        <w:t>2.1.The project first success</w:t>
      </w:r>
    </w:p>
    <w:p>
      <w:pPr>
        <w:rPr>
          <w:rFonts w:ascii="Times New Roman" w:hAnsi="Times New Roman" w:cs="Times New Roman"/>
          <w:sz w:val="24"/>
          <w:szCs w:val="24"/>
        </w:rPr>
      </w:pPr>
      <w:r>
        <w:rPr>
          <w:rFonts w:ascii="Times New Roman" w:hAnsi="Times New Roman" w:cs="Times New Roman"/>
          <w:sz w:val="24"/>
          <w:szCs w:val="24"/>
        </w:rPr>
        <w:t>Traditional construction management techniques, such as outlining the project design in great detail and soliciting construction bids for individual construction packages, have been linked to the Crossrail project. The organisation has controlled the contingency cost, which has led to the management and mitigation of risk as well as a greater focus on the procurement expenses. In addition, the Responsible Company for the Crossrail project has established a variety of expert committees, each of which is comprised of professionals connected to a particular topic. Activities including as procurement, tunnelling, and railway systems are within the purview of exception committees. The project's materials and supplies have been acquired throughout the course of a period of six months. This evaluation, which results in the measurement of drive collection, measured performance, and shared knowledge, is known as the "Performance Assurance Framework." The framework focused its efforts on the project's key six objectives, which included health and safety, commercial, quality, community relations, social sustainability, and environmental concerns (Medeossi, 2019). It was decided to build a digital representation of the project, which led to the investigation of its construction, design, and future operations, in addition to traditional techniques. Because of this, the methodology was given the label "digital twin." Every contractor that is a part of the Crossrail project is given access to various software and Crossrail procedures as part of the stringent standards and criteria that have been established by Crossrail Ltd. for the purpose of making certain that the Crossrail project runs efficiently.</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drawing>
          <wp:inline distT="0" distB="0" distL="0" distR="0">
            <wp:extent cx="5245100" cy="3911600"/>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pic:cNvPicPr>
                  </pic:nvPicPr>
                  <pic:blipFill>
                    <a:blip r:embed="rId4"/>
                    <a:stretch>
                      <a:fillRect/>
                    </a:stretch>
                  </pic:blipFill>
                  <pic:spPr>
                    <a:xfrm>
                      <a:off x="0" y="0"/>
                      <a:ext cx="5245100" cy="3911600"/>
                    </a:xfrm>
                    <a:prstGeom prst="rect">
                      <a:avLst/>
                    </a:prstGeom>
                  </pic:spPr>
                </pic:pic>
              </a:graphicData>
            </a:graphic>
          </wp:inline>
        </w:drawing>
      </w:r>
    </w:p>
    <w:p>
      <w:pPr>
        <w:rPr>
          <w:rFonts w:ascii="Times New Roman" w:hAnsi="Times New Roman" w:cs="Times New Roman"/>
          <w:sz w:val="24"/>
          <w:szCs w:val="24"/>
        </w:rPr>
      </w:pPr>
      <w:r>
        <w:rPr>
          <w:rFonts w:ascii="Times New Roman" w:hAnsi="Times New Roman" w:cs="Times New Roman"/>
          <w:sz w:val="24"/>
          <w:szCs w:val="24"/>
        </w:rPr>
        <w:t>The Crossrail-Bentley Information Academy, Innovate 18, and learning legacy are just a few examples of the key advancements that have been established recently. The techniques have helped to streamline operations for a variety of other tasks. The Crossrail-Bentley Information Academy has been effective in developing a synergy between the physical model and the digital model, which has resulted in an increase in the amount of innovation seen in the operating process. This connection has been established between Crossrail Limited and Bentley Systems. It has been said that Crossrail has a distinct plan for simultaneously acquiring a physical and a virtual image of the project at the same time. Enhanced project delivery is one of the goals that may be assisted in achieving by implementing this vision. Building Information Modelling (also known as BIM) and Common Data Environment were both included by Crossrail as a result of this partnership (CDE). Because of this, there has been an increase in the creation of creative engineering design contributions, a reduction in the amount of trash produced, and a decrease in the costs of future railway maintenance. In the realm of digitization and information technology, Brentley is responsible for ensuring that Crossrail has been following, creating, and documenting best practises (Lobo and Abid, 2020). In addition, BIM has been helpful in tying together various project bases, as well as in conducting construction review and briefing sessions. The use of this digital twin helped to ensure that the decision-making process was successful.</w:t>
      </w:r>
    </w:p>
    <w:p>
      <w:pPr>
        <w:rPr>
          <w:rFonts w:ascii="Times New Roman" w:hAnsi="Times New Roman" w:cs="Times New Roman"/>
          <w:sz w:val="24"/>
          <w:szCs w:val="24"/>
        </w:rPr>
      </w:pPr>
      <w:r>
        <w:rPr>
          <w:rFonts w:ascii="Times New Roman" w:hAnsi="Times New Roman" w:cs="Times New Roman"/>
          <w:sz w:val="24"/>
          <w:szCs w:val="24"/>
        </w:rPr>
        <w:t>The initiative would not be possible without the contributions of Innovate 18 and Learning Legacy. It has been brought to my attention that Innovate 18 is based on the concept of facilitating the sharing, as well as the acquisition and dissemination of information and ideas, across various groups. According to my analysis, this platform does a good job of linking various representative groups of civil engineers, construction Leadership councils, and global commercial organisations. Innovators have benefited from the guidance that Innovate 18 has provided about factors such as health and safety, digital-physical integration, viable solutions, and delivery efficiency. In order to disseminate the lessons learned from the project, a document titled "Crossline Learning Legacy" has been prepared (Crossrail.co.uk, 2022). This covers a variety of information from the previous stages of the project, such as the planning and processes. use of a variety of tools, case studies, and documentation outlining best practises</w:t>
      </w:r>
    </w:p>
    <w:p>
      <w:pPr>
        <w:rPr>
          <w:rFonts w:ascii="Times New Roman" w:hAnsi="Times New Roman" w:cs="Times New Roman"/>
          <w:sz w:val="24"/>
          <w:szCs w:val="24"/>
        </w:rPr>
      </w:pPr>
      <w:r>
        <w:rPr>
          <w:rFonts w:ascii="Times New Roman" w:hAnsi="Times New Roman" w:cs="Times New Roman"/>
          <w:sz w:val="24"/>
          <w:szCs w:val="24"/>
        </w:rPr>
        <w:t>The ability of the project to be sustained.</w:t>
      </w:r>
    </w:p>
    <w:p>
      <w:pPr>
        <w:rPr>
          <w:rFonts w:ascii="Times New Roman" w:hAnsi="Times New Roman" w:cs="Times New Roman"/>
          <w:sz w:val="24"/>
          <w:szCs w:val="24"/>
        </w:rPr>
      </w:pPr>
      <w:r>
        <w:rPr>
          <w:rFonts w:ascii="Times New Roman" w:hAnsi="Times New Roman" w:cs="Times New Roman"/>
          <w:sz w:val="24"/>
          <w:szCs w:val="24"/>
        </w:rPr>
        <w:drawing>
          <wp:inline distT="0" distB="0" distL="0" distR="0">
            <wp:extent cx="5731510" cy="3400425"/>
            <wp:effectExtent l="0" t="0" r="0" b="317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pic:cNvPicPr>
                  </pic:nvPicPr>
                  <pic:blipFill>
                    <a:blip r:embed="rId5"/>
                    <a:stretch>
                      <a:fillRect/>
                    </a:stretch>
                  </pic:blipFill>
                  <pic:spPr>
                    <a:xfrm>
                      <a:off x="0" y="0"/>
                      <a:ext cx="5731510" cy="3400425"/>
                    </a:xfrm>
                    <a:prstGeom prst="rect">
                      <a:avLst/>
                    </a:prstGeom>
                  </pic:spPr>
                </pic:pic>
              </a:graphicData>
            </a:graphic>
          </wp:inline>
        </w:drawing>
      </w:r>
    </w:p>
    <w:p>
      <w:pPr>
        <w:rPr>
          <w:rFonts w:ascii="Times New Roman" w:hAnsi="Times New Roman" w:cs="Times New Roman"/>
          <w:sz w:val="24"/>
          <w:szCs w:val="24"/>
        </w:rPr>
      </w:pPr>
      <w:r>
        <w:rPr>
          <w:rFonts w:ascii="Times New Roman" w:hAnsi="Times New Roman" w:cs="Times New Roman"/>
          <w:sz w:val="24"/>
          <w:szCs w:val="24"/>
        </w:rPr>
        <w:t>Initial project success is sustainability. It helps economic and environmental sustainability. It's anticipated to earn £42 billion over 60 years. It will increase London's property value by £10.6 billion. Crossrail construction initiatives created approximately 55,000 jobs in the UK and engaged local suppliers, boosting the economy. Crossrail Ltd. aims to recycle 99 percent of excavation trash in parks and wetlands. 39% of project emissions are recycled, and 83% are filtered by emission control technology. The initiative sought to reduce carbon emissions by 8% but achieved 18%. (Nao.org.uk, 2022a). This has been made feasible by a tool that helps contractors pick target instruments to attain their goal. The project reduced energy utilisation. LED light bulbs reduce life cycle costs and carbon emissions. Construction reduces CO2 emissions by 32%.</w:t>
      </w:r>
    </w:p>
    <w:p>
      <w:pPr>
        <w:rPr>
          <w:rFonts w:ascii="Times New Roman" w:hAnsi="Times New Roman" w:cs="Times New Roman"/>
          <w:b/>
          <w:bCs/>
          <w:sz w:val="24"/>
          <w:szCs w:val="24"/>
        </w:rPr>
      </w:pPr>
      <w:r>
        <w:rPr>
          <w:rFonts w:ascii="Times New Roman" w:hAnsi="Times New Roman" w:cs="Times New Roman"/>
          <w:b/>
          <w:bCs/>
          <w:sz w:val="24"/>
          <w:szCs w:val="24"/>
        </w:rPr>
        <w:t>2.2. Key project management actions</w:t>
      </w:r>
    </w:p>
    <w:p>
      <w:pPr>
        <w:rPr>
          <w:rFonts w:ascii="Times New Roman" w:hAnsi="Times New Roman" w:cs="Times New Roman"/>
          <w:sz w:val="24"/>
          <w:szCs w:val="24"/>
        </w:rPr>
      </w:pPr>
      <w:r>
        <w:rPr>
          <w:rFonts w:ascii="Times New Roman" w:hAnsi="Times New Roman" w:cs="Times New Roman"/>
          <w:sz w:val="24"/>
          <w:szCs w:val="24"/>
        </w:rPr>
        <w:t>Project management is continuous from the beginning to the completion of a project and is related with major phases that define the project cycle. Project managers play a key role in establishing the project's deliverables at the core of any project management. The various phases of the project management life cycle will be highlighted. Project management is divided into five stages: Initiation, Planning, Execution, Maintenance, and Closure. The first and most important stage in identifying the project's deliverables is project start. This stage will include testing and research that can be done. This stage often involves documenting the project's requirements and initiation paperwork. Stakeholder analysis, business requirements, and business care are also included in this stage (San Cristóbal et al. 2018). Second, project planning creates a project's roadmap and determines the project's success. An important objective of this stage is to organise teams and pool resources. Certain frameworks, like SMART objectives, may help a project accomplish its important goals. The project scope, work breakdown structure, communication strategy, and risk assessment are all included.</w:t>
      </w:r>
    </w:p>
    <w:p>
      <w:pPr>
        <w:rPr>
          <w:rFonts w:ascii="Times New Roman" w:hAnsi="Times New Roman" w:cs="Times New Roman"/>
          <w:sz w:val="24"/>
          <w:szCs w:val="24"/>
        </w:rPr>
      </w:pPr>
      <w:r>
        <w:rPr>
          <w:rFonts w:ascii="Times New Roman" w:hAnsi="Times New Roman" w:cs="Times New Roman"/>
          <w:sz w:val="24"/>
          <w:szCs w:val="24"/>
        </w:rPr>
        <w:t>Thirdly, the project's execution aided in the team's growth and the rivalry for deliverables. It comprises evaluation of various reports, transitions, and updates that help with performance and monitoring. This stage involves introducing the project, building the team, allocating resources, carrying out the project plan, managing the procurement process, setting up tracking systems, scheduling tasks, and, if necessary, altering the plan. A crucial stage in determining Key Performance Indicators is project monitoring and performance evaluation. Project goals, high-quality deliverables, monitoring of costs and efficiency, and project performance are some of these indicators. Project closing is the last stage, where meetings review success and failure. This stage identifies if the project went successfully and where it needs to be improved. There is a developed and recorded final project report. Every contractor working on the project has access to various Crossrail and software procedures thanks to Crossrail Ltd's tight standards and requirements (Larsson, 2020). Crossrail clearly sees the project as having a simultaneous physical and virtual vision. Innovation has been aided through Innovate 18.</w:t>
      </w:r>
    </w:p>
    <w:p>
      <w:pPr>
        <w:rPr>
          <w:rFonts w:ascii="Times New Roman" w:hAnsi="Times New Roman" w:cs="Times New Roman"/>
          <w:sz w:val="24"/>
          <w:szCs w:val="24"/>
        </w:rPr>
      </w:pPr>
      <w:r>
        <w:rPr>
          <w:rFonts w:ascii="Times New Roman" w:hAnsi="Times New Roman" w:cs="Times New Roman"/>
          <w:sz w:val="24"/>
          <w:szCs w:val="24"/>
        </w:rPr>
        <w:t>There are several traits that successful project management is said to possess. According to my analysis, a project may be deemed successful if it meets the business needs, is delivered on time and kept to plan, is delivered and kept to budget, and delivers the projected value. The project's success is influenced by a variety of elements, and it has been highlighted that good project management is a crucial first step. I've emphasised a few elements that are necessary for a project to succeed. Setting specific, comprehensible objectives and thorough preparation are some of the most crucial and careful considerations. The main prerequisites of each project are the determination of deliverability using early criteria, carefully planned implementation, clear technical specifications, realistic estimates, and process scheduling (Lauer, 2021). For a project to be successful, standard software infrastructure and the creation of a formal system methodology are required. The last important factor for success is personnel, which includes a capable team and committee.</w:t>
      </w:r>
    </w:p>
    <w:p>
      <w:pPr>
        <w:rPr>
          <w:rFonts w:ascii="Times New Roman" w:hAnsi="Times New Roman" w:cs="Times New Roman"/>
          <w:sz w:val="24"/>
          <w:szCs w:val="24"/>
        </w:rPr>
      </w:pPr>
      <w:r>
        <w:rPr>
          <w:rFonts w:ascii="Times New Roman" w:hAnsi="Times New Roman" w:cs="Times New Roman"/>
          <w:sz w:val="24"/>
          <w:szCs w:val="24"/>
        </w:rPr>
        <w:t>Additionally, I've noted a few elements that can cause a project to fail. Incomplete requirements and a lack of stakeholder involvement are the main causes. The project's stakeholders must have a meaningful impact and access to details about every procedure created or followed throughout project development. Project failures are a result of insufficient planning and ineffective quality assurance or control procedures. Technology has a significant role in the success of a project. However, technical inexperience, a lack of resources, and unreasonable expectations may cause a project to be crippled and associated with other goals (Antony, 2018). Uncertain goals, arbitrary deadlines, and unproven technologies will all have a big impact on a project's failure.</w:t>
      </w:r>
    </w:p>
    <w:p>
      <w:pPr>
        <w:rPr>
          <w:rFonts w:ascii="Times New Roman" w:hAnsi="Times New Roman" w:cs="Times New Roman"/>
          <w:b/>
          <w:bCs/>
          <w:sz w:val="24"/>
          <w:szCs w:val="24"/>
        </w:rPr>
      </w:pPr>
      <w:r>
        <w:rPr>
          <w:rFonts w:ascii="Times New Roman" w:hAnsi="Times New Roman" w:cs="Times New Roman"/>
          <w:b/>
          <w:bCs/>
          <w:sz w:val="24"/>
          <w:szCs w:val="24"/>
        </w:rPr>
        <w:t>2.3.</w:t>
      </w:r>
      <w:r>
        <w:t xml:space="preserve"> </w:t>
      </w:r>
      <w:r>
        <w:rPr>
          <w:rFonts w:ascii="Times New Roman" w:hAnsi="Times New Roman" w:cs="Times New Roman"/>
          <w:b/>
          <w:bCs/>
          <w:sz w:val="24"/>
          <w:szCs w:val="24"/>
        </w:rPr>
        <w:t>Problems that contributed to Crossrail 9's project collapse</w:t>
      </w:r>
    </w:p>
    <w:p>
      <w:pPr>
        <w:rPr>
          <w:rFonts w:ascii="Times New Roman" w:hAnsi="Times New Roman" w:cs="Times New Roman"/>
          <w:sz w:val="24"/>
          <w:szCs w:val="24"/>
        </w:rPr>
      </w:pPr>
      <w:r>
        <w:rPr>
          <w:rFonts w:ascii="Times New Roman" w:hAnsi="Times New Roman" w:cs="Times New Roman"/>
          <w:sz w:val="24"/>
          <w:szCs w:val="24"/>
        </w:rPr>
        <w:t>It was determined that the project will be finished by the year 2018. Despite this, it was delayed even more. As a consequence of this, Crossrail Ltd. and the donors have given their approval to a more recent schedule of construction and budget. A new management team has been brought in to the work field, and they have begun the management process from the very beginning. It has been said that the project failed to meet its predetermined milestones on many occasions between the years 2019 and 2020. (Ting, 2021). This is due to the fact that Crossrail Ltd. continues to discover and identify a variety of obstacles and problems in the working design. Crossrail Ltd. proceeded with the implementation of a new strategy in order to carry out plans with increased levels of hopeful productivity. In August of 2020, the organisation proceeded to work on establishing a cost projection and a timeline in order to carry out more sets of tasks. It caused a major delay in the completion of the project as a consequence. Lockdown has caused both a delay in the completion of the project as well as an increase in its overall cost.</w:t>
      </w:r>
    </w:p>
    <w:p>
      <w:pPr>
        <w:rPr>
          <w:rFonts w:ascii="Times New Roman" w:hAnsi="Times New Roman" w:cs="Times New Roman"/>
          <w:sz w:val="24"/>
          <w:szCs w:val="24"/>
        </w:rPr>
      </w:pPr>
      <w:r>
        <w:rPr>
          <w:rFonts w:ascii="Times New Roman" w:hAnsi="Times New Roman" w:cs="Times New Roman"/>
          <w:sz w:val="24"/>
          <w:szCs w:val="24"/>
        </w:rPr>
        <w:t>It has been brought to everyone's attention that there has been an increase of 15 percent in the overall cost of the project. In addition, upon the formal announcement of the lockdown, all building work came to a halt for the subsequent nine weeks. Another component that has been discovered is the process of synchronising the work of various systems and assets. There are over 500,000 physical and digital assets that are ready to be put to productive use. The fact that Crossrail Ltd does not have commercial levers with contractors to avoid cost increases and delays in schedules has been highlighted as the most significant disadvantage of the project. Following the year 2019, there will be an additional 19 contracts totaling £1.3 billion (Nao.org.uk, 2022b). As I've said in the past, the personnel available to a project committee is the primary factor that determines how successful it will be. Crossrail was unable to fill the vacant positions of many important positions along the Elizabeth line. It made the process of reestablishing the capabilities and capacities of the working team more difficult.</w:t>
      </w:r>
    </w:p>
    <w:p>
      <w:pPr>
        <w:rPr>
          <w:rFonts w:ascii="Times New Roman" w:hAnsi="Times New Roman" w:cs="Times New Roman"/>
          <w:sz w:val="24"/>
          <w:szCs w:val="24"/>
        </w:rPr>
      </w:pPr>
      <w:r>
        <w:rPr>
          <w:rFonts w:ascii="Times New Roman" w:hAnsi="Times New Roman" w:cs="Times New Roman"/>
          <w:sz w:val="24"/>
          <w:szCs w:val="24"/>
        </w:rPr>
        <w:t>Putting the project into operational use</w:t>
      </w:r>
    </w:p>
    <w:p>
      <w:pPr>
        <w:rPr>
          <w:rFonts w:ascii="Times New Roman" w:hAnsi="Times New Roman" w:cs="Times New Roman"/>
          <w:sz w:val="24"/>
          <w:szCs w:val="24"/>
        </w:rPr>
      </w:pPr>
      <w:r>
        <w:rPr>
          <w:rFonts w:ascii="Times New Roman" w:hAnsi="Times New Roman" w:cs="Times New Roman"/>
          <w:sz w:val="24"/>
          <w:szCs w:val="24"/>
        </w:rPr>
        <w:t>Putting into service the Elizabeth line is dependent on a number of distinct elements, all of which need to be operational at the same time, which adds an additional layer of complication. A variety of organisations, including Network rail, MTRL, and RfLi, have collaborated to divide and distribute the responsibilities associated with the Elizabeth line. Each responsibility has been given a unique objective. It has come to my attention that a shift in responsibility within an organisation causes a considerable amount of delay in the delivery of the service. However, Crossrail has begun its trial runs; the remaining work following the trial runs and operation will begin to become more complicated and will result in the exposure of further dangers. The risk reduction measures will incur extra expenses, which will be added to the overall budget estimate for the project. The cost has been estimated to have increased by anything between 800 million and 1.1 billion pounds (Nao.org.uk, 2022a). Several different actions have not yet been completed, each of which has the potential to contribute to a rise in cost. The results of the operational testing revealed substantial issues that must now be resolved, which will result in an increase in the amount of money spent.</w:t>
      </w:r>
    </w:p>
    <w:p>
      <w:pPr>
        <w:rPr>
          <w:rFonts w:ascii="Times New Roman" w:hAnsi="Times New Roman" w:cs="Times New Roman"/>
          <w:sz w:val="24"/>
          <w:szCs w:val="24"/>
        </w:rPr>
      </w:pPr>
      <w:r>
        <w:rPr>
          <w:rFonts w:ascii="Times New Roman" w:hAnsi="Times New Roman" w:cs="Times New Roman"/>
          <w:sz w:val="24"/>
          <w:szCs w:val="24"/>
        </w:rPr>
        <w:t>obtaining a good return on one's investment</w:t>
      </w:r>
    </w:p>
    <w:p>
      <w:pPr>
        <w:rPr>
          <w:rFonts w:ascii="Times New Roman" w:hAnsi="Times New Roman" w:cs="Times New Roman"/>
          <w:sz w:val="24"/>
          <w:szCs w:val="24"/>
        </w:rPr>
      </w:pPr>
      <w:r>
        <w:rPr>
          <w:rFonts w:ascii="Times New Roman" w:hAnsi="Times New Roman" w:cs="Times New Roman"/>
          <w:sz w:val="24"/>
          <w:szCs w:val="24"/>
        </w:rPr>
        <w:t>In my earlier research, I came to the conclusion that the project would have return value, which will contribute to the cost advantages of the nation. The cost advantages, on the other hand, stemmed from the research conducted between 2011 and 2015 and increased demand for the trains. As a result of the pandemic scenario and the most current statistical data that has been released, it has been seen that the typical pattern of travelling and travel to far-flung locations has decreased. It has been suggested that the existing patterns might potentially have a revenue risk of around 150 million pounds each year (Gsd.harvard.edu, 2022). There are likely more financial advantages that may be derived from this endeavour. Building an easily accessible railway necessitates the use of strategic initiatives such as those that provide advantages to the environment, the economy, and the regeneration process.</w:t>
      </w:r>
    </w:p>
    <w:p>
      <w:pPr>
        <w:rPr>
          <w:rFonts w:ascii="Times New Roman" w:hAnsi="Times New Roman" w:cs="Times New Roman"/>
          <w:b/>
          <w:bCs/>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t>3. Conclusion</w:t>
      </w:r>
    </w:p>
    <w:p>
      <w:r>
        <w:t>It is possible to draw the conclusion that proper project management is essential, consisting of a variety of careful techniques that need to be implemented depending on the circumstances in order to produce effective projects. Both the elements that led to effective project management and those that led to failure are discussed in this paper. If a project meets all of the following criteria, it is regarded as a success: it has met all of the business needs; it has delivered on time and maintained as per schedule; it has delivered and maintained as per the budget; and it has provided the projected value. Insufficient feedback from relevant parties and unfinished needs are by far the most important causes. In the case of the Crossrail projects, both the early success and associated failures have been brought out. But it was agreed that the project would be finished by 2018, and then it slipped even more behind schedule. It has been brought to our attention that the price of the project has gone up by an additional 15%.</w:t>
      </w:r>
    </w:p>
    <w:p>
      <w:r>
        <w:t>It is possible to recommend that a strategic approach needs to be followed in order to reduce the cost increase, delays, and increased risk of the project that is comparable to HS2, which is a massive project that is intended to create high-speed rail links between London and major cities in the Midlands and the North of England. It has also been observed that there is a required absence of communication. It would have been appropriate for the competent department to send a letter to the committee requesting that they encourage more openness and transparency among the delivery entities. The project need to have given some thought to going back through the important programmes to ensure that they are finished on time. In addition, the department that is responsible for making sure that the essential development is completed within the allotted period should get updates at regular intervals. The agency has, in many instances, been unable to determine the underlying causes of problems. All of the stakeholders involved in the project should have participated in an assessment of the situation after 2019, which would have resulted in an action plan that was more condensed and sensitive. It is expected that the total expenditure for the project would reach three billion dollars. The value for money programme that was planned for the project is in jeopardy. As a consequence of this, visible priority ought to have been given to taxpayers throughout the period of increased costs. In addition, a variety of measures, such as examining various risk factors and conducting cost-benefit analyses, has to be taken into consideration in light of the present circumstance.</w:t>
      </w:r>
    </w:p>
    <w:p/>
    <w:p/>
    <w:p/>
    <w:p/>
    <w:p/>
    <w:p/>
    <w:p/>
    <w:p/>
    <w:p/>
    <w:p/>
    <w:p/>
    <w:p/>
    <w:p>
      <w:pPr>
        <w:pStyle w:val="2"/>
        <w:rPr>
          <w:rFonts w:ascii="Times New Roman" w:hAnsi="Times New Roman" w:cs="Times New Roman"/>
          <w:b/>
          <w:bCs/>
          <w:i/>
          <w:iCs/>
          <w:color w:val="000000" w:themeColor="text1"/>
          <w:kern w:val="36"/>
          <w:sz w:val="28"/>
          <w:szCs w:val="28"/>
          <w14:textFill>
            <w14:solidFill>
              <w14:schemeClr w14:val="tx1"/>
            </w14:solidFill>
          </w14:textFill>
        </w:rPr>
      </w:pPr>
      <w:bookmarkStart w:id="0" w:name="_Toc110005615"/>
      <w:bookmarkEnd w:id="0"/>
      <w:r>
        <w:rPr>
          <w:rFonts w:ascii="Times New Roman" w:hAnsi="Times New Roman" w:cs="Times New Roman"/>
          <w:b/>
          <w:bCs/>
          <w:i/>
          <w:iCs/>
          <w:color w:val="000000" w:themeColor="text1"/>
          <w:kern w:val="36"/>
          <w14:textFill>
            <w14:solidFill>
              <w14:schemeClr w14:val="tx1"/>
            </w14:solidFill>
          </w14:textFill>
        </w:rPr>
        <w:t>Reference</w:t>
      </w:r>
    </w:p>
    <w:p>
      <w:pPr>
        <w:shd w:val="clear" w:color="auto" w:fill="FFFFFF"/>
        <w:spacing w:line="360" w:lineRule="auto"/>
        <w:jc w:val="both"/>
        <w:rPr>
          <w:rFonts w:ascii="Times New Roman" w:hAnsi="Times New Roman" w:eastAsia="Arial" w:cs="Times New Roman"/>
          <w:b/>
          <w:bCs/>
          <w:color w:val="000000"/>
          <w:sz w:val="24"/>
          <w:szCs w:val="24"/>
          <w:shd w:val="clear" w:color="auto" w:fill="FFFFFF"/>
        </w:rPr>
      </w:pPr>
      <w:r>
        <w:rPr>
          <w:rFonts w:ascii="Times New Roman" w:hAnsi="Times New Roman" w:eastAsia="Arial" w:cs="Times New Roman"/>
          <w:b/>
          <w:bCs/>
          <w:color w:val="000000"/>
          <w:sz w:val="24"/>
          <w:szCs w:val="24"/>
          <w:shd w:val="clear" w:color="auto" w:fill="FFFFFF"/>
        </w:rPr>
        <w:t>Journals</w:t>
      </w: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Antony, J. and Gupta, S., 2018. Top ten reasons for process improvement project failures. </w:t>
      </w:r>
      <w:r>
        <w:rPr>
          <w:rFonts w:ascii="Times New Roman" w:hAnsi="Times New Roman" w:cs="Times New Roman"/>
          <w:i/>
          <w:iCs/>
          <w:color w:val="000000"/>
          <w:sz w:val="24"/>
          <w:szCs w:val="24"/>
        </w:rPr>
        <w:t>International Journal of Lean Six Sigma</w:t>
      </w:r>
      <w:r>
        <w:rPr>
          <w:rFonts w:ascii="Times New Roman" w:hAnsi="Times New Roman" w:cs="Times New Roman"/>
          <w:color w:val="000000"/>
          <w:sz w:val="24"/>
          <w:szCs w:val="24"/>
        </w:rPr>
        <w:t>.</w:t>
      </w:r>
    </w:p>
    <w:p>
      <w:pPr>
        <w:shd w:val="clear" w:color="auto" w:fill="FFFFFF"/>
        <w:spacing w:line="360" w:lineRule="auto"/>
        <w:jc w:val="both"/>
        <w:rPr>
          <w:rFonts w:ascii="Times New Roman" w:hAnsi="Times New Roman" w:eastAsia="Arial" w:cs="Times New Roman"/>
          <w:color w:val="000000"/>
          <w:sz w:val="24"/>
          <w:szCs w:val="24"/>
          <w:shd w:val="clear" w:color="auto" w:fill="FFFFFF"/>
        </w:rPr>
      </w:pPr>
      <w:r>
        <w:rPr>
          <w:rFonts w:ascii="Times New Roman" w:hAnsi="Times New Roman" w:eastAsia="Arial" w:cs="Times New Roman"/>
          <w:color w:val="000000"/>
          <w:sz w:val="24"/>
          <w:szCs w:val="24"/>
          <w:shd w:val="clear" w:color="auto" w:fill="FFFFFF"/>
        </w:rPr>
        <w:t xml:space="preserve">Larsson, J. and Larsson, L., 2020. Integration, application and importance of collaboration in sustainable project management. </w:t>
      </w:r>
      <w:r>
        <w:rPr>
          <w:rFonts w:ascii="Times New Roman" w:hAnsi="Times New Roman" w:eastAsia="Arial" w:cs="Times New Roman"/>
          <w:i/>
          <w:iCs/>
          <w:color w:val="000000"/>
          <w:sz w:val="24"/>
          <w:szCs w:val="24"/>
          <w:shd w:val="clear" w:color="auto" w:fill="FFFFFF"/>
        </w:rPr>
        <w:t>Sustainability</w:t>
      </w:r>
      <w:r>
        <w:rPr>
          <w:rFonts w:ascii="Times New Roman" w:hAnsi="Times New Roman" w:eastAsia="Arial" w:cs="Times New Roman"/>
          <w:color w:val="000000"/>
          <w:sz w:val="24"/>
          <w:szCs w:val="24"/>
          <w:shd w:val="clear" w:color="auto" w:fill="FFFFFF"/>
        </w:rPr>
        <w:t xml:space="preserve">, </w:t>
      </w:r>
      <w:r>
        <w:rPr>
          <w:rFonts w:ascii="Times New Roman" w:hAnsi="Times New Roman" w:eastAsia="Arial" w:cs="Times New Roman"/>
          <w:i/>
          <w:iCs/>
          <w:color w:val="000000"/>
          <w:sz w:val="24"/>
          <w:szCs w:val="24"/>
          <w:shd w:val="clear" w:color="auto" w:fill="FFFFFF"/>
        </w:rPr>
        <w:t>12</w:t>
      </w:r>
      <w:r>
        <w:rPr>
          <w:rFonts w:ascii="Times New Roman" w:hAnsi="Times New Roman" w:eastAsia="Arial" w:cs="Times New Roman"/>
          <w:color w:val="000000"/>
          <w:sz w:val="24"/>
          <w:szCs w:val="24"/>
          <w:shd w:val="clear" w:color="auto" w:fill="FFFFFF"/>
        </w:rPr>
        <w:t>(2), p.585.</w:t>
      </w:r>
    </w:p>
    <w:p>
      <w:pPr>
        <w:shd w:val="clear" w:color="auto" w:fill="FFFFFF"/>
        <w:spacing w:line="360" w:lineRule="auto"/>
        <w:jc w:val="both"/>
        <w:rPr>
          <w:rFonts w:ascii="Times New Roman" w:hAnsi="Times New Roman" w:eastAsia="Arial" w:cs="Times New Roman"/>
          <w:color w:val="000000"/>
          <w:sz w:val="24"/>
          <w:szCs w:val="24"/>
          <w:shd w:val="clear" w:color="auto" w:fill="FFFFFF"/>
        </w:rPr>
      </w:pPr>
      <w:r>
        <w:rPr>
          <w:rFonts w:ascii="Times New Roman" w:hAnsi="Times New Roman" w:eastAsia="Arial" w:cs="Times New Roman"/>
          <w:color w:val="000000"/>
          <w:sz w:val="24"/>
          <w:szCs w:val="24"/>
          <w:shd w:val="clear" w:color="auto" w:fill="FFFFFF"/>
        </w:rPr>
        <w:t xml:space="preserve">Lauer, T., 2021. Success factor project management: managing complexity correctly. In </w:t>
      </w:r>
      <w:r>
        <w:rPr>
          <w:rFonts w:ascii="Times New Roman" w:hAnsi="Times New Roman" w:eastAsia="Arial" w:cs="Times New Roman"/>
          <w:i/>
          <w:iCs/>
          <w:color w:val="000000"/>
          <w:sz w:val="24"/>
          <w:szCs w:val="24"/>
          <w:shd w:val="clear" w:color="auto" w:fill="FFFFFF"/>
        </w:rPr>
        <w:t>Change Management</w:t>
      </w:r>
      <w:r>
        <w:rPr>
          <w:rFonts w:ascii="Times New Roman" w:hAnsi="Times New Roman" w:eastAsia="Arial" w:cs="Times New Roman"/>
          <w:color w:val="000000"/>
          <w:sz w:val="24"/>
          <w:szCs w:val="24"/>
          <w:shd w:val="clear" w:color="auto" w:fill="FFFFFF"/>
        </w:rPr>
        <w:t xml:space="preserve"> (pp. 185-201). Springer, Berlin, Heidelberg.</w:t>
      </w: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Lobo, S. and Abid, A.F., 2020. The role of social media in intrastakeholder strategies to influence decision making in a UK infrastructure megaproject: Crossrail 2. </w:t>
      </w:r>
      <w:r>
        <w:rPr>
          <w:rFonts w:ascii="Times New Roman" w:hAnsi="Times New Roman" w:cs="Times New Roman"/>
          <w:i/>
          <w:iCs/>
          <w:color w:val="000000"/>
          <w:sz w:val="24"/>
          <w:szCs w:val="24"/>
        </w:rPr>
        <w:t>Project Management Journal</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51</w:t>
      </w:r>
      <w:r>
        <w:rPr>
          <w:rFonts w:ascii="Times New Roman" w:hAnsi="Times New Roman" w:cs="Times New Roman"/>
          <w:color w:val="000000"/>
          <w:sz w:val="24"/>
          <w:szCs w:val="24"/>
        </w:rPr>
        <w:t>(1), pp.96-119.</w:t>
      </w:r>
    </w:p>
    <w:p>
      <w:pPr>
        <w:shd w:val="clear" w:color="auto" w:fill="FFFFFF"/>
        <w:spacing w:line="360" w:lineRule="auto"/>
        <w:jc w:val="both"/>
        <w:rPr>
          <w:rFonts w:ascii="Times New Roman" w:hAnsi="Times New Roman" w:eastAsia="Arial" w:cs="Times New Roman"/>
          <w:color w:val="000000"/>
          <w:sz w:val="24"/>
          <w:szCs w:val="24"/>
          <w:shd w:val="clear" w:color="auto" w:fill="FFFFFF"/>
        </w:rPr>
      </w:pPr>
      <w:r>
        <w:rPr>
          <w:rFonts w:ascii="Times New Roman" w:hAnsi="Times New Roman" w:eastAsia="Arial" w:cs="Times New Roman"/>
          <w:color w:val="000000"/>
          <w:sz w:val="24"/>
          <w:szCs w:val="24"/>
          <w:shd w:val="clear" w:color="auto" w:fill="FFFFFF"/>
        </w:rPr>
        <w:t xml:space="preserve">Medeossi, G. and Nash, A., 2020. Reducing Delays on High-Density Railway Lines: London–Shenfield Case Study. </w:t>
      </w:r>
      <w:r>
        <w:rPr>
          <w:rFonts w:ascii="Times New Roman" w:hAnsi="Times New Roman" w:eastAsia="Arial" w:cs="Times New Roman"/>
          <w:i/>
          <w:iCs/>
          <w:color w:val="000000"/>
          <w:sz w:val="24"/>
          <w:szCs w:val="24"/>
          <w:shd w:val="clear" w:color="auto" w:fill="FFFFFF"/>
        </w:rPr>
        <w:t>Transportation Research Record</w:t>
      </w:r>
      <w:r>
        <w:rPr>
          <w:rFonts w:ascii="Times New Roman" w:hAnsi="Times New Roman" w:eastAsia="Arial" w:cs="Times New Roman"/>
          <w:color w:val="000000"/>
          <w:sz w:val="24"/>
          <w:szCs w:val="24"/>
          <w:shd w:val="clear" w:color="auto" w:fill="FFFFFF"/>
        </w:rPr>
        <w:t xml:space="preserve">, </w:t>
      </w:r>
      <w:r>
        <w:rPr>
          <w:rFonts w:ascii="Times New Roman" w:hAnsi="Times New Roman" w:eastAsia="Arial" w:cs="Times New Roman"/>
          <w:i/>
          <w:iCs/>
          <w:color w:val="000000"/>
          <w:sz w:val="24"/>
          <w:szCs w:val="24"/>
          <w:shd w:val="clear" w:color="auto" w:fill="FFFFFF"/>
        </w:rPr>
        <w:t>2674</w:t>
      </w:r>
      <w:r>
        <w:rPr>
          <w:rFonts w:ascii="Times New Roman" w:hAnsi="Times New Roman" w:eastAsia="Arial" w:cs="Times New Roman"/>
          <w:color w:val="000000"/>
          <w:sz w:val="24"/>
          <w:szCs w:val="24"/>
          <w:shd w:val="clear" w:color="auto" w:fill="FFFFFF"/>
        </w:rPr>
        <w:t>(7), pp.193-205.</w:t>
      </w:r>
    </w:p>
    <w:p>
      <w:pPr>
        <w:shd w:val="clear" w:color="auto" w:fill="FFFFFF"/>
        <w:spacing w:line="360" w:lineRule="auto"/>
        <w:jc w:val="both"/>
        <w:rPr>
          <w:rFonts w:ascii="Times New Roman" w:hAnsi="Times New Roman" w:eastAsia="Arial" w:cs="Times New Roman"/>
          <w:color w:val="000000"/>
          <w:sz w:val="24"/>
          <w:szCs w:val="24"/>
          <w:shd w:val="clear" w:color="auto" w:fill="FFFFFF"/>
        </w:rPr>
      </w:pPr>
      <w:r>
        <w:rPr>
          <w:rFonts w:ascii="Times New Roman" w:hAnsi="Times New Roman" w:eastAsia="Arial" w:cs="Times New Roman"/>
          <w:color w:val="000000"/>
          <w:sz w:val="24"/>
          <w:szCs w:val="24"/>
          <w:shd w:val="clear" w:color="auto" w:fill="FFFFFF"/>
        </w:rPr>
        <w:t xml:space="preserve">San Cristóbal, J.R., Carral, L., Diaz, E., Fraguela, J.A. and Iglesias, G., 2018. Complexity and project management: A general overview. </w:t>
      </w:r>
      <w:r>
        <w:rPr>
          <w:rFonts w:ascii="Times New Roman" w:hAnsi="Times New Roman" w:eastAsia="Arial" w:cs="Times New Roman"/>
          <w:i/>
          <w:iCs/>
          <w:color w:val="000000"/>
          <w:sz w:val="24"/>
          <w:szCs w:val="24"/>
          <w:shd w:val="clear" w:color="auto" w:fill="FFFFFF"/>
        </w:rPr>
        <w:t>Complexity</w:t>
      </w:r>
      <w:r>
        <w:rPr>
          <w:rFonts w:ascii="Times New Roman" w:hAnsi="Times New Roman" w:eastAsia="Arial" w:cs="Times New Roman"/>
          <w:color w:val="000000"/>
          <w:sz w:val="24"/>
          <w:szCs w:val="24"/>
          <w:shd w:val="clear" w:color="auto" w:fill="FFFFFF"/>
        </w:rPr>
        <w:t xml:space="preserve">, </w:t>
      </w:r>
      <w:r>
        <w:rPr>
          <w:rFonts w:ascii="Times New Roman" w:hAnsi="Times New Roman" w:eastAsia="Arial" w:cs="Times New Roman"/>
          <w:i/>
          <w:iCs/>
          <w:color w:val="000000"/>
          <w:sz w:val="24"/>
          <w:szCs w:val="24"/>
          <w:shd w:val="clear" w:color="auto" w:fill="FFFFFF"/>
        </w:rPr>
        <w:t>2018</w:t>
      </w:r>
      <w:r>
        <w:rPr>
          <w:rFonts w:ascii="Times New Roman" w:hAnsi="Times New Roman" w:eastAsia="Arial" w:cs="Times New Roman"/>
          <w:color w:val="000000"/>
          <w:sz w:val="24"/>
          <w:szCs w:val="24"/>
          <w:shd w:val="clear" w:color="auto" w:fill="FFFFFF"/>
        </w:rPr>
        <w:t>.</w:t>
      </w: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Ting, C., Gilson, B. and Black, M., 2021. Developing the 3D geological model for Crossrail 2, London, UK. </w:t>
      </w:r>
      <w:r>
        <w:rPr>
          <w:rFonts w:ascii="Times New Roman" w:hAnsi="Times New Roman" w:cs="Times New Roman"/>
          <w:i/>
          <w:iCs/>
          <w:color w:val="000000"/>
          <w:sz w:val="24"/>
          <w:szCs w:val="24"/>
        </w:rPr>
        <w:t>Quarterly Journal of Engineering Geology and Hydrogeology</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54</w:t>
      </w:r>
      <w:r>
        <w:rPr>
          <w:rFonts w:ascii="Times New Roman" w:hAnsi="Times New Roman" w:cs="Times New Roman"/>
          <w:color w:val="000000"/>
          <w:sz w:val="24"/>
          <w:szCs w:val="24"/>
        </w:rPr>
        <w:t>(2).</w:t>
      </w:r>
    </w:p>
    <w:p>
      <w:pPr>
        <w:spacing w:line="360" w:lineRule="auto"/>
        <w:rPr>
          <w:rFonts w:ascii="Times New Roman" w:hAnsi="Times New Roman" w:eastAsia="Arial" w:cs="Times New Roman"/>
          <w:b/>
          <w:bCs/>
          <w:color w:val="000000"/>
          <w:sz w:val="24"/>
          <w:szCs w:val="24"/>
        </w:rPr>
      </w:pPr>
      <w:r>
        <w:rPr>
          <w:rFonts w:ascii="Times New Roman" w:hAnsi="Times New Roman" w:eastAsia="Arial" w:cs="Times New Roman"/>
          <w:b/>
          <w:bCs/>
          <w:color w:val="000000"/>
          <w:sz w:val="24"/>
          <w:szCs w:val="24"/>
        </w:rPr>
        <w:t>Website</w:t>
      </w: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Crossrail.co.uk, 2022 </w:t>
      </w:r>
      <w:r>
        <w:rPr>
          <w:rFonts w:ascii="Times New Roman" w:hAnsi="Times New Roman" w:cs="Times New Roman"/>
          <w:i/>
          <w:iCs/>
          <w:color w:val="000000"/>
          <w:sz w:val="24"/>
          <w:szCs w:val="24"/>
        </w:rPr>
        <w:t>Crossrail Review</w:t>
      </w:r>
      <w:r>
        <w:rPr>
          <w:rFonts w:ascii="Times New Roman" w:hAnsi="Times New Roman" w:cs="Times New Roman"/>
          <w:color w:val="000000"/>
          <w:sz w:val="24"/>
          <w:szCs w:val="24"/>
        </w:rPr>
        <w:t xml:space="preserve"> Available at: https://learninglegacy.crossrail.co.uk [Accessed on 28</w:t>
      </w:r>
      <w:r>
        <w:rPr>
          <w:rFonts w:ascii="Times New Roman" w:hAnsi="Times New Roman" w:cs="Times New Roman"/>
          <w:color w:val="000000"/>
          <w:sz w:val="24"/>
          <w:szCs w:val="24"/>
          <w:vertAlign w:val="superscript"/>
        </w:rPr>
        <w:t>th</w:t>
      </w:r>
      <w:r>
        <w:rPr>
          <w:rFonts w:ascii="Times New Roman" w:hAnsi="Times New Roman" w:cs="Times New Roman"/>
          <w:color w:val="000000"/>
          <w:sz w:val="24"/>
          <w:szCs w:val="24"/>
        </w:rPr>
        <w:t xml:space="preserve"> July]</w:t>
      </w: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Gsd.harvard.edu, 2022 </w:t>
      </w:r>
      <w:r>
        <w:rPr>
          <w:rFonts w:ascii="Times New Roman" w:hAnsi="Times New Roman" w:cs="Times New Roman"/>
          <w:i/>
          <w:iCs/>
          <w:color w:val="000000"/>
          <w:sz w:val="24"/>
          <w:szCs w:val="24"/>
        </w:rPr>
        <w:t>Crossrail -Elizabeth Line London, UK</w:t>
      </w:r>
      <w:r>
        <w:rPr>
          <w:rFonts w:ascii="Times New Roman" w:hAnsi="Times New Roman" w:cs="Times New Roman"/>
          <w:color w:val="000000"/>
          <w:sz w:val="24"/>
          <w:szCs w:val="24"/>
        </w:rPr>
        <w:t xml:space="preserve">  Available at: https://research.gsd.harvard.edu [Accessed on 28</w:t>
      </w:r>
      <w:r>
        <w:rPr>
          <w:rFonts w:ascii="Times New Roman" w:hAnsi="Times New Roman" w:cs="Times New Roman"/>
          <w:color w:val="000000"/>
          <w:sz w:val="24"/>
          <w:szCs w:val="24"/>
          <w:vertAlign w:val="superscript"/>
        </w:rPr>
        <w:t>th</w:t>
      </w:r>
      <w:r>
        <w:rPr>
          <w:rFonts w:ascii="Times New Roman" w:hAnsi="Times New Roman" w:cs="Times New Roman"/>
          <w:color w:val="000000"/>
          <w:sz w:val="24"/>
          <w:szCs w:val="24"/>
        </w:rPr>
        <w:t xml:space="preserve"> July]</w:t>
      </w: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Nao.org.uk, 2022a </w:t>
      </w:r>
      <w:r>
        <w:rPr>
          <w:rFonts w:ascii="Times New Roman" w:hAnsi="Times New Roman" w:cs="Times New Roman"/>
          <w:i/>
          <w:iCs/>
          <w:color w:val="000000"/>
          <w:sz w:val="24"/>
          <w:szCs w:val="24"/>
        </w:rPr>
        <w:t>Crossrail – a progress update (Summary) - National Audit Office</w:t>
      </w:r>
      <w:r>
        <w:rPr>
          <w:rFonts w:ascii="Times New Roman" w:hAnsi="Times New Roman" w:cs="Times New Roman"/>
          <w:color w:val="000000"/>
          <w:sz w:val="24"/>
          <w:szCs w:val="24"/>
        </w:rPr>
        <w:t xml:space="preserve"> Available at: https://www.nao.org.uk [Accessed on 28</w:t>
      </w:r>
      <w:r>
        <w:rPr>
          <w:rFonts w:ascii="Times New Roman" w:hAnsi="Times New Roman" w:cs="Times New Roman"/>
          <w:color w:val="000000"/>
          <w:sz w:val="24"/>
          <w:szCs w:val="24"/>
          <w:vertAlign w:val="superscript"/>
        </w:rPr>
        <w:t>th</w:t>
      </w:r>
      <w:r>
        <w:rPr>
          <w:rFonts w:ascii="Times New Roman" w:hAnsi="Times New Roman" w:cs="Times New Roman"/>
          <w:color w:val="000000"/>
          <w:sz w:val="24"/>
          <w:szCs w:val="24"/>
        </w:rPr>
        <w:t xml:space="preserve"> July]</w:t>
      </w: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Nao.org.uk, 2022b Crossrail - </w:t>
      </w:r>
      <w:r>
        <w:rPr>
          <w:rFonts w:ascii="Times New Roman" w:hAnsi="Times New Roman" w:cs="Times New Roman"/>
          <w:i/>
          <w:iCs/>
          <w:color w:val="000000"/>
          <w:sz w:val="24"/>
          <w:szCs w:val="24"/>
        </w:rPr>
        <w:t xml:space="preserve">National Audit Office </w:t>
      </w:r>
      <w:r>
        <w:rPr>
          <w:rFonts w:ascii="Times New Roman" w:hAnsi="Times New Roman" w:cs="Times New Roman"/>
          <w:color w:val="000000"/>
          <w:sz w:val="24"/>
          <w:szCs w:val="24"/>
        </w:rPr>
        <w:t xml:space="preserve">Available at: </w:t>
      </w:r>
      <w:r>
        <w:fldChar w:fldCharType="begin"/>
      </w:r>
      <w:r>
        <w:instrText xml:space="preserve"> HYPERLINK "https://www.nao.org.uk" </w:instrText>
      </w:r>
      <w:r>
        <w:fldChar w:fldCharType="separate"/>
      </w:r>
      <w:r>
        <w:rPr>
          <w:rStyle w:val="10"/>
          <w:rFonts w:ascii="Times New Roman" w:hAnsi="Times New Roman" w:cs="Times New Roman"/>
          <w:color w:val="000000"/>
          <w:sz w:val="24"/>
          <w:szCs w:val="24"/>
        </w:rPr>
        <w:t>https://www.nao.org.uk</w:t>
      </w:r>
      <w:r>
        <w:rPr>
          <w:rStyle w:val="10"/>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[Accessed on 28</w:t>
      </w:r>
      <w:r>
        <w:rPr>
          <w:rFonts w:ascii="Times New Roman" w:hAnsi="Times New Roman" w:cs="Times New Roman"/>
          <w:color w:val="000000"/>
          <w:sz w:val="24"/>
          <w:szCs w:val="24"/>
          <w:vertAlign w:val="superscript"/>
        </w:rPr>
        <w:t>th</w:t>
      </w:r>
      <w:r>
        <w:rPr>
          <w:rFonts w:ascii="Times New Roman" w:hAnsi="Times New Roman" w:cs="Times New Roman"/>
          <w:color w:val="000000"/>
          <w:sz w:val="24"/>
          <w:szCs w:val="24"/>
        </w:rPr>
        <w:t xml:space="preserve"> July]</w:t>
      </w:r>
    </w:p>
    <w:p>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p/>
    <w:p/>
    <w:p/>
    <w:p>
      <w:pPr>
        <w:rPr>
          <w:rFonts w:ascii="Times New Roman" w:hAnsi="Times New Roman" w:cs="Times New Roman"/>
          <w:sz w:val="24"/>
          <w:szCs w:val="24"/>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Calibri">
    <w:altName w:val="Helvetica Neue"/>
    <w:panose1 w:val="00000000000000000000"/>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mbria Math">
    <w:altName w:val="Kingsoft Math"/>
    <w:panose1 w:val="02040503050406030204"/>
    <w:charset w:val="00"/>
    <w:family w:val="roman"/>
    <w:pitch w:val="default"/>
    <w:sig w:usb0="00000000" w:usb1="00000000" w:usb2="00000000" w:usb3="00000000" w:csb0="0000019F" w:csb1="00000000"/>
  </w:font>
  <w:font w:name="Kingsoft Math">
    <w:panose1 w:val="02040503050406030204"/>
    <w:charset w:val="00"/>
    <w:family w:val="auto"/>
    <w:pitch w:val="default"/>
    <w:sig w:usb0="80000087" w:usb1="00002068"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17662F"/>
    <w:multiLevelType w:val="multilevel"/>
    <w:tmpl w:val="5617662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9B"/>
    <w:rsid w:val="00001A62"/>
    <w:rsid w:val="00007EB4"/>
    <w:rsid w:val="0015689B"/>
    <w:rsid w:val="00185336"/>
    <w:rsid w:val="002775B9"/>
    <w:rsid w:val="003A0DD9"/>
    <w:rsid w:val="0093593A"/>
    <w:rsid w:val="0097580E"/>
    <w:rsid w:val="009F6A8E"/>
    <w:rsid w:val="00ED67D7"/>
    <w:rsid w:val="9E5E83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name="toc 1"/>
    <w:lsdException w:qFormat="1" w:uiPriority="9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3" w:lineRule="auto"/>
    </w:pPr>
    <w:rPr>
      <w:rFonts w:ascii="Arial" w:hAnsi="Arial" w:eastAsia="Times New Roman" w:cs="Arial"/>
      <w:sz w:val="22"/>
      <w:szCs w:val="22"/>
      <w:lang w:val="en-GB" w:eastAsia="en-GB" w:bidi="ar-SA"/>
    </w:rPr>
  </w:style>
  <w:style w:type="paragraph" w:styleId="2">
    <w:name w:val="heading 1"/>
    <w:basedOn w:val="1"/>
    <w:next w:val="1"/>
    <w:link w:val="8"/>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character" w:default="1" w:styleId="5">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toc 1"/>
    <w:basedOn w:val="1"/>
    <w:next w:val="1"/>
    <w:unhideWhenUsed/>
    <w:qFormat/>
    <w:uiPriority w:val="99"/>
    <w:pPr>
      <w:spacing w:before="100" w:beforeAutospacing="1" w:after="100"/>
    </w:pPr>
  </w:style>
  <w:style w:type="paragraph" w:styleId="4">
    <w:name w:val="toc 2"/>
    <w:basedOn w:val="1"/>
    <w:next w:val="1"/>
    <w:unhideWhenUsed/>
    <w:qFormat/>
    <w:uiPriority w:val="99"/>
    <w:pPr>
      <w:spacing w:before="100" w:beforeAutospacing="1" w:after="100"/>
      <w:ind w:left="220"/>
    </w:pPr>
  </w:style>
  <w:style w:type="character" w:styleId="6">
    <w:name w:val="Hyperlink"/>
    <w:basedOn w:val="5"/>
    <w:unhideWhenUsed/>
    <w:qFormat/>
    <w:uiPriority w:val="99"/>
    <w:rPr>
      <w:color w:val="0000FF"/>
      <w:u w:val="single"/>
    </w:rPr>
  </w:style>
  <w:style w:type="character" w:customStyle="1" w:styleId="8">
    <w:name w:val="Heading 1 Char"/>
    <w:basedOn w:val="5"/>
    <w:link w:val="2"/>
    <w:qFormat/>
    <w:uiPriority w:val="9"/>
    <w:rPr>
      <w:rFonts w:asciiTheme="majorHAnsi" w:hAnsiTheme="majorHAnsi" w:eastAsiaTheme="majorEastAsia" w:cstheme="majorBidi"/>
      <w:color w:val="2F5597" w:themeColor="accent1" w:themeShade="BF"/>
      <w:sz w:val="32"/>
      <w:szCs w:val="32"/>
      <w:lang w:eastAsia="en-GB"/>
    </w:rPr>
  </w:style>
  <w:style w:type="paragraph" w:customStyle="1" w:styleId="9">
    <w:name w:val="TOC Heading"/>
    <w:basedOn w:val="2"/>
    <w:next w:val="1"/>
    <w:qFormat/>
    <w:uiPriority w:val="39"/>
    <w:pPr>
      <w:widowControl w:val="0"/>
      <w:spacing w:before="480"/>
      <w:outlineLvl w:val="9"/>
    </w:pPr>
    <w:rPr>
      <w:rFonts w:ascii="Calibri" w:hAnsi="Calibri" w:eastAsia="SimSun" w:cs="Times New Roman"/>
      <w:b/>
      <w:bCs/>
      <w:color w:val="366091"/>
      <w:sz w:val="28"/>
      <w:szCs w:val="28"/>
    </w:rPr>
  </w:style>
  <w:style w:type="character" w:customStyle="1" w:styleId="10">
    <w:name w:val="15"/>
    <w:basedOn w:val="5"/>
    <w:qFormat/>
    <w:uiPriority w:val="0"/>
    <w:rPr>
      <w:rFonts w:hint="default" w:ascii="Arial" w:hAnsi="Arial" w:cs="Arial"/>
      <w:color w:val="0000FF"/>
      <w:u w:val="single"/>
    </w:rPr>
  </w:style>
  <w:style w:type="paragraph" w:customStyle="1"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3174</Words>
  <Characters>18096</Characters>
  <Lines>150</Lines>
  <Paragraphs>42</Paragraphs>
  <TotalTime>0</TotalTime>
  <ScaleCrop>false</ScaleCrop>
  <LinksUpToDate>false</LinksUpToDate>
  <CharactersWithSpaces>21228</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2022-07-30T08:58:00Z</dcterms:created>
  <dc:creator>Alina Craciun</dc:creator>
  <cp:lastModifiedBy>owner</cp:lastModifiedBy>
  <dcterms:modified xsi:type="dcterms:W3CDTF">2022-08-03T13:53:41Z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