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6F764" w14:textId="77777777" w:rsidR="00722E1F" w:rsidRDefault="00000000">
      <w:pPr>
        <w:pStyle w:val="Title"/>
      </w:pPr>
      <w:r>
        <w:t>Health and Social Care Innovation Poster &amp; Pitch – Component 2</w:t>
      </w:r>
    </w:p>
    <w:p w14:paraId="395D6868" w14:textId="77777777" w:rsidR="00722E1F" w:rsidRDefault="00000000">
      <w:r>
        <w:t>Name: Alishba Faraz</w:t>
      </w:r>
    </w:p>
    <w:p w14:paraId="4F7B36A5" w14:textId="77777777" w:rsidR="00722E1F" w:rsidRDefault="00000000">
      <w:r>
        <w:t>Student Number: 2319524</w:t>
      </w:r>
    </w:p>
    <w:p w14:paraId="44EC421D" w14:textId="384D0CB6" w:rsidR="00722E1F" w:rsidRDefault="00000000">
      <w:r>
        <w:t>Module Code: BMHP50</w:t>
      </w:r>
      <w:r w:rsidR="00097EF1">
        <w:t>14</w:t>
      </w:r>
    </w:p>
    <w:p w14:paraId="36B13B23" w14:textId="77777777" w:rsidR="00722E1F" w:rsidRDefault="00000000">
      <w:r>
        <w:t>Assignment Title: Health and Social Care Innovation Poster &amp; Pitch</w:t>
      </w:r>
    </w:p>
    <w:p w14:paraId="48367712" w14:textId="2DC894CD" w:rsidR="00722E1F" w:rsidRDefault="00000000">
      <w:r>
        <w:t xml:space="preserve">Date of Submission: </w:t>
      </w:r>
      <w:r w:rsidR="00097EF1">
        <w:t>2</w:t>
      </w:r>
      <w:r w:rsidR="00097EF1" w:rsidRPr="00097EF1">
        <w:rPr>
          <w:vertAlign w:val="superscript"/>
        </w:rPr>
        <w:t>nd</w:t>
      </w:r>
      <w:r w:rsidR="00097EF1">
        <w:t xml:space="preserve"> April 2026</w:t>
      </w:r>
    </w:p>
    <w:p w14:paraId="6C82C0B5" w14:textId="77777777" w:rsidR="00722E1F" w:rsidRDefault="00000000">
      <w:r>
        <w:br w:type="page"/>
      </w:r>
    </w:p>
    <w:p w14:paraId="6F27D16B" w14:textId="77777777" w:rsidR="00722E1F" w:rsidRDefault="00000000">
      <w:pPr>
        <w:pStyle w:val="Heading1"/>
      </w:pPr>
      <w:r>
        <w:lastRenderedPageBreak/>
        <w:t>Table of Contents</w:t>
      </w:r>
    </w:p>
    <w:p w14:paraId="6599E4D7" w14:textId="77777777" w:rsidR="00722E1F" w:rsidRDefault="00000000">
      <w:r>
        <w:t>1. Poster Section – Innovation Overview</w:t>
      </w:r>
    </w:p>
    <w:p w14:paraId="5BECE665" w14:textId="77777777" w:rsidR="00722E1F" w:rsidRDefault="00000000">
      <w:r>
        <w:t xml:space="preserve">   a) Title and Overview</w:t>
      </w:r>
    </w:p>
    <w:p w14:paraId="2A4F85D0" w14:textId="77777777" w:rsidR="00722E1F" w:rsidRDefault="00000000">
      <w:r>
        <w:t xml:space="preserve">   b) Issue / Gaps in Health &amp; Social Care</w:t>
      </w:r>
    </w:p>
    <w:p w14:paraId="47CD3D3A" w14:textId="77777777" w:rsidR="00722E1F" w:rsidRDefault="00000000">
      <w:r>
        <w:t xml:space="preserve">   c) Target Audience and Impact</w:t>
      </w:r>
    </w:p>
    <w:p w14:paraId="27B2AA8C" w14:textId="77777777" w:rsidR="00722E1F" w:rsidRDefault="00000000">
      <w:r>
        <w:t xml:space="preserve">   d) Implementation</w:t>
      </w:r>
    </w:p>
    <w:p w14:paraId="0C45737C" w14:textId="77777777" w:rsidR="00722E1F" w:rsidRDefault="00000000">
      <w:r>
        <w:t xml:space="preserve">   e) Timeline</w:t>
      </w:r>
    </w:p>
    <w:p w14:paraId="5F6C1F7B" w14:textId="77777777" w:rsidR="00722E1F" w:rsidRDefault="00000000">
      <w:r>
        <w:t xml:space="preserve">   f) Development and Regulations</w:t>
      </w:r>
    </w:p>
    <w:p w14:paraId="52009DCE" w14:textId="77777777" w:rsidR="00722E1F" w:rsidRDefault="00000000">
      <w:r>
        <w:t xml:space="preserve">   g) Technology Integration</w:t>
      </w:r>
    </w:p>
    <w:p w14:paraId="7CB2C5CB" w14:textId="77777777" w:rsidR="00722E1F" w:rsidRDefault="00000000">
      <w:r>
        <w:t xml:space="preserve">   h) Dissemination</w:t>
      </w:r>
    </w:p>
    <w:p w14:paraId="715AF467" w14:textId="77777777" w:rsidR="00722E1F" w:rsidRDefault="00000000">
      <w:r>
        <w:t xml:space="preserve">   i) Conclusion</w:t>
      </w:r>
    </w:p>
    <w:p w14:paraId="495F16C4" w14:textId="77777777" w:rsidR="00722E1F" w:rsidRDefault="00000000">
      <w:r>
        <w:t>2. Pitch Section – In-Depth Narrative</w:t>
      </w:r>
    </w:p>
    <w:p w14:paraId="5FF94713" w14:textId="77777777" w:rsidR="00722E1F" w:rsidRDefault="00000000">
      <w:r>
        <w:t xml:space="preserve">   a) Introduction</w:t>
      </w:r>
    </w:p>
    <w:p w14:paraId="792896FD" w14:textId="77777777" w:rsidR="00722E1F" w:rsidRDefault="00000000">
      <w:r>
        <w:t xml:space="preserve">   b) Target Demographic</w:t>
      </w:r>
    </w:p>
    <w:p w14:paraId="2535681D" w14:textId="77777777" w:rsidR="00722E1F" w:rsidRDefault="00000000">
      <w:r>
        <w:t xml:space="preserve">   c) Policy, Legislation, and Professional Services</w:t>
      </w:r>
    </w:p>
    <w:p w14:paraId="0CE7F249" w14:textId="77777777" w:rsidR="00722E1F" w:rsidRDefault="00000000">
      <w:r>
        <w:t xml:space="preserve">   d) Innovation Benefits and Public Involvement</w:t>
      </w:r>
    </w:p>
    <w:p w14:paraId="39469484" w14:textId="77777777" w:rsidR="00722E1F" w:rsidRDefault="00000000">
      <w:r>
        <w:t xml:space="preserve">   e) Implementation Strategy</w:t>
      </w:r>
    </w:p>
    <w:p w14:paraId="63BC560E" w14:textId="77777777" w:rsidR="00722E1F" w:rsidRDefault="00000000">
      <w:r>
        <w:t xml:space="preserve">   f) Technological Advantages</w:t>
      </w:r>
    </w:p>
    <w:p w14:paraId="4B3E4993" w14:textId="77777777" w:rsidR="00722E1F" w:rsidRDefault="00000000">
      <w:r>
        <w:t xml:space="preserve">   g) Promotion and Dissemination Strategy</w:t>
      </w:r>
    </w:p>
    <w:p w14:paraId="2F997B39" w14:textId="77777777" w:rsidR="00722E1F" w:rsidRDefault="00000000">
      <w:r>
        <w:t xml:space="preserve">   h) Anticipated Outcomes</w:t>
      </w:r>
    </w:p>
    <w:p w14:paraId="2E1905FC" w14:textId="77777777" w:rsidR="00722E1F" w:rsidRDefault="00000000">
      <w:r>
        <w:t xml:space="preserve">   i) Conclusion</w:t>
      </w:r>
    </w:p>
    <w:p w14:paraId="11076AF1" w14:textId="77777777" w:rsidR="00722E1F" w:rsidRDefault="00000000">
      <w:r>
        <w:t>3. References</w:t>
      </w:r>
    </w:p>
    <w:p w14:paraId="649E6395" w14:textId="77777777" w:rsidR="00722E1F" w:rsidRDefault="00000000">
      <w:r>
        <w:br w:type="page"/>
      </w:r>
    </w:p>
    <w:p w14:paraId="2B5F48A3" w14:textId="77777777" w:rsidR="00722E1F" w:rsidRDefault="00722E1F"/>
    <w:p w14:paraId="01725236" w14:textId="77777777" w:rsidR="00722E1F" w:rsidRDefault="00000000">
      <w:pPr>
        <w:pStyle w:val="Heading2"/>
      </w:pPr>
      <w:r>
        <w:t>1. Poster Section – Innovation Overview</w:t>
      </w:r>
    </w:p>
    <w:p w14:paraId="19C88F8D" w14:textId="77777777" w:rsidR="00722E1F" w:rsidRDefault="00722E1F"/>
    <w:p w14:paraId="3E37D4F6" w14:textId="77777777" w:rsidR="00722E1F" w:rsidRDefault="00000000">
      <w:pPr>
        <w:pStyle w:val="Heading3"/>
      </w:pPr>
      <w:r>
        <w:t>Title of Innovation</w:t>
      </w:r>
    </w:p>
    <w:p w14:paraId="7EF1C44E" w14:textId="77777777" w:rsidR="00722E1F" w:rsidRDefault="00000000">
      <w:r>
        <w:t>Diabetes Self-Management Digital Companion (DSDC)</w:t>
      </w:r>
    </w:p>
    <w:p w14:paraId="1C04F241" w14:textId="77777777" w:rsidR="00722E1F" w:rsidRDefault="00722E1F"/>
    <w:p w14:paraId="04CE5C4B" w14:textId="77777777" w:rsidR="00722E1F" w:rsidRDefault="00000000">
      <w:pPr>
        <w:pStyle w:val="Heading3"/>
      </w:pPr>
      <w:r>
        <w:t>Innovation Overview</w:t>
      </w:r>
    </w:p>
    <w:p w14:paraId="7BB750F4" w14:textId="77777777" w:rsidR="00722E1F" w:rsidRDefault="00000000">
      <w:r>
        <w:t>The DSDC is an advanced digital platform designed to support patients with Type 2 Diabetes in the UK. Combining a smartphone app, wearable glucose monitoring, and virtual coaching, it empowers patients to manage blood glucose, diet, physical activity, and medication adherence. The platform also allows healthcare professionals to monitor patient progress remotely, facilitating personalized interventions and improving patient outcomes.</w:t>
      </w:r>
    </w:p>
    <w:p w14:paraId="42A9AB2F" w14:textId="77777777" w:rsidR="00722E1F" w:rsidRDefault="00722E1F"/>
    <w:p w14:paraId="0218FE5F" w14:textId="77777777" w:rsidR="00722E1F" w:rsidRDefault="00000000">
      <w:r>
        <w:t>Diabetes prevalence in the UK has risen dramatically, with over 4 million adults currently diagnosed and an estimated 13 million at risk (Diabetes UK, 2025). Current self-management apps often lack real-time integration, AI coaching, and professional oversight, which limits their effectiveness. The DSDC fills this gap by offering a comprehensive, interactive, and patient-centered solution.</w:t>
      </w:r>
    </w:p>
    <w:p w14:paraId="13E34341" w14:textId="77777777" w:rsidR="00722E1F" w:rsidRDefault="00722E1F"/>
    <w:p w14:paraId="1097C5B2" w14:textId="77777777" w:rsidR="00722E1F" w:rsidRDefault="00000000">
      <w:pPr>
        <w:pStyle w:val="Heading3"/>
      </w:pPr>
      <w:r>
        <w:t>Issue / Gaps in Health &amp; Social Care</w:t>
      </w:r>
    </w:p>
    <w:p w14:paraId="2988072C" w14:textId="77777777" w:rsidR="00722E1F" w:rsidRDefault="00000000">
      <w:r>
        <w:t>Patients often struggle to maintain consistent self-monitoring, which increases the risk of complications such as cardiovascular disease, neuropathy, and kidney failure. Hospital admissions due to poorly managed diabetes place a significant burden on NHS resources, costing an estimated £10 billion annually. Many existing apps provide static tracking without integrating predictive analytics or clinical guidance, leaving patients without personalized support.</w:t>
      </w:r>
    </w:p>
    <w:p w14:paraId="6287DDBA" w14:textId="77777777" w:rsidR="00722E1F" w:rsidRDefault="00722E1F"/>
    <w:p w14:paraId="115211FF" w14:textId="77777777" w:rsidR="00722E1F" w:rsidRDefault="00000000">
      <w:r>
        <w:t>Case studies show that patients with low digital literacy or limited access to professional guidance frequently fail to achieve target HbA1c levels, highlighting the need for a supportive, integrated solution. The DSDC addresses these gaps by combining wearable monitoring, AI-driven coaching, and professional oversight.</w:t>
      </w:r>
    </w:p>
    <w:p w14:paraId="14892CEB" w14:textId="77777777" w:rsidR="00722E1F" w:rsidRDefault="00722E1F"/>
    <w:p w14:paraId="6D8CFF92" w14:textId="77777777" w:rsidR="00722E1F" w:rsidRDefault="00000000">
      <w:pPr>
        <w:pStyle w:val="Heading3"/>
      </w:pPr>
      <w:r>
        <w:t>Target Audience and Impact</w:t>
      </w:r>
    </w:p>
    <w:p w14:paraId="553579D3" w14:textId="77777777" w:rsidR="00722E1F" w:rsidRDefault="00000000">
      <w:r>
        <w:t xml:space="preserve">Primary users: Adults aged 40–70 diagnosed with Type 2 Diabetes.  </w:t>
      </w:r>
    </w:p>
    <w:p w14:paraId="7F8F822B" w14:textId="77777777" w:rsidR="00722E1F" w:rsidRDefault="00000000">
      <w:r>
        <w:lastRenderedPageBreak/>
        <w:t>Secondary users: Healthcare professionals including GPs, nurses, dietitians, and diabetes specialists.</w:t>
      </w:r>
    </w:p>
    <w:p w14:paraId="3F81A8C0" w14:textId="77777777" w:rsidR="00722E1F" w:rsidRDefault="00722E1F"/>
    <w:p w14:paraId="6C33B4C6" w14:textId="77777777" w:rsidR="00722E1F" w:rsidRDefault="00000000">
      <w:r>
        <w:t>The innovation impacts patient health, promoting adherence to lifestyle and medication regimens. Quantitative outcomes include a projected 20–25% reduction in emergency hospital admissions, improved HbA1c levels, and enhanced patient satisfaction. Healthcare professionals benefit from real-time dashboards, enabling data-driven decisions and reduced workload.</w:t>
      </w:r>
    </w:p>
    <w:p w14:paraId="16AB06C5" w14:textId="77777777" w:rsidR="00722E1F" w:rsidRDefault="00722E1F"/>
    <w:p w14:paraId="3A2F6A57" w14:textId="77777777" w:rsidR="00722E1F" w:rsidRDefault="00000000">
      <w:pPr>
        <w:pStyle w:val="Heading3"/>
      </w:pPr>
      <w:r>
        <w:t>Implementation</w:t>
      </w:r>
    </w:p>
    <w:p w14:paraId="480F5CFA" w14:textId="77777777" w:rsidR="00722E1F" w:rsidRDefault="00000000">
      <w:r>
        <w:t>The DSDC will be implemented across NHS clinics, primary care facilities, and patient homes. Development involves collaboration with health tech companies, NHS IT departments, and diabetes specialists. Key steps include: patient onboarding, wearable integration, AI-driven personalized coaching, and clinician dashboards for monitoring and intervention.</w:t>
      </w:r>
    </w:p>
    <w:p w14:paraId="106EC6B4" w14:textId="77777777" w:rsidR="00722E1F" w:rsidRDefault="00722E1F"/>
    <w:p w14:paraId="04C99FBE" w14:textId="77777777" w:rsidR="00722E1F" w:rsidRDefault="00000000">
      <w:r>
        <w:t>Additional support includes helpdesk services, instructional videos, online community forums, and virtual consultations to ensure usability across diverse patient demographics. Staff training workshops and patient education sessions will maximize adoption and engagement.</w:t>
      </w:r>
    </w:p>
    <w:p w14:paraId="4601DFEA" w14:textId="77777777" w:rsidR="00722E1F" w:rsidRDefault="00722E1F"/>
    <w:p w14:paraId="50F7EE12" w14:textId="77777777" w:rsidR="00722E1F" w:rsidRDefault="00000000">
      <w:pPr>
        <w:pStyle w:val="Heading3"/>
      </w:pPr>
      <w:r>
        <w:t>Timeline</w:t>
      </w:r>
    </w:p>
    <w:p w14:paraId="52750F1D" w14:textId="77777777" w:rsidR="00722E1F" w:rsidRDefault="00000000">
      <w:r>
        <w:t>| Phase | Duration | Key Activities |</w:t>
      </w:r>
    </w:p>
    <w:p w14:paraId="6FD1BEEC" w14:textId="77777777" w:rsidR="00722E1F" w:rsidRDefault="00000000">
      <w:r>
        <w:t>|-------|---------|----------------|</w:t>
      </w:r>
    </w:p>
    <w:p w14:paraId="5C965972" w14:textId="77777777" w:rsidR="00722E1F" w:rsidRDefault="00000000">
      <w:r>
        <w:t>| Development | 6 months | App coding, AI design, compliance checks |</w:t>
      </w:r>
    </w:p>
    <w:p w14:paraId="0EF2520B" w14:textId="77777777" w:rsidR="00722E1F" w:rsidRDefault="00000000">
      <w:r>
        <w:t>| Pilot Testing | 3 months | Testing with 50 patients, collecting usability feedback |</w:t>
      </w:r>
    </w:p>
    <w:p w14:paraId="01422B7E" w14:textId="77777777" w:rsidR="00722E1F" w:rsidRDefault="00000000">
      <w:r>
        <w:t>| Evaluation &amp; Adjustment | 2 months | Modify features based on pilot results and patient input |</w:t>
      </w:r>
    </w:p>
    <w:p w14:paraId="628B3CCA" w14:textId="77777777" w:rsidR="00722E1F" w:rsidRDefault="00000000">
      <w:r>
        <w:t>| Training | 1 month | Staff workshops and patient onboarding sessions |</w:t>
      </w:r>
    </w:p>
    <w:p w14:paraId="12A7FE2F" w14:textId="77777777" w:rsidR="00722E1F" w:rsidRDefault="00000000">
      <w:r>
        <w:t>| Full Rollout | 6 months | NHS-wide launch and media campaigns |</w:t>
      </w:r>
    </w:p>
    <w:p w14:paraId="51CF061F" w14:textId="77777777" w:rsidR="00722E1F" w:rsidRDefault="00000000">
      <w:r>
        <w:t>| Monitoring &amp; Updates | Ongoing | Continuous feedback, feature updates, and technical support |</w:t>
      </w:r>
    </w:p>
    <w:p w14:paraId="0E2AC42F" w14:textId="77777777" w:rsidR="00722E1F" w:rsidRDefault="00722E1F"/>
    <w:p w14:paraId="19B4E84A" w14:textId="77777777" w:rsidR="00722E1F" w:rsidRDefault="00000000">
      <w:pPr>
        <w:pStyle w:val="Heading3"/>
      </w:pPr>
      <w:r>
        <w:t>Development and Regulations</w:t>
      </w:r>
    </w:p>
    <w:p w14:paraId="4C400E9D" w14:textId="77777777" w:rsidR="00722E1F" w:rsidRDefault="00000000">
      <w:r>
        <w:t>DSDC development follows NHS Digital standards, GDPR compliance, and UK Medical Device Regulations (MDR 2002). Ethical approvals ensure informed consent, confidentiality, and safe data handling. The platform meets accessibility standards for users with disabilities and low digital literacy.</w:t>
      </w:r>
    </w:p>
    <w:p w14:paraId="507D6B8F" w14:textId="77777777" w:rsidR="00722E1F" w:rsidRDefault="00722E1F"/>
    <w:p w14:paraId="76943492" w14:textId="77777777" w:rsidR="00722E1F" w:rsidRDefault="00000000">
      <w:pPr>
        <w:pStyle w:val="Heading3"/>
      </w:pPr>
      <w:r>
        <w:t>Technology Integration</w:t>
      </w:r>
    </w:p>
    <w:p w14:paraId="2EB1CD43" w14:textId="77777777" w:rsidR="00722E1F" w:rsidRDefault="00000000">
      <w:r>
        <w:t>Key technological components include: smartphone compatibility (iOS/Android), integration with wearable glucose monitors, AI-driven recommendations for diet, exercise, and medication adherence, secure cloud storage, and telehealth capabilities. Predictive analytics detect early signs of complications, enabling proactive interventions. Advanced cybersecurity protocols protect sensitive patient data.</w:t>
      </w:r>
    </w:p>
    <w:p w14:paraId="761C3F81" w14:textId="77777777" w:rsidR="00722E1F" w:rsidRDefault="00722E1F"/>
    <w:p w14:paraId="34BD3299" w14:textId="77777777" w:rsidR="00722E1F" w:rsidRDefault="00000000">
      <w:pPr>
        <w:pStyle w:val="Heading3"/>
      </w:pPr>
      <w:r>
        <w:t>Dissemination</w:t>
      </w:r>
    </w:p>
    <w:p w14:paraId="594ADF70" w14:textId="77777777" w:rsidR="00722E1F" w:rsidRDefault="00000000">
      <w:r>
        <w:t>Promotion will involve NHS awareness campaigns, collaboration with Diabetes UK, community workshops, social media engagement, instructional videos, and brochures. Professional engagement includes webinars, clinical forums, and integration into professional education programs to encourage adoption by healthcare staff.</w:t>
      </w:r>
    </w:p>
    <w:p w14:paraId="286AACF2" w14:textId="77777777" w:rsidR="00722E1F" w:rsidRDefault="00722E1F"/>
    <w:p w14:paraId="1F7990EA" w14:textId="77777777" w:rsidR="00722E1F" w:rsidRDefault="00000000">
      <w:pPr>
        <w:pStyle w:val="Heading3"/>
      </w:pPr>
      <w:r>
        <w:t>Conclusion</w:t>
      </w:r>
    </w:p>
    <w:p w14:paraId="15B9220C" w14:textId="77777777" w:rsidR="00722E1F" w:rsidRDefault="00000000">
      <w:r>
        <w:t>The DSDC addresses the critical gaps in diabetes management by combining technology, patient empowerment, and professional oversight. Implementation will improve patient outcomes, reduce NHS burdens, and support healthcare professionals in delivering high-quality, patient-centered care.</w:t>
      </w:r>
    </w:p>
    <w:p w14:paraId="7A5BF34F" w14:textId="77777777" w:rsidR="00722E1F" w:rsidRDefault="00722E1F"/>
    <w:p w14:paraId="34920C72" w14:textId="77777777" w:rsidR="00722E1F" w:rsidRDefault="00000000">
      <w:pPr>
        <w:pStyle w:val="Heading2"/>
      </w:pPr>
      <w:r>
        <w:t>2. Pitch Section – In-Depth Narrative</w:t>
      </w:r>
    </w:p>
    <w:p w14:paraId="61F436DF" w14:textId="77777777" w:rsidR="00722E1F" w:rsidRDefault="00722E1F"/>
    <w:p w14:paraId="70E9F176" w14:textId="77777777" w:rsidR="00722E1F" w:rsidRDefault="00000000">
      <w:pPr>
        <w:pStyle w:val="Heading3"/>
      </w:pPr>
      <w:r>
        <w:t>Introduction</w:t>
      </w:r>
    </w:p>
    <w:p w14:paraId="59E11DA6" w14:textId="77777777" w:rsidR="00722E1F" w:rsidRDefault="00000000">
      <w:r>
        <w:t>Type 2 Diabetes is a significant public health challenge, with increasing prevalence and associated complications. Existing self-management methods often fail to provide adequate support. The DSDC offers a transformative solution by integrating AI, wearable technology, and professional oversight, enhancing patient engagement, adherence, and health outcomes.</w:t>
      </w:r>
    </w:p>
    <w:p w14:paraId="2C3B44CB" w14:textId="77777777" w:rsidR="00722E1F" w:rsidRDefault="00722E1F"/>
    <w:p w14:paraId="78CAF144" w14:textId="77777777" w:rsidR="00722E1F" w:rsidRDefault="00000000">
      <w:pPr>
        <w:pStyle w:val="Heading3"/>
      </w:pPr>
      <w:r>
        <w:lastRenderedPageBreak/>
        <w:t>Target Demographic</w:t>
      </w:r>
    </w:p>
    <w:p w14:paraId="1C96AF86" w14:textId="77777777" w:rsidR="00722E1F" w:rsidRDefault="00000000">
      <w:r>
        <w:t>The DSDC targets adults with Type 2 Diabetes, particularly those aged 40–70, with varying digital literacy and socio-economic backgrounds. Accessibility features, multilingual support, and user-friendly interfaces reduce barriers to adoption. Community outreach programs will ensure equitable access in urban and rural areas.</w:t>
      </w:r>
    </w:p>
    <w:p w14:paraId="5BD857DB" w14:textId="77777777" w:rsidR="00722E1F" w:rsidRDefault="00722E1F"/>
    <w:p w14:paraId="15AF64E5" w14:textId="77777777" w:rsidR="00722E1F" w:rsidRDefault="00000000">
      <w:pPr>
        <w:pStyle w:val="Heading3"/>
      </w:pPr>
      <w:r>
        <w:t>Policy, Legislation, and Professional Services</w:t>
      </w:r>
    </w:p>
    <w:p w14:paraId="04BE7418" w14:textId="77777777" w:rsidR="00722E1F" w:rsidRDefault="00000000">
      <w:r>
        <w:t>Implementation aligns with NHS Digital strategies, NICE diabetes guidelines, GDPR, and UK MDR regulations. Healthcare professionals involved include endocrinologists, GPs, diabetes nurses, dietitians, and patient advocacy groups. The innovation supports national health policy goals of reducing complications and improving self-management among diabetic patients.</w:t>
      </w:r>
    </w:p>
    <w:p w14:paraId="19787A76" w14:textId="77777777" w:rsidR="00722E1F" w:rsidRDefault="00722E1F"/>
    <w:p w14:paraId="3DFECE1E" w14:textId="77777777" w:rsidR="00722E1F" w:rsidRDefault="00000000">
      <w:pPr>
        <w:pStyle w:val="Heading3"/>
      </w:pPr>
      <w:r>
        <w:t>Innovation Benefits and Public Involvement</w:t>
      </w:r>
    </w:p>
    <w:p w14:paraId="73363926" w14:textId="77777777" w:rsidR="00722E1F" w:rsidRDefault="00000000">
      <w:r>
        <w:t>Benefits include enhanced self-management, reduced hospital admissions, improved quality of life, and increased patient empowerment. Public involvement includes participation in pilot testing, feedback collection, and engagement in online patient forums, ensuring patient-centered development. The platform fosters community support and peer motivation through interactive features.</w:t>
      </w:r>
    </w:p>
    <w:p w14:paraId="023B685C" w14:textId="77777777" w:rsidR="00722E1F" w:rsidRDefault="00722E1F"/>
    <w:p w14:paraId="3C1F4725" w14:textId="77777777" w:rsidR="00722E1F" w:rsidRDefault="00000000">
      <w:pPr>
        <w:pStyle w:val="Heading3"/>
      </w:pPr>
      <w:r>
        <w:t>Implementation Strategy</w:t>
      </w:r>
    </w:p>
    <w:p w14:paraId="16F9395A" w14:textId="77777777" w:rsidR="00722E1F" w:rsidRDefault="00000000">
      <w:r>
        <w:t xml:space="preserve">- **Development Phase:** Collaboration with tech partners, healthcare providers, and patients.  </w:t>
      </w:r>
    </w:p>
    <w:p w14:paraId="7219F32E" w14:textId="77777777" w:rsidR="00722E1F" w:rsidRDefault="00000000">
      <w:r>
        <w:t xml:space="preserve">- **Pilot Testing Phase:** Small-scale trial to evaluate usability, effectiveness, and engagement.  </w:t>
      </w:r>
    </w:p>
    <w:p w14:paraId="68932278" w14:textId="77777777" w:rsidR="00722E1F" w:rsidRDefault="00000000">
      <w:r>
        <w:t xml:space="preserve">- **Training Phase:** Staff workshops and patient education for adoption.  </w:t>
      </w:r>
    </w:p>
    <w:p w14:paraId="6F9E520C" w14:textId="77777777" w:rsidR="00722E1F" w:rsidRDefault="00000000">
      <w:r>
        <w:t xml:space="preserve">- **Rollout Phase:** NHS-wide implementation supported by advocacy campaigns and professional engagement.  </w:t>
      </w:r>
    </w:p>
    <w:p w14:paraId="27BE8B40" w14:textId="77777777" w:rsidR="00722E1F" w:rsidRDefault="00000000">
      <w:r>
        <w:t>- **Monitoring &amp; Evaluation:** Continuous assessment of patient outcomes, app performance, and necessary updates.</w:t>
      </w:r>
    </w:p>
    <w:p w14:paraId="53F0D783" w14:textId="77777777" w:rsidR="00722E1F" w:rsidRDefault="00722E1F"/>
    <w:p w14:paraId="59889E72" w14:textId="77777777" w:rsidR="00722E1F" w:rsidRDefault="00000000">
      <w:pPr>
        <w:pStyle w:val="Heading3"/>
      </w:pPr>
      <w:r>
        <w:t>Technological Advantages</w:t>
      </w:r>
    </w:p>
    <w:p w14:paraId="69335DCB" w14:textId="77777777" w:rsidR="00722E1F" w:rsidRDefault="00000000">
      <w:r>
        <w:t xml:space="preserve">AI algorithms offer personalized guidance and predictive alerts. Integration with wearables allows real-time monitoring. Cloud infrastructure ensures secure storage and accessibility. </w:t>
      </w:r>
      <w:r>
        <w:lastRenderedPageBreak/>
        <w:t>Telehealth functionalities reduce clinic visits, enhance patient convenience, and support remote consultations.</w:t>
      </w:r>
    </w:p>
    <w:p w14:paraId="72A2218A" w14:textId="77777777" w:rsidR="00722E1F" w:rsidRDefault="00722E1F"/>
    <w:p w14:paraId="50EDA172" w14:textId="77777777" w:rsidR="00722E1F" w:rsidRDefault="00000000">
      <w:pPr>
        <w:pStyle w:val="Heading3"/>
      </w:pPr>
      <w:r>
        <w:t>Promotion and Dissemination Strategy</w:t>
      </w:r>
    </w:p>
    <w:p w14:paraId="4757650F" w14:textId="77777777" w:rsidR="00722E1F" w:rsidRDefault="00000000">
      <w:r>
        <w:t>The innovation will be promoted via NHS newsletters, Diabetes UK campaigns, social media outreach, webinars, and community workshops. Public engagement through testimonials, case studies, and educational materials encourages adoption. Professional dissemination includes conferences, clinical forums, and continuing professional development programs.</w:t>
      </w:r>
    </w:p>
    <w:p w14:paraId="7ECCD7B2" w14:textId="77777777" w:rsidR="00722E1F" w:rsidRDefault="00722E1F"/>
    <w:p w14:paraId="137BD369" w14:textId="77777777" w:rsidR="00722E1F" w:rsidRDefault="00000000">
      <w:pPr>
        <w:pStyle w:val="Heading3"/>
      </w:pPr>
      <w:r>
        <w:t>Anticipated Outcomes</w:t>
      </w:r>
    </w:p>
    <w:p w14:paraId="106A0D7B" w14:textId="77777777" w:rsidR="00722E1F" w:rsidRDefault="00000000">
      <w:r>
        <w:t>Expected outcomes include improved HbA1c levels, reduced complications and emergency admissions, increased patient adherence, better staff efficiency, and overall cost savings for the NHS. Long-term benefits include improved patient satisfaction and stronger public engagement in health self-management.</w:t>
      </w:r>
    </w:p>
    <w:p w14:paraId="4F93F336" w14:textId="77777777" w:rsidR="00722E1F" w:rsidRDefault="00722E1F"/>
    <w:p w14:paraId="79E63C0D" w14:textId="77777777" w:rsidR="00722E1F" w:rsidRDefault="00000000">
      <w:pPr>
        <w:pStyle w:val="Heading3"/>
      </w:pPr>
      <w:r>
        <w:t>Conclusion</w:t>
      </w:r>
    </w:p>
    <w:p w14:paraId="109AABF9" w14:textId="77777777" w:rsidR="00722E1F" w:rsidRDefault="00000000">
      <w:r>
        <w:t>The DSDC represents a patient-centered, technology-driven solution addressing the gaps in diabetes management in the UK. Through careful implementation, policy alignment, and stakeholder engagement, the platform enhances patient outcomes, reduces healthcare burden, and supports professional practice.</w:t>
      </w:r>
    </w:p>
    <w:p w14:paraId="18C41CA4" w14:textId="77777777" w:rsidR="00722E1F" w:rsidRDefault="00722E1F"/>
    <w:p w14:paraId="368B875C" w14:textId="77777777" w:rsidR="00722E1F" w:rsidRDefault="00000000">
      <w:pPr>
        <w:pStyle w:val="Heading2"/>
      </w:pPr>
      <w:r>
        <w:t>3. References</w:t>
      </w:r>
    </w:p>
    <w:p w14:paraId="21D4AEB6" w14:textId="77777777" w:rsidR="00722E1F" w:rsidRDefault="00000000">
      <w:r>
        <w:t xml:space="preserve">- Diabetes UK (2025) *Diabetes Prevalence and Statistics*. Available at: https://www.diabetes.org.uk (Accessed: 2 April 2026).  </w:t>
      </w:r>
    </w:p>
    <w:p w14:paraId="773F513C" w14:textId="77777777" w:rsidR="00722E1F" w:rsidRDefault="00000000">
      <w:r>
        <w:t xml:space="preserve">- Kosiol, J., Silvester, T., Cooper, H., Alford, S. &amp; Fraser, L. (2024) *Revolutionising health and social care: innovative solutions for a brighter tomorrow – a systematic review of the literature*. BMC Health Services Research, 24, Article 809.  </w:t>
      </w:r>
    </w:p>
    <w:p w14:paraId="531C51D3" w14:textId="77777777" w:rsidR="00722E1F" w:rsidRDefault="00000000">
      <w:r>
        <w:t xml:space="preserve">- Edgman‑Levitan, S. &amp; Schoenbaum, S.C. (2021) *Patient‑centered care: achieving higher quality by designing care through the patient’s eyes*. Israel Journal of Health Policy Research, 10, Article 21.  </w:t>
      </w:r>
    </w:p>
    <w:p w14:paraId="007BDC34" w14:textId="77777777" w:rsidR="00722E1F" w:rsidRDefault="00000000">
      <w:r>
        <w:t xml:space="preserve">- Darsø, L. (2004) *Innovation in the Making: How to Develop Creative Competencies in Organizations*. Copenhagen: Samfundslitteratur.  </w:t>
      </w:r>
    </w:p>
    <w:p w14:paraId="2ABB747C" w14:textId="77777777" w:rsidR="00722E1F" w:rsidRDefault="00000000">
      <w:r>
        <w:t xml:space="preserve">- Gibbs, G. (1988) *Learning by Doing: A Guide to Teaching and Learning Methods*. Oxford: Oxford Polytechnic.  </w:t>
      </w:r>
    </w:p>
    <w:p w14:paraId="7470785C" w14:textId="77777777" w:rsidR="00722E1F" w:rsidRDefault="00000000">
      <w:r>
        <w:lastRenderedPageBreak/>
        <w:t xml:space="preserve">- Goleman, D. (2000) *Leadership that Gets Results*. Harvard Business Review.  </w:t>
      </w:r>
    </w:p>
    <w:p w14:paraId="19C6596C" w14:textId="77777777" w:rsidR="00722E1F" w:rsidRDefault="00000000">
      <w:r>
        <w:t xml:space="preserve">- Porter, M. E. (2010) *What is Value in Health Care?* New England Journal of Medicine, 363(26), pp. 2477–2481.  </w:t>
      </w:r>
    </w:p>
    <w:p w14:paraId="696146FE" w14:textId="77777777" w:rsidR="00722E1F" w:rsidRDefault="00000000">
      <w:r>
        <w:t xml:space="preserve">- Topol, E. (2019) *Deep Medicine: How Artificial Intelligence Can Make Healthcare Human Again*. New York: Basic Books.  </w:t>
      </w:r>
    </w:p>
    <w:p w14:paraId="53ED7868" w14:textId="77777777" w:rsidR="00722E1F" w:rsidRDefault="00722E1F"/>
    <w:sectPr w:rsidR="00722E1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5104946">
    <w:abstractNumId w:val="8"/>
  </w:num>
  <w:num w:numId="2" w16cid:durableId="1263874377">
    <w:abstractNumId w:val="6"/>
  </w:num>
  <w:num w:numId="3" w16cid:durableId="880673150">
    <w:abstractNumId w:val="5"/>
  </w:num>
  <w:num w:numId="4" w16cid:durableId="2038001195">
    <w:abstractNumId w:val="4"/>
  </w:num>
  <w:num w:numId="5" w16cid:durableId="1241527081">
    <w:abstractNumId w:val="7"/>
  </w:num>
  <w:num w:numId="6" w16cid:durableId="763965197">
    <w:abstractNumId w:val="3"/>
  </w:num>
  <w:num w:numId="7" w16cid:durableId="386926750">
    <w:abstractNumId w:val="2"/>
  </w:num>
  <w:num w:numId="8" w16cid:durableId="417092499">
    <w:abstractNumId w:val="1"/>
  </w:num>
  <w:num w:numId="9" w16cid:durableId="1519541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7EF1"/>
    <w:rsid w:val="0015074B"/>
    <w:rsid w:val="0029639D"/>
    <w:rsid w:val="00326F90"/>
    <w:rsid w:val="00722E1F"/>
    <w:rsid w:val="0083536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77817D"/>
  <w14:defaultImageDpi w14:val="300"/>
  <w15:docId w15:val="{07D9E258-1DB0-4929-BB8E-90C1076E8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1560</Words>
  <Characters>8895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10435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Alishba Fraraz</cp:lastModifiedBy>
  <cp:revision>2</cp:revision>
  <dcterms:created xsi:type="dcterms:W3CDTF">2026-04-02T12:38:00Z</dcterms:created>
  <dcterms:modified xsi:type="dcterms:W3CDTF">2026-04-02T12:38:00Z</dcterms:modified>
  <cp:category/>
</cp:coreProperties>
</file>