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AB34BC0" w:rsidR="00986B43" w:rsidRPr="003201F6" w:rsidRDefault="00986B43" w:rsidP="005D3F07">
            <w:pPr>
              <w:overflowPunct/>
              <w:autoSpaceDE/>
              <w:autoSpaceDN/>
              <w:adjustRightInd/>
              <w:ind w:right="-957"/>
              <w:textAlignment w:val="auto"/>
              <w:rPr>
                <w:rFonts w:ascii="Times New Roman" w:hAnsi="Times New Roman" w:cs="Times New Roman"/>
                <w:b/>
                <w:color w:val="auto"/>
                <w:sz w:val="44"/>
                <w:szCs w:val="18"/>
              </w:rPr>
            </w:pPr>
            <w:r w:rsidRPr="003201F6">
              <w:rPr>
                <w:rFonts w:ascii="Times New Roman" w:hAnsi="Times New Roman" w:cs="Times New Roman"/>
                <w:b/>
                <w:color w:val="auto"/>
                <w:sz w:val="44"/>
                <w:szCs w:val="18"/>
              </w:rPr>
              <w:t>Learner’s name:</w:t>
            </w:r>
            <w:r w:rsidR="00247265" w:rsidRPr="003201F6">
              <w:rPr>
                <w:rFonts w:ascii="Times New Roman" w:hAnsi="Times New Roman" w:cs="Times New Roman"/>
                <w:b/>
                <w:color w:val="auto"/>
                <w:sz w:val="44"/>
                <w:szCs w:val="18"/>
              </w:rPr>
              <w:t xml:space="preserve"> </w:t>
            </w:r>
            <w:r w:rsidR="003201F6" w:rsidRPr="003201F6">
              <w:rPr>
                <w:rFonts w:ascii="Times New Roman" w:hAnsi="Times New Roman" w:cs="Times New Roman"/>
                <w:b/>
                <w:color w:val="auto"/>
                <w:sz w:val="44"/>
                <w:szCs w:val="18"/>
              </w:rPr>
              <w:t>Vicky Bowen</w:t>
            </w:r>
          </w:p>
          <w:p w14:paraId="0B6CD0DB" w14:textId="689515B5" w:rsidR="009C337F" w:rsidRPr="003201F6" w:rsidRDefault="009C337F" w:rsidP="005D3F07">
            <w:pPr>
              <w:overflowPunct/>
              <w:autoSpaceDE/>
              <w:autoSpaceDN/>
              <w:adjustRightInd/>
              <w:ind w:right="-957"/>
              <w:textAlignment w:val="auto"/>
              <w:rPr>
                <w:rFonts w:ascii="Times New Roman" w:hAnsi="Times New Roman" w:cs="Times New Roman"/>
                <w:b/>
                <w:color w:val="auto"/>
                <w:sz w:val="44"/>
                <w:szCs w:val="18"/>
              </w:rPr>
            </w:pPr>
          </w:p>
          <w:p w14:paraId="3A6EAAC7" w14:textId="011B0893" w:rsidR="009C337F" w:rsidRPr="003201F6" w:rsidRDefault="009C337F" w:rsidP="005D3F07">
            <w:pPr>
              <w:overflowPunct/>
              <w:autoSpaceDE/>
              <w:autoSpaceDN/>
              <w:adjustRightInd/>
              <w:ind w:right="-957"/>
              <w:textAlignment w:val="auto"/>
              <w:rPr>
                <w:rFonts w:ascii="Times New Roman" w:hAnsi="Times New Roman" w:cs="Times New Roman"/>
                <w:b/>
                <w:color w:val="auto"/>
                <w:sz w:val="44"/>
                <w:szCs w:val="18"/>
              </w:rPr>
            </w:pPr>
            <w:r w:rsidRPr="003201F6">
              <w:rPr>
                <w:rFonts w:ascii="Times New Roman" w:hAnsi="Times New Roman" w:cs="Times New Roman"/>
                <w:b/>
                <w:color w:val="auto"/>
                <w:sz w:val="44"/>
                <w:szCs w:val="18"/>
              </w:rPr>
              <w:t xml:space="preserve">Email </w:t>
            </w:r>
            <w:proofErr w:type="gramStart"/>
            <w:r w:rsidRPr="003201F6">
              <w:rPr>
                <w:rFonts w:ascii="Times New Roman" w:hAnsi="Times New Roman" w:cs="Times New Roman"/>
                <w:b/>
                <w:color w:val="auto"/>
                <w:sz w:val="44"/>
                <w:szCs w:val="18"/>
              </w:rPr>
              <w:t>address:</w:t>
            </w:r>
            <w:r w:rsidR="003201F6" w:rsidRPr="003201F6">
              <w:rPr>
                <w:rFonts w:ascii="Times New Roman" w:hAnsi="Times New Roman" w:cs="Times New Roman"/>
                <w:b/>
                <w:color w:val="auto"/>
                <w:sz w:val="44"/>
                <w:szCs w:val="18"/>
              </w:rPr>
              <w:t>victoriabowen16@gmail.com</w:t>
            </w:r>
            <w:proofErr w:type="gramEnd"/>
          </w:p>
          <w:p w14:paraId="22E38809" w14:textId="77777777" w:rsidR="00986B43" w:rsidRPr="003201F6" w:rsidRDefault="00986B43" w:rsidP="005D3F07">
            <w:pPr>
              <w:overflowPunct/>
              <w:autoSpaceDE/>
              <w:autoSpaceDN/>
              <w:adjustRightInd/>
              <w:ind w:right="-957"/>
              <w:textAlignment w:val="auto"/>
              <w:rPr>
                <w:rFonts w:ascii="Times New Roman" w:hAnsi="Times New Roman" w:cs="Times New Roman"/>
                <w:b/>
                <w:color w:val="auto"/>
                <w:sz w:val="44"/>
                <w:szCs w:val="18"/>
              </w:rPr>
            </w:pPr>
          </w:p>
          <w:p w14:paraId="0DE696B2" w14:textId="6343D92E" w:rsidR="00F927A1" w:rsidRPr="003201F6" w:rsidRDefault="0085230E" w:rsidP="005D3F07">
            <w:pPr>
              <w:overflowPunct/>
              <w:autoSpaceDE/>
              <w:autoSpaceDN/>
              <w:adjustRightInd/>
              <w:ind w:right="-957"/>
              <w:textAlignment w:val="auto"/>
              <w:rPr>
                <w:rFonts w:ascii="Times New Roman" w:hAnsi="Times New Roman" w:cs="Times New Roman"/>
                <w:b/>
                <w:color w:val="auto"/>
                <w:sz w:val="44"/>
                <w:szCs w:val="18"/>
              </w:rPr>
            </w:pPr>
            <w:r w:rsidRPr="003201F6">
              <w:rPr>
                <w:rFonts w:ascii="Times New Roman" w:hAnsi="Times New Roman" w:cs="Times New Roman"/>
                <w:b/>
                <w:color w:val="auto"/>
                <w:sz w:val="44"/>
                <w:szCs w:val="18"/>
              </w:rPr>
              <w:t>Learner’s University Registration</w:t>
            </w:r>
            <w:r w:rsidR="00F927A1" w:rsidRPr="003201F6">
              <w:rPr>
                <w:rFonts w:ascii="Times New Roman" w:hAnsi="Times New Roman" w:cs="Times New Roman"/>
                <w:b/>
                <w:color w:val="auto"/>
                <w:sz w:val="44"/>
                <w:szCs w:val="18"/>
              </w:rPr>
              <w:t xml:space="preserve"> Number:</w:t>
            </w:r>
            <w:r w:rsidR="003201F6" w:rsidRPr="003201F6">
              <w:rPr>
                <w:rFonts w:ascii="Times New Roman" w:hAnsi="Times New Roman" w:cs="Times New Roman"/>
                <w:b/>
                <w:color w:val="auto"/>
                <w:sz w:val="44"/>
                <w:szCs w:val="18"/>
              </w:rPr>
              <w:t>2521753</w:t>
            </w:r>
          </w:p>
          <w:p w14:paraId="622FD17A" w14:textId="77777777" w:rsidR="0085230E" w:rsidRPr="003201F6" w:rsidRDefault="0085230E" w:rsidP="005D3F07">
            <w:pPr>
              <w:overflowPunct/>
              <w:autoSpaceDE/>
              <w:autoSpaceDN/>
              <w:adjustRightInd/>
              <w:ind w:right="-957"/>
              <w:textAlignment w:val="auto"/>
              <w:rPr>
                <w:rFonts w:ascii="Times New Roman" w:hAnsi="Times New Roman" w:cs="Times New Roman"/>
                <w:b/>
                <w:color w:val="auto"/>
                <w:sz w:val="44"/>
                <w:szCs w:val="1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3201F6">
              <w:rPr>
                <w:rFonts w:ascii="Times New Roman" w:hAnsi="Times New Roman" w:cs="Times New Roman"/>
                <w:b/>
                <w:color w:val="auto"/>
                <w:sz w:val="44"/>
                <w:szCs w:val="18"/>
              </w:rPr>
              <w:t xml:space="preserve">Cohort: </w:t>
            </w:r>
            <w:r w:rsidR="0049374F" w:rsidRPr="003201F6">
              <w:rPr>
                <w:rFonts w:ascii="Times New Roman" w:hAnsi="Times New Roman" w:cs="Times New Roman"/>
                <w:b/>
                <w:color w:val="auto"/>
                <w:sz w:val="44"/>
                <w:szCs w:val="18"/>
              </w:rPr>
              <w:t>21</w:t>
            </w:r>
            <w:r w:rsidR="00AE6231" w:rsidRPr="003201F6">
              <w:rPr>
                <w:rFonts w:ascii="Times New Roman" w:hAnsi="Times New Roman" w:cs="Times New Roman"/>
                <w:b/>
                <w:color w:val="auto"/>
                <w:sz w:val="44"/>
                <w:szCs w:val="1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32662DDF" w14:textId="77777777" w:rsidR="0003599A" w:rsidRDefault="0003599A" w:rsidP="00FF7EBB">
            <w:pPr>
              <w:jc w:val="both"/>
              <w:rPr>
                <w:sz w:val="24"/>
                <w:szCs w:val="24"/>
              </w:rPr>
            </w:pPr>
          </w:p>
          <w:p w14:paraId="2521588A" w14:textId="5947008A" w:rsidR="0003599A" w:rsidRPr="0003599A" w:rsidRDefault="0003599A" w:rsidP="0003599A">
            <w:pPr>
              <w:jc w:val="both"/>
              <w:rPr>
                <w:sz w:val="24"/>
                <w:szCs w:val="24"/>
              </w:rPr>
            </w:pPr>
            <w:r w:rsidRPr="0003599A">
              <w:rPr>
                <w:sz w:val="24"/>
                <w:szCs w:val="24"/>
              </w:rPr>
              <w:t xml:space="preserve">There are many overarching pieces of legislation nationally and within Wales, which underpin safeguarding of adults and are designed to protect, while promoting the dignity, wellbeing and safety of adults at risk. The European Convention on Human Rights (ECHR) protects the right to life (Article 2), and Article 8 the right to a private and family life are key principles of the Act There are international legislations, such as the United Nations Conventions on the Rights of Persons with Disabilities (UNCRPD) which outline the values of protection, inclusion and non-discriminatory workings. Within Section 7 of the Social Services and Wellbeing (Wales) Act 2014 (SSWBA), it incorporates the United Nations Principles for Older Persons, which core principles are self-fulfilment, promoting dignity, independence and participation for older adults. Within Wales, the SSWBA (2014) is the main safeguarding legislation, which places responsibility on Local Authorities to protect adults at risk of abuse of neglect. Further linking to safeguarding legislation in Wales, the Working Together to Safeguard People guidance supports multi-agency working to ensure information is shared accurately, incorporating Volume 6 which provides guidance on managing adult safeguarding and responding to concerns in a person-centre manner. </w:t>
            </w:r>
          </w:p>
          <w:p w14:paraId="0B4E6E71" w14:textId="77777777" w:rsidR="0003599A" w:rsidRPr="0003599A" w:rsidRDefault="0003599A" w:rsidP="0003599A">
            <w:pPr>
              <w:jc w:val="both"/>
              <w:rPr>
                <w:sz w:val="24"/>
                <w:szCs w:val="24"/>
              </w:rPr>
            </w:pPr>
          </w:p>
          <w:p w14:paraId="5AEFA364" w14:textId="77777777" w:rsidR="0003599A" w:rsidRPr="0003599A" w:rsidRDefault="0003599A" w:rsidP="0003599A">
            <w:pPr>
              <w:jc w:val="both"/>
              <w:rPr>
                <w:sz w:val="24"/>
                <w:szCs w:val="24"/>
              </w:rPr>
            </w:pPr>
          </w:p>
          <w:p w14:paraId="365C11F7" w14:textId="77777777" w:rsidR="0003599A" w:rsidRPr="0003599A" w:rsidRDefault="0003599A" w:rsidP="0003599A">
            <w:pPr>
              <w:jc w:val="both"/>
              <w:rPr>
                <w:sz w:val="24"/>
                <w:szCs w:val="24"/>
              </w:rPr>
            </w:pPr>
            <w:r w:rsidRPr="0003599A">
              <w:rPr>
                <w:sz w:val="24"/>
                <w:szCs w:val="24"/>
              </w:rPr>
              <w:t xml:space="preserve">There are other legislations, such as the Mental Health Act (1983) dictating legal powers concerning adults experiencing significant mental health difficulties, alongside the Mental Capacity Act (2005) which supports a decision-making process for adults who lack informed capacity to make safe decisions for themselves. Safeguarding adults is further demonstrated through the Violence Against Women, Domestic Abise and Sexual Violence Act (2015 in Wales which focuses on improving protection, intervention and support for sufferers of domestic or sexual violence. </w:t>
            </w:r>
          </w:p>
          <w:p w14:paraId="0529F405" w14:textId="77777777" w:rsidR="0003599A" w:rsidRPr="0003599A" w:rsidRDefault="0003599A" w:rsidP="0003599A">
            <w:pPr>
              <w:jc w:val="both"/>
              <w:rPr>
                <w:sz w:val="24"/>
                <w:szCs w:val="24"/>
              </w:rPr>
            </w:pPr>
          </w:p>
          <w:p w14:paraId="75DD336B" w14:textId="5DC8C063" w:rsidR="0003599A" w:rsidRPr="0003599A" w:rsidRDefault="0003599A" w:rsidP="0003599A">
            <w:pPr>
              <w:jc w:val="both"/>
              <w:rPr>
                <w:sz w:val="24"/>
                <w:szCs w:val="24"/>
              </w:rPr>
            </w:pPr>
            <w:r w:rsidRPr="0003599A">
              <w:rPr>
                <w:sz w:val="24"/>
                <w:szCs w:val="24"/>
              </w:rPr>
              <w:t xml:space="preserve">The Local Authority I work within, safeguarding enquiries are supported by the Section 126 of the SSW(W)A (2014), meaning where there is reasonable cause to suspect that an adult with care and support needs is at risk or abuse or harm, enquires are bound to be made under a </w:t>
            </w:r>
            <w:r w:rsidRPr="0003599A">
              <w:rPr>
                <w:sz w:val="24"/>
                <w:szCs w:val="24"/>
              </w:rPr>
              <w:lastRenderedPageBreak/>
              <w:t>duty of care and to safeguarding those vulnerable and at possible risk of abuse or harm. Within the enquiries, there is a three-step process to make determinations, firstly a screening to establish accuracy of the worry and determine if the safeguarding threshold is met, secondly the initial evaluation, which focuses on gathering and analysing information from the adult at risk, health, care and other agencies involved. The final stage is to determine, which considered the outcomes of all the information gathered and decides next steps or ongoing intervention if required, this could involve a single-agency or multi-agency enquiry. Undertaking these enquiries following this process of the SSW(W)A (2014) ensures that the safeguarding concerns are taken seriously, assessed proportionality while considering the individuals safety, rights and wellbeing. Furthermore, the Wales Safeguarding Producers underpins the practice in Wales, which supports those we are protecting from harm and abuse are listened to and decisions are made in the multi-agency way. The procedure supports social workers in remaining person-centred in their practice, while balancing the individual rights, alongside care needs, protection from harm and abuse, while having a clear voice within the process. The importance of undertaking the enquiries in a timely way is outlined within the Wales Safeguarding Procedures and supported my understanding of the enquiries and assessment process required when making enquiries to determine if an adult has suffered harm or abuse.</w:t>
            </w:r>
          </w:p>
          <w:p w14:paraId="260A6269" w14:textId="77777777" w:rsidR="0003599A" w:rsidRPr="0003599A" w:rsidRDefault="0003599A" w:rsidP="0003599A">
            <w:pPr>
              <w:jc w:val="both"/>
              <w:rPr>
                <w:sz w:val="24"/>
                <w:szCs w:val="24"/>
              </w:rPr>
            </w:pPr>
          </w:p>
          <w:p w14:paraId="776E1A2D" w14:textId="77777777" w:rsidR="0003599A" w:rsidRPr="0003599A" w:rsidRDefault="0003599A" w:rsidP="0003599A">
            <w:pPr>
              <w:jc w:val="both"/>
              <w:rPr>
                <w:sz w:val="24"/>
                <w:szCs w:val="24"/>
              </w:rPr>
            </w:pPr>
          </w:p>
          <w:p w14:paraId="6B2AE106" w14:textId="55EF2DDA" w:rsidR="0003599A" w:rsidRDefault="0003599A" w:rsidP="0003599A">
            <w:pPr>
              <w:jc w:val="both"/>
              <w:rPr>
                <w:sz w:val="24"/>
                <w:szCs w:val="24"/>
              </w:rPr>
            </w:pPr>
            <w:r w:rsidRPr="0003599A">
              <w:rPr>
                <w:sz w:val="24"/>
                <w:szCs w:val="24"/>
              </w:rPr>
              <w:t>Word Count: 549</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29F1B3BB" w14:textId="77777777" w:rsidR="0003599A" w:rsidRDefault="0003599A" w:rsidP="00FC0334">
            <w:pPr>
              <w:jc w:val="both"/>
              <w:rPr>
                <w:i/>
                <w:sz w:val="24"/>
                <w:szCs w:val="24"/>
              </w:rPr>
            </w:pPr>
          </w:p>
          <w:p w14:paraId="765D935C" w14:textId="77777777" w:rsidR="0003599A" w:rsidRDefault="0003599A" w:rsidP="00FC0334">
            <w:pPr>
              <w:jc w:val="both"/>
              <w:rPr>
                <w:i/>
                <w:sz w:val="24"/>
                <w:szCs w:val="24"/>
              </w:rPr>
            </w:pPr>
          </w:p>
          <w:p w14:paraId="2AF09B18" w14:textId="7753DFA9" w:rsidR="0003599A" w:rsidRPr="0003599A" w:rsidRDefault="0003599A" w:rsidP="0003599A">
            <w:pPr>
              <w:jc w:val="both"/>
              <w:rPr>
                <w:iCs/>
                <w:sz w:val="24"/>
                <w:szCs w:val="24"/>
              </w:rPr>
            </w:pPr>
            <w:proofErr w:type="gramStart"/>
            <w:r w:rsidRPr="0003599A">
              <w:rPr>
                <w:iCs/>
                <w:sz w:val="24"/>
                <w:szCs w:val="24"/>
              </w:rPr>
              <w:t>Similarly</w:t>
            </w:r>
            <w:proofErr w:type="gramEnd"/>
            <w:r w:rsidRPr="0003599A">
              <w:rPr>
                <w:iCs/>
                <w:sz w:val="24"/>
                <w:szCs w:val="24"/>
              </w:rPr>
              <w:t xml:space="preserve"> within Adults and Children’s Services, safeguarding is a necessary aspect within all social work practice. There are some differences between the two, I have identified from my learning placement within adult safeguarding and my current working role within children’s services I have gained an understanding on how the two areas balance the wellbeing, protection from harm and intervention similarity and differently. </w:t>
            </w:r>
          </w:p>
          <w:p w14:paraId="6B7AA8FB" w14:textId="77777777" w:rsidR="0003599A" w:rsidRPr="0003599A" w:rsidRDefault="0003599A" w:rsidP="0003599A">
            <w:pPr>
              <w:jc w:val="both"/>
              <w:rPr>
                <w:iCs/>
                <w:sz w:val="24"/>
                <w:szCs w:val="24"/>
              </w:rPr>
            </w:pPr>
          </w:p>
          <w:p w14:paraId="5BB1870A" w14:textId="77777777" w:rsidR="0003599A" w:rsidRPr="0003599A" w:rsidRDefault="0003599A" w:rsidP="0003599A">
            <w:pPr>
              <w:jc w:val="both"/>
              <w:rPr>
                <w:iCs/>
                <w:sz w:val="24"/>
                <w:szCs w:val="24"/>
              </w:rPr>
            </w:pPr>
            <w:r w:rsidRPr="0003599A">
              <w:rPr>
                <w:iCs/>
                <w:sz w:val="24"/>
                <w:szCs w:val="24"/>
              </w:rPr>
              <w:t xml:space="preserve">A main difference I have noticed is within the roles are of choice, consent and autonomy. Within Adults Services, there is an emphasis on empowering individuals to make their own decision, at times with support due to adults who have the capacity to </w:t>
            </w:r>
            <w:proofErr w:type="gramStart"/>
            <w:r w:rsidRPr="0003599A">
              <w:rPr>
                <w:iCs/>
                <w:sz w:val="24"/>
                <w:szCs w:val="24"/>
              </w:rPr>
              <w:t>make a decision</w:t>
            </w:r>
            <w:proofErr w:type="gramEnd"/>
            <w:r w:rsidRPr="0003599A">
              <w:rPr>
                <w:iCs/>
                <w:sz w:val="24"/>
                <w:szCs w:val="24"/>
              </w:rPr>
              <w:t xml:space="preserve">, have the right in this. This links to the Mental Capacity Act 2005, alongside the Social Services Wellbeing Wales Act (2014) which focuses on promoting independence of those requiring support. Alternatively, Children’s services </w:t>
            </w:r>
            <w:proofErr w:type="gramStart"/>
            <w:r w:rsidRPr="0003599A">
              <w:rPr>
                <w:iCs/>
                <w:sz w:val="24"/>
                <w:szCs w:val="24"/>
              </w:rPr>
              <w:t>focuses</w:t>
            </w:r>
            <w:proofErr w:type="gramEnd"/>
            <w:r w:rsidRPr="0003599A">
              <w:rPr>
                <w:iCs/>
                <w:sz w:val="24"/>
                <w:szCs w:val="24"/>
              </w:rPr>
              <w:t xml:space="preserve"> on protecting children from harm, as children are often unable to make informed decisions regarding their safety, and it is the role of the professionals supporting to intervention if concerns are raised about harm or abuse of a child. </w:t>
            </w:r>
          </w:p>
          <w:p w14:paraId="44966D2A" w14:textId="77777777" w:rsidR="0003599A" w:rsidRPr="0003599A" w:rsidRDefault="0003599A" w:rsidP="0003599A">
            <w:pPr>
              <w:jc w:val="both"/>
              <w:rPr>
                <w:iCs/>
                <w:sz w:val="24"/>
                <w:szCs w:val="24"/>
              </w:rPr>
            </w:pPr>
          </w:p>
          <w:p w14:paraId="59E6B8A0" w14:textId="77777777" w:rsidR="0003599A" w:rsidRPr="0003599A" w:rsidRDefault="0003599A" w:rsidP="0003599A">
            <w:pPr>
              <w:jc w:val="both"/>
              <w:rPr>
                <w:iCs/>
                <w:sz w:val="24"/>
                <w:szCs w:val="24"/>
              </w:rPr>
            </w:pPr>
            <w:r w:rsidRPr="0003599A">
              <w:rPr>
                <w:iCs/>
                <w:sz w:val="24"/>
                <w:szCs w:val="24"/>
              </w:rPr>
              <w:lastRenderedPageBreak/>
              <w:t xml:space="preserve">Consent is another difference between adult and children’s safeguarding. In children’s safeguarding it does not </w:t>
            </w:r>
            <w:proofErr w:type="gramStart"/>
            <w:r w:rsidRPr="0003599A">
              <w:rPr>
                <w:iCs/>
                <w:sz w:val="24"/>
                <w:szCs w:val="24"/>
              </w:rPr>
              <w:t>depend</w:t>
            </w:r>
            <w:proofErr w:type="gramEnd"/>
            <w:r w:rsidRPr="0003599A">
              <w:rPr>
                <w:iCs/>
                <w:sz w:val="24"/>
                <w:szCs w:val="24"/>
              </w:rPr>
              <w:t xml:space="preserve"> any consent of a parent or child, if it is likely that a child is going to experience significant harm it can result in statutory intervention which overrides parental consent to safeguard the child in line with the Children Act (1989). Whereas in adults safeguarding it does usually rely on securing an </w:t>
            </w:r>
            <w:proofErr w:type="spellStart"/>
            <w:r w:rsidRPr="0003599A">
              <w:rPr>
                <w:iCs/>
                <w:sz w:val="24"/>
                <w:szCs w:val="24"/>
              </w:rPr>
              <w:t>individuals</w:t>
            </w:r>
            <w:proofErr w:type="spellEnd"/>
            <w:r w:rsidRPr="0003599A">
              <w:rPr>
                <w:iCs/>
                <w:sz w:val="24"/>
                <w:szCs w:val="24"/>
              </w:rPr>
              <w:t xml:space="preserve"> consent within the decision-making process, apart from when there are concerns in relation to capacity or significant risk to others.</w:t>
            </w:r>
          </w:p>
          <w:p w14:paraId="0345C033" w14:textId="77777777" w:rsidR="0003599A" w:rsidRPr="0003599A" w:rsidRDefault="0003599A" w:rsidP="0003599A">
            <w:pPr>
              <w:jc w:val="both"/>
              <w:rPr>
                <w:iCs/>
                <w:sz w:val="24"/>
                <w:szCs w:val="24"/>
              </w:rPr>
            </w:pPr>
          </w:p>
          <w:p w14:paraId="25EB117C" w14:textId="77777777" w:rsidR="0003599A" w:rsidRPr="0003599A" w:rsidRDefault="0003599A" w:rsidP="0003599A">
            <w:pPr>
              <w:jc w:val="both"/>
              <w:rPr>
                <w:iCs/>
                <w:sz w:val="24"/>
                <w:szCs w:val="24"/>
              </w:rPr>
            </w:pPr>
          </w:p>
          <w:p w14:paraId="460A9B4A" w14:textId="77777777" w:rsidR="0003599A" w:rsidRPr="0003599A" w:rsidRDefault="0003599A" w:rsidP="0003599A">
            <w:pPr>
              <w:jc w:val="both"/>
              <w:rPr>
                <w:iCs/>
                <w:sz w:val="24"/>
                <w:szCs w:val="24"/>
              </w:rPr>
            </w:pPr>
            <w:r w:rsidRPr="0003599A">
              <w:rPr>
                <w:iCs/>
                <w:sz w:val="24"/>
                <w:szCs w:val="24"/>
              </w:rPr>
              <w:t xml:space="preserve">Another way in which adults and childrens safeguarding differs, is the assessment process which is used. For children’s intervention a holistic picture is needed to determine if a child is at risk of abuse or harm, with in-depth unpicking as young children cannot verbally tell us. This would look at parental capacity, home environment, and the impact </w:t>
            </w:r>
            <w:proofErr w:type="gramStart"/>
            <w:r w:rsidRPr="0003599A">
              <w:rPr>
                <w:iCs/>
                <w:sz w:val="24"/>
                <w:szCs w:val="24"/>
              </w:rPr>
              <w:t>is has</w:t>
            </w:r>
            <w:proofErr w:type="gramEnd"/>
            <w:r w:rsidRPr="0003599A">
              <w:rPr>
                <w:iCs/>
                <w:sz w:val="24"/>
                <w:szCs w:val="24"/>
              </w:rPr>
              <w:t xml:space="preserve"> on a child’s development. However, within </w:t>
            </w:r>
            <w:proofErr w:type="gramStart"/>
            <w:r w:rsidRPr="0003599A">
              <w:rPr>
                <w:iCs/>
                <w:sz w:val="24"/>
                <w:szCs w:val="24"/>
              </w:rPr>
              <w:t>adults</w:t>
            </w:r>
            <w:proofErr w:type="gramEnd"/>
            <w:r w:rsidRPr="0003599A">
              <w:rPr>
                <w:iCs/>
                <w:sz w:val="24"/>
                <w:szCs w:val="24"/>
              </w:rPr>
              <w:t xml:space="preserve"> assessments the key area would be understanding what the adult could achieve through the intervention, while identifying the needs, wishes and centred outcomes for the adult. </w:t>
            </w:r>
          </w:p>
          <w:p w14:paraId="1FF43D2D" w14:textId="77777777" w:rsidR="0003599A" w:rsidRPr="0003599A" w:rsidRDefault="0003599A" w:rsidP="0003599A">
            <w:pPr>
              <w:jc w:val="both"/>
              <w:rPr>
                <w:iCs/>
                <w:sz w:val="24"/>
                <w:szCs w:val="24"/>
              </w:rPr>
            </w:pPr>
          </w:p>
          <w:p w14:paraId="77DBB246" w14:textId="5511E9BA" w:rsidR="0003599A" w:rsidRPr="0003599A" w:rsidRDefault="0003599A" w:rsidP="0003599A">
            <w:pPr>
              <w:jc w:val="both"/>
              <w:rPr>
                <w:iCs/>
                <w:sz w:val="24"/>
                <w:szCs w:val="24"/>
              </w:rPr>
            </w:pPr>
            <w:r w:rsidRPr="0003599A">
              <w:rPr>
                <w:iCs/>
                <w:sz w:val="24"/>
                <w:szCs w:val="24"/>
              </w:rPr>
              <w:t xml:space="preserve">From reflecting on the two areas of the service I can strongly see how the overall aim within safeguarding remains the same, to </w:t>
            </w:r>
            <w:proofErr w:type="gramStart"/>
            <w:r w:rsidRPr="0003599A">
              <w:rPr>
                <w:iCs/>
                <w:sz w:val="24"/>
                <w:szCs w:val="24"/>
              </w:rPr>
              <w:t>protect  individuals</w:t>
            </w:r>
            <w:proofErr w:type="gramEnd"/>
            <w:r w:rsidRPr="0003599A">
              <w:rPr>
                <w:iCs/>
                <w:sz w:val="24"/>
                <w:szCs w:val="24"/>
              </w:rPr>
              <w:t xml:space="preserve"> at risk, from harm and abuse while promoting their safety and wellbeing. </w:t>
            </w:r>
            <w:proofErr w:type="gramStart"/>
            <w:r w:rsidRPr="0003599A">
              <w:rPr>
                <w:iCs/>
                <w:sz w:val="24"/>
                <w:szCs w:val="24"/>
              </w:rPr>
              <w:t>However</w:t>
            </w:r>
            <w:proofErr w:type="gramEnd"/>
            <w:r w:rsidRPr="0003599A">
              <w:rPr>
                <w:iCs/>
                <w:sz w:val="24"/>
                <w:szCs w:val="24"/>
              </w:rPr>
              <w:t xml:space="preserve"> the one difference I have strongly noticed if that when there is significant risk of harm to a child this is actioned immediately, whereas adults </w:t>
            </w:r>
            <w:proofErr w:type="gramStart"/>
            <w:r w:rsidRPr="0003599A">
              <w:rPr>
                <w:iCs/>
                <w:sz w:val="24"/>
                <w:szCs w:val="24"/>
              </w:rPr>
              <w:t>emphasises</w:t>
            </w:r>
            <w:proofErr w:type="gramEnd"/>
            <w:r w:rsidRPr="0003599A">
              <w:rPr>
                <w:iCs/>
                <w:sz w:val="24"/>
                <w:szCs w:val="24"/>
              </w:rPr>
              <w:t xml:space="preserve"> empowering and choice of an individual. </w:t>
            </w:r>
            <w:proofErr w:type="gramStart"/>
            <w:r w:rsidRPr="0003599A">
              <w:rPr>
                <w:iCs/>
                <w:sz w:val="24"/>
                <w:szCs w:val="24"/>
              </w:rPr>
              <w:t>Having an understanding of</w:t>
            </w:r>
            <w:proofErr w:type="gramEnd"/>
            <w:r w:rsidRPr="0003599A">
              <w:rPr>
                <w:iCs/>
                <w:sz w:val="24"/>
                <w:szCs w:val="24"/>
              </w:rPr>
              <w:t xml:space="preserve"> the similarities and differences within these areas of practice will ensure I continue to remain person-centred in my approach to safeguarding while focusing on </w:t>
            </w:r>
            <w:proofErr w:type="gramStart"/>
            <w:r w:rsidRPr="0003599A">
              <w:rPr>
                <w:iCs/>
                <w:sz w:val="24"/>
                <w:szCs w:val="24"/>
              </w:rPr>
              <w:t>individuals</w:t>
            </w:r>
            <w:proofErr w:type="gramEnd"/>
            <w:r w:rsidRPr="0003599A">
              <w:rPr>
                <w:iCs/>
                <w:sz w:val="24"/>
                <w:szCs w:val="24"/>
              </w:rPr>
              <w:t xml:space="preserve"> capacity and circumstances. </w:t>
            </w:r>
          </w:p>
          <w:p w14:paraId="701B5C43" w14:textId="69AA4D51" w:rsidR="0003599A" w:rsidRPr="0003599A" w:rsidRDefault="0003599A" w:rsidP="0003599A">
            <w:pPr>
              <w:jc w:val="both"/>
              <w:rPr>
                <w:iCs/>
                <w:sz w:val="24"/>
                <w:szCs w:val="24"/>
              </w:rPr>
            </w:pPr>
          </w:p>
          <w:p w14:paraId="64AF5E90" w14:textId="77777777" w:rsidR="0003599A" w:rsidRPr="0003599A" w:rsidRDefault="0003599A" w:rsidP="0003599A">
            <w:pPr>
              <w:jc w:val="both"/>
              <w:rPr>
                <w:iCs/>
                <w:sz w:val="24"/>
                <w:szCs w:val="24"/>
              </w:rPr>
            </w:pPr>
          </w:p>
          <w:p w14:paraId="1C73A161" w14:textId="36CBADA1" w:rsidR="0003599A" w:rsidRPr="0003599A" w:rsidRDefault="0003599A" w:rsidP="0003599A">
            <w:pPr>
              <w:jc w:val="both"/>
              <w:rPr>
                <w:iCs/>
                <w:sz w:val="24"/>
                <w:szCs w:val="24"/>
              </w:rPr>
            </w:pPr>
            <w:r w:rsidRPr="0003599A">
              <w:rPr>
                <w:iCs/>
                <w:sz w:val="24"/>
                <w:szCs w:val="24"/>
              </w:rPr>
              <w:t>Word Count: 463.</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5E47BD" w14:textId="77777777" w:rsidR="00B26802" w:rsidRDefault="00B26802">
      <w:r>
        <w:separator/>
      </w:r>
    </w:p>
  </w:endnote>
  <w:endnote w:type="continuationSeparator" w:id="0">
    <w:p w14:paraId="1DC81050" w14:textId="77777777" w:rsidR="00B26802" w:rsidRDefault="00B268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altName w:val="Symbol"/>
    <w:panose1 w:val="05050102010706020507"/>
    <w:charset w:val="02"/>
    <w:family w:val="roman"/>
    <w:pitch w:val="variable"/>
    <w:sig w:usb0="00000000" w:usb1="10000000" w:usb2="00000000" w:usb3="00000000" w:csb0="80000000" w:csb1="00000000"/>
  </w:font>
  <w:font w:name="Times New Roman">
    <w:altName w:val="Time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altName w:val="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909028" w14:textId="77777777" w:rsidR="00B26802" w:rsidRDefault="00B26802">
      <w:r>
        <w:separator/>
      </w:r>
    </w:p>
  </w:footnote>
  <w:footnote w:type="continuationSeparator" w:id="0">
    <w:p w14:paraId="046A0F76" w14:textId="77777777" w:rsidR="00B26802" w:rsidRDefault="00B268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599A"/>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321E"/>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01F6"/>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1654"/>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C63"/>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5A38"/>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6802"/>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0271"/>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1203</Words>
  <Characters>6861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Vicky Bowen</cp:lastModifiedBy>
  <cp:revision>5</cp:revision>
  <cp:lastPrinted>2020-02-11T19:20:00Z</cp:lastPrinted>
  <dcterms:created xsi:type="dcterms:W3CDTF">2026-10-05T16:57:00Z</dcterms:created>
  <dcterms:modified xsi:type="dcterms:W3CDTF">2026-10-06T10:19:00Z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