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99035" w14:textId="77777777" w:rsidR="009225A3" w:rsidRPr="005B35A9" w:rsidRDefault="009225A3" w:rsidP="00413240">
      <w:pPr>
        <w:spacing w:line="360" w:lineRule="auto"/>
        <w:ind w:left="-80"/>
        <w:jc w:val="center"/>
        <w:rPr>
          <w:b/>
          <w:sz w:val="32"/>
          <w:szCs w:val="32"/>
        </w:rPr>
      </w:pPr>
    </w:p>
    <w:p w14:paraId="5589FF74" w14:textId="77777777" w:rsidR="009225A3" w:rsidRPr="005B35A9" w:rsidRDefault="009225A3" w:rsidP="00413240">
      <w:pPr>
        <w:spacing w:line="360" w:lineRule="auto"/>
        <w:ind w:left="-80"/>
        <w:jc w:val="center"/>
        <w:rPr>
          <w:b/>
          <w:sz w:val="32"/>
          <w:szCs w:val="32"/>
        </w:rPr>
      </w:pPr>
    </w:p>
    <w:p w14:paraId="3CC2DDE9" w14:textId="77777777" w:rsidR="009225A3" w:rsidRPr="005B35A9" w:rsidRDefault="009225A3" w:rsidP="00413240">
      <w:pPr>
        <w:spacing w:line="360" w:lineRule="auto"/>
        <w:ind w:left="-80"/>
        <w:jc w:val="center"/>
        <w:rPr>
          <w:b/>
          <w:sz w:val="32"/>
          <w:szCs w:val="32"/>
        </w:rPr>
      </w:pPr>
    </w:p>
    <w:p w14:paraId="04E5C050" w14:textId="77777777" w:rsidR="009225A3" w:rsidRPr="005B35A9" w:rsidRDefault="009225A3" w:rsidP="00413240">
      <w:pPr>
        <w:spacing w:line="360" w:lineRule="auto"/>
        <w:ind w:left="-80"/>
        <w:jc w:val="center"/>
        <w:rPr>
          <w:b/>
          <w:sz w:val="32"/>
          <w:szCs w:val="32"/>
        </w:rPr>
      </w:pPr>
    </w:p>
    <w:p w14:paraId="54B36BED" w14:textId="77777777" w:rsidR="009225A3" w:rsidRPr="005B35A9" w:rsidRDefault="009225A3" w:rsidP="00413240">
      <w:pPr>
        <w:spacing w:line="360" w:lineRule="auto"/>
        <w:ind w:left="-80"/>
        <w:jc w:val="center"/>
        <w:rPr>
          <w:b/>
          <w:sz w:val="32"/>
          <w:szCs w:val="32"/>
        </w:rPr>
      </w:pPr>
    </w:p>
    <w:p w14:paraId="7415A460" w14:textId="77777777" w:rsidR="009225A3" w:rsidRPr="005B35A9" w:rsidRDefault="009225A3" w:rsidP="00413240">
      <w:pPr>
        <w:spacing w:line="360" w:lineRule="auto"/>
        <w:ind w:left="-80"/>
        <w:jc w:val="center"/>
        <w:rPr>
          <w:b/>
          <w:sz w:val="32"/>
          <w:szCs w:val="32"/>
        </w:rPr>
      </w:pPr>
    </w:p>
    <w:p w14:paraId="4B0A1102" w14:textId="024033F3" w:rsidR="00F73191" w:rsidRPr="005B35A9" w:rsidRDefault="00054BAA" w:rsidP="00413240">
      <w:pPr>
        <w:spacing w:line="360" w:lineRule="auto"/>
        <w:ind w:left="-80"/>
        <w:jc w:val="center"/>
        <w:rPr>
          <w:b/>
          <w:sz w:val="32"/>
          <w:szCs w:val="32"/>
        </w:rPr>
      </w:pPr>
      <w:r w:rsidRPr="005B35A9">
        <w:rPr>
          <w:b/>
          <w:sz w:val="32"/>
          <w:szCs w:val="32"/>
        </w:rPr>
        <w:t>MODULE: LCHS4003 – INTRODUCTION TO HEALTH AND SOCIAL CARE</w:t>
      </w:r>
    </w:p>
    <w:p w14:paraId="5C3B4ADF" w14:textId="77777777" w:rsidR="00F73191" w:rsidRPr="005B35A9" w:rsidRDefault="00054BAA" w:rsidP="00413240">
      <w:pPr>
        <w:spacing w:line="360" w:lineRule="auto"/>
        <w:ind w:left="-80"/>
        <w:jc w:val="center"/>
        <w:rPr>
          <w:b/>
          <w:sz w:val="32"/>
          <w:szCs w:val="32"/>
        </w:rPr>
      </w:pPr>
      <w:r w:rsidRPr="005B35A9">
        <w:rPr>
          <w:b/>
          <w:sz w:val="32"/>
          <w:szCs w:val="32"/>
        </w:rPr>
        <w:t>COMPONENT 2 GUIDANCE – ASSIGNMENT</w:t>
      </w:r>
    </w:p>
    <w:p w14:paraId="5DBD99E5" w14:textId="744B5D96" w:rsidR="008323EF" w:rsidRPr="005B35A9" w:rsidRDefault="008323EF" w:rsidP="00413240">
      <w:pPr>
        <w:spacing w:line="360" w:lineRule="auto"/>
        <w:ind w:left="-80"/>
        <w:jc w:val="center"/>
        <w:rPr>
          <w:b/>
          <w:sz w:val="32"/>
          <w:szCs w:val="32"/>
        </w:rPr>
      </w:pPr>
      <w:r w:rsidRPr="005B35A9">
        <w:rPr>
          <w:b/>
          <w:sz w:val="32"/>
          <w:szCs w:val="32"/>
        </w:rPr>
        <w:t xml:space="preserve">Student ID: </w:t>
      </w:r>
      <w:r w:rsidR="002503BE">
        <w:rPr>
          <w:b/>
          <w:sz w:val="32"/>
          <w:szCs w:val="32"/>
        </w:rPr>
        <w:t>2322811</w:t>
      </w:r>
      <w:r w:rsidRPr="005B35A9">
        <w:rPr>
          <w:b/>
          <w:sz w:val="32"/>
          <w:szCs w:val="32"/>
        </w:rPr>
        <w:br/>
        <w:t xml:space="preserve">Student Name: </w:t>
      </w:r>
      <w:r w:rsidR="002503BE">
        <w:rPr>
          <w:b/>
          <w:sz w:val="32"/>
          <w:szCs w:val="32"/>
        </w:rPr>
        <w:t>Shazia Bi</w:t>
      </w:r>
    </w:p>
    <w:p w14:paraId="69B44259" w14:textId="77777777" w:rsidR="00F73191" w:rsidRPr="005B35A9" w:rsidRDefault="00054BAA" w:rsidP="00413240">
      <w:pPr>
        <w:spacing w:line="360" w:lineRule="auto"/>
        <w:ind w:left="-80"/>
        <w:rPr>
          <w:b/>
          <w:sz w:val="32"/>
          <w:szCs w:val="32"/>
        </w:rPr>
      </w:pPr>
      <w:r w:rsidRPr="005B35A9">
        <w:br w:type="page"/>
      </w:r>
    </w:p>
    <w:sdt>
      <w:sdtPr>
        <w:rPr>
          <w:rFonts w:ascii="Times New Roman" w:eastAsia="Times New Roman" w:hAnsi="Times New Roman" w:cs="Times New Roman"/>
          <w:b/>
          <w:bCs/>
          <w:color w:val="auto"/>
          <w:sz w:val="24"/>
          <w:szCs w:val="24"/>
          <w:lang w:val="en-GB" w:eastAsia="en-IN"/>
        </w:rPr>
        <w:id w:val="91440149"/>
        <w:docPartObj>
          <w:docPartGallery w:val="Table of Contents"/>
          <w:docPartUnique/>
        </w:docPartObj>
      </w:sdtPr>
      <w:sdtEndPr>
        <w:rPr>
          <w:noProof/>
        </w:rPr>
      </w:sdtEndPr>
      <w:sdtContent>
        <w:p w14:paraId="31922938" w14:textId="31396A8D" w:rsidR="009225A3" w:rsidRPr="00F95812" w:rsidRDefault="009225A3" w:rsidP="00413240">
          <w:pPr>
            <w:pStyle w:val="TOCHeading"/>
            <w:spacing w:line="360" w:lineRule="auto"/>
            <w:jc w:val="center"/>
            <w:rPr>
              <w:rFonts w:ascii="Times New Roman" w:hAnsi="Times New Roman" w:cs="Times New Roman"/>
              <w:b/>
              <w:bCs/>
              <w:color w:val="000000" w:themeColor="text1"/>
              <w:sz w:val="24"/>
              <w:szCs w:val="24"/>
            </w:rPr>
          </w:pPr>
          <w:r w:rsidRPr="00F95812">
            <w:rPr>
              <w:rFonts w:ascii="Times New Roman" w:hAnsi="Times New Roman" w:cs="Times New Roman"/>
              <w:b/>
              <w:bCs/>
              <w:color w:val="000000" w:themeColor="text1"/>
              <w:sz w:val="24"/>
              <w:szCs w:val="24"/>
            </w:rPr>
            <w:t>Table of Contents</w:t>
          </w:r>
        </w:p>
        <w:p w14:paraId="576D4B3F" w14:textId="110C17AB" w:rsidR="00F95812" w:rsidRDefault="009225A3">
          <w:pPr>
            <w:pStyle w:val="TOC1"/>
            <w:tabs>
              <w:tab w:val="right" w:leader="dot" w:pos="9019"/>
            </w:tabs>
            <w:rPr>
              <w:rFonts w:asciiTheme="minorHAnsi" w:eastAsiaTheme="minorEastAsia" w:hAnsiTheme="minorHAnsi" w:cstheme="minorBidi"/>
              <w:noProof/>
              <w:kern w:val="2"/>
              <w:lang w:val="en-IN"/>
              <w14:ligatures w14:val="standardContextual"/>
            </w:rPr>
          </w:pPr>
          <w:r w:rsidRPr="005B35A9">
            <w:rPr>
              <w:color w:val="000000" w:themeColor="text1"/>
            </w:rPr>
            <w:fldChar w:fldCharType="begin"/>
          </w:r>
          <w:r w:rsidRPr="005B35A9">
            <w:rPr>
              <w:color w:val="000000" w:themeColor="text1"/>
            </w:rPr>
            <w:instrText xml:space="preserve"> TOC \o "1-3" \h \z \u </w:instrText>
          </w:r>
          <w:r w:rsidRPr="005B35A9">
            <w:rPr>
              <w:color w:val="000000" w:themeColor="text1"/>
            </w:rPr>
            <w:fldChar w:fldCharType="separate"/>
          </w:r>
          <w:hyperlink w:anchor="_Toc213428011" w:history="1">
            <w:r w:rsidR="00F95812" w:rsidRPr="005A096A">
              <w:rPr>
                <w:rStyle w:val="Hyperlink"/>
                <w:noProof/>
              </w:rPr>
              <w:t>Introduction</w:t>
            </w:r>
            <w:r w:rsidR="00F95812">
              <w:rPr>
                <w:noProof/>
                <w:webHidden/>
              </w:rPr>
              <w:tab/>
            </w:r>
            <w:r w:rsidR="00F95812">
              <w:rPr>
                <w:noProof/>
                <w:webHidden/>
              </w:rPr>
              <w:fldChar w:fldCharType="begin"/>
            </w:r>
            <w:r w:rsidR="00F95812">
              <w:rPr>
                <w:noProof/>
                <w:webHidden/>
              </w:rPr>
              <w:instrText xml:space="preserve"> PAGEREF _Toc213428011 \h </w:instrText>
            </w:r>
            <w:r w:rsidR="00F95812">
              <w:rPr>
                <w:noProof/>
                <w:webHidden/>
              </w:rPr>
            </w:r>
            <w:r w:rsidR="00F95812">
              <w:rPr>
                <w:noProof/>
                <w:webHidden/>
              </w:rPr>
              <w:fldChar w:fldCharType="separate"/>
            </w:r>
            <w:r w:rsidR="00F95812">
              <w:rPr>
                <w:noProof/>
                <w:webHidden/>
              </w:rPr>
              <w:t>2</w:t>
            </w:r>
            <w:r w:rsidR="00F95812">
              <w:rPr>
                <w:noProof/>
                <w:webHidden/>
              </w:rPr>
              <w:fldChar w:fldCharType="end"/>
            </w:r>
          </w:hyperlink>
        </w:p>
        <w:p w14:paraId="16EC88C1" w14:textId="1FB8A251" w:rsidR="00F95812" w:rsidRDefault="00F9581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3428012" w:history="1">
            <w:r w:rsidRPr="005A096A">
              <w:rPr>
                <w:rStyle w:val="Hyperlink"/>
                <w:noProof/>
              </w:rPr>
              <w:t>Section 1: Effective Communication</w:t>
            </w:r>
            <w:r>
              <w:rPr>
                <w:noProof/>
                <w:webHidden/>
              </w:rPr>
              <w:tab/>
            </w:r>
            <w:r>
              <w:rPr>
                <w:noProof/>
                <w:webHidden/>
              </w:rPr>
              <w:fldChar w:fldCharType="begin"/>
            </w:r>
            <w:r>
              <w:rPr>
                <w:noProof/>
                <w:webHidden/>
              </w:rPr>
              <w:instrText xml:space="preserve"> PAGEREF _Toc213428012 \h </w:instrText>
            </w:r>
            <w:r>
              <w:rPr>
                <w:noProof/>
                <w:webHidden/>
              </w:rPr>
            </w:r>
            <w:r>
              <w:rPr>
                <w:noProof/>
                <w:webHidden/>
              </w:rPr>
              <w:fldChar w:fldCharType="separate"/>
            </w:r>
            <w:r>
              <w:rPr>
                <w:noProof/>
                <w:webHidden/>
              </w:rPr>
              <w:t>2</w:t>
            </w:r>
            <w:r>
              <w:rPr>
                <w:noProof/>
                <w:webHidden/>
              </w:rPr>
              <w:fldChar w:fldCharType="end"/>
            </w:r>
          </w:hyperlink>
        </w:p>
        <w:p w14:paraId="0B4717ED" w14:textId="3D5B881C" w:rsidR="00F95812" w:rsidRDefault="00F9581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3428013" w:history="1">
            <w:r w:rsidRPr="005A096A">
              <w:rPr>
                <w:rStyle w:val="Hyperlink"/>
                <w:noProof/>
              </w:rPr>
              <w:t>Section 2 : Administrative Skills &amp; Record Keeping</w:t>
            </w:r>
            <w:r>
              <w:rPr>
                <w:noProof/>
                <w:webHidden/>
              </w:rPr>
              <w:tab/>
            </w:r>
            <w:r>
              <w:rPr>
                <w:noProof/>
                <w:webHidden/>
              </w:rPr>
              <w:fldChar w:fldCharType="begin"/>
            </w:r>
            <w:r>
              <w:rPr>
                <w:noProof/>
                <w:webHidden/>
              </w:rPr>
              <w:instrText xml:space="preserve"> PAGEREF _Toc213428013 \h </w:instrText>
            </w:r>
            <w:r>
              <w:rPr>
                <w:noProof/>
                <w:webHidden/>
              </w:rPr>
            </w:r>
            <w:r>
              <w:rPr>
                <w:noProof/>
                <w:webHidden/>
              </w:rPr>
              <w:fldChar w:fldCharType="separate"/>
            </w:r>
            <w:r>
              <w:rPr>
                <w:noProof/>
                <w:webHidden/>
              </w:rPr>
              <w:t>3</w:t>
            </w:r>
            <w:r>
              <w:rPr>
                <w:noProof/>
                <w:webHidden/>
              </w:rPr>
              <w:fldChar w:fldCharType="end"/>
            </w:r>
          </w:hyperlink>
        </w:p>
        <w:p w14:paraId="416DA156" w14:textId="2FBF8F1A" w:rsidR="00F95812" w:rsidRDefault="00F9581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3428014" w:history="1">
            <w:r w:rsidRPr="005A096A">
              <w:rPr>
                <w:rStyle w:val="Hyperlink"/>
                <w:noProof/>
              </w:rPr>
              <w:t>Section 3: Collaborative working</w:t>
            </w:r>
            <w:r>
              <w:rPr>
                <w:noProof/>
                <w:webHidden/>
              </w:rPr>
              <w:tab/>
            </w:r>
            <w:r>
              <w:rPr>
                <w:noProof/>
                <w:webHidden/>
              </w:rPr>
              <w:fldChar w:fldCharType="begin"/>
            </w:r>
            <w:r>
              <w:rPr>
                <w:noProof/>
                <w:webHidden/>
              </w:rPr>
              <w:instrText xml:space="preserve"> PAGEREF _Toc213428014 \h </w:instrText>
            </w:r>
            <w:r>
              <w:rPr>
                <w:noProof/>
                <w:webHidden/>
              </w:rPr>
            </w:r>
            <w:r>
              <w:rPr>
                <w:noProof/>
                <w:webHidden/>
              </w:rPr>
              <w:fldChar w:fldCharType="separate"/>
            </w:r>
            <w:r>
              <w:rPr>
                <w:noProof/>
                <w:webHidden/>
              </w:rPr>
              <w:t>5</w:t>
            </w:r>
            <w:r>
              <w:rPr>
                <w:noProof/>
                <w:webHidden/>
              </w:rPr>
              <w:fldChar w:fldCharType="end"/>
            </w:r>
          </w:hyperlink>
        </w:p>
        <w:p w14:paraId="25D32999" w14:textId="03375D99" w:rsidR="00F95812" w:rsidRDefault="00F9581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3428015" w:history="1">
            <w:r w:rsidRPr="005A096A">
              <w:rPr>
                <w:rStyle w:val="Hyperlink"/>
                <w:noProof/>
              </w:rPr>
              <w:t>Conclusion</w:t>
            </w:r>
            <w:r>
              <w:rPr>
                <w:noProof/>
                <w:webHidden/>
              </w:rPr>
              <w:tab/>
            </w:r>
            <w:r>
              <w:rPr>
                <w:noProof/>
                <w:webHidden/>
              </w:rPr>
              <w:fldChar w:fldCharType="begin"/>
            </w:r>
            <w:r>
              <w:rPr>
                <w:noProof/>
                <w:webHidden/>
              </w:rPr>
              <w:instrText xml:space="preserve"> PAGEREF _Toc213428015 \h </w:instrText>
            </w:r>
            <w:r>
              <w:rPr>
                <w:noProof/>
                <w:webHidden/>
              </w:rPr>
            </w:r>
            <w:r>
              <w:rPr>
                <w:noProof/>
                <w:webHidden/>
              </w:rPr>
              <w:fldChar w:fldCharType="separate"/>
            </w:r>
            <w:r>
              <w:rPr>
                <w:noProof/>
                <w:webHidden/>
              </w:rPr>
              <w:t>5</w:t>
            </w:r>
            <w:r>
              <w:rPr>
                <w:noProof/>
                <w:webHidden/>
              </w:rPr>
              <w:fldChar w:fldCharType="end"/>
            </w:r>
          </w:hyperlink>
        </w:p>
        <w:p w14:paraId="30EFA5C1" w14:textId="0A2A1193" w:rsidR="00F95812" w:rsidRDefault="00F9581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3428016" w:history="1">
            <w:r w:rsidRPr="005A096A">
              <w:rPr>
                <w:rStyle w:val="Hyperlink"/>
                <w:noProof/>
              </w:rPr>
              <w:t>References</w:t>
            </w:r>
            <w:r>
              <w:rPr>
                <w:noProof/>
                <w:webHidden/>
              </w:rPr>
              <w:tab/>
            </w:r>
            <w:r>
              <w:rPr>
                <w:noProof/>
                <w:webHidden/>
              </w:rPr>
              <w:fldChar w:fldCharType="begin"/>
            </w:r>
            <w:r>
              <w:rPr>
                <w:noProof/>
                <w:webHidden/>
              </w:rPr>
              <w:instrText xml:space="preserve"> PAGEREF _Toc213428016 \h </w:instrText>
            </w:r>
            <w:r>
              <w:rPr>
                <w:noProof/>
                <w:webHidden/>
              </w:rPr>
            </w:r>
            <w:r>
              <w:rPr>
                <w:noProof/>
                <w:webHidden/>
              </w:rPr>
              <w:fldChar w:fldCharType="separate"/>
            </w:r>
            <w:r>
              <w:rPr>
                <w:noProof/>
                <w:webHidden/>
              </w:rPr>
              <w:t>7</w:t>
            </w:r>
            <w:r>
              <w:rPr>
                <w:noProof/>
                <w:webHidden/>
              </w:rPr>
              <w:fldChar w:fldCharType="end"/>
            </w:r>
          </w:hyperlink>
        </w:p>
        <w:p w14:paraId="4F441E63" w14:textId="74B6A86A" w:rsidR="009225A3" w:rsidRPr="005B35A9" w:rsidRDefault="009225A3" w:rsidP="00413240">
          <w:pPr>
            <w:spacing w:line="360" w:lineRule="auto"/>
          </w:pPr>
          <w:r w:rsidRPr="005B35A9">
            <w:rPr>
              <w:b/>
              <w:bCs/>
              <w:noProof/>
              <w:color w:val="000000" w:themeColor="text1"/>
            </w:rPr>
            <w:fldChar w:fldCharType="end"/>
          </w:r>
        </w:p>
      </w:sdtContent>
    </w:sdt>
    <w:p w14:paraId="038EB811" w14:textId="77777777" w:rsidR="00A45BBC" w:rsidRPr="005B35A9" w:rsidRDefault="00A45BBC" w:rsidP="00413240">
      <w:pPr>
        <w:spacing w:line="360" w:lineRule="auto"/>
        <w:ind w:left="-80"/>
        <w:rPr>
          <w:b/>
        </w:rPr>
      </w:pPr>
    </w:p>
    <w:p w14:paraId="43623B68" w14:textId="3AAFC113" w:rsidR="00F73191" w:rsidRPr="005B35A9" w:rsidRDefault="00054BAA" w:rsidP="00413240">
      <w:pPr>
        <w:spacing w:line="360" w:lineRule="auto"/>
        <w:ind w:left="-80"/>
        <w:jc w:val="center"/>
        <w:rPr>
          <w:b/>
        </w:rPr>
      </w:pPr>
      <w:r w:rsidRPr="005B35A9">
        <w:rPr>
          <w:b/>
        </w:rPr>
        <w:t xml:space="preserve"> </w:t>
      </w:r>
    </w:p>
    <w:p w14:paraId="2A8DCDEA" w14:textId="77777777" w:rsidR="00F73191" w:rsidRPr="005B35A9" w:rsidRDefault="00F73191" w:rsidP="00413240">
      <w:pPr>
        <w:spacing w:line="360" w:lineRule="auto"/>
        <w:ind w:left="-80"/>
        <w:jc w:val="center"/>
        <w:rPr>
          <w:b/>
        </w:rPr>
      </w:pPr>
    </w:p>
    <w:p w14:paraId="1D214847" w14:textId="77777777" w:rsidR="00F73191" w:rsidRPr="005B35A9" w:rsidRDefault="00F73191" w:rsidP="00413240">
      <w:pPr>
        <w:spacing w:line="360" w:lineRule="auto"/>
        <w:ind w:left="-80"/>
      </w:pPr>
    </w:p>
    <w:p w14:paraId="20DE7D19" w14:textId="77777777" w:rsidR="00F73191" w:rsidRPr="005B35A9" w:rsidRDefault="00054BAA" w:rsidP="00413240">
      <w:pPr>
        <w:spacing w:line="360" w:lineRule="auto"/>
        <w:ind w:left="-80"/>
        <w:rPr>
          <w:b/>
        </w:rPr>
      </w:pPr>
      <w:bookmarkStart w:id="0" w:name="_od06mwa8u3f6" w:colFirst="0" w:colLast="0"/>
      <w:bookmarkEnd w:id="0"/>
      <w:r w:rsidRPr="005B35A9">
        <w:br w:type="page"/>
      </w:r>
    </w:p>
    <w:p w14:paraId="1271EF7E" w14:textId="77777777" w:rsidR="00F73191" w:rsidRPr="005B35A9" w:rsidRDefault="00054BAA" w:rsidP="00413240">
      <w:pPr>
        <w:pStyle w:val="Heading1"/>
      </w:pPr>
      <w:bookmarkStart w:id="1" w:name="_Toc213428011"/>
      <w:r w:rsidRPr="005B35A9">
        <w:t>Introduction</w:t>
      </w:r>
      <w:bookmarkEnd w:id="1"/>
      <w:r w:rsidRPr="005B35A9">
        <w:t xml:space="preserve"> </w:t>
      </w:r>
    </w:p>
    <w:p w14:paraId="37FD6C39" w14:textId="69E012B7" w:rsidR="00F73191" w:rsidRPr="005B35A9" w:rsidRDefault="00054BAA" w:rsidP="00413240">
      <w:pPr>
        <w:spacing w:line="360" w:lineRule="auto"/>
        <w:rPr>
          <w:b/>
        </w:rPr>
      </w:pPr>
      <w:r w:rsidRPr="005B35A9">
        <w:t>Mrs Mann is a 72-years old woman who lives alone in England and was recently discharged from hospital after her hip replacement. She receives domiciliary care twice a day for her mobility and personal care at home. She has a limited ability to speak in English although is able to speak in her first language, which is Urdu. She has support from her daughter who lives nearby, while also receiving support from GP and community physiotherapist who visit twice in a week. These problems happen due to communicatio</w:t>
      </w:r>
      <w:r w:rsidRPr="005B35A9">
        <w:t>n barriers and co-ordination gaps that are necessary to be reduced to provide regular medication to Mrs Mann. This study helps in suggesting proper health and social care strategies and how to have better communication level, as well determining different administrative skills and records keeping skills. Information is also analysed along with critical evaluation about collaborative work processes in order to address the challenges that are faced by Mrs. Mann.</w:t>
      </w:r>
    </w:p>
    <w:p w14:paraId="102D8A12" w14:textId="77777777" w:rsidR="00F73191" w:rsidRPr="005B35A9" w:rsidRDefault="00054BAA" w:rsidP="00413240">
      <w:pPr>
        <w:pStyle w:val="Heading1"/>
      </w:pPr>
      <w:bookmarkStart w:id="2" w:name="_39w8us6dwh9u" w:colFirst="0" w:colLast="0"/>
      <w:bookmarkStart w:id="3" w:name="_Toc213428012"/>
      <w:bookmarkEnd w:id="2"/>
      <w:r w:rsidRPr="005B35A9">
        <w:t>Section 1: Effective Communication</w:t>
      </w:r>
      <w:bookmarkEnd w:id="3"/>
      <w:r w:rsidRPr="005B35A9">
        <w:t xml:space="preserve"> </w:t>
      </w:r>
    </w:p>
    <w:p w14:paraId="3E169354" w14:textId="77777777" w:rsidR="00F73191" w:rsidRPr="005B35A9" w:rsidRDefault="00054BAA" w:rsidP="00413240">
      <w:pPr>
        <w:spacing w:line="360" w:lineRule="auto"/>
      </w:pPr>
      <w:r w:rsidRPr="005B35A9">
        <w:t xml:space="preserve">Safety of a patient, perfect treatment and better care is important for a health care sector that can ensure through effective communication. Communication process is important among health and social care professionals as it provides clear knowledge about information flow that helps in making accurate decisions. However, according to Sexias, Dionne &amp; Mitton (2021), Priority setting and Resource Allocation (PSRA) is m important for a health care service provider to make a better relationship with patients. </w:t>
      </w:r>
      <w:r w:rsidRPr="005B35A9">
        <w:t>In Mrs. Mann's case, The Shannon and Weaver Model of Communication (1948) will be highly relevant by understanding the way messages can be distorted at distinct stages due to various noise factors. A perfect documentation and interpreters can also help to improve co-ordination care professionals.</w:t>
      </w:r>
    </w:p>
    <w:p w14:paraId="031EDF9A" w14:textId="77777777" w:rsidR="00F73191" w:rsidRPr="005B35A9" w:rsidRDefault="00054BAA" w:rsidP="00413240">
      <w:pPr>
        <w:spacing w:line="360" w:lineRule="auto"/>
        <w:jc w:val="center"/>
      </w:pPr>
      <w:r w:rsidRPr="005B35A9">
        <w:rPr>
          <w:noProof/>
        </w:rPr>
        <w:drawing>
          <wp:inline distT="114300" distB="114300" distL="114300" distR="114300" wp14:anchorId="7104CA5D" wp14:editId="5FD45848">
            <wp:extent cx="4619625" cy="181869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19625" cy="1818690"/>
                    </a:xfrm>
                    <a:prstGeom prst="rect">
                      <a:avLst/>
                    </a:prstGeom>
                    <a:ln w="12700">
                      <a:solidFill>
                        <a:srgbClr val="000000"/>
                      </a:solidFill>
                      <a:prstDash val="solid"/>
                    </a:ln>
                  </pic:spPr>
                </pic:pic>
              </a:graphicData>
            </a:graphic>
          </wp:inline>
        </w:drawing>
      </w:r>
    </w:p>
    <w:p w14:paraId="5274C181" w14:textId="77777777" w:rsidR="00F73191" w:rsidRPr="005B35A9" w:rsidRDefault="00054BAA" w:rsidP="00413240">
      <w:pPr>
        <w:spacing w:line="360" w:lineRule="auto"/>
        <w:jc w:val="center"/>
        <w:rPr>
          <w:b/>
        </w:rPr>
      </w:pPr>
      <w:r w:rsidRPr="005B35A9">
        <w:rPr>
          <w:b/>
        </w:rPr>
        <w:t>Figure 1: Shanon-Weaver model of communication</w:t>
      </w:r>
    </w:p>
    <w:p w14:paraId="6430524C" w14:textId="77777777" w:rsidR="00F73191" w:rsidRPr="005B35A9" w:rsidRDefault="00054BAA" w:rsidP="00413240">
      <w:pPr>
        <w:spacing w:line="360" w:lineRule="auto"/>
        <w:jc w:val="center"/>
      </w:pPr>
      <w:r w:rsidRPr="005B35A9">
        <w:t>(Source: Influenced by Maiwada, 2025)</w:t>
      </w:r>
    </w:p>
    <w:p w14:paraId="075F57D7" w14:textId="5A37463D" w:rsidR="009225A3" w:rsidRPr="005B35A9" w:rsidRDefault="00054BAA" w:rsidP="00413240">
      <w:pPr>
        <w:spacing w:line="360" w:lineRule="auto"/>
      </w:pPr>
      <w:r w:rsidRPr="005B35A9">
        <w:rPr>
          <w:b/>
          <w:i/>
        </w:rPr>
        <w:t xml:space="preserve">Shanon-Weaver model of communication </w:t>
      </w:r>
      <w:r w:rsidRPr="005B35A9">
        <w:t>explains the process of flowing information between sender and receiver that strengthens clarity, eliminates barriers, and emphasises feedback. This model is important to be implemented by a healthcare provider, as it helps sender to understand any distortion or “noise” like, language understanding problem, emotional issue, different cultural issue (Maiwada, 2025).This model can be use in, healthcare professionals to improve their communication structure more efficiently through identifying accurate mediums</w:t>
      </w:r>
      <w:r w:rsidRPr="005B35A9">
        <w:t xml:space="preserve">. In this process “noise” includes cultural misunderstanding, language barriers, inappropriate records, and limited </w:t>
      </w:r>
      <w:r w:rsidR="009225A3" w:rsidRPr="005B35A9">
        <w:t>E</w:t>
      </w:r>
      <w:r w:rsidRPr="005B35A9">
        <w:t xml:space="preserve">nglish. For example, “noise” distorts the message and lead care errors if the care worker verbally communicates the changes in medication in English and </w:t>
      </w:r>
      <w:r w:rsidR="009225A3" w:rsidRPr="005B35A9">
        <w:t>Mrs. Mann</w:t>
      </w:r>
      <w:r w:rsidRPr="005B35A9">
        <w:t xml:space="preserve"> does not able to understand it fully. </w:t>
      </w:r>
      <w:r w:rsidR="009225A3" w:rsidRPr="005B35A9">
        <w:t>Also,</w:t>
      </w:r>
      <w:r w:rsidRPr="005B35A9">
        <w:t xml:space="preserve"> message </w:t>
      </w:r>
      <w:r w:rsidR="009225A3" w:rsidRPr="005B35A9">
        <w:t>cannot</w:t>
      </w:r>
      <w:r w:rsidRPr="005B35A9">
        <w:t xml:space="preserve"> accurately reach its destination if Mrs. Manns daughter interprets correctly but miss some details, or some documentation </w:t>
      </w:r>
      <w:r w:rsidR="009225A3" w:rsidRPr="005B35A9">
        <w:t>cannot</w:t>
      </w:r>
      <w:r w:rsidRPr="005B35A9">
        <w:t xml:space="preserve"> be clear. According to Sharkiya (2023) verba</w:t>
      </w:r>
      <w:r w:rsidRPr="005B35A9">
        <w:t>l and non-verbal communication increase many patient related issues like dissatisfaction, delay in recovery, emotional heart specially for older people, that may reduce through actively listening, focus on culture sensitivity, mutual respect and empathy, where the actively listening process is mention in Shannon-Weaver model.</w:t>
      </w:r>
    </w:p>
    <w:p w14:paraId="1296BFE1" w14:textId="1A7B4DAB" w:rsidR="00F73191" w:rsidRPr="005B35A9" w:rsidRDefault="00054BAA" w:rsidP="00413240">
      <w:pPr>
        <w:spacing w:line="360" w:lineRule="auto"/>
      </w:pPr>
      <w:r w:rsidRPr="005B35A9">
        <w:t xml:space="preserve">Service care providers need to keep in mind about the interpreter process by using visualisation or using software that helps to process a perfect interpretation among them. Hence, implementation of Shannon Weaver model of communication is more important for health care providers to give best services as per needs to patients and resulting in leading a quality life. </w:t>
      </w:r>
      <w:bookmarkStart w:id="4" w:name="_yqoxt6vv4zjz" w:colFirst="0" w:colLast="0"/>
      <w:bookmarkEnd w:id="4"/>
      <w:r w:rsidRPr="005B35A9">
        <w:t>The Equity Act 2010 helps people to protect legally from their discrimination and biases at the workplace and in society (</w:t>
      </w:r>
      <w:r w:rsidRPr="005B35A9">
        <w:rPr>
          <w:color w:val="222222"/>
          <w:highlight w:val="white"/>
        </w:rPr>
        <w:t>GOV.UK</w:t>
      </w:r>
      <w:r w:rsidRPr="005B35A9">
        <w:t xml:space="preserve">, 2025). Moreover, using the Equality Act 2010 by the care giver is a necessary factor to treat individuals in an equal way, by avoiding biases. Therefore, in the case of Mrs. Mann, the use of quality communication and maintenance of equality is necessary to enhance the quality in her development process. </w:t>
      </w:r>
    </w:p>
    <w:p w14:paraId="3C4BE465" w14:textId="77777777" w:rsidR="00F73191" w:rsidRPr="005B35A9" w:rsidRDefault="00054BAA" w:rsidP="00413240">
      <w:pPr>
        <w:pStyle w:val="Heading1"/>
      </w:pPr>
      <w:bookmarkStart w:id="5" w:name="_h4r2phrv2ch4" w:colFirst="0" w:colLast="0"/>
      <w:bookmarkStart w:id="6" w:name="_Toc213428013"/>
      <w:bookmarkEnd w:id="5"/>
      <w:r w:rsidRPr="005B35A9">
        <w:t>Section 2 : Administrative Skills &amp; Record Keeping</w:t>
      </w:r>
      <w:bookmarkEnd w:id="6"/>
    </w:p>
    <w:p w14:paraId="4685BF5F" w14:textId="16D477D5" w:rsidR="00F73191" w:rsidRPr="005B35A9" w:rsidRDefault="00054BAA" w:rsidP="00413240">
      <w:pPr>
        <w:spacing w:line="360" w:lineRule="auto"/>
      </w:pPr>
      <w:bookmarkStart w:id="7" w:name="_xwt226p9l99q" w:colFirst="0" w:colLast="0"/>
      <w:bookmarkEnd w:id="7"/>
      <w:r w:rsidRPr="005B35A9">
        <w:t xml:space="preserve">Important skills in the healthcare sector are strong administrative and good record keeping skills that enhance the ability of health care service providers to do their work in a proficient way. Moreover, based on the case of Mrs. Mann it is important for the care givers to work towards maintaining strong administrative skills for fulfilling basic requirement of the </w:t>
      </w:r>
      <w:r w:rsidR="009225A3" w:rsidRPr="005B35A9">
        <w:t>patient.</w:t>
      </w:r>
      <w:r w:rsidRPr="005B35A9">
        <w:t xml:space="preserve"> In her care procedure she has many people involved like, a GP, physiotherapist and health care service provider, and she prefers to speak in </w:t>
      </w:r>
      <w:r w:rsidR="009225A3" w:rsidRPr="005B35A9">
        <w:t>Urdu</w:t>
      </w:r>
      <w:r w:rsidRPr="005B35A9">
        <w:t>, with the help of proper administrative skill and accurate record keeping with those people can resolve her problem. Overall record keeping and good administrative skill helps doctors and nurses to give proper, effective care to their patients.</w:t>
      </w:r>
    </w:p>
    <w:p w14:paraId="5ABE02BA" w14:textId="635906BC" w:rsidR="009225A3" w:rsidRPr="005B35A9" w:rsidRDefault="009225A3" w:rsidP="00413240">
      <w:pPr>
        <w:spacing w:line="360" w:lineRule="auto"/>
        <w:jc w:val="center"/>
      </w:pPr>
      <w:r w:rsidRPr="005B35A9">
        <w:rPr>
          <w:noProof/>
        </w:rPr>
        <w:drawing>
          <wp:inline distT="0" distB="0" distL="0" distR="0" wp14:anchorId="6964546E" wp14:editId="09198DE4">
            <wp:extent cx="3794760" cy="2405295"/>
            <wp:effectExtent l="0" t="0" r="0" b="0"/>
            <wp:docPr id="1750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25" name=""/>
                    <pic:cNvPicPr/>
                  </pic:nvPicPr>
                  <pic:blipFill>
                    <a:blip r:embed="rId8"/>
                    <a:stretch>
                      <a:fillRect/>
                    </a:stretch>
                  </pic:blipFill>
                  <pic:spPr>
                    <a:xfrm>
                      <a:off x="0" y="0"/>
                      <a:ext cx="3798536" cy="2407689"/>
                    </a:xfrm>
                    <a:prstGeom prst="rect">
                      <a:avLst/>
                    </a:prstGeom>
                  </pic:spPr>
                </pic:pic>
              </a:graphicData>
            </a:graphic>
          </wp:inline>
        </w:drawing>
      </w:r>
    </w:p>
    <w:p w14:paraId="26052AF3" w14:textId="7DAE244B" w:rsidR="009225A3" w:rsidRPr="005B35A9" w:rsidRDefault="009225A3" w:rsidP="00413240">
      <w:pPr>
        <w:spacing w:line="360" w:lineRule="auto"/>
        <w:jc w:val="center"/>
        <w:rPr>
          <w:b/>
          <w:bCs/>
        </w:rPr>
      </w:pPr>
      <w:r w:rsidRPr="005B35A9">
        <w:rPr>
          <w:b/>
          <w:bCs/>
        </w:rPr>
        <w:t xml:space="preserve">Figure 2: Administrative skills for caregivers </w:t>
      </w:r>
    </w:p>
    <w:p w14:paraId="6B3C8045" w14:textId="577E598B" w:rsidR="009225A3" w:rsidRPr="005B35A9" w:rsidRDefault="009225A3" w:rsidP="00413240">
      <w:pPr>
        <w:spacing w:line="360" w:lineRule="auto"/>
        <w:jc w:val="center"/>
      </w:pPr>
      <w:r w:rsidRPr="005B35A9">
        <w:t xml:space="preserve">(Source: Influenced by Cahill </w:t>
      </w:r>
      <w:r w:rsidRPr="005B35A9">
        <w:rPr>
          <w:i/>
          <w:iCs/>
        </w:rPr>
        <w:t xml:space="preserve">et al. </w:t>
      </w:r>
      <w:r w:rsidRPr="005B35A9">
        <w:t>2025)</w:t>
      </w:r>
    </w:p>
    <w:p w14:paraId="140B80B2" w14:textId="158E7119" w:rsidR="00F73191" w:rsidRPr="005B35A9" w:rsidRDefault="00054BAA" w:rsidP="00413240">
      <w:pPr>
        <w:spacing w:line="360" w:lineRule="auto"/>
      </w:pPr>
      <w:bookmarkStart w:id="8" w:name="_1rguv4k0aaz0" w:colFirst="0" w:colLast="0"/>
      <w:bookmarkEnd w:id="8"/>
      <w:r w:rsidRPr="005B35A9">
        <w:t xml:space="preserve">The Nursing and Midwifery Council (NMC) Code (2018) said that nurses have to write their records accurately at the right time within a very clear way.  All professionals are able to see better plan care and the same information through records that are accurately collected (NMC, 2018). Poor documentation in Mrs. Mann's case causes delay in her medication, which shows wrong record keeping and bad administrative skills have a bad effect on patients. Also, it led to a slow recovery for that patient. According </w:t>
      </w:r>
      <w:r w:rsidRPr="005B35A9">
        <w:t xml:space="preserve">to Cahill </w:t>
      </w:r>
      <w:r w:rsidRPr="005B35A9">
        <w:rPr>
          <w:i/>
          <w:iCs/>
        </w:rPr>
        <w:t xml:space="preserve">et al. </w:t>
      </w:r>
      <w:r w:rsidRPr="005B35A9">
        <w:t xml:space="preserve">(2025), health care professionals are required to process and store personal data securely, and share it in necessary situations, maintaining patient confidentiality as per the Data Protection Act 2018 and the UK General Data Protection Regulation (UKGDPR). Thus, the enforcement of documentation can be robust with a proper legal and ethical frameworks system. </w:t>
      </w:r>
    </w:p>
    <w:p w14:paraId="1854F6B2" w14:textId="49C7AFCA" w:rsidR="00F73191" w:rsidRPr="005B35A9" w:rsidRDefault="00054BAA" w:rsidP="00413240">
      <w:pPr>
        <w:spacing w:line="360" w:lineRule="auto"/>
      </w:pPr>
      <w:bookmarkStart w:id="9" w:name="_5wdws2ipnz0c" w:colFirst="0" w:colLast="0"/>
      <w:bookmarkEnd w:id="9"/>
      <w:r w:rsidRPr="005B35A9">
        <w:t xml:space="preserve">The Caldicott Principles focus on the information of patients. According to Demsash </w:t>
      </w:r>
      <w:r w:rsidRPr="005B35A9">
        <w:rPr>
          <w:i/>
          <w:iCs/>
        </w:rPr>
        <w:t>et al.</w:t>
      </w:r>
      <w:r w:rsidR="009225A3" w:rsidRPr="005B35A9">
        <w:rPr>
          <w:i/>
          <w:iCs/>
        </w:rPr>
        <w:t xml:space="preserve"> </w:t>
      </w:r>
      <w:r w:rsidRPr="005B35A9">
        <w:t xml:space="preserve">(2023), personal details of any patients have to be shared to those people who absolutely need that information to give patients more benefit. Mrs. Mann’s information has to be shared securely to those persons who are absolutely required. Sharing perfect information to those people Mrs. Mann can have more benefit to recover as soon as possible. The Care Quality Commission (CQC) needs to keep accurate and complete records by all healthcare. According to Ebbers </w:t>
      </w:r>
      <w:r w:rsidRPr="005B35A9">
        <w:rPr>
          <w:i/>
          <w:iCs/>
        </w:rPr>
        <w:t>et al</w:t>
      </w:r>
      <w:r w:rsidRPr="005B35A9">
        <w:t>.</w:t>
      </w:r>
      <w:r w:rsidR="009225A3" w:rsidRPr="005B35A9">
        <w:t xml:space="preserve"> </w:t>
      </w:r>
      <w:r w:rsidRPr="005B35A9">
        <w:t xml:space="preserve">(2022) mistakes can be reduced by </w:t>
      </w:r>
      <w:r w:rsidRPr="005B35A9">
        <w:t>an organised documentation that supports more effective and safe care.  Perfect, accurate record keeping and better administrative skills helps to ensure safety to patients, decrease communication gap, help to give proper medication, all over it helps to protect patients and provide a better care service to them. The Data Protection Act, UKGDPR, Caldicott Principles, and CQC are help to ensure Mrs. Manns type patients for better and perfect consistent care.</w:t>
      </w:r>
    </w:p>
    <w:p w14:paraId="0E88CFD4" w14:textId="77777777" w:rsidR="00F73191" w:rsidRPr="005B35A9" w:rsidRDefault="00054BAA" w:rsidP="00413240">
      <w:pPr>
        <w:pStyle w:val="Heading1"/>
      </w:pPr>
      <w:bookmarkStart w:id="10" w:name="_hlw2xszxl9j" w:colFirst="0" w:colLast="0"/>
      <w:bookmarkStart w:id="11" w:name="_Toc213428014"/>
      <w:bookmarkEnd w:id="10"/>
      <w:r w:rsidRPr="005B35A9">
        <w:t>Section 3: Collaborative working</w:t>
      </w:r>
      <w:bookmarkEnd w:id="11"/>
    </w:p>
    <w:p w14:paraId="31999E3B" w14:textId="021CF82E" w:rsidR="00F73191" w:rsidRPr="005B35A9" w:rsidRDefault="00054BAA" w:rsidP="00413240">
      <w:pPr>
        <w:spacing w:line="360" w:lineRule="auto"/>
      </w:pPr>
      <w:r w:rsidRPr="005B35A9">
        <w:t>Multi-agency collaboration is more important in healthcare service as it provides coordination and patient care. Multiagency collaboration refers to working together from different sectors with different professionals and organisations to provide comprehensive care through sharing information, taking joint decisions and coordinating actions (</w:t>
      </w:r>
      <w:r w:rsidRPr="005B35A9">
        <w:rPr>
          <w:highlight w:val="white"/>
        </w:rPr>
        <w:t xml:space="preserve">Rahman </w:t>
      </w:r>
      <w:r w:rsidRPr="005B35A9">
        <w:rPr>
          <w:i/>
          <w:iCs/>
          <w:highlight w:val="white"/>
        </w:rPr>
        <w:t>et al.</w:t>
      </w:r>
      <w:r w:rsidR="009225A3" w:rsidRPr="005B35A9">
        <w:rPr>
          <w:i/>
          <w:iCs/>
          <w:highlight w:val="white"/>
        </w:rPr>
        <w:t xml:space="preserve"> </w:t>
      </w:r>
      <w:r w:rsidRPr="005B35A9">
        <w:rPr>
          <w:highlight w:val="white"/>
        </w:rPr>
        <w:t>2025</w:t>
      </w:r>
      <w:r w:rsidRPr="005B35A9">
        <w:t>). This implies teamwork as it gathers different professions from different sectors like health care, community service, social care to gather more information and resources. In healthcare services, introduction of multi-agency collaboration helps in providing quality services for patients like Mrs. Mann so that no such issue is faced in the time period. Shared care plans and regular communication help to collaborate with patients, increase their safety and ensure better care, so these pla</w:t>
      </w:r>
      <w:r w:rsidRPr="005B35A9">
        <w:t xml:space="preserve">ns are more important for health care service providers. </w:t>
      </w:r>
    </w:p>
    <w:p w14:paraId="6D580955" w14:textId="149584E1" w:rsidR="00F73191" w:rsidRPr="005B35A9" w:rsidRDefault="00054BAA" w:rsidP="00413240">
      <w:pPr>
        <w:spacing w:line="360" w:lineRule="auto"/>
        <w:rPr>
          <w:b/>
        </w:rPr>
      </w:pPr>
      <w:r w:rsidRPr="005B35A9">
        <w:t xml:space="preserve">In the case of Mrs. Mann, use of shared care plans </w:t>
      </w:r>
      <w:r w:rsidR="009225A3" w:rsidRPr="005B35A9">
        <w:t>helps</w:t>
      </w:r>
      <w:r w:rsidRPr="005B35A9">
        <w:t xml:space="preserve"> patients to take an important role for their self-care and improve their allegiance and satisfaction. According to Sheehan </w:t>
      </w:r>
      <w:r w:rsidRPr="005B35A9">
        <w:rPr>
          <w:i/>
          <w:iCs/>
        </w:rPr>
        <w:t>et al.</w:t>
      </w:r>
      <w:r w:rsidRPr="005B35A9">
        <w:t xml:space="preserve"> (2021), in order to improve overall health sector outcomes and increase the ability of teamwork, clear communication between healthcare is more important. Information gaps and lack of coordination are two major challenges in care plans and regular communication among the health care providers. Coordination failure, as identified in the case of Mrs. Mann, results in ineffect</w:t>
      </w:r>
      <w:r w:rsidRPr="005B35A9">
        <w:t>ive communication among multidisciplinary teams. These challenges can be mitigated by integrated digital health records that ensure data sharing in real time and by ensuring regular inter-disciplinary meetings to achieve goals. Therefore, by encouraging open dialogue, responsibility and accountability, collaboration and clear protocols, appointing key workers concerning care coordination along with routine review of communication effectiveness can be strengthened.</w:t>
      </w:r>
    </w:p>
    <w:p w14:paraId="656B0227" w14:textId="77777777" w:rsidR="00F73191" w:rsidRPr="005B35A9" w:rsidRDefault="00054BAA" w:rsidP="00413240">
      <w:pPr>
        <w:pStyle w:val="Heading1"/>
      </w:pPr>
      <w:bookmarkStart w:id="12" w:name="_8dxil0caqry5" w:colFirst="0" w:colLast="0"/>
      <w:bookmarkStart w:id="13" w:name="_Toc213428015"/>
      <w:bookmarkEnd w:id="12"/>
      <w:r w:rsidRPr="005B35A9">
        <w:t>Conclusion</w:t>
      </w:r>
      <w:bookmarkEnd w:id="13"/>
      <w:r w:rsidRPr="005B35A9">
        <w:t xml:space="preserve"> </w:t>
      </w:r>
    </w:p>
    <w:p w14:paraId="553E912C" w14:textId="29FF04A0" w:rsidR="00F73191" w:rsidRPr="005B35A9" w:rsidRDefault="00054BAA" w:rsidP="00413240">
      <w:pPr>
        <w:spacing w:line="360" w:lineRule="auto"/>
        <w:rPr>
          <w:b/>
        </w:rPr>
      </w:pPr>
      <w:r w:rsidRPr="005B35A9">
        <w:t>It can be concluded that regular communication helps to make better decisions as it allows updating the health situation of patients timely that can improve better decision-making and perfect on time medication with proper guidance. Preventing miscommunication and irregularities in transferring information can be reduced along with usage of visual aids by the care professional to have focus on perfect communication. Due to gaps in information or records that are incomplete or not updated into the system lea</w:t>
      </w:r>
      <w:r w:rsidRPr="005B35A9">
        <w:t xml:space="preserve">d to delay in treatment and confusion. </w:t>
      </w:r>
      <w:r w:rsidR="009225A3" w:rsidRPr="005B35A9">
        <w:t>In the case of Mrs. Mann, use of shared care plans helps patients to take an important role for their self-care and improve their allegiance and satisfaction. Furthermore, mistakes can be reduced by an organised documentation that supports more effective and safe care.  Information gaps and lack of coordination are two major challenges in care plans and regular communication among the health care providers. Therefore, encouraging open dialogue, responsibility and accountability, collaboration and clear protocols, appointing key workers concerning care coordination along with routine review of communication effectiveness can be strengthened.</w:t>
      </w:r>
    </w:p>
    <w:p w14:paraId="5C541A40" w14:textId="77777777" w:rsidR="00F73191" w:rsidRPr="005B35A9" w:rsidRDefault="00054BAA" w:rsidP="00413240">
      <w:pPr>
        <w:spacing w:line="360" w:lineRule="auto"/>
        <w:ind w:left="-80"/>
        <w:rPr>
          <w:b/>
        </w:rPr>
      </w:pPr>
      <w:r w:rsidRPr="005B35A9">
        <w:br w:type="page"/>
      </w:r>
    </w:p>
    <w:p w14:paraId="217FFE37" w14:textId="3DD4FC88" w:rsidR="00F73191" w:rsidRPr="005B35A9" w:rsidRDefault="00054BAA" w:rsidP="00413240">
      <w:pPr>
        <w:pStyle w:val="Heading1"/>
      </w:pPr>
      <w:bookmarkStart w:id="14" w:name="_gr5eiuuzhuw4" w:colFirst="0" w:colLast="0"/>
      <w:bookmarkStart w:id="15" w:name="_Toc213428016"/>
      <w:bookmarkEnd w:id="14"/>
      <w:r w:rsidRPr="005B35A9">
        <w:t>References</w:t>
      </w:r>
      <w:bookmarkEnd w:id="15"/>
    </w:p>
    <w:p w14:paraId="0576B085" w14:textId="30EA9919" w:rsidR="005B35A9" w:rsidRPr="005B35A9" w:rsidRDefault="005B35A9" w:rsidP="005B35A9">
      <w:pPr>
        <w:spacing w:before="240" w:after="240" w:line="360" w:lineRule="auto"/>
        <w:ind w:left="-80"/>
        <w:rPr>
          <w:rFonts w:eastAsia="Arial"/>
          <w:color w:val="222222"/>
          <w:highlight w:val="white"/>
        </w:rPr>
      </w:pPr>
      <w:r w:rsidRPr="005B35A9">
        <w:rPr>
          <w:rFonts w:eastAsia="Arial"/>
          <w:color w:val="222222"/>
          <w:highlight w:val="white"/>
        </w:rPr>
        <w:t xml:space="preserve">Cahill, M., Cleary, B.J. and Cullinan, S., </w:t>
      </w:r>
      <w:r>
        <w:rPr>
          <w:rFonts w:eastAsia="Arial"/>
          <w:color w:val="222222"/>
          <w:highlight w:val="white"/>
        </w:rPr>
        <w:t>(</w:t>
      </w:r>
      <w:r w:rsidRPr="005B35A9">
        <w:rPr>
          <w:rFonts w:eastAsia="Arial"/>
          <w:color w:val="222222"/>
          <w:highlight w:val="white"/>
        </w:rPr>
        <w:t>2025</w:t>
      </w:r>
      <w:r>
        <w:rPr>
          <w:rFonts w:eastAsia="Arial"/>
          <w:color w:val="222222"/>
          <w:highlight w:val="white"/>
        </w:rPr>
        <w:t>)</w:t>
      </w:r>
      <w:r w:rsidRPr="005B35A9">
        <w:rPr>
          <w:rFonts w:eastAsia="Arial"/>
          <w:color w:val="222222"/>
          <w:highlight w:val="white"/>
        </w:rPr>
        <w:t xml:space="preserve">. </w:t>
      </w:r>
      <w:r>
        <w:rPr>
          <w:rFonts w:eastAsia="Arial"/>
          <w:color w:val="222222"/>
          <w:highlight w:val="white"/>
        </w:rPr>
        <w:t>‘</w:t>
      </w:r>
      <w:r w:rsidRPr="005B35A9">
        <w:rPr>
          <w:rFonts w:eastAsia="Arial"/>
          <w:color w:val="222222"/>
          <w:highlight w:val="white"/>
        </w:rPr>
        <w:t>The influence of electronic health record design on usability and medication safety: systematic review</w:t>
      </w:r>
      <w:r>
        <w:rPr>
          <w:rFonts w:eastAsia="Arial"/>
          <w:color w:val="222222"/>
          <w:highlight w:val="white"/>
        </w:rPr>
        <w:t>’</w:t>
      </w:r>
      <w:r w:rsidRPr="005B35A9">
        <w:rPr>
          <w:rFonts w:eastAsia="Arial"/>
          <w:color w:val="222222"/>
          <w:highlight w:val="white"/>
        </w:rPr>
        <w:t xml:space="preserve">. </w:t>
      </w:r>
      <w:r w:rsidRPr="005B35A9">
        <w:rPr>
          <w:rFonts w:eastAsia="Arial"/>
          <w:i/>
          <w:iCs/>
          <w:color w:val="222222"/>
          <w:highlight w:val="white"/>
        </w:rPr>
        <w:t>BMC health services research</w:t>
      </w:r>
      <w:r w:rsidRPr="005B35A9">
        <w:rPr>
          <w:rFonts w:eastAsia="Arial"/>
          <w:color w:val="222222"/>
          <w:highlight w:val="white"/>
        </w:rPr>
        <w:t xml:space="preserve">, 25(1), p.31. Available at: </w:t>
      </w:r>
      <w:hyperlink r:id="rId9">
        <w:r w:rsidRPr="005B35A9">
          <w:rPr>
            <w:rFonts w:eastAsia="Arial"/>
            <w:color w:val="1155CC"/>
            <w:highlight w:val="white"/>
            <w:u w:val="single"/>
          </w:rPr>
          <w:t>https://doi.org/10.1186/s12913-024-12060-2</w:t>
        </w:r>
      </w:hyperlink>
    </w:p>
    <w:p w14:paraId="355E8E32" w14:textId="056BA5AF" w:rsidR="005B35A9" w:rsidRPr="005B35A9" w:rsidRDefault="005B35A9" w:rsidP="005B35A9">
      <w:pPr>
        <w:spacing w:before="240" w:after="240" w:line="360" w:lineRule="auto"/>
        <w:ind w:left="-80"/>
        <w:rPr>
          <w:rFonts w:eastAsia="Arial"/>
          <w:color w:val="222222"/>
          <w:highlight w:val="white"/>
        </w:rPr>
      </w:pPr>
      <w:r w:rsidRPr="005B35A9">
        <w:rPr>
          <w:rFonts w:eastAsia="Arial"/>
          <w:color w:val="222222"/>
          <w:highlight w:val="white"/>
        </w:rPr>
        <w:t xml:space="preserve">Demsash, A.W., Kassie, S.Y., Dubale, A.T., Chereka, A.A., Ngusie, H.S., Hunde, M.K., Emanu, M.D., Shibabaw, A.A. and Walle, A.D., </w:t>
      </w:r>
      <w:r>
        <w:rPr>
          <w:rFonts w:eastAsia="Arial"/>
          <w:color w:val="222222"/>
          <w:highlight w:val="white"/>
        </w:rPr>
        <w:t>(</w:t>
      </w:r>
      <w:r w:rsidRPr="005B35A9">
        <w:rPr>
          <w:rFonts w:eastAsia="Arial"/>
          <w:color w:val="222222"/>
          <w:highlight w:val="white"/>
        </w:rPr>
        <w:t>2023</w:t>
      </w:r>
      <w:r>
        <w:rPr>
          <w:rFonts w:eastAsia="Arial"/>
          <w:color w:val="222222"/>
          <w:highlight w:val="white"/>
        </w:rPr>
        <w:t>)</w:t>
      </w:r>
      <w:r w:rsidRPr="005B35A9">
        <w:rPr>
          <w:rFonts w:eastAsia="Arial"/>
          <w:color w:val="222222"/>
          <w:highlight w:val="white"/>
        </w:rPr>
        <w:t xml:space="preserve">. </w:t>
      </w:r>
      <w:r>
        <w:rPr>
          <w:rFonts w:eastAsia="Arial"/>
          <w:color w:val="222222"/>
          <w:highlight w:val="white"/>
        </w:rPr>
        <w:t>‘</w:t>
      </w:r>
      <w:r w:rsidRPr="005B35A9">
        <w:rPr>
          <w:rFonts w:eastAsia="Arial"/>
          <w:color w:val="222222"/>
          <w:highlight w:val="white"/>
        </w:rPr>
        <w:t>Health professionals’ routine practice documentation and its associated factors in a resource-limited setting: a cross-sectional study</w:t>
      </w:r>
      <w:r>
        <w:rPr>
          <w:rFonts w:eastAsia="Arial"/>
          <w:color w:val="222222"/>
          <w:highlight w:val="white"/>
        </w:rPr>
        <w:t>’</w:t>
      </w:r>
      <w:r w:rsidRPr="005B35A9">
        <w:rPr>
          <w:rFonts w:eastAsia="Arial"/>
          <w:color w:val="222222"/>
          <w:highlight w:val="white"/>
        </w:rPr>
        <w:t xml:space="preserve">. </w:t>
      </w:r>
      <w:r w:rsidRPr="005B35A9">
        <w:rPr>
          <w:rFonts w:eastAsia="Arial"/>
          <w:i/>
          <w:iCs/>
          <w:color w:val="222222"/>
          <w:highlight w:val="white"/>
        </w:rPr>
        <w:t>BMJ health &amp; care informatics</w:t>
      </w:r>
      <w:r w:rsidRPr="005B35A9">
        <w:rPr>
          <w:rFonts w:eastAsia="Arial"/>
          <w:color w:val="222222"/>
          <w:highlight w:val="white"/>
        </w:rPr>
        <w:t>, 30(1), p.e100699. Available at: 10.1136/ bmjhci-2022-100699</w:t>
      </w:r>
    </w:p>
    <w:p w14:paraId="0781F0A1" w14:textId="19DD6F7A" w:rsidR="005B35A9" w:rsidRPr="005B35A9" w:rsidRDefault="005B35A9" w:rsidP="005B35A9">
      <w:pPr>
        <w:spacing w:before="240" w:after="240" w:line="360" w:lineRule="auto"/>
        <w:ind w:left="-80"/>
        <w:rPr>
          <w:rFonts w:eastAsia="Arial"/>
          <w:color w:val="222222"/>
          <w:highlight w:val="white"/>
        </w:rPr>
      </w:pPr>
      <w:r w:rsidRPr="005B35A9">
        <w:rPr>
          <w:rFonts w:eastAsia="Arial"/>
          <w:color w:val="222222"/>
          <w:highlight w:val="white"/>
        </w:rPr>
        <w:t xml:space="preserve">Ebbers, T., Kool, R.B., Smeele, L.E., Dirven, R., den Besten, C.A., Karssemakers, L.H., Verhoeven, T., Herruer, J.M., van den Broek, G.B. and Takes, R.P., </w:t>
      </w:r>
      <w:r>
        <w:rPr>
          <w:rFonts w:eastAsia="Arial"/>
          <w:color w:val="222222"/>
          <w:highlight w:val="white"/>
        </w:rPr>
        <w:t>(</w:t>
      </w:r>
      <w:r w:rsidRPr="005B35A9">
        <w:rPr>
          <w:rFonts w:eastAsia="Arial"/>
          <w:color w:val="222222"/>
          <w:highlight w:val="white"/>
        </w:rPr>
        <w:t>2022</w:t>
      </w:r>
      <w:r>
        <w:rPr>
          <w:rFonts w:eastAsia="Arial"/>
          <w:color w:val="222222"/>
          <w:highlight w:val="white"/>
        </w:rPr>
        <w:t>)</w:t>
      </w:r>
      <w:r w:rsidRPr="005B35A9">
        <w:rPr>
          <w:rFonts w:eastAsia="Arial"/>
          <w:color w:val="222222"/>
          <w:highlight w:val="white"/>
        </w:rPr>
        <w:t xml:space="preserve">. </w:t>
      </w:r>
      <w:r>
        <w:rPr>
          <w:rFonts w:eastAsia="Arial"/>
          <w:color w:val="222222"/>
          <w:highlight w:val="white"/>
        </w:rPr>
        <w:t>‘</w:t>
      </w:r>
      <w:r w:rsidRPr="005B35A9">
        <w:rPr>
          <w:rFonts w:eastAsia="Arial"/>
          <w:color w:val="222222"/>
          <w:highlight w:val="white"/>
        </w:rPr>
        <w:t>The impact of structured and standardized documentation on documentation quality; a multicenter, retrospective study</w:t>
      </w:r>
      <w:r>
        <w:rPr>
          <w:rFonts w:eastAsia="Arial"/>
          <w:color w:val="222222"/>
          <w:highlight w:val="white"/>
        </w:rPr>
        <w:t>’</w:t>
      </w:r>
      <w:r w:rsidRPr="005B35A9">
        <w:rPr>
          <w:rFonts w:eastAsia="Arial"/>
          <w:color w:val="222222"/>
          <w:highlight w:val="white"/>
        </w:rPr>
        <w:t xml:space="preserve">. </w:t>
      </w:r>
      <w:r w:rsidRPr="005B35A9">
        <w:rPr>
          <w:rFonts w:eastAsia="Arial"/>
          <w:i/>
          <w:iCs/>
          <w:color w:val="222222"/>
          <w:highlight w:val="white"/>
        </w:rPr>
        <w:t>Journal of Medical Systems</w:t>
      </w:r>
      <w:r w:rsidRPr="005B35A9">
        <w:rPr>
          <w:rFonts w:eastAsia="Arial"/>
          <w:color w:val="222222"/>
          <w:highlight w:val="white"/>
        </w:rPr>
        <w:t xml:space="preserve">, 46(7), p.46. Available at: </w:t>
      </w:r>
      <w:hyperlink r:id="rId10">
        <w:r w:rsidRPr="005B35A9">
          <w:rPr>
            <w:rFonts w:eastAsia="Arial"/>
            <w:color w:val="1155CC"/>
            <w:highlight w:val="white"/>
            <w:u w:val="single"/>
          </w:rPr>
          <w:t>https://doi.org/10.1007/s10916-022-01837-9</w:t>
        </w:r>
      </w:hyperlink>
    </w:p>
    <w:p w14:paraId="1EF90983" w14:textId="77777777" w:rsidR="005B35A9" w:rsidRPr="005B35A9" w:rsidRDefault="005B35A9" w:rsidP="005B35A9">
      <w:pPr>
        <w:spacing w:before="240" w:after="240" w:line="360" w:lineRule="auto"/>
        <w:ind w:left="-80"/>
        <w:rPr>
          <w:color w:val="222222"/>
          <w:highlight w:val="white"/>
        </w:rPr>
      </w:pPr>
      <w:r w:rsidRPr="005B35A9">
        <w:rPr>
          <w:color w:val="222222"/>
          <w:highlight w:val="white"/>
        </w:rPr>
        <w:t xml:space="preserve">GOV.UK (2025), </w:t>
      </w:r>
      <w:r w:rsidRPr="005B35A9">
        <w:rPr>
          <w:i/>
          <w:color w:val="222222"/>
          <w:highlight w:val="white"/>
        </w:rPr>
        <w:t>Equality Act 2010: guidance.</w:t>
      </w:r>
      <w:r w:rsidRPr="005B35A9">
        <w:rPr>
          <w:color w:val="222222"/>
          <w:highlight w:val="white"/>
        </w:rPr>
        <w:t xml:space="preserve"> Available at: </w:t>
      </w:r>
      <w:hyperlink r:id="rId11">
        <w:r w:rsidRPr="005B35A9">
          <w:rPr>
            <w:color w:val="1155CC"/>
            <w:highlight w:val="white"/>
            <w:u w:val="single"/>
          </w:rPr>
          <w:t>https://www.gov.uk/guidance/equality-act-2010-guidance</w:t>
        </w:r>
      </w:hyperlink>
      <w:r w:rsidRPr="005B35A9">
        <w:rPr>
          <w:color w:val="222222"/>
          <w:highlight w:val="white"/>
        </w:rPr>
        <w:t xml:space="preserve"> [Accessed: 5 November 2025]</w:t>
      </w:r>
    </w:p>
    <w:p w14:paraId="52EEA2D5" w14:textId="79D5EE35" w:rsidR="005B35A9" w:rsidRPr="005B35A9" w:rsidRDefault="005B35A9" w:rsidP="005B35A9">
      <w:pPr>
        <w:spacing w:before="240" w:after="240" w:line="360" w:lineRule="auto"/>
        <w:ind w:left="-80"/>
        <w:rPr>
          <w:color w:val="222222"/>
          <w:highlight w:val="white"/>
        </w:rPr>
      </w:pPr>
      <w:r w:rsidRPr="005B35A9">
        <w:rPr>
          <w:color w:val="222222"/>
          <w:highlight w:val="white"/>
        </w:rPr>
        <w:t xml:space="preserve">Maiwada, A.A., (2025). </w:t>
      </w:r>
      <w:r>
        <w:rPr>
          <w:color w:val="222222"/>
          <w:highlight w:val="white"/>
        </w:rPr>
        <w:t>‘</w:t>
      </w:r>
      <w:r w:rsidRPr="005B35A9">
        <w:rPr>
          <w:color w:val="222222"/>
          <w:highlight w:val="white"/>
        </w:rPr>
        <w:t>Role of Effective Communication Strategy as A Veritable Tool to Deepen Trade Facilitation</w:t>
      </w:r>
      <w:r>
        <w:rPr>
          <w:color w:val="222222"/>
          <w:highlight w:val="white"/>
        </w:rPr>
        <w:t>’</w:t>
      </w:r>
      <w:r w:rsidRPr="005B35A9">
        <w:rPr>
          <w:color w:val="222222"/>
          <w:highlight w:val="white"/>
        </w:rPr>
        <w:t xml:space="preserve">. </w:t>
      </w:r>
      <w:r w:rsidRPr="005B35A9">
        <w:rPr>
          <w:i/>
          <w:color w:val="222222"/>
          <w:highlight w:val="white"/>
        </w:rPr>
        <w:t>Economit Journal: Scientific Journal of Accountancy, Management and Finance</w:t>
      </w:r>
      <w:r w:rsidRPr="005B35A9">
        <w:rPr>
          <w:color w:val="222222"/>
          <w:highlight w:val="white"/>
        </w:rPr>
        <w:t xml:space="preserve">, </w:t>
      </w:r>
      <w:r w:rsidRPr="005B35A9">
        <w:rPr>
          <w:iCs/>
          <w:color w:val="222222"/>
          <w:highlight w:val="white"/>
        </w:rPr>
        <w:t>5</w:t>
      </w:r>
      <w:r w:rsidRPr="005B35A9">
        <w:rPr>
          <w:color w:val="222222"/>
          <w:highlight w:val="white"/>
        </w:rPr>
        <w:t xml:space="preserve">(2), pp.111-124.  </w:t>
      </w:r>
      <w:hyperlink r:id="rId12">
        <w:r w:rsidRPr="005B35A9">
          <w:rPr>
            <w:color w:val="1155CC"/>
            <w:highlight w:val="white"/>
            <w:u w:val="single"/>
          </w:rPr>
          <w:t>https://doi.org/10.33258/economit.v5i2.1345</w:t>
        </w:r>
      </w:hyperlink>
      <w:r w:rsidRPr="005B35A9">
        <w:rPr>
          <w:color w:val="222222"/>
          <w:highlight w:val="white"/>
        </w:rPr>
        <w:t xml:space="preserve">  </w:t>
      </w:r>
    </w:p>
    <w:p w14:paraId="27E9A0B8" w14:textId="13C659F8" w:rsidR="005B35A9" w:rsidRPr="005B35A9" w:rsidRDefault="005B35A9" w:rsidP="005B35A9">
      <w:pPr>
        <w:spacing w:before="240" w:after="240" w:line="360" w:lineRule="auto"/>
        <w:ind w:left="-80"/>
        <w:rPr>
          <w:rFonts w:eastAsia="Arial"/>
          <w:color w:val="222222"/>
          <w:highlight w:val="white"/>
        </w:rPr>
      </w:pPr>
      <w:r w:rsidRPr="005B35A9">
        <w:rPr>
          <w:rFonts w:eastAsia="Arial"/>
          <w:color w:val="222222"/>
          <w:highlight w:val="white"/>
        </w:rPr>
        <w:t>Nursing and Midwifery Council</w:t>
      </w:r>
      <w:r>
        <w:rPr>
          <w:rFonts w:eastAsia="Arial"/>
          <w:color w:val="222222"/>
          <w:highlight w:val="white"/>
        </w:rPr>
        <w:t>, (</w:t>
      </w:r>
      <w:r w:rsidRPr="005B35A9">
        <w:rPr>
          <w:rFonts w:eastAsia="Arial"/>
          <w:color w:val="222222"/>
          <w:highlight w:val="white"/>
        </w:rPr>
        <w:t>2018</w:t>
      </w:r>
      <w:r>
        <w:rPr>
          <w:rFonts w:eastAsia="Arial"/>
          <w:color w:val="222222"/>
          <w:highlight w:val="white"/>
        </w:rPr>
        <w:t>)</w:t>
      </w:r>
      <w:r w:rsidRPr="005B35A9">
        <w:rPr>
          <w:rFonts w:eastAsia="Arial"/>
          <w:color w:val="222222"/>
          <w:highlight w:val="white"/>
        </w:rPr>
        <w:t xml:space="preserve">. </w:t>
      </w:r>
      <w:r w:rsidRPr="005B35A9">
        <w:rPr>
          <w:rFonts w:eastAsia="Arial"/>
          <w:i/>
          <w:iCs/>
          <w:color w:val="222222"/>
          <w:highlight w:val="white"/>
        </w:rPr>
        <w:t>The code: professional standards of practice and behaviour for nurses, midwives and nursing associates. NMC.</w:t>
      </w:r>
      <w:r w:rsidRPr="005B35A9">
        <w:rPr>
          <w:rFonts w:eastAsia="Arial"/>
          <w:color w:val="222222"/>
          <w:highlight w:val="white"/>
        </w:rPr>
        <w:t xml:space="preserve"> Available at: </w:t>
      </w:r>
      <w:hyperlink r:id="rId13">
        <w:r w:rsidRPr="005B35A9">
          <w:rPr>
            <w:rFonts w:eastAsia="Arial"/>
            <w:color w:val="1155CC"/>
            <w:highlight w:val="white"/>
            <w:u w:val="single"/>
          </w:rPr>
          <w:t>https://www.nmc.org.uk/standards/code/?utm</w:t>
        </w:r>
      </w:hyperlink>
      <w:r>
        <w:t xml:space="preserve"> </w:t>
      </w:r>
      <w:r w:rsidRPr="005B35A9">
        <w:rPr>
          <w:color w:val="222222"/>
          <w:highlight w:val="white"/>
        </w:rPr>
        <w:t>[Accessed: 5 November 2025]</w:t>
      </w:r>
    </w:p>
    <w:p w14:paraId="48C7766E" w14:textId="2553D836" w:rsidR="005B35A9" w:rsidRPr="005B35A9" w:rsidRDefault="005B35A9" w:rsidP="005B35A9">
      <w:pPr>
        <w:spacing w:before="240" w:after="240" w:line="360" w:lineRule="auto"/>
        <w:ind w:left="-80"/>
        <w:rPr>
          <w:color w:val="222222"/>
          <w:highlight w:val="white"/>
        </w:rPr>
      </w:pPr>
      <w:r w:rsidRPr="005B35A9">
        <w:rPr>
          <w:color w:val="222222"/>
          <w:highlight w:val="white"/>
        </w:rPr>
        <w:t xml:space="preserve">Rahman, M.A., Bristy, I.J., Islam, M.I. &amp; Tabassum, M., (2025). </w:t>
      </w:r>
      <w:r>
        <w:rPr>
          <w:color w:val="222222"/>
          <w:highlight w:val="white"/>
        </w:rPr>
        <w:t>‘</w:t>
      </w:r>
      <w:r w:rsidRPr="005B35A9">
        <w:rPr>
          <w:color w:val="222222"/>
          <w:highlight w:val="white"/>
        </w:rPr>
        <w:t>Federated learning for secure inter-agency data collaboration in critical infrastructure</w:t>
      </w:r>
      <w:r>
        <w:rPr>
          <w:color w:val="222222"/>
          <w:highlight w:val="white"/>
        </w:rPr>
        <w:t>’</w:t>
      </w:r>
      <w:r w:rsidRPr="005B35A9">
        <w:rPr>
          <w:color w:val="222222"/>
          <w:highlight w:val="white"/>
        </w:rPr>
        <w:t>. </w:t>
      </w:r>
      <w:r w:rsidRPr="005B35A9">
        <w:rPr>
          <w:i/>
          <w:color w:val="222222"/>
          <w:highlight w:val="white"/>
        </w:rPr>
        <w:t>Saudi Journal of Engineering and Technology (SJEAT)</w:t>
      </w:r>
      <w:r w:rsidRPr="005B35A9">
        <w:rPr>
          <w:color w:val="222222"/>
          <w:highlight w:val="white"/>
        </w:rPr>
        <w:t>, </w:t>
      </w:r>
      <w:r w:rsidRPr="005B35A9">
        <w:rPr>
          <w:iCs/>
          <w:color w:val="222222"/>
          <w:highlight w:val="white"/>
        </w:rPr>
        <w:t>10</w:t>
      </w:r>
      <w:r w:rsidRPr="005B35A9">
        <w:rPr>
          <w:color w:val="222222"/>
          <w:highlight w:val="white"/>
        </w:rPr>
        <w:t xml:space="preserve">(9), 421-430. </w:t>
      </w:r>
      <w:hyperlink r:id="rId14">
        <w:r w:rsidRPr="005B35A9">
          <w:rPr>
            <w:color w:val="0000FF"/>
            <w:u w:val="single"/>
          </w:rPr>
          <w:t>https://saudijournals.com/media/articles/SJEAT_109_421-430.pdf</w:t>
        </w:r>
      </w:hyperlink>
      <w:r w:rsidRPr="005B35A9">
        <w:rPr>
          <w:color w:val="222222"/>
        </w:rPr>
        <w:t xml:space="preserve"> </w:t>
      </w:r>
    </w:p>
    <w:p w14:paraId="27172DA8" w14:textId="2E01D620" w:rsidR="005B35A9" w:rsidRPr="005B35A9" w:rsidRDefault="005B35A9" w:rsidP="005B35A9">
      <w:pPr>
        <w:spacing w:before="240" w:after="240" w:line="360" w:lineRule="auto"/>
        <w:ind w:left="-80"/>
        <w:rPr>
          <w:color w:val="222222"/>
          <w:highlight w:val="white"/>
        </w:rPr>
      </w:pPr>
      <w:r w:rsidRPr="005B35A9">
        <w:rPr>
          <w:color w:val="222222"/>
          <w:highlight w:val="white"/>
        </w:rPr>
        <w:t xml:space="preserve">Seixas, BV, Dionne, F &amp; Mitton, C </w:t>
      </w:r>
      <w:r>
        <w:rPr>
          <w:color w:val="222222"/>
          <w:highlight w:val="white"/>
        </w:rPr>
        <w:t>(</w:t>
      </w:r>
      <w:r w:rsidRPr="005B35A9">
        <w:rPr>
          <w:color w:val="222222"/>
          <w:highlight w:val="white"/>
        </w:rPr>
        <w:t>2021</w:t>
      </w:r>
      <w:r>
        <w:rPr>
          <w:color w:val="222222"/>
          <w:highlight w:val="white"/>
        </w:rPr>
        <w:t>).</w:t>
      </w:r>
      <w:r w:rsidRPr="005B35A9">
        <w:rPr>
          <w:color w:val="222222"/>
          <w:highlight w:val="white"/>
        </w:rPr>
        <w:t xml:space="preserve"> </w:t>
      </w:r>
      <w:r>
        <w:rPr>
          <w:color w:val="222222"/>
          <w:highlight w:val="white"/>
        </w:rPr>
        <w:t>‘</w:t>
      </w:r>
      <w:r w:rsidRPr="005B35A9">
        <w:rPr>
          <w:color w:val="222222"/>
          <w:highlight w:val="white"/>
        </w:rPr>
        <w:t>Practices of decision making in priority setting and resource allocation: a scoping review and narrative synthesis of existing frameworks</w:t>
      </w:r>
      <w:r>
        <w:rPr>
          <w:color w:val="222222"/>
          <w:highlight w:val="white"/>
        </w:rPr>
        <w:t>’</w:t>
      </w:r>
      <w:r w:rsidRPr="005B35A9">
        <w:rPr>
          <w:color w:val="222222"/>
          <w:highlight w:val="white"/>
        </w:rPr>
        <w:t xml:space="preserve">, </w:t>
      </w:r>
      <w:r w:rsidRPr="005B35A9">
        <w:rPr>
          <w:i/>
          <w:color w:val="222222"/>
          <w:highlight w:val="white"/>
        </w:rPr>
        <w:t>Health Economics Review</w:t>
      </w:r>
      <w:r w:rsidRPr="005B35A9">
        <w:rPr>
          <w:color w:val="222222"/>
          <w:highlight w:val="white"/>
        </w:rPr>
        <w:t xml:space="preserve">, vol. 11, no. 2, pp. 1–11. Available at: </w:t>
      </w:r>
      <w:hyperlink r:id="rId15">
        <w:r w:rsidRPr="005B35A9">
          <w:rPr>
            <w:color w:val="1155CC"/>
            <w:highlight w:val="white"/>
            <w:u w:val="single"/>
          </w:rPr>
          <w:t>https://doi.org/10.1186/s13561-020-00300-0</w:t>
        </w:r>
      </w:hyperlink>
    </w:p>
    <w:p w14:paraId="3F3F5BC0" w14:textId="2C171902" w:rsidR="005B35A9" w:rsidRPr="005B35A9" w:rsidRDefault="005B35A9" w:rsidP="005B35A9">
      <w:pPr>
        <w:spacing w:before="240" w:after="240" w:line="360" w:lineRule="auto"/>
        <w:ind w:left="-80"/>
        <w:rPr>
          <w:color w:val="222222"/>
          <w:highlight w:val="white"/>
        </w:rPr>
      </w:pPr>
      <w:r w:rsidRPr="005B35A9">
        <w:rPr>
          <w:color w:val="222222"/>
          <w:highlight w:val="white"/>
        </w:rPr>
        <w:t xml:space="preserve">Sharkiya, S.H., </w:t>
      </w:r>
      <w:r>
        <w:rPr>
          <w:color w:val="222222"/>
          <w:highlight w:val="white"/>
        </w:rPr>
        <w:t>(</w:t>
      </w:r>
      <w:r w:rsidRPr="005B35A9">
        <w:rPr>
          <w:color w:val="222222"/>
          <w:highlight w:val="white"/>
        </w:rPr>
        <w:t>2023</w:t>
      </w:r>
      <w:r>
        <w:rPr>
          <w:color w:val="222222"/>
          <w:highlight w:val="white"/>
        </w:rPr>
        <w:t>)</w:t>
      </w:r>
      <w:r w:rsidRPr="005B35A9">
        <w:rPr>
          <w:color w:val="222222"/>
          <w:highlight w:val="white"/>
        </w:rPr>
        <w:t xml:space="preserve">. </w:t>
      </w:r>
      <w:r>
        <w:rPr>
          <w:color w:val="222222"/>
          <w:highlight w:val="white"/>
        </w:rPr>
        <w:t>‘</w:t>
      </w:r>
      <w:r w:rsidRPr="005B35A9">
        <w:rPr>
          <w:color w:val="222222"/>
          <w:highlight w:val="white"/>
        </w:rPr>
        <w:t>Quality communication can improve patient-centred health outcomes among older patients: a rapid review</w:t>
      </w:r>
      <w:r>
        <w:rPr>
          <w:color w:val="222222"/>
          <w:highlight w:val="white"/>
        </w:rPr>
        <w:t>’</w:t>
      </w:r>
      <w:r w:rsidRPr="005B35A9">
        <w:rPr>
          <w:color w:val="222222"/>
          <w:highlight w:val="white"/>
        </w:rPr>
        <w:t xml:space="preserve">. </w:t>
      </w:r>
      <w:r w:rsidRPr="005B35A9">
        <w:rPr>
          <w:i/>
          <w:color w:val="222222"/>
          <w:highlight w:val="white"/>
        </w:rPr>
        <w:t>BMC Health Services Research</w:t>
      </w:r>
      <w:r w:rsidRPr="005B35A9">
        <w:rPr>
          <w:color w:val="222222"/>
          <w:highlight w:val="white"/>
        </w:rPr>
        <w:t xml:space="preserve">, </w:t>
      </w:r>
      <w:r w:rsidRPr="005B35A9">
        <w:rPr>
          <w:iCs/>
          <w:color w:val="222222"/>
          <w:highlight w:val="white"/>
        </w:rPr>
        <w:t>23(1</w:t>
      </w:r>
      <w:r w:rsidRPr="005B35A9">
        <w:rPr>
          <w:color w:val="222222"/>
          <w:highlight w:val="white"/>
        </w:rPr>
        <w:t xml:space="preserve">), p.886. </w:t>
      </w:r>
      <w:hyperlink r:id="rId16">
        <w:r w:rsidRPr="005B35A9">
          <w:rPr>
            <w:color w:val="1155CC"/>
            <w:highlight w:val="white"/>
            <w:u w:val="single"/>
          </w:rPr>
          <w:t>https://doi.org/10.1186/s12913-023-09869-8</w:t>
        </w:r>
      </w:hyperlink>
    </w:p>
    <w:p w14:paraId="7F33605D" w14:textId="744CB552" w:rsidR="00F73191" w:rsidRPr="00FC1CCF" w:rsidRDefault="005B35A9" w:rsidP="00FC1CCF">
      <w:pPr>
        <w:spacing w:before="240" w:after="240" w:line="360" w:lineRule="auto"/>
        <w:ind w:left="-80"/>
        <w:rPr>
          <w:color w:val="1155CC"/>
          <w:highlight w:val="white"/>
          <w:u w:val="single"/>
        </w:rPr>
      </w:pPr>
      <w:r w:rsidRPr="005B35A9">
        <w:rPr>
          <w:color w:val="222222"/>
          <w:highlight w:val="white"/>
        </w:rPr>
        <w:t xml:space="preserve">Sheehan, J., Laver, K., Bhopti, A., Rahja, M., Usherwood, T., Clemson, L. and Lannin, N.A., </w:t>
      </w:r>
      <w:r>
        <w:rPr>
          <w:color w:val="222222"/>
          <w:highlight w:val="white"/>
        </w:rPr>
        <w:t>(</w:t>
      </w:r>
      <w:r w:rsidRPr="005B35A9">
        <w:rPr>
          <w:color w:val="222222"/>
          <w:highlight w:val="white"/>
        </w:rPr>
        <w:t>2021</w:t>
      </w:r>
      <w:r>
        <w:rPr>
          <w:color w:val="222222"/>
          <w:highlight w:val="white"/>
        </w:rPr>
        <w:t>)</w:t>
      </w:r>
      <w:r w:rsidRPr="005B35A9">
        <w:rPr>
          <w:color w:val="222222"/>
          <w:highlight w:val="white"/>
        </w:rPr>
        <w:t xml:space="preserve">. </w:t>
      </w:r>
      <w:r>
        <w:rPr>
          <w:color w:val="222222"/>
          <w:highlight w:val="white"/>
        </w:rPr>
        <w:t>‘</w:t>
      </w:r>
      <w:r w:rsidRPr="005B35A9">
        <w:rPr>
          <w:color w:val="222222"/>
          <w:highlight w:val="white"/>
        </w:rPr>
        <w:t>Methods and effectiveness of communication between hospital allied health and primary care practitioners: a systematic narrative review</w:t>
      </w:r>
      <w:r>
        <w:rPr>
          <w:color w:val="222222"/>
          <w:highlight w:val="white"/>
        </w:rPr>
        <w:t>’</w:t>
      </w:r>
      <w:r w:rsidRPr="005B35A9">
        <w:rPr>
          <w:color w:val="222222"/>
          <w:highlight w:val="white"/>
        </w:rPr>
        <w:t xml:space="preserve">. </w:t>
      </w:r>
      <w:r w:rsidRPr="005B35A9">
        <w:rPr>
          <w:i/>
          <w:iCs/>
          <w:color w:val="222222"/>
          <w:highlight w:val="white"/>
        </w:rPr>
        <w:t>Journal of multidisciplinary healthcare</w:t>
      </w:r>
      <w:r w:rsidRPr="005B35A9">
        <w:rPr>
          <w:color w:val="222222"/>
          <w:highlight w:val="white"/>
        </w:rPr>
        <w:t xml:space="preserve">, pp.493-511. Available at :  </w:t>
      </w:r>
      <w:hyperlink r:id="rId17">
        <w:r w:rsidRPr="005B35A9">
          <w:rPr>
            <w:color w:val="1155CC"/>
            <w:highlight w:val="white"/>
            <w:u w:val="single"/>
          </w:rPr>
          <w:t>https://doi.org/10.2147/JMDH.S295549</w:t>
        </w:r>
      </w:hyperlink>
    </w:p>
    <w:sectPr w:rsidR="00F73191" w:rsidRPr="00FC1CCF" w:rsidSect="009225A3">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49A55" w14:textId="77777777" w:rsidR="000824BF" w:rsidRDefault="000824BF" w:rsidP="00A45BBC">
      <w:pPr>
        <w:spacing w:line="240" w:lineRule="auto"/>
      </w:pPr>
      <w:r>
        <w:separator/>
      </w:r>
    </w:p>
  </w:endnote>
  <w:endnote w:type="continuationSeparator" w:id="0">
    <w:p w14:paraId="7E2E439B" w14:textId="77777777" w:rsidR="000824BF" w:rsidRDefault="000824BF" w:rsidP="00A45B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121114D-945C-4F95-8D40-DFE32424687A}"/>
  </w:font>
  <w:font w:name="Cambria">
    <w:panose1 w:val="02040503050406030204"/>
    <w:charset w:val="00"/>
    <w:family w:val="roman"/>
    <w:pitch w:val="variable"/>
    <w:sig w:usb0="E00006FF" w:usb1="420024FF" w:usb2="02000000" w:usb3="00000000" w:csb0="0000019F" w:csb1="00000000"/>
    <w:embedRegular r:id="rId2" w:fontKey="{B23D2E97-9CA8-C44D-9556-F9E9C9C325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9525765"/>
      <w:docPartObj>
        <w:docPartGallery w:val="Page Numbers (Bottom of Page)"/>
        <w:docPartUnique/>
      </w:docPartObj>
    </w:sdtPr>
    <w:sdtEndPr>
      <w:rPr>
        <w:noProof/>
        <w:sz w:val="20"/>
        <w:szCs w:val="20"/>
      </w:rPr>
    </w:sdtEndPr>
    <w:sdtContent>
      <w:p w14:paraId="0ADEA201" w14:textId="1BBFCD6B" w:rsidR="00A45BBC" w:rsidRPr="009225A3" w:rsidRDefault="00A45BBC">
        <w:pPr>
          <w:pStyle w:val="Footer"/>
          <w:jc w:val="right"/>
          <w:rPr>
            <w:sz w:val="20"/>
            <w:szCs w:val="20"/>
          </w:rPr>
        </w:pPr>
        <w:r w:rsidRPr="009225A3">
          <w:rPr>
            <w:sz w:val="20"/>
            <w:szCs w:val="20"/>
          </w:rPr>
          <w:fldChar w:fldCharType="begin"/>
        </w:r>
        <w:r w:rsidRPr="009225A3">
          <w:rPr>
            <w:sz w:val="20"/>
            <w:szCs w:val="20"/>
          </w:rPr>
          <w:instrText xml:space="preserve"> PAGE   \* MERGEFORMAT </w:instrText>
        </w:r>
        <w:r w:rsidRPr="009225A3">
          <w:rPr>
            <w:sz w:val="20"/>
            <w:szCs w:val="20"/>
          </w:rPr>
          <w:fldChar w:fldCharType="separate"/>
        </w:r>
        <w:r w:rsidRPr="009225A3">
          <w:rPr>
            <w:noProof/>
            <w:sz w:val="20"/>
            <w:szCs w:val="20"/>
          </w:rPr>
          <w:t>2</w:t>
        </w:r>
        <w:r w:rsidRPr="009225A3">
          <w:rPr>
            <w:noProof/>
            <w:sz w:val="20"/>
            <w:szCs w:val="20"/>
          </w:rPr>
          <w:fldChar w:fldCharType="end"/>
        </w:r>
      </w:p>
    </w:sdtContent>
  </w:sdt>
  <w:p w14:paraId="0DDC75FD" w14:textId="77777777" w:rsidR="00A45BBC" w:rsidRDefault="00A45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82AA1" w14:textId="77777777" w:rsidR="000824BF" w:rsidRDefault="000824BF" w:rsidP="00A45BBC">
      <w:pPr>
        <w:spacing w:line="240" w:lineRule="auto"/>
      </w:pPr>
      <w:r>
        <w:separator/>
      </w:r>
    </w:p>
  </w:footnote>
  <w:footnote w:type="continuationSeparator" w:id="0">
    <w:p w14:paraId="4529EAAD" w14:textId="77777777" w:rsidR="000824BF" w:rsidRDefault="000824BF" w:rsidP="00A45B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191"/>
    <w:rsid w:val="000824BF"/>
    <w:rsid w:val="002503BE"/>
    <w:rsid w:val="003A14CA"/>
    <w:rsid w:val="00413240"/>
    <w:rsid w:val="005B35A9"/>
    <w:rsid w:val="00690FF8"/>
    <w:rsid w:val="008323EF"/>
    <w:rsid w:val="00893421"/>
    <w:rsid w:val="009225A3"/>
    <w:rsid w:val="00A45BBC"/>
    <w:rsid w:val="00D036CA"/>
    <w:rsid w:val="00D71D37"/>
    <w:rsid w:val="00F73191"/>
    <w:rsid w:val="00F95812"/>
    <w:rsid w:val="00FC1C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268A3"/>
  <w15:docId w15:val="{666B6294-0DCD-43FD-A089-710B92B8E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4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outlineLvl w:val="0"/>
    </w:pPr>
    <w:rPr>
      <w:b/>
    </w:rPr>
  </w:style>
  <w:style w:type="paragraph" w:styleId="Heading2">
    <w:name w:val="heading 2"/>
    <w:basedOn w:val="Normal"/>
    <w:next w:val="Normal"/>
    <w:uiPriority w:val="9"/>
    <w:semiHidden/>
    <w:unhideWhenUsed/>
    <w:qFormat/>
    <w:pPr>
      <w:keepNext/>
      <w:keepLines/>
      <w:outlineLvl w:val="1"/>
    </w:pPr>
    <w:rPr>
      <w:b/>
      <w:highlight w:val="white"/>
    </w:rPr>
  </w:style>
  <w:style w:type="paragraph" w:styleId="Heading3">
    <w:name w:val="heading 3"/>
    <w:basedOn w:val="Normal"/>
    <w:next w:val="Normal"/>
    <w:uiPriority w:val="9"/>
    <w:semiHidden/>
    <w:unhideWhenUsed/>
    <w:qFormat/>
    <w:pPr>
      <w:keepNext/>
      <w:keepLines/>
      <w:outlineLvl w:val="2"/>
    </w:pPr>
    <w:rPr>
      <w:b/>
      <w:i/>
      <w:highlight w:val="whit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A45BB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45BBC"/>
    <w:pPr>
      <w:spacing w:after="100"/>
    </w:pPr>
  </w:style>
  <w:style w:type="character" w:styleId="Hyperlink">
    <w:name w:val="Hyperlink"/>
    <w:basedOn w:val="DefaultParagraphFont"/>
    <w:uiPriority w:val="99"/>
    <w:unhideWhenUsed/>
    <w:rsid w:val="00A45BBC"/>
    <w:rPr>
      <w:color w:val="0000FF" w:themeColor="hyperlink"/>
      <w:u w:val="single"/>
    </w:rPr>
  </w:style>
  <w:style w:type="paragraph" w:styleId="Header">
    <w:name w:val="header"/>
    <w:basedOn w:val="Normal"/>
    <w:link w:val="HeaderChar"/>
    <w:uiPriority w:val="99"/>
    <w:unhideWhenUsed/>
    <w:rsid w:val="00A45BBC"/>
    <w:pPr>
      <w:tabs>
        <w:tab w:val="center" w:pos="4513"/>
        <w:tab w:val="right" w:pos="9026"/>
      </w:tabs>
      <w:spacing w:line="240" w:lineRule="auto"/>
    </w:pPr>
  </w:style>
  <w:style w:type="character" w:customStyle="1" w:styleId="HeaderChar">
    <w:name w:val="Header Char"/>
    <w:basedOn w:val="DefaultParagraphFont"/>
    <w:link w:val="Header"/>
    <w:uiPriority w:val="99"/>
    <w:rsid w:val="00A45BBC"/>
  </w:style>
  <w:style w:type="paragraph" w:styleId="Footer">
    <w:name w:val="footer"/>
    <w:basedOn w:val="Normal"/>
    <w:link w:val="FooterChar"/>
    <w:uiPriority w:val="99"/>
    <w:unhideWhenUsed/>
    <w:rsid w:val="00A45BBC"/>
    <w:pPr>
      <w:tabs>
        <w:tab w:val="center" w:pos="4513"/>
        <w:tab w:val="right" w:pos="9026"/>
      </w:tabs>
      <w:spacing w:line="240" w:lineRule="auto"/>
    </w:pPr>
  </w:style>
  <w:style w:type="character" w:customStyle="1" w:styleId="FooterChar">
    <w:name w:val="Footer Char"/>
    <w:basedOn w:val="DefaultParagraphFont"/>
    <w:link w:val="Footer"/>
    <w:uiPriority w:val="99"/>
    <w:rsid w:val="00A45B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mc.org.uk/standards/code/?ut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3258/economit.v5i2.1345" TargetMode="External"/><Relationship Id="rId17" Type="http://schemas.openxmlformats.org/officeDocument/2006/relationships/hyperlink" Target="https://doi.org/10.2147/JMDH.S295549" TargetMode="External"/><Relationship Id="rId2" Type="http://schemas.openxmlformats.org/officeDocument/2006/relationships/styles" Target="styles.xml"/><Relationship Id="rId16" Type="http://schemas.openxmlformats.org/officeDocument/2006/relationships/hyperlink" Target="https://doi.org/10.1186/s12913-023-09869-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uidance/equality-act-2010-guidance" TargetMode="External"/><Relationship Id="rId5" Type="http://schemas.openxmlformats.org/officeDocument/2006/relationships/footnotes" Target="footnotes.xml"/><Relationship Id="rId15" Type="http://schemas.openxmlformats.org/officeDocument/2006/relationships/hyperlink" Target="https://doi.org/10.1186/s13561-020-00300-0" TargetMode="External"/><Relationship Id="rId10" Type="http://schemas.openxmlformats.org/officeDocument/2006/relationships/hyperlink" Target="https://doi.org/10.1007/s10916-022-01837-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86/s12913-024-12060-2" TargetMode="External"/><Relationship Id="rId14" Type="http://schemas.openxmlformats.org/officeDocument/2006/relationships/hyperlink" Target="https://saudijournals.com/media/articles/SJEAT_109_421-430.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F6B7E-04A9-42F3-9269-78D87E1060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2130</Words>
  <Characters>12146</Characters>
  <Application>Microsoft Office Word</Application>
  <DocSecurity>0</DocSecurity>
  <Lines>101</Lines>
  <Paragraphs>28</Paragraphs>
  <ScaleCrop>false</ScaleCrop>
  <Company/>
  <LinksUpToDate>false</LinksUpToDate>
  <CharactersWithSpaces>14248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Armaan Yousaf</cp:lastModifiedBy>
  <cp:revision>2</cp:revision>
  <dcterms:created xsi:type="dcterms:W3CDTF">2025-11-18T09:55:00Z</dcterms:created>
  <dcterms:modified xsi:type="dcterms:W3CDTF">2025-11-18T09:55:00Z</dcterms:modified>
</cp:coreProperties>
</file>