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57B2F" w14:textId="0280B040" w:rsidR="00BE2A57" w:rsidRDefault="004D153B">
      <w:pPr>
        <w:rPr>
          <w:rFonts w:ascii="Times New Roman" w:hAnsi="Times New Roman" w:cs="Times New Roman"/>
          <w:b/>
          <w:sz w:val="28"/>
          <w:szCs w:val="28"/>
          <w:u w:val="single"/>
        </w:rPr>
      </w:pPr>
      <w:r>
        <w:rPr>
          <w:rFonts w:ascii="Times New Roman" w:hAnsi="Times New Roman" w:cs="Times New Roman"/>
          <w:b/>
          <w:sz w:val="28"/>
          <w:szCs w:val="28"/>
          <w:u w:val="single"/>
        </w:rPr>
        <w:t>Ritual practice might be defined as ‘prescribed formal behaviour... having reference to beliefs in mystical beings or power’ (Turner 1982, 79). How might we identify and interpret evidence for such behaviour in the archaeological record? Illustrate this with reference to specific example drawn from the Bronze Age Aegean.</w:t>
      </w:r>
    </w:p>
    <w:p w14:paraId="1DF62D04" w14:textId="0829C669" w:rsidR="004D153B" w:rsidRDefault="004D153B">
      <w:pPr>
        <w:rPr>
          <w:rFonts w:ascii="Times New Roman" w:hAnsi="Times New Roman" w:cs="Times New Roman"/>
          <w:b/>
          <w:sz w:val="28"/>
          <w:szCs w:val="28"/>
          <w:u w:val="single"/>
        </w:rPr>
      </w:pPr>
    </w:p>
    <w:p w14:paraId="1F7160B8" w14:textId="515EF3A2" w:rsidR="00861F82" w:rsidRDefault="005B2996" w:rsidP="00861F82">
      <w:pPr>
        <w:spacing w:line="480" w:lineRule="auto"/>
        <w:rPr>
          <w:rFonts w:ascii="Times New Roman" w:hAnsi="Times New Roman" w:cs="Times New Roman"/>
          <w:sz w:val="28"/>
          <w:szCs w:val="28"/>
        </w:rPr>
      </w:pPr>
      <w:r>
        <w:rPr>
          <w:rFonts w:ascii="Times New Roman" w:hAnsi="Times New Roman" w:cs="Times New Roman"/>
          <w:sz w:val="28"/>
          <w:szCs w:val="28"/>
        </w:rPr>
        <w:t xml:space="preserve">The definition of </w:t>
      </w:r>
      <w:r w:rsidR="00F92022">
        <w:rPr>
          <w:rFonts w:ascii="Times New Roman" w:hAnsi="Times New Roman" w:cs="Times New Roman"/>
          <w:sz w:val="28"/>
          <w:szCs w:val="28"/>
        </w:rPr>
        <w:t>‘</w:t>
      </w:r>
      <w:r>
        <w:rPr>
          <w:rFonts w:ascii="Times New Roman" w:hAnsi="Times New Roman" w:cs="Times New Roman"/>
          <w:sz w:val="28"/>
          <w:szCs w:val="28"/>
        </w:rPr>
        <w:t>ritual</w:t>
      </w:r>
      <w:r w:rsidR="00F92022">
        <w:rPr>
          <w:rFonts w:ascii="Times New Roman" w:hAnsi="Times New Roman" w:cs="Times New Roman"/>
          <w:sz w:val="28"/>
          <w:szCs w:val="28"/>
        </w:rPr>
        <w:t>’</w:t>
      </w:r>
      <w:r>
        <w:rPr>
          <w:rFonts w:ascii="Times New Roman" w:hAnsi="Times New Roman" w:cs="Times New Roman"/>
          <w:sz w:val="28"/>
          <w:szCs w:val="28"/>
        </w:rPr>
        <w:t xml:space="preserve"> is something </w:t>
      </w:r>
      <w:r w:rsidR="008A24D1">
        <w:rPr>
          <w:rFonts w:ascii="Times New Roman" w:hAnsi="Times New Roman" w:cs="Times New Roman"/>
          <w:sz w:val="28"/>
          <w:szCs w:val="28"/>
        </w:rPr>
        <w:t>that scholars have debated and redefined continuously</w:t>
      </w:r>
      <w:r w:rsidR="00DC40E0">
        <w:rPr>
          <w:rFonts w:ascii="Times New Roman" w:hAnsi="Times New Roman" w:cs="Times New Roman"/>
          <w:sz w:val="28"/>
          <w:szCs w:val="28"/>
        </w:rPr>
        <w:t xml:space="preserve">, and perhaps it will never be </w:t>
      </w:r>
      <w:r w:rsidR="00495F4B">
        <w:rPr>
          <w:rFonts w:ascii="Times New Roman" w:hAnsi="Times New Roman" w:cs="Times New Roman"/>
          <w:sz w:val="28"/>
          <w:szCs w:val="28"/>
        </w:rPr>
        <w:t xml:space="preserve">precisely </w:t>
      </w:r>
      <w:r w:rsidR="00DC40E0">
        <w:rPr>
          <w:rFonts w:ascii="Times New Roman" w:hAnsi="Times New Roman" w:cs="Times New Roman"/>
          <w:sz w:val="28"/>
          <w:szCs w:val="28"/>
        </w:rPr>
        <w:t xml:space="preserve">defined. As the archaeological evidence </w:t>
      </w:r>
      <w:r w:rsidR="00A4578E">
        <w:rPr>
          <w:rFonts w:ascii="Times New Roman" w:hAnsi="Times New Roman" w:cs="Times New Roman"/>
          <w:sz w:val="28"/>
          <w:szCs w:val="28"/>
        </w:rPr>
        <w:t>we have continues to be studied and new evidence is found, the definition needs to evolve.</w:t>
      </w:r>
      <w:r w:rsidR="00495F4B">
        <w:rPr>
          <w:rFonts w:ascii="Times New Roman" w:hAnsi="Times New Roman" w:cs="Times New Roman"/>
          <w:sz w:val="28"/>
          <w:szCs w:val="28"/>
        </w:rPr>
        <w:t xml:space="preserve"> </w:t>
      </w:r>
      <w:r w:rsidR="00DA3C55">
        <w:rPr>
          <w:rFonts w:ascii="Times New Roman" w:hAnsi="Times New Roman" w:cs="Times New Roman"/>
          <w:sz w:val="28"/>
          <w:szCs w:val="28"/>
        </w:rPr>
        <w:t>Some scholars, including Turner (1982), focus on the idea of ritual being a performance, with almost theatrical aspects running underneath. Although this could be true, especially with regards to the type of ritual being performed</w:t>
      </w:r>
      <w:r w:rsidR="002C3F4D">
        <w:rPr>
          <w:rFonts w:ascii="Times New Roman" w:hAnsi="Times New Roman" w:cs="Times New Roman"/>
          <w:sz w:val="28"/>
          <w:szCs w:val="28"/>
        </w:rPr>
        <w:t>, it has to be remembered that rituals are different for every civilisation.</w:t>
      </w:r>
      <w:r w:rsidR="005B59F7">
        <w:rPr>
          <w:rFonts w:ascii="Times New Roman" w:hAnsi="Times New Roman" w:cs="Times New Roman"/>
          <w:sz w:val="28"/>
          <w:szCs w:val="28"/>
        </w:rPr>
        <w:t xml:space="preserve"> </w:t>
      </w:r>
      <w:r w:rsidR="00861F82">
        <w:rPr>
          <w:rFonts w:ascii="Times New Roman" w:hAnsi="Times New Roman" w:cs="Times New Roman"/>
          <w:sz w:val="28"/>
          <w:szCs w:val="28"/>
        </w:rPr>
        <w:t>For example, Bowie writes:</w:t>
      </w:r>
    </w:p>
    <w:p w14:paraId="42B56E6F" w14:textId="211791B3" w:rsidR="00861F82" w:rsidRDefault="00861F82" w:rsidP="00861F82">
      <w:pPr>
        <w:ind w:left="1077" w:right="454"/>
        <w:rPr>
          <w:rFonts w:ascii="Times New Roman" w:hAnsi="Times New Roman" w:cs="Times New Roman"/>
          <w:sz w:val="28"/>
          <w:szCs w:val="28"/>
        </w:rPr>
      </w:pPr>
      <w:r>
        <w:rPr>
          <w:rFonts w:ascii="Times New Roman" w:hAnsi="Times New Roman" w:cs="Times New Roman"/>
          <w:sz w:val="28"/>
          <w:szCs w:val="28"/>
        </w:rPr>
        <w:t>a</w:t>
      </w:r>
      <w:r w:rsidRPr="00861F82">
        <w:rPr>
          <w:rFonts w:ascii="Times New Roman" w:hAnsi="Times New Roman" w:cs="Times New Roman"/>
          <w:sz w:val="28"/>
          <w:szCs w:val="28"/>
        </w:rPr>
        <w:t xml:space="preserve"> fundamental problem in seeking to define a ritual stems from the basic assumption that what we identify as ritual in Western societies (often in a liturgical or ceremonial setting) can be regarded as a cross-cultural category with parallels elsewhere</w:t>
      </w:r>
      <w:r>
        <w:rPr>
          <w:rFonts w:ascii="Times New Roman" w:hAnsi="Times New Roman" w:cs="Times New Roman"/>
          <w:sz w:val="28"/>
          <w:szCs w:val="28"/>
        </w:rPr>
        <w:t xml:space="preserve"> (Bowie 2006:141).  </w:t>
      </w:r>
    </w:p>
    <w:p w14:paraId="7C6671F3" w14:textId="77777777" w:rsidR="00861F82" w:rsidRDefault="00861F82">
      <w:pPr>
        <w:rPr>
          <w:rFonts w:ascii="Times New Roman" w:hAnsi="Times New Roman" w:cs="Times New Roman"/>
          <w:sz w:val="28"/>
          <w:szCs w:val="28"/>
        </w:rPr>
      </w:pPr>
    </w:p>
    <w:p w14:paraId="7875B8C6" w14:textId="77777777" w:rsidR="00861F82" w:rsidRDefault="00861F82">
      <w:pPr>
        <w:rPr>
          <w:rFonts w:ascii="Times New Roman" w:hAnsi="Times New Roman" w:cs="Times New Roman"/>
          <w:sz w:val="28"/>
          <w:szCs w:val="28"/>
        </w:rPr>
      </w:pPr>
    </w:p>
    <w:p w14:paraId="1AEA3212" w14:textId="12B7C54B" w:rsidR="009C458B" w:rsidRDefault="009C458B" w:rsidP="007A5FE2">
      <w:pPr>
        <w:spacing w:line="480" w:lineRule="auto"/>
        <w:rPr>
          <w:rFonts w:ascii="Times New Roman" w:hAnsi="Times New Roman" w:cs="Times New Roman"/>
          <w:sz w:val="28"/>
          <w:szCs w:val="28"/>
        </w:rPr>
      </w:pPr>
      <w:r>
        <w:rPr>
          <w:rFonts w:ascii="Times New Roman" w:hAnsi="Times New Roman" w:cs="Times New Roman"/>
          <w:sz w:val="28"/>
          <w:szCs w:val="28"/>
        </w:rPr>
        <w:t>However, t</w:t>
      </w:r>
      <w:r w:rsidR="002C3F4D">
        <w:rPr>
          <w:rFonts w:ascii="Times New Roman" w:hAnsi="Times New Roman" w:cs="Times New Roman"/>
          <w:sz w:val="28"/>
          <w:szCs w:val="28"/>
        </w:rPr>
        <w:t xml:space="preserve">here </w:t>
      </w:r>
      <w:r w:rsidR="0050411C">
        <w:rPr>
          <w:rFonts w:ascii="Times New Roman" w:hAnsi="Times New Roman" w:cs="Times New Roman"/>
          <w:sz w:val="28"/>
          <w:szCs w:val="28"/>
        </w:rPr>
        <w:t>are</w:t>
      </w:r>
      <w:r w:rsidR="002C3F4D">
        <w:rPr>
          <w:rFonts w:ascii="Times New Roman" w:hAnsi="Times New Roman" w:cs="Times New Roman"/>
          <w:sz w:val="28"/>
          <w:szCs w:val="28"/>
        </w:rPr>
        <w:t xml:space="preserve"> no specific criteria that denotes ritual, and this can therefore provide obstacles </w:t>
      </w:r>
      <w:r w:rsidR="00CF74D6">
        <w:rPr>
          <w:rFonts w:ascii="Times New Roman" w:hAnsi="Times New Roman" w:cs="Times New Roman"/>
          <w:sz w:val="28"/>
          <w:szCs w:val="28"/>
        </w:rPr>
        <w:t>regarding</w:t>
      </w:r>
      <w:r w:rsidR="002C3F4D">
        <w:rPr>
          <w:rFonts w:ascii="Times New Roman" w:hAnsi="Times New Roman" w:cs="Times New Roman"/>
          <w:sz w:val="28"/>
          <w:szCs w:val="28"/>
        </w:rPr>
        <w:t xml:space="preserve"> ritual behaviour.</w:t>
      </w:r>
    </w:p>
    <w:p w14:paraId="2F188B3D" w14:textId="5BA27774" w:rsidR="00EF3D2D" w:rsidRDefault="00EF3D2D" w:rsidP="007A5FE2">
      <w:pPr>
        <w:spacing w:line="480" w:lineRule="auto"/>
        <w:rPr>
          <w:rFonts w:ascii="Times New Roman" w:hAnsi="Times New Roman" w:cs="Times New Roman"/>
          <w:sz w:val="28"/>
          <w:szCs w:val="28"/>
        </w:rPr>
      </w:pPr>
    </w:p>
    <w:p w14:paraId="1AECEE6A" w14:textId="267ECCB5" w:rsidR="005009DD" w:rsidRDefault="001D3BDF" w:rsidP="007A5FE2">
      <w:pPr>
        <w:spacing w:line="480" w:lineRule="auto"/>
        <w:rPr>
          <w:rFonts w:ascii="Times New Roman" w:hAnsi="Times New Roman" w:cs="Times New Roman"/>
          <w:sz w:val="28"/>
          <w:szCs w:val="28"/>
        </w:rPr>
      </w:pPr>
      <w:r>
        <w:rPr>
          <w:rFonts w:ascii="Times New Roman" w:hAnsi="Times New Roman" w:cs="Times New Roman"/>
          <w:sz w:val="28"/>
          <w:szCs w:val="28"/>
        </w:rPr>
        <w:t xml:space="preserve">When investigating </w:t>
      </w:r>
      <w:r w:rsidR="009C0C39">
        <w:rPr>
          <w:rFonts w:ascii="Times New Roman" w:hAnsi="Times New Roman" w:cs="Times New Roman"/>
          <w:sz w:val="28"/>
          <w:szCs w:val="28"/>
        </w:rPr>
        <w:t xml:space="preserve">ritual behaviour </w:t>
      </w:r>
      <w:r w:rsidR="00F42D1E">
        <w:rPr>
          <w:rFonts w:ascii="Times New Roman" w:hAnsi="Times New Roman" w:cs="Times New Roman"/>
          <w:sz w:val="28"/>
          <w:szCs w:val="28"/>
        </w:rPr>
        <w:t>concerning</w:t>
      </w:r>
      <w:r w:rsidR="009C0C39">
        <w:rPr>
          <w:rFonts w:ascii="Times New Roman" w:hAnsi="Times New Roman" w:cs="Times New Roman"/>
          <w:sz w:val="28"/>
          <w:szCs w:val="28"/>
        </w:rPr>
        <w:t xml:space="preserve"> the Bronze Age Aegean, the state of it at this time needs to be examined. </w:t>
      </w:r>
      <w:r w:rsidR="00E927F4">
        <w:rPr>
          <w:rFonts w:ascii="Times New Roman" w:hAnsi="Times New Roman" w:cs="Times New Roman"/>
          <w:sz w:val="28"/>
          <w:szCs w:val="28"/>
        </w:rPr>
        <w:t>The Bronze Age lasted from around 3000-1000BC and was a time of flourishing civilisations</w:t>
      </w:r>
      <w:r w:rsidR="00C96AFB">
        <w:rPr>
          <w:rFonts w:ascii="Times New Roman" w:hAnsi="Times New Roman" w:cs="Times New Roman"/>
          <w:sz w:val="28"/>
          <w:szCs w:val="28"/>
        </w:rPr>
        <w:t>, especially in the Aegean.</w:t>
      </w:r>
      <w:r w:rsidR="00877E5D">
        <w:rPr>
          <w:rFonts w:ascii="Times New Roman" w:hAnsi="Times New Roman" w:cs="Times New Roman"/>
          <w:sz w:val="28"/>
          <w:szCs w:val="28"/>
        </w:rPr>
        <w:t xml:space="preserve"> As Schoep interestingly reminds us, “</w:t>
      </w:r>
      <w:r w:rsidR="00877E5D" w:rsidRPr="00877E5D">
        <w:rPr>
          <w:rFonts w:ascii="Times New Roman" w:hAnsi="Times New Roman" w:cs="Times New Roman"/>
          <w:sz w:val="28"/>
          <w:szCs w:val="28"/>
        </w:rPr>
        <w:t xml:space="preserve">it is common practice in Bronze Age eastern </w:t>
      </w:r>
      <w:r w:rsidR="00877E5D" w:rsidRPr="00877E5D">
        <w:rPr>
          <w:rFonts w:ascii="Times New Roman" w:hAnsi="Times New Roman" w:cs="Times New Roman"/>
          <w:sz w:val="28"/>
          <w:szCs w:val="28"/>
        </w:rPr>
        <w:lastRenderedPageBreak/>
        <w:t>Mediterranean societies for the main political and religious venues of power, usually referred to as the palace and the temple, to be located in different places in the urban landscape</w:t>
      </w:r>
      <w:r w:rsidR="00877E5D">
        <w:rPr>
          <w:rFonts w:ascii="Times New Roman" w:hAnsi="Times New Roman" w:cs="Times New Roman"/>
          <w:sz w:val="28"/>
          <w:szCs w:val="28"/>
        </w:rPr>
        <w:t xml:space="preserve">” (Schoep </w:t>
      </w:r>
      <w:r w:rsidR="00E871A7">
        <w:rPr>
          <w:rFonts w:ascii="Times New Roman" w:hAnsi="Times New Roman" w:cs="Times New Roman"/>
          <w:sz w:val="28"/>
          <w:szCs w:val="28"/>
        </w:rPr>
        <w:t>2010:227).</w:t>
      </w:r>
      <w:r w:rsidR="00C96AFB">
        <w:rPr>
          <w:rFonts w:ascii="Times New Roman" w:hAnsi="Times New Roman" w:cs="Times New Roman"/>
          <w:sz w:val="28"/>
          <w:szCs w:val="28"/>
        </w:rPr>
        <w:t xml:space="preserve"> These civilisations included the Minoans and the Mycenaeans</w:t>
      </w:r>
      <w:r w:rsidR="00877E5D">
        <w:rPr>
          <w:rFonts w:ascii="Times New Roman" w:hAnsi="Times New Roman" w:cs="Times New Roman"/>
          <w:sz w:val="28"/>
          <w:szCs w:val="28"/>
        </w:rPr>
        <w:t>.</w:t>
      </w:r>
      <w:r w:rsidR="00C96AFB">
        <w:rPr>
          <w:rFonts w:ascii="Times New Roman" w:hAnsi="Times New Roman" w:cs="Times New Roman"/>
          <w:sz w:val="28"/>
          <w:szCs w:val="28"/>
        </w:rPr>
        <w:t xml:space="preserve"> </w:t>
      </w:r>
      <w:r w:rsidR="00CE48EF">
        <w:rPr>
          <w:rFonts w:ascii="Times New Roman" w:hAnsi="Times New Roman" w:cs="Times New Roman"/>
          <w:sz w:val="28"/>
          <w:szCs w:val="28"/>
        </w:rPr>
        <w:t xml:space="preserve">However, these civilisations were seemingly cut short by a combination of natural disasters and invaders, known as the </w:t>
      </w:r>
      <w:r w:rsidR="004C0B4F">
        <w:rPr>
          <w:rFonts w:ascii="Times New Roman" w:hAnsi="Times New Roman" w:cs="Times New Roman"/>
          <w:sz w:val="28"/>
          <w:szCs w:val="28"/>
        </w:rPr>
        <w:t>S</w:t>
      </w:r>
      <w:r w:rsidR="00CE48EF">
        <w:rPr>
          <w:rFonts w:ascii="Times New Roman" w:hAnsi="Times New Roman" w:cs="Times New Roman"/>
          <w:sz w:val="28"/>
          <w:szCs w:val="28"/>
        </w:rPr>
        <w:t>ea-</w:t>
      </w:r>
      <w:r w:rsidR="004C0B4F">
        <w:rPr>
          <w:rFonts w:ascii="Times New Roman" w:hAnsi="Times New Roman" w:cs="Times New Roman"/>
          <w:sz w:val="28"/>
          <w:szCs w:val="28"/>
        </w:rPr>
        <w:t>P</w:t>
      </w:r>
      <w:r w:rsidR="00CE48EF">
        <w:rPr>
          <w:rFonts w:ascii="Times New Roman" w:hAnsi="Times New Roman" w:cs="Times New Roman"/>
          <w:sz w:val="28"/>
          <w:szCs w:val="28"/>
        </w:rPr>
        <w:t>eoples (</w:t>
      </w:r>
      <w:r w:rsidR="003C6B65">
        <w:rPr>
          <w:rFonts w:ascii="Times New Roman" w:hAnsi="Times New Roman" w:cs="Times New Roman"/>
          <w:sz w:val="28"/>
          <w:szCs w:val="28"/>
        </w:rPr>
        <w:t>Graf 2007:4-5).</w:t>
      </w:r>
      <w:r w:rsidR="004C0B4F">
        <w:rPr>
          <w:rFonts w:ascii="Times New Roman" w:hAnsi="Times New Roman" w:cs="Times New Roman"/>
          <w:sz w:val="28"/>
          <w:szCs w:val="28"/>
        </w:rPr>
        <w:t xml:space="preserve"> </w:t>
      </w:r>
      <w:r w:rsidR="005009DD">
        <w:rPr>
          <w:rFonts w:ascii="Times New Roman" w:hAnsi="Times New Roman" w:cs="Times New Roman"/>
          <w:sz w:val="28"/>
          <w:szCs w:val="28"/>
        </w:rPr>
        <w:t xml:space="preserve">It is always incredibly difficult to find evidence regarding religion and beliefs </w:t>
      </w:r>
      <w:r w:rsidR="00F42D1E">
        <w:rPr>
          <w:rFonts w:ascii="Times New Roman" w:hAnsi="Times New Roman" w:cs="Times New Roman"/>
          <w:sz w:val="28"/>
          <w:szCs w:val="28"/>
        </w:rPr>
        <w:t xml:space="preserve">during this time </w:t>
      </w:r>
      <w:r w:rsidR="005009DD">
        <w:rPr>
          <w:rFonts w:ascii="Times New Roman" w:hAnsi="Times New Roman" w:cs="Times New Roman"/>
          <w:sz w:val="28"/>
          <w:szCs w:val="28"/>
        </w:rPr>
        <w:t>because it is often not something that is written down explicitly, as Albers states:</w:t>
      </w:r>
    </w:p>
    <w:p w14:paraId="0FFE2819" w14:textId="77777777" w:rsidR="005009DD" w:rsidRDefault="005009DD" w:rsidP="005009DD">
      <w:pPr>
        <w:ind w:left="794" w:right="851"/>
        <w:rPr>
          <w:rFonts w:ascii="Times New Roman" w:hAnsi="Times New Roman" w:cs="Times New Roman"/>
          <w:sz w:val="28"/>
          <w:szCs w:val="28"/>
        </w:rPr>
      </w:pPr>
      <w:r w:rsidRPr="005009DD">
        <w:rPr>
          <w:rFonts w:ascii="Times New Roman" w:hAnsi="Times New Roman" w:cs="Times New Roman"/>
          <w:sz w:val="28"/>
          <w:szCs w:val="28"/>
        </w:rPr>
        <w:t>The archaeological or other evidence for Aegean Bronze Age cult, here precisely sanctuaries, cult activity, and religion of the Minoan and Mycenaean Ages, now as then confronts us with numerous open questions. Mainly because of the virtual absence of in any regard explicit written sources, the overall lack of factual knowledge applies especially also to the more substantial scholarly questions: as to what is going on at Bronze Age Aegean cult places; as to the meaning of the material and pictorial manifestations of the cult; and, consequently, as to the religious beliefs that were behind all that</w:t>
      </w:r>
      <w:r>
        <w:rPr>
          <w:rFonts w:ascii="Times New Roman" w:hAnsi="Times New Roman" w:cs="Times New Roman"/>
          <w:sz w:val="28"/>
          <w:szCs w:val="28"/>
        </w:rPr>
        <w:t xml:space="preserve"> (Albers 2004:111).</w:t>
      </w:r>
    </w:p>
    <w:p w14:paraId="6C50A3C8" w14:textId="77777777" w:rsidR="005009DD" w:rsidRDefault="005009DD" w:rsidP="005009DD">
      <w:pPr>
        <w:ind w:left="794" w:right="851"/>
        <w:rPr>
          <w:rFonts w:ascii="Times New Roman" w:hAnsi="Times New Roman" w:cs="Times New Roman"/>
          <w:sz w:val="28"/>
          <w:szCs w:val="28"/>
        </w:rPr>
      </w:pPr>
    </w:p>
    <w:p w14:paraId="5D110AF8" w14:textId="3DCDC82D" w:rsidR="0093666F" w:rsidRDefault="00E049F5" w:rsidP="0093666F">
      <w:pPr>
        <w:spacing w:line="480" w:lineRule="auto"/>
        <w:rPr>
          <w:rFonts w:ascii="Times New Roman" w:hAnsi="Times New Roman" w:cs="Times New Roman"/>
          <w:sz w:val="28"/>
          <w:szCs w:val="28"/>
        </w:rPr>
      </w:pPr>
      <w:r>
        <w:rPr>
          <w:rFonts w:ascii="Times New Roman" w:hAnsi="Times New Roman" w:cs="Times New Roman"/>
          <w:sz w:val="28"/>
          <w:szCs w:val="28"/>
        </w:rPr>
        <w:t>Ritual and religion are intrinsically linked</w:t>
      </w:r>
      <w:r w:rsidR="00F57BEB">
        <w:rPr>
          <w:rFonts w:ascii="Times New Roman" w:hAnsi="Times New Roman" w:cs="Times New Roman"/>
          <w:sz w:val="28"/>
          <w:szCs w:val="28"/>
        </w:rPr>
        <w:t xml:space="preserve">; </w:t>
      </w:r>
      <w:r w:rsidR="00FC53DF">
        <w:rPr>
          <w:rFonts w:ascii="Times New Roman" w:hAnsi="Times New Roman" w:cs="Times New Roman"/>
          <w:sz w:val="28"/>
          <w:szCs w:val="28"/>
        </w:rPr>
        <w:t>Renfrew (2007:113) argu</w:t>
      </w:r>
      <w:r w:rsidR="00F57BEB">
        <w:rPr>
          <w:rFonts w:ascii="Times New Roman" w:hAnsi="Times New Roman" w:cs="Times New Roman"/>
          <w:sz w:val="28"/>
          <w:szCs w:val="28"/>
        </w:rPr>
        <w:t>es</w:t>
      </w:r>
      <w:r w:rsidR="00FC53DF">
        <w:rPr>
          <w:rFonts w:ascii="Times New Roman" w:hAnsi="Times New Roman" w:cs="Times New Roman"/>
          <w:sz w:val="28"/>
          <w:szCs w:val="28"/>
        </w:rPr>
        <w:t xml:space="preserve"> that all forms of religion have ritual practices and that they</w:t>
      </w:r>
      <w:r w:rsidR="00F57BEB">
        <w:rPr>
          <w:rFonts w:ascii="Times New Roman" w:hAnsi="Times New Roman" w:cs="Times New Roman"/>
          <w:sz w:val="28"/>
          <w:szCs w:val="28"/>
        </w:rPr>
        <w:t xml:space="preserve"> often focus on forces that are normally termed as supernatural. On the other hand, Renfrew also acknowledges that a number </w:t>
      </w:r>
      <w:r w:rsidR="00855EB8">
        <w:rPr>
          <w:rFonts w:ascii="Times New Roman" w:hAnsi="Times New Roman" w:cs="Times New Roman"/>
          <w:sz w:val="28"/>
          <w:szCs w:val="28"/>
        </w:rPr>
        <w:t xml:space="preserve">of </w:t>
      </w:r>
      <w:r w:rsidR="00F57BEB">
        <w:rPr>
          <w:rFonts w:ascii="Times New Roman" w:hAnsi="Times New Roman" w:cs="Times New Roman"/>
          <w:sz w:val="28"/>
          <w:szCs w:val="28"/>
        </w:rPr>
        <w:t>religions do not differentiate between what they perceive to be mortal or divine</w:t>
      </w:r>
      <w:r w:rsidR="00855EB8">
        <w:rPr>
          <w:rFonts w:ascii="Times New Roman" w:hAnsi="Times New Roman" w:cs="Times New Roman"/>
          <w:sz w:val="28"/>
          <w:szCs w:val="28"/>
        </w:rPr>
        <w:t xml:space="preserve"> making it harder to determine ritual behaviour</w:t>
      </w:r>
      <w:r w:rsidR="00F57BEB">
        <w:rPr>
          <w:rFonts w:ascii="Times New Roman" w:hAnsi="Times New Roman" w:cs="Times New Roman"/>
          <w:sz w:val="28"/>
          <w:szCs w:val="28"/>
        </w:rPr>
        <w:t>.</w:t>
      </w:r>
      <w:r w:rsidR="000C66B9">
        <w:rPr>
          <w:rFonts w:ascii="Times New Roman" w:hAnsi="Times New Roman" w:cs="Times New Roman"/>
          <w:sz w:val="28"/>
          <w:szCs w:val="28"/>
        </w:rPr>
        <w:t xml:space="preserve"> Therefore, p</w:t>
      </w:r>
      <w:r w:rsidR="00477974">
        <w:rPr>
          <w:rFonts w:ascii="Times New Roman" w:hAnsi="Times New Roman" w:cs="Times New Roman"/>
          <w:sz w:val="28"/>
          <w:szCs w:val="28"/>
        </w:rPr>
        <w:t>ossibly</w:t>
      </w:r>
      <w:r w:rsidR="000C66B9">
        <w:rPr>
          <w:rFonts w:ascii="Times New Roman" w:hAnsi="Times New Roman" w:cs="Times New Roman"/>
          <w:sz w:val="28"/>
          <w:szCs w:val="28"/>
        </w:rPr>
        <w:t xml:space="preserve"> Alexander’s definition </w:t>
      </w:r>
      <w:r w:rsidR="0093666F">
        <w:rPr>
          <w:rFonts w:ascii="Times New Roman" w:hAnsi="Times New Roman" w:cs="Times New Roman"/>
          <w:sz w:val="28"/>
          <w:szCs w:val="28"/>
        </w:rPr>
        <w:t xml:space="preserve">for ritual is better: </w:t>
      </w:r>
    </w:p>
    <w:p w14:paraId="02CD843F" w14:textId="3C66E2FF" w:rsidR="00EF3D2D" w:rsidRDefault="0093666F" w:rsidP="001A08C5">
      <w:pPr>
        <w:ind w:left="567" w:right="567"/>
        <w:jc w:val="center"/>
        <w:rPr>
          <w:rFonts w:ascii="Times New Roman" w:hAnsi="Times New Roman" w:cs="Times New Roman"/>
          <w:sz w:val="28"/>
          <w:szCs w:val="28"/>
        </w:rPr>
      </w:pPr>
      <w:r>
        <w:rPr>
          <w:rFonts w:ascii="Times New Roman" w:hAnsi="Times New Roman" w:cs="Times New Roman"/>
          <w:sz w:val="28"/>
          <w:szCs w:val="28"/>
        </w:rPr>
        <w:t>“</w:t>
      </w:r>
      <w:r w:rsidRPr="0093666F">
        <w:rPr>
          <w:rFonts w:ascii="Times New Roman" w:hAnsi="Times New Roman" w:cs="Times New Roman"/>
          <w:sz w:val="28"/>
          <w:szCs w:val="28"/>
        </w:rPr>
        <w:t>Ritual defined in the most general and basic terms is performance, planned or improvised, that effects a transition from everyday life to an alternative context within which the everyday is transformed.</w:t>
      </w:r>
      <w:r>
        <w:rPr>
          <w:rFonts w:ascii="Times New Roman" w:hAnsi="Times New Roman" w:cs="Times New Roman"/>
          <w:sz w:val="28"/>
          <w:szCs w:val="28"/>
        </w:rPr>
        <w:t xml:space="preserve"> </w:t>
      </w:r>
      <w:r w:rsidRPr="0093666F">
        <w:rPr>
          <w:rFonts w:ascii="Times New Roman" w:hAnsi="Times New Roman" w:cs="Times New Roman"/>
          <w:sz w:val="28"/>
          <w:szCs w:val="28"/>
        </w:rPr>
        <w:t xml:space="preserve">Traditional religious rituals open up ordinary life to ultimate reality or </w:t>
      </w:r>
      <w:r w:rsidRPr="0093666F">
        <w:rPr>
          <w:rFonts w:ascii="Times New Roman" w:hAnsi="Times New Roman" w:cs="Times New Roman"/>
          <w:sz w:val="28"/>
          <w:szCs w:val="28"/>
        </w:rPr>
        <w:lastRenderedPageBreak/>
        <w:t>some transcendent being or force in order to tap its transformative power</w:t>
      </w:r>
      <w:r>
        <w:rPr>
          <w:rFonts w:ascii="Times New Roman" w:hAnsi="Times New Roman" w:cs="Times New Roman"/>
          <w:sz w:val="28"/>
          <w:szCs w:val="28"/>
        </w:rPr>
        <w:t xml:space="preserve"> (1997, quoted in Bowie, 2006, 139)</w:t>
      </w:r>
      <w:r w:rsidRPr="0093666F">
        <w:rPr>
          <w:rFonts w:ascii="Times New Roman" w:hAnsi="Times New Roman" w:cs="Times New Roman"/>
          <w:sz w:val="28"/>
          <w:szCs w:val="28"/>
        </w:rPr>
        <w:t>.</w:t>
      </w:r>
      <w:r>
        <w:rPr>
          <w:rFonts w:ascii="Times New Roman" w:hAnsi="Times New Roman" w:cs="Times New Roman"/>
          <w:sz w:val="28"/>
          <w:szCs w:val="28"/>
        </w:rPr>
        <w:t>”</w:t>
      </w:r>
    </w:p>
    <w:p w14:paraId="1581FCD4" w14:textId="195EE926" w:rsidR="00515EB0" w:rsidRDefault="00515EB0" w:rsidP="001A08C5">
      <w:pPr>
        <w:spacing w:line="480" w:lineRule="auto"/>
        <w:rPr>
          <w:rFonts w:ascii="Times New Roman" w:hAnsi="Times New Roman" w:cs="Times New Roman"/>
          <w:sz w:val="28"/>
          <w:szCs w:val="28"/>
        </w:rPr>
      </w:pPr>
    </w:p>
    <w:p w14:paraId="06C82E6C" w14:textId="6FAE9999" w:rsidR="00477974" w:rsidRDefault="00F04AAF" w:rsidP="001A08C5">
      <w:pPr>
        <w:spacing w:line="480" w:lineRule="auto"/>
        <w:rPr>
          <w:rFonts w:ascii="Times New Roman" w:hAnsi="Times New Roman" w:cs="Times New Roman"/>
          <w:sz w:val="28"/>
          <w:szCs w:val="28"/>
        </w:rPr>
      </w:pPr>
      <w:r>
        <w:rPr>
          <w:rFonts w:ascii="Times New Roman" w:hAnsi="Times New Roman" w:cs="Times New Roman"/>
          <w:sz w:val="28"/>
          <w:szCs w:val="28"/>
        </w:rPr>
        <w:t>The Minoan civilisation was based on the island of Crete</w:t>
      </w:r>
      <w:r w:rsidR="00A02C78">
        <w:rPr>
          <w:rFonts w:ascii="Times New Roman" w:hAnsi="Times New Roman" w:cs="Times New Roman"/>
          <w:sz w:val="28"/>
          <w:szCs w:val="28"/>
        </w:rPr>
        <w:t xml:space="preserve"> and functioned from </w:t>
      </w:r>
      <w:r w:rsidR="00AE570B">
        <w:rPr>
          <w:rFonts w:ascii="Times New Roman" w:hAnsi="Times New Roman" w:cs="Times New Roman"/>
          <w:sz w:val="28"/>
          <w:szCs w:val="28"/>
        </w:rPr>
        <w:t>the 3</w:t>
      </w:r>
      <w:r w:rsidR="00AE570B" w:rsidRPr="00AE570B">
        <w:rPr>
          <w:rFonts w:ascii="Times New Roman" w:hAnsi="Times New Roman" w:cs="Times New Roman"/>
          <w:sz w:val="28"/>
          <w:szCs w:val="28"/>
          <w:vertAlign w:val="superscript"/>
        </w:rPr>
        <w:t>rd</w:t>
      </w:r>
      <w:r w:rsidR="00AE570B">
        <w:rPr>
          <w:rFonts w:ascii="Times New Roman" w:hAnsi="Times New Roman" w:cs="Times New Roman"/>
          <w:sz w:val="28"/>
          <w:szCs w:val="28"/>
        </w:rPr>
        <w:t xml:space="preserve"> to the 1</w:t>
      </w:r>
      <w:r w:rsidR="00AE570B" w:rsidRPr="00AE570B">
        <w:rPr>
          <w:rFonts w:ascii="Times New Roman" w:hAnsi="Times New Roman" w:cs="Times New Roman"/>
          <w:sz w:val="28"/>
          <w:szCs w:val="28"/>
          <w:vertAlign w:val="superscript"/>
        </w:rPr>
        <w:t>st</w:t>
      </w:r>
      <w:r w:rsidR="00AE570B">
        <w:rPr>
          <w:rFonts w:ascii="Times New Roman" w:hAnsi="Times New Roman" w:cs="Times New Roman"/>
          <w:sz w:val="28"/>
          <w:szCs w:val="28"/>
        </w:rPr>
        <w:t xml:space="preserve"> millennium BC (Marinatos 2007:206).</w:t>
      </w:r>
      <w:r w:rsidR="00BD4AA5">
        <w:rPr>
          <w:rFonts w:ascii="Times New Roman" w:hAnsi="Times New Roman" w:cs="Times New Roman"/>
          <w:sz w:val="28"/>
          <w:szCs w:val="28"/>
        </w:rPr>
        <w:t xml:space="preserve"> Famous for </w:t>
      </w:r>
      <w:r w:rsidR="005877C3">
        <w:rPr>
          <w:rFonts w:ascii="Times New Roman" w:hAnsi="Times New Roman" w:cs="Times New Roman"/>
          <w:sz w:val="28"/>
          <w:szCs w:val="28"/>
        </w:rPr>
        <w:t>their</w:t>
      </w:r>
      <w:r w:rsidR="00BD4AA5">
        <w:rPr>
          <w:rFonts w:ascii="Times New Roman" w:hAnsi="Times New Roman" w:cs="Times New Roman"/>
          <w:sz w:val="28"/>
          <w:szCs w:val="28"/>
        </w:rPr>
        <w:t xml:space="preserve"> </w:t>
      </w:r>
      <w:r w:rsidR="00C33C17">
        <w:rPr>
          <w:rFonts w:ascii="Times New Roman" w:hAnsi="Times New Roman" w:cs="Times New Roman"/>
          <w:sz w:val="28"/>
          <w:szCs w:val="28"/>
        </w:rPr>
        <w:t>beautifully decorated frescos</w:t>
      </w:r>
      <w:r w:rsidR="00517FCF">
        <w:rPr>
          <w:rFonts w:ascii="Times New Roman" w:hAnsi="Times New Roman" w:cs="Times New Roman"/>
          <w:sz w:val="28"/>
          <w:szCs w:val="28"/>
        </w:rPr>
        <w:t xml:space="preserve"> and expansive palace complexes at Knossos and Malia</w:t>
      </w:r>
      <w:r w:rsidR="00515EB0">
        <w:rPr>
          <w:rFonts w:ascii="Times New Roman" w:hAnsi="Times New Roman" w:cs="Times New Roman"/>
          <w:sz w:val="28"/>
          <w:szCs w:val="28"/>
        </w:rPr>
        <w:t xml:space="preserve">, </w:t>
      </w:r>
      <w:r w:rsidR="005877C3">
        <w:rPr>
          <w:rFonts w:ascii="Times New Roman" w:hAnsi="Times New Roman" w:cs="Times New Roman"/>
          <w:sz w:val="28"/>
          <w:szCs w:val="28"/>
        </w:rPr>
        <w:t xml:space="preserve">excavations at Minoan sites have uncovered key evidence about their religion, ritual and </w:t>
      </w:r>
      <w:r w:rsidR="001E64F6">
        <w:rPr>
          <w:rFonts w:ascii="Times New Roman" w:hAnsi="Times New Roman" w:cs="Times New Roman"/>
          <w:sz w:val="28"/>
          <w:szCs w:val="28"/>
        </w:rPr>
        <w:t xml:space="preserve">therefore, ritual behaviour. </w:t>
      </w:r>
      <w:r w:rsidR="00374F3B">
        <w:rPr>
          <w:rFonts w:ascii="Times New Roman" w:hAnsi="Times New Roman" w:cs="Times New Roman"/>
          <w:sz w:val="28"/>
          <w:szCs w:val="28"/>
        </w:rPr>
        <w:t xml:space="preserve">According to Turner (1982:25), there are two types of passage rites; the </w:t>
      </w:r>
      <w:r w:rsidR="00927B44">
        <w:rPr>
          <w:rFonts w:ascii="Times New Roman" w:hAnsi="Times New Roman" w:cs="Times New Roman"/>
          <w:sz w:val="28"/>
          <w:szCs w:val="28"/>
        </w:rPr>
        <w:t>rites</w:t>
      </w:r>
      <w:r w:rsidR="00374F3B">
        <w:rPr>
          <w:rFonts w:ascii="Times New Roman" w:hAnsi="Times New Roman" w:cs="Times New Roman"/>
          <w:sz w:val="28"/>
          <w:szCs w:val="28"/>
        </w:rPr>
        <w:t xml:space="preserve"> performed by individuals </w:t>
      </w:r>
      <w:r w:rsidR="00927B44">
        <w:rPr>
          <w:rFonts w:ascii="Times New Roman" w:hAnsi="Times New Roman" w:cs="Times New Roman"/>
          <w:sz w:val="28"/>
          <w:szCs w:val="28"/>
        </w:rPr>
        <w:t>sporadically, and the calendrical rites performed every year</w:t>
      </w:r>
      <w:r w:rsidR="00857EF4">
        <w:rPr>
          <w:rFonts w:ascii="Times New Roman" w:hAnsi="Times New Roman" w:cs="Times New Roman"/>
          <w:sz w:val="28"/>
          <w:szCs w:val="28"/>
        </w:rPr>
        <w:t xml:space="preserve">, but it is difficult to explicitly tell </w:t>
      </w:r>
      <w:r w:rsidR="00513DAC">
        <w:rPr>
          <w:rFonts w:ascii="Times New Roman" w:hAnsi="Times New Roman" w:cs="Times New Roman"/>
          <w:sz w:val="28"/>
          <w:szCs w:val="28"/>
        </w:rPr>
        <w:t xml:space="preserve">from the archaeological evidence left behind at sites. </w:t>
      </w:r>
      <w:r w:rsidR="00C80840">
        <w:rPr>
          <w:rFonts w:ascii="Times New Roman" w:hAnsi="Times New Roman" w:cs="Times New Roman"/>
          <w:sz w:val="28"/>
          <w:szCs w:val="28"/>
        </w:rPr>
        <w:t xml:space="preserve">Minoan religion </w:t>
      </w:r>
      <w:r w:rsidR="00502085">
        <w:rPr>
          <w:rFonts w:ascii="Times New Roman" w:hAnsi="Times New Roman" w:cs="Times New Roman"/>
          <w:sz w:val="28"/>
          <w:szCs w:val="28"/>
        </w:rPr>
        <w:t>was a</w:t>
      </w:r>
      <w:r w:rsidR="00502085" w:rsidRPr="00502085">
        <w:rPr>
          <w:rFonts w:ascii="Times New Roman" w:hAnsi="Times New Roman" w:cs="Times New Roman"/>
          <w:sz w:val="28"/>
          <w:szCs w:val="28"/>
        </w:rPr>
        <w:t xml:space="preserve"> </w:t>
      </w:r>
      <w:r w:rsidR="00502085">
        <w:rPr>
          <w:rFonts w:ascii="Times New Roman" w:hAnsi="Times New Roman" w:cs="Times New Roman"/>
          <w:sz w:val="28"/>
          <w:szCs w:val="28"/>
        </w:rPr>
        <w:t>“</w:t>
      </w:r>
      <w:r w:rsidR="00502085" w:rsidRPr="00502085">
        <w:rPr>
          <w:rFonts w:ascii="Times New Roman" w:hAnsi="Times New Roman" w:cs="Times New Roman"/>
          <w:sz w:val="28"/>
          <w:szCs w:val="28"/>
        </w:rPr>
        <w:t>sophisticated and urbanised palatial culture with a complex social hierarchy</w:t>
      </w:r>
      <w:r w:rsidR="002D26E1">
        <w:rPr>
          <w:rFonts w:ascii="Times New Roman" w:hAnsi="Times New Roman" w:cs="Times New Roman"/>
          <w:sz w:val="28"/>
          <w:szCs w:val="28"/>
        </w:rPr>
        <w:t>,” with possible links and inspiration from the Near East</w:t>
      </w:r>
      <w:r w:rsidR="00502085">
        <w:rPr>
          <w:rFonts w:ascii="Times New Roman" w:hAnsi="Times New Roman" w:cs="Times New Roman"/>
          <w:sz w:val="28"/>
          <w:szCs w:val="28"/>
        </w:rPr>
        <w:t xml:space="preserve"> (Marinatos 2007:</w:t>
      </w:r>
      <w:r w:rsidR="002D26E1">
        <w:rPr>
          <w:rFonts w:ascii="Times New Roman" w:hAnsi="Times New Roman" w:cs="Times New Roman"/>
          <w:sz w:val="28"/>
          <w:szCs w:val="28"/>
        </w:rPr>
        <w:t>206-</w:t>
      </w:r>
      <w:r w:rsidR="00502085">
        <w:rPr>
          <w:rFonts w:ascii="Times New Roman" w:hAnsi="Times New Roman" w:cs="Times New Roman"/>
          <w:sz w:val="28"/>
          <w:szCs w:val="28"/>
        </w:rPr>
        <w:t>207)</w:t>
      </w:r>
      <w:r w:rsidR="00502085" w:rsidRPr="00502085">
        <w:rPr>
          <w:rFonts w:ascii="Times New Roman" w:hAnsi="Times New Roman" w:cs="Times New Roman"/>
          <w:sz w:val="28"/>
          <w:szCs w:val="28"/>
        </w:rPr>
        <w:t>.</w:t>
      </w:r>
      <w:r w:rsidR="00805397">
        <w:rPr>
          <w:rFonts w:ascii="Times New Roman" w:hAnsi="Times New Roman" w:cs="Times New Roman"/>
          <w:sz w:val="28"/>
          <w:szCs w:val="28"/>
        </w:rPr>
        <w:t xml:space="preserve"> As with most religion</w:t>
      </w:r>
      <w:r w:rsidR="00FC5475">
        <w:rPr>
          <w:rFonts w:ascii="Times New Roman" w:hAnsi="Times New Roman" w:cs="Times New Roman"/>
          <w:sz w:val="28"/>
          <w:szCs w:val="28"/>
        </w:rPr>
        <w:t>s, they had their own ideas on death and rites of passage such as birth and marriag</w:t>
      </w:r>
      <w:r w:rsidR="004D4770">
        <w:rPr>
          <w:rFonts w:ascii="Times New Roman" w:hAnsi="Times New Roman" w:cs="Times New Roman"/>
          <w:sz w:val="28"/>
          <w:szCs w:val="28"/>
        </w:rPr>
        <w:t xml:space="preserve">e and both archaeological and textual evidence can help to shed some light on how religion functions within </w:t>
      </w:r>
      <w:r w:rsidR="00260F84">
        <w:rPr>
          <w:rFonts w:ascii="Times New Roman" w:hAnsi="Times New Roman" w:cs="Times New Roman"/>
          <w:sz w:val="28"/>
          <w:szCs w:val="28"/>
        </w:rPr>
        <w:t xml:space="preserve">a </w:t>
      </w:r>
      <w:r w:rsidR="004D4770">
        <w:rPr>
          <w:rFonts w:ascii="Times New Roman" w:hAnsi="Times New Roman" w:cs="Times New Roman"/>
          <w:sz w:val="28"/>
          <w:szCs w:val="28"/>
        </w:rPr>
        <w:t>society.</w:t>
      </w:r>
      <w:r w:rsidR="00FC5475">
        <w:rPr>
          <w:rFonts w:ascii="Times New Roman" w:hAnsi="Times New Roman" w:cs="Times New Roman"/>
          <w:sz w:val="28"/>
          <w:szCs w:val="28"/>
        </w:rPr>
        <w:t xml:space="preserve"> </w:t>
      </w:r>
      <w:r w:rsidR="003F4FB8">
        <w:rPr>
          <w:rFonts w:ascii="Times New Roman" w:hAnsi="Times New Roman" w:cs="Times New Roman"/>
          <w:sz w:val="28"/>
          <w:szCs w:val="28"/>
        </w:rPr>
        <w:t>However, there has been a tendency to use archaeological evidence from different periods to try to piece together Minoan religion (Peatfield 1990:123). The problem with this is religion can alter and it would almost be impossible to state that what was part of a religion at one stage was the exact same a millennium later.</w:t>
      </w:r>
      <w:r w:rsidR="006B3DF7">
        <w:rPr>
          <w:rFonts w:ascii="Times New Roman" w:hAnsi="Times New Roman" w:cs="Times New Roman"/>
          <w:sz w:val="28"/>
          <w:szCs w:val="28"/>
        </w:rPr>
        <w:t xml:space="preserve"> As Kyriakidis explains,</w:t>
      </w:r>
    </w:p>
    <w:p w14:paraId="30D92BBB" w14:textId="7A219BE8" w:rsidR="006B3DF7" w:rsidRDefault="006B3DF7" w:rsidP="006B3DF7">
      <w:pPr>
        <w:ind w:left="567" w:right="567"/>
        <w:rPr>
          <w:rFonts w:ascii="Times New Roman" w:hAnsi="Times New Roman" w:cs="Times New Roman"/>
          <w:sz w:val="28"/>
          <w:szCs w:val="28"/>
        </w:rPr>
      </w:pPr>
      <w:r w:rsidRPr="006B3DF7">
        <w:rPr>
          <w:rFonts w:ascii="Times New Roman" w:hAnsi="Times New Roman" w:cs="Times New Roman"/>
          <w:sz w:val="28"/>
          <w:szCs w:val="28"/>
        </w:rPr>
        <w:t>in the case of the peak sanctuaries and other ancient ritual sites, it cannot be assumed that the constancy of the material evidence for the ritual practices necessarily reflects a continuity of the associated beliefs. Neither is change in the ritual material culture necessarily sufficient to argue for a change in the related beliefs</w:t>
      </w:r>
      <w:r>
        <w:rPr>
          <w:rFonts w:ascii="Times New Roman" w:hAnsi="Times New Roman" w:cs="Times New Roman"/>
          <w:sz w:val="28"/>
          <w:szCs w:val="28"/>
        </w:rPr>
        <w:t xml:space="preserve"> (2007:16).</w:t>
      </w:r>
    </w:p>
    <w:p w14:paraId="16C82AF6" w14:textId="1824E5E1" w:rsidR="0092210F" w:rsidRDefault="0092210F" w:rsidP="001A08C5">
      <w:pPr>
        <w:spacing w:line="480" w:lineRule="auto"/>
        <w:rPr>
          <w:rFonts w:ascii="Times New Roman" w:hAnsi="Times New Roman" w:cs="Times New Roman"/>
          <w:sz w:val="28"/>
          <w:szCs w:val="28"/>
        </w:rPr>
      </w:pPr>
    </w:p>
    <w:p w14:paraId="5A93A4CB" w14:textId="5032AA6C" w:rsidR="0092210F" w:rsidRDefault="0092210F" w:rsidP="001A08C5">
      <w:pPr>
        <w:spacing w:line="480" w:lineRule="auto"/>
        <w:rPr>
          <w:rFonts w:ascii="Times New Roman" w:hAnsi="Times New Roman" w:cs="Times New Roman"/>
          <w:sz w:val="28"/>
          <w:szCs w:val="28"/>
        </w:rPr>
      </w:pPr>
      <w:r>
        <w:rPr>
          <w:rFonts w:ascii="Times New Roman" w:hAnsi="Times New Roman" w:cs="Times New Roman"/>
          <w:sz w:val="28"/>
          <w:szCs w:val="28"/>
        </w:rPr>
        <w:t xml:space="preserve">The first site where ritual behaviour </w:t>
      </w:r>
      <w:r w:rsidR="00C622FE">
        <w:rPr>
          <w:rFonts w:ascii="Times New Roman" w:hAnsi="Times New Roman" w:cs="Times New Roman"/>
          <w:sz w:val="28"/>
          <w:szCs w:val="28"/>
        </w:rPr>
        <w:t xml:space="preserve">is evident is at </w:t>
      </w:r>
      <w:r>
        <w:rPr>
          <w:rFonts w:ascii="Times New Roman" w:hAnsi="Times New Roman" w:cs="Times New Roman"/>
          <w:sz w:val="28"/>
          <w:szCs w:val="28"/>
        </w:rPr>
        <w:t>the Minoan peak sanctuaries.</w:t>
      </w:r>
      <w:r w:rsidR="00C622FE">
        <w:rPr>
          <w:rFonts w:ascii="Times New Roman" w:hAnsi="Times New Roman" w:cs="Times New Roman"/>
          <w:sz w:val="28"/>
          <w:szCs w:val="28"/>
        </w:rPr>
        <w:t xml:space="preserve"> </w:t>
      </w:r>
      <w:r w:rsidR="00AE570B">
        <w:rPr>
          <w:rFonts w:ascii="Times New Roman" w:hAnsi="Times New Roman" w:cs="Times New Roman"/>
          <w:sz w:val="28"/>
          <w:szCs w:val="28"/>
        </w:rPr>
        <w:t xml:space="preserve">Found across Crete, these sanctuaries are thought to have a religious </w:t>
      </w:r>
      <w:r w:rsidR="00216F60">
        <w:rPr>
          <w:rFonts w:ascii="Times New Roman" w:hAnsi="Times New Roman" w:cs="Times New Roman"/>
          <w:sz w:val="28"/>
          <w:szCs w:val="28"/>
        </w:rPr>
        <w:t>purpose</w:t>
      </w:r>
      <w:r w:rsidR="00AE570B">
        <w:rPr>
          <w:rFonts w:ascii="Times New Roman" w:hAnsi="Times New Roman" w:cs="Times New Roman"/>
          <w:sz w:val="28"/>
          <w:szCs w:val="28"/>
        </w:rPr>
        <w:t xml:space="preserve"> due to the high volume of </w:t>
      </w:r>
      <w:r w:rsidR="00216F60">
        <w:rPr>
          <w:rFonts w:ascii="Times New Roman" w:hAnsi="Times New Roman" w:cs="Times New Roman"/>
          <w:sz w:val="28"/>
          <w:szCs w:val="28"/>
        </w:rPr>
        <w:t>anthropomorphic and animal figurines excavated compared to other s</w:t>
      </w:r>
      <w:r w:rsidR="00A16FB7">
        <w:rPr>
          <w:rFonts w:ascii="Times New Roman" w:hAnsi="Times New Roman" w:cs="Times New Roman"/>
          <w:sz w:val="28"/>
          <w:szCs w:val="28"/>
        </w:rPr>
        <w:t xml:space="preserve">ettlements. </w:t>
      </w:r>
      <w:r w:rsidR="008F5DB7">
        <w:rPr>
          <w:rFonts w:ascii="Times New Roman" w:hAnsi="Times New Roman" w:cs="Times New Roman"/>
          <w:sz w:val="28"/>
          <w:szCs w:val="28"/>
        </w:rPr>
        <w:t xml:space="preserve">Plenty of </w:t>
      </w:r>
      <w:r w:rsidR="00B64722">
        <w:rPr>
          <w:rFonts w:ascii="Times New Roman" w:hAnsi="Times New Roman" w:cs="Times New Roman"/>
          <w:sz w:val="28"/>
          <w:szCs w:val="28"/>
        </w:rPr>
        <w:t xml:space="preserve">feasting equipment, such as drinking cups and bowls, have also been found at the site, leading scholars to question whether a form of ritual feasting took place at the site (Kyriakidis 2007:10). </w:t>
      </w:r>
      <w:r w:rsidR="00EC28BA" w:rsidRPr="00EC28BA">
        <w:rPr>
          <w:rFonts w:ascii="Times New Roman" w:hAnsi="Times New Roman" w:cs="Times New Roman"/>
          <w:sz w:val="28"/>
          <w:szCs w:val="28"/>
        </w:rPr>
        <w:t xml:space="preserve">Even the location of the peak sanctuaries could have had an impact on the ritual behaviour there; for example, </w:t>
      </w:r>
      <w:r w:rsidR="00EC28BA">
        <w:rPr>
          <w:rFonts w:ascii="Times New Roman" w:hAnsi="Times New Roman" w:cs="Times New Roman"/>
          <w:sz w:val="28"/>
          <w:szCs w:val="28"/>
        </w:rPr>
        <w:t>because the sanctuaries were located on mountaintops, it is evident</w:t>
      </w:r>
      <w:r w:rsidR="00F6443E">
        <w:rPr>
          <w:rFonts w:ascii="Times New Roman" w:hAnsi="Times New Roman" w:cs="Times New Roman"/>
          <w:sz w:val="28"/>
          <w:szCs w:val="28"/>
        </w:rPr>
        <w:t xml:space="preserve"> that it would have required effort to reach the peak therefore highlighting its significance for Minoan society. </w:t>
      </w:r>
      <w:r w:rsidR="007A7D02">
        <w:rPr>
          <w:rFonts w:ascii="Times New Roman" w:hAnsi="Times New Roman" w:cs="Times New Roman"/>
          <w:sz w:val="28"/>
          <w:szCs w:val="28"/>
        </w:rPr>
        <w:t xml:space="preserve">Although the archaeological evidence from the sanctuary could provide us with evidence of some form of ritual, it is more difficult to examine whether these provide us with evidence of ritual behaviour. </w:t>
      </w:r>
      <w:r w:rsidR="00FA0BC8">
        <w:rPr>
          <w:rFonts w:ascii="Times New Roman" w:hAnsi="Times New Roman" w:cs="Times New Roman"/>
          <w:sz w:val="28"/>
          <w:szCs w:val="28"/>
        </w:rPr>
        <w:t>In order to study the Minoan’s ritual behaviour, Turner’s (1982) definition of ritual needs to be applied.</w:t>
      </w:r>
      <w:r w:rsidR="005F0133">
        <w:rPr>
          <w:rFonts w:ascii="Times New Roman" w:hAnsi="Times New Roman" w:cs="Times New Roman"/>
          <w:sz w:val="28"/>
          <w:szCs w:val="28"/>
        </w:rPr>
        <w:t xml:space="preserve"> </w:t>
      </w:r>
      <w:r w:rsidR="000474DF">
        <w:rPr>
          <w:rFonts w:ascii="Times New Roman" w:hAnsi="Times New Roman" w:cs="Times New Roman"/>
          <w:sz w:val="28"/>
          <w:szCs w:val="28"/>
        </w:rPr>
        <w:t>As mentioned above, the evidence of figurines found at the peak sanctuaries could link the site to formulized behaviour because of the sheer number found; it must have been a custom, or part of a ritual, to bring a figurine. Perhaps they were seen to be a votive offering, not unlike figurines of specific deities or body parts that were dedicated to the gods and left on altars in Roman temples.</w:t>
      </w:r>
      <w:r w:rsidR="00FE2C39">
        <w:rPr>
          <w:rFonts w:ascii="Times New Roman" w:hAnsi="Times New Roman" w:cs="Times New Roman"/>
          <w:sz w:val="28"/>
          <w:szCs w:val="28"/>
        </w:rPr>
        <w:t xml:space="preserve"> </w:t>
      </w:r>
      <w:r w:rsidR="003E422B">
        <w:rPr>
          <w:rFonts w:ascii="Times New Roman" w:hAnsi="Times New Roman" w:cs="Times New Roman"/>
          <w:sz w:val="28"/>
          <w:szCs w:val="28"/>
        </w:rPr>
        <w:t>It</w:t>
      </w:r>
      <w:r w:rsidR="00A62FE0">
        <w:rPr>
          <w:rFonts w:ascii="Times New Roman" w:hAnsi="Times New Roman" w:cs="Times New Roman"/>
          <w:sz w:val="28"/>
          <w:szCs w:val="28"/>
        </w:rPr>
        <w:t xml:space="preserve"> is also possible that the figures could represent deities. If the peak sanctuaries were sites for people from across Crete to go to and perform ritual activities, perhaps </w:t>
      </w:r>
      <w:r w:rsidR="00A62FE0">
        <w:rPr>
          <w:rFonts w:ascii="Times New Roman" w:hAnsi="Times New Roman" w:cs="Times New Roman"/>
          <w:sz w:val="28"/>
          <w:szCs w:val="28"/>
        </w:rPr>
        <w:lastRenderedPageBreak/>
        <w:t>they were local deities that were brought together to be worshipped in an overall pantheon.</w:t>
      </w:r>
      <w:r w:rsidR="005D4EE8">
        <w:rPr>
          <w:rFonts w:ascii="Times New Roman" w:hAnsi="Times New Roman" w:cs="Times New Roman"/>
          <w:sz w:val="28"/>
          <w:szCs w:val="28"/>
        </w:rPr>
        <w:t xml:space="preserve"> According to Kyriakidis (2007</w:t>
      </w:r>
      <w:r w:rsidR="00487370">
        <w:rPr>
          <w:rFonts w:ascii="Times New Roman" w:hAnsi="Times New Roman" w:cs="Times New Roman"/>
          <w:sz w:val="28"/>
          <w:szCs w:val="28"/>
        </w:rPr>
        <w:t>:12</w:t>
      </w:r>
      <w:r w:rsidR="005D4EE8">
        <w:rPr>
          <w:rFonts w:ascii="Times New Roman" w:hAnsi="Times New Roman" w:cs="Times New Roman"/>
          <w:sz w:val="28"/>
          <w:szCs w:val="28"/>
        </w:rPr>
        <w:t>):</w:t>
      </w:r>
    </w:p>
    <w:p w14:paraId="424FFE08" w14:textId="2E343498" w:rsidR="005D4EE8" w:rsidRDefault="00502703" w:rsidP="005D4EE8">
      <w:pPr>
        <w:ind w:left="567" w:right="567"/>
        <w:rPr>
          <w:rFonts w:ascii="Times New Roman" w:hAnsi="Times New Roman" w:cs="Times New Roman"/>
          <w:sz w:val="28"/>
          <w:szCs w:val="28"/>
        </w:rPr>
      </w:pPr>
      <w:r w:rsidRPr="00502703">
        <w:rPr>
          <w:rFonts w:ascii="Times New Roman" w:hAnsi="Times New Roman" w:cs="Times New Roman"/>
          <w:sz w:val="28"/>
          <w:szCs w:val="28"/>
        </w:rPr>
        <w:t>Animal and human figurines bearing many similarities to those found in the peak sanctuaries are also found at ritual caves, at Piskokephalo (a rather different open-air ritual site in Minoan Crete). An instinctive response is to assume that the similar material points to the same rituals being performed in all locations. Observation of modern-day rituals, however, tends to undermine this assumption</w:t>
      </w:r>
      <w:r>
        <w:rPr>
          <w:rFonts w:ascii="Times New Roman" w:hAnsi="Times New Roman" w:cs="Times New Roman"/>
          <w:sz w:val="28"/>
          <w:szCs w:val="28"/>
        </w:rPr>
        <w:t>.</w:t>
      </w:r>
    </w:p>
    <w:p w14:paraId="23D26DC2" w14:textId="5AC96A57" w:rsidR="00502703" w:rsidRDefault="00502703" w:rsidP="005D4EE8">
      <w:pPr>
        <w:ind w:left="567" w:right="567"/>
        <w:rPr>
          <w:rFonts w:ascii="Times New Roman" w:hAnsi="Times New Roman" w:cs="Times New Roman"/>
          <w:sz w:val="28"/>
          <w:szCs w:val="28"/>
        </w:rPr>
      </w:pPr>
    </w:p>
    <w:p w14:paraId="234B1D76" w14:textId="5C3226C5" w:rsidR="001A08C5" w:rsidRDefault="00487370" w:rsidP="00886A5E">
      <w:pPr>
        <w:spacing w:line="480" w:lineRule="auto"/>
        <w:rPr>
          <w:rFonts w:ascii="Times New Roman" w:hAnsi="Times New Roman" w:cs="Times New Roman"/>
          <w:sz w:val="28"/>
          <w:szCs w:val="28"/>
        </w:rPr>
      </w:pPr>
      <w:r>
        <w:rPr>
          <w:rFonts w:ascii="Times New Roman" w:hAnsi="Times New Roman" w:cs="Times New Roman"/>
          <w:sz w:val="28"/>
          <w:szCs w:val="28"/>
        </w:rPr>
        <w:t xml:space="preserve">However, although there has been some suggestion that the Minoans believed their gods lived in the mountains, hence the location of the peak sanctuaries, </w:t>
      </w:r>
      <w:r w:rsidR="00284026">
        <w:rPr>
          <w:rFonts w:ascii="Times New Roman" w:hAnsi="Times New Roman" w:cs="Times New Roman"/>
          <w:sz w:val="28"/>
          <w:szCs w:val="28"/>
        </w:rPr>
        <w:t xml:space="preserve">but </w:t>
      </w:r>
      <w:r>
        <w:rPr>
          <w:rFonts w:ascii="Times New Roman" w:hAnsi="Times New Roman" w:cs="Times New Roman"/>
          <w:sz w:val="28"/>
          <w:szCs w:val="28"/>
        </w:rPr>
        <w:t xml:space="preserve">this has never been proven with </w:t>
      </w:r>
      <w:r w:rsidR="005C7963">
        <w:rPr>
          <w:rFonts w:ascii="Times New Roman" w:hAnsi="Times New Roman" w:cs="Times New Roman"/>
          <w:sz w:val="28"/>
          <w:szCs w:val="28"/>
        </w:rPr>
        <w:t>documentary evidence (Peatfield 1990:120).</w:t>
      </w:r>
      <w:r w:rsidR="00C80EA1">
        <w:rPr>
          <w:rFonts w:ascii="Times New Roman" w:hAnsi="Times New Roman" w:cs="Times New Roman"/>
          <w:sz w:val="28"/>
          <w:szCs w:val="28"/>
        </w:rPr>
        <w:t xml:space="preserve"> </w:t>
      </w:r>
      <w:r w:rsidR="00284026">
        <w:rPr>
          <w:rFonts w:ascii="Times New Roman" w:hAnsi="Times New Roman" w:cs="Times New Roman"/>
          <w:sz w:val="28"/>
          <w:szCs w:val="28"/>
        </w:rPr>
        <w:t xml:space="preserve">Therefore, the archaeological evidence from the Minoan peak sanctuary emphasises ritual behaviour because of the sheer volume of excavated material discovered. Especially regarding the ancient world, large gatherings were normally of a religious or political nature, and as the sanctuaries are thought to have been built for a religious purpose, it is highly probable that the events performed were ritualistic. </w:t>
      </w:r>
      <w:r w:rsidR="00C06036">
        <w:rPr>
          <w:rFonts w:ascii="Times New Roman" w:hAnsi="Times New Roman" w:cs="Times New Roman"/>
          <w:sz w:val="28"/>
          <w:szCs w:val="28"/>
        </w:rPr>
        <w:t xml:space="preserve">Overall, when studying the Minoan peak sanctuaries Turner’s explanation of ritual can be applied due to the figurines and their possible connotations to the divine. </w:t>
      </w:r>
    </w:p>
    <w:p w14:paraId="0B063068" w14:textId="077BBB49" w:rsidR="00334AB2" w:rsidRDefault="00334AB2" w:rsidP="001A08C5">
      <w:pPr>
        <w:spacing w:line="480" w:lineRule="auto"/>
        <w:rPr>
          <w:rFonts w:ascii="Times New Roman" w:hAnsi="Times New Roman" w:cs="Times New Roman"/>
          <w:sz w:val="28"/>
          <w:szCs w:val="28"/>
        </w:rPr>
      </w:pPr>
    </w:p>
    <w:p w14:paraId="30CC8728" w14:textId="4580B144" w:rsidR="00334AB2" w:rsidRDefault="00D64485" w:rsidP="001A08C5">
      <w:pPr>
        <w:spacing w:line="480" w:lineRule="auto"/>
        <w:rPr>
          <w:rFonts w:ascii="Times New Roman" w:hAnsi="Times New Roman" w:cs="Times New Roman"/>
          <w:sz w:val="28"/>
          <w:szCs w:val="28"/>
        </w:rPr>
      </w:pPr>
      <w:r>
        <w:rPr>
          <w:rFonts w:ascii="Times New Roman" w:hAnsi="Times New Roman" w:cs="Times New Roman"/>
          <w:sz w:val="28"/>
          <w:szCs w:val="28"/>
        </w:rPr>
        <w:t xml:space="preserve">Another site on Minoan Crete with evidence of ritual behaviour are the palace complexes, most notably at Knossos and Malia. </w:t>
      </w:r>
      <w:r w:rsidR="009743D1">
        <w:rPr>
          <w:rFonts w:ascii="Times New Roman" w:hAnsi="Times New Roman" w:cs="Times New Roman"/>
          <w:sz w:val="28"/>
          <w:szCs w:val="28"/>
        </w:rPr>
        <w:t xml:space="preserve">Although the scholarly work </w:t>
      </w:r>
      <w:r w:rsidR="006B3DF7">
        <w:rPr>
          <w:rFonts w:ascii="Times New Roman" w:hAnsi="Times New Roman" w:cs="Times New Roman"/>
          <w:sz w:val="28"/>
          <w:szCs w:val="28"/>
        </w:rPr>
        <w:t>done on Knossos is often overshadowed by its original excavator Sir Arthur Evans and his excavations, the site has left behind some interesting archaeological material</w:t>
      </w:r>
      <w:r w:rsidR="00FE472A">
        <w:rPr>
          <w:rFonts w:ascii="Times New Roman" w:hAnsi="Times New Roman" w:cs="Times New Roman"/>
          <w:sz w:val="28"/>
          <w:szCs w:val="28"/>
        </w:rPr>
        <w:t xml:space="preserve"> </w:t>
      </w:r>
      <w:r w:rsidR="006B3DF7">
        <w:rPr>
          <w:rFonts w:ascii="Times New Roman" w:hAnsi="Times New Roman" w:cs="Times New Roman"/>
          <w:sz w:val="28"/>
          <w:szCs w:val="28"/>
        </w:rPr>
        <w:lastRenderedPageBreak/>
        <w:t>(</w:t>
      </w:r>
      <w:r w:rsidR="00E646BF">
        <w:rPr>
          <w:rFonts w:ascii="Times New Roman" w:hAnsi="Times New Roman" w:cs="Times New Roman"/>
          <w:sz w:val="28"/>
          <w:szCs w:val="28"/>
        </w:rPr>
        <w:t xml:space="preserve">Warburton 2014:106). </w:t>
      </w:r>
      <w:r w:rsidR="001021FD">
        <w:rPr>
          <w:rFonts w:ascii="Times New Roman" w:hAnsi="Times New Roman" w:cs="Times New Roman"/>
          <w:sz w:val="28"/>
          <w:szCs w:val="28"/>
        </w:rPr>
        <w:t xml:space="preserve">Kyriakidis has agreed with Turner </w:t>
      </w:r>
      <w:r w:rsidR="002570A6">
        <w:rPr>
          <w:rFonts w:ascii="Times New Roman" w:hAnsi="Times New Roman" w:cs="Times New Roman"/>
          <w:sz w:val="28"/>
          <w:szCs w:val="28"/>
        </w:rPr>
        <w:t>about</w:t>
      </w:r>
      <w:r w:rsidR="001021FD">
        <w:rPr>
          <w:rFonts w:ascii="Times New Roman" w:hAnsi="Times New Roman" w:cs="Times New Roman"/>
          <w:sz w:val="28"/>
          <w:szCs w:val="28"/>
        </w:rPr>
        <w:t xml:space="preserve"> ritual being formalized behaviour, but also states that this was probably due to repeated actions:</w:t>
      </w:r>
    </w:p>
    <w:p w14:paraId="5DB155AB" w14:textId="3F6B295F" w:rsidR="001021FD" w:rsidRDefault="001021FD" w:rsidP="001021FD">
      <w:pPr>
        <w:ind w:left="567" w:right="567"/>
        <w:rPr>
          <w:rFonts w:ascii="Times New Roman" w:hAnsi="Times New Roman" w:cs="Times New Roman"/>
          <w:sz w:val="28"/>
          <w:szCs w:val="28"/>
        </w:rPr>
      </w:pPr>
      <w:r w:rsidRPr="001021FD">
        <w:rPr>
          <w:rFonts w:ascii="Times New Roman" w:hAnsi="Times New Roman" w:cs="Times New Roman"/>
          <w:sz w:val="28"/>
          <w:szCs w:val="28"/>
        </w:rPr>
        <w:t>Ritual, like other forms of crystallized action, is most often a repeated activity, the material remains of which may create patterns. In this, it has an advantage over other types of less repetitive action. Thus, in the few instances where ritual has an effect on material culture, it has a greater chance of being traced than many other activities</w:t>
      </w:r>
      <w:r>
        <w:rPr>
          <w:rFonts w:ascii="Times New Roman" w:hAnsi="Times New Roman" w:cs="Times New Roman"/>
          <w:sz w:val="28"/>
          <w:szCs w:val="28"/>
        </w:rPr>
        <w:t xml:space="preserve"> (2007:9).</w:t>
      </w:r>
    </w:p>
    <w:p w14:paraId="0D1F0158" w14:textId="4B727E04" w:rsidR="001021FD" w:rsidRDefault="001021FD" w:rsidP="001021FD">
      <w:pPr>
        <w:spacing w:line="480" w:lineRule="auto"/>
        <w:rPr>
          <w:rFonts w:ascii="Times New Roman" w:hAnsi="Times New Roman" w:cs="Times New Roman"/>
          <w:sz w:val="28"/>
          <w:szCs w:val="28"/>
        </w:rPr>
      </w:pPr>
    </w:p>
    <w:p w14:paraId="02594403" w14:textId="4406D03B" w:rsidR="00BA0311" w:rsidRDefault="00BA0311" w:rsidP="001021FD">
      <w:pPr>
        <w:spacing w:line="480" w:lineRule="auto"/>
        <w:rPr>
          <w:rFonts w:ascii="Times New Roman" w:hAnsi="Times New Roman" w:cs="Times New Roman"/>
          <w:sz w:val="28"/>
          <w:szCs w:val="28"/>
        </w:rPr>
      </w:pPr>
      <w:r>
        <w:rPr>
          <w:rFonts w:ascii="Times New Roman" w:hAnsi="Times New Roman" w:cs="Times New Roman"/>
          <w:sz w:val="28"/>
          <w:szCs w:val="28"/>
        </w:rPr>
        <w:t xml:space="preserve">Therefore, the Minoan palaces are an ideal location to look for Minoan ritual activity, as they are thought to have functioned </w:t>
      </w:r>
      <w:r w:rsidR="009105ED">
        <w:rPr>
          <w:rFonts w:ascii="Times New Roman" w:hAnsi="Times New Roman" w:cs="Times New Roman"/>
          <w:sz w:val="28"/>
          <w:szCs w:val="28"/>
        </w:rPr>
        <w:t xml:space="preserve">as both palace and temple. This idea was proposed by Arthur Evans </w:t>
      </w:r>
      <w:r w:rsidR="00F4573B">
        <w:rPr>
          <w:rFonts w:ascii="Times New Roman" w:hAnsi="Times New Roman" w:cs="Times New Roman"/>
          <w:sz w:val="28"/>
          <w:szCs w:val="28"/>
        </w:rPr>
        <w:t>due to the large amount of cult evidence</w:t>
      </w:r>
      <w:r w:rsidR="00886A5E">
        <w:rPr>
          <w:rFonts w:ascii="Times New Roman" w:hAnsi="Times New Roman" w:cs="Times New Roman"/>
          <w:sz w:val="28"/>
          <w:szCs w:val="28"/>
        </w:rPr>
        <w:t xml:space="preserve"> found during his time there</w:t>
      </w:r>
      <w:r w:rsidR="00F4573B">
        <w:rPr>
          <w:rFonts w:ascii="Times New Roman" w:hAnsi="Times New Roman" w:cs="Times New Roman"/>
          <w:sz w:val="28"/>
          <w:szCs w:val="28"/>
        </w:rPr>
        <w:t>. However, as more research has been done the political and economic significance of the palaces have been emphasised above the religious (Schoep 2010:219-221)</w:t>
      </w:r>
      <w:r w:rsidR="00E57155">
        <w:rPr>
          <w:rFonts w:ascii="Times New Roman" w:hAnsi="Times New Roman" w:cs="Times New Roman"/>
          <w:sz w:val="28"/>
          <w:szCs w:val="28"/>
        </w:rPr>
        <w:t>, b</w:t>
      </w:r>
      <w:r w:rsidR="002C06EA">
        <w:rPr>
          <w:rFonts w:ascii="Times New Roman" w:hAnsi="Times New Roman" w:cs="Times New Roman"/>
          <w:sz w:val="28"/>
          <w:szCs w:val="28"/>
        </w:rPr>
        <w:t>ut this does not mean the religious connections can be ignored. In most settlements</w:t>
      </w:r>
      <w:r w:rsidR="00D270F7">
        <w:rPr>
          <w:rFonts w:ascii="Times New Roman" w:hAnsi="Times New Roman" w:cs="Times New Roman"/>
          <w:sz w:val="28"/>
          <w:szCs w:val="28"/>
        </w:rPr>
        <w:t>,</w:t>
      </w:r>
      <w:r w:rsidR="002C06EA">
        <w:rPr>
          <w:rFonts w:ascii="Times New Roman" w:hAnsi="Times New Roman" w:cs="Times New Roman"/>
          <w:sz w:val="28"/>
          <w:szCs w:val="28"/>
        </w:rPr>
        <w:t xml:space="preserve"> evidence of religious beliefs, particularly of supernatural</w:t>
      </w:r>
      <w:r w:rsidR="00D270F7">
        <w:rPr>
          <w:rFonts w:ascii="Times New Roman" w:hAnsi="Times New Roman" w:cs="Times New Roman"/>
          <w:sz w:val="28"/>
          <w:szCs w:val="28"/>
        </w:rPr>
        <w:t xml:space="preserve"> beings, usually take the form of figurines like at the Minoan peak sanctuaries. However, at the palaces </w:t>
      </w:r>
      <w:r w:rsidR="003C0E4E">
        <w:rPr>
          <w:rFonts w:ascii="Times New Roman" w:hAnsi="Times New Roman" w:cs="Times New Roman"/>
          <w:sz w:val="28"/>
          <w:szCs w:val="28"/>
        </w:rPr>
        <w:t xml:space="preserve">the iconography from frescoes provide more clues. Different kinds of ritual spaces have been discovered there including cult rooms and large open courtyards where ritual processions were thought to take place. As Tartaron explains: </w:t>
      </w:r>
    </w:p>
    <w:p w14:paraId="03492D54" w14:textId="4D73FB14" w:rsidR="003C0E4E" w:rsidRDefault="003C0E4E" w:rsidP="003C0E4E">
      <w:pPr>
        <w:ind w:left="567" w:right="567"/>
        <w:rPr>
          <w:rFonts w:ascii="Times New Roman" w:hAnsi="Times New Roman" w:cs="Times New Roman"/>
          <w:sz w:val="28"/>
          <w:szCs w:val="28"/>
        </w:rPr>
      </w:pPr>
      <w:r>
        <w:rPr>
          <w:rFonts w:ascii="Times New Roman" w:hAnsi="Times New Roman" w:cs="Times New Roman"/>
          <w:sz w:val="28"/>
          <w:szCs w:val="28"/>
        </w:rPr>
        <w:t>T</w:t>
      </w:r>
      <w:r w:rsidRPr="003C0E4E">
        <w:rPr>
          <w:rFonts w:ascii="Times New Roman" w:hAnsi="Times New Roman" w:cs="Times New Roman"/>
          <w:sz w:val="28"/>
          <w:szCs w:val="28"/>
        </w:rPr>
        <w:t>he iconographic images provide clues to certain ritual acts and equipment, as well as the roles of human and divine participants, but the identities of those depicted and the meanings of the ritual acts and accompanying symbols are generally problematic; moreover, these images represent a narrow, elite slice of Minoan religious life</w:t>
      </w:r>
      <w:r>
        <w:rPr>
          <w:rFonts w:ascii="Times New Roman" w:hAnsi="Times New Roman" w:cs="Times New Roman"/>
          <w:sz w:val="28"/>
          <w:szCs w:val="28"/>
        </w:rPr>
        <w:t xml:space="preserve"> (2008:110-111).</w:t>
      </w:r>
    </w:p>
    <w:p w14:paraId="75741A29" w14:textId="017308D6" w:rsidR="003C0E4E" w:rsidRDefault="006D3910" w:rsidP="003C0E4E">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As stated before, the large open spaces were most likely used for ritual processions, something very common in Aegean religion. </w:t>
      </w:r>
      <w:r w:rsidR="006E32E6">
        <w:rPr>
          <w:rFonts w:ascii="Times New Roman" w:hAnsi="Times New Roman" w:cs="Times New Roman"/>
          <w:sz w:val="28"/>
          <w:szCs w:val="28"/>
        </w:rPr>
        <w:t xml:space="preserve">It is also possible that the large spaces were used for ritual feasting </w:t>
      </w:r>
      <w:r w:rsidR="00BF1087">
        <w:rPr>
          <w:rFonts w:ascii="Times New Roman" w:hAnsi="Times New Roman" w:cs="Times New Roman"/>
          <w:sz w:val="28"/>
          <w:szCs w:val="28"/>
        </w:rPr>
        <w:t xml:space="preserve">based on the idea of community and the same beliefs. </w:t>
      </w:r>
      <w:r w:rsidR="00C626CF">
        <w:rPr>
          <w:rFonts w:ascii="Times New Roman" w:hAnsi="Times New Roman" w:cs="Times New Roman"/>
          <w:sz w:val="28"/>
          <w:szCs w:val="28"/>
        </w:rPr>
        <w:t xml:space="preserve">This sort of ritual behaviour is found in different ancient civilisations around the world, but it is not always linked to a supernatural belief. </w:t>
      </w:r>
      <w:r>
        <w:rPr>
          <w:rFonts w:ascii="Times New Roman" w:hAnsi="Times New Roman" w:cs="Times New Roman"/>
          <w:sz w:val="28"/>
          <w:szCs w:val="28"/>
        </w:rPr>
        <w:t xml:space="preserve">The Minoans are also famous for their bull leaping frescoes, perhaps this </w:t>
      </w:r>
      <w:r w:rsidR="00284575">
        <w:rPr>
          <w:rFonts w:ascii="Times New Roman" w:hAnsi="Times New Roman" w:cs="Times New Roman"/>
          <w:sz w:val="28"/>
          <w:szCs w:val="28"/>
        </w:rPr>
        <w:t xml:space="preserve">was part of a ritual ceremony possibly linked to Minoan mythology </w:t>
      </w:r>
      <w:r w:rsidR="00553B96">
        <w:rPr>
          <w:rFonts w:ascii="Times New Roman" w:hAnsi="Times New Roman" w:cs="Times New Roman"/>
          <w:sz w:val="28"/>
          <w:szCs w:val="28"/>
        </w:rPr>
        <w:t>(Warburton 2014:111)</w:t>
      </w:r>
      <w:r w:rsidR="00284575">
        <w:rPr>
          <w:rFonts w:ascii="Times New Roman" w:hAnsi="Times New Roman" w:cs="Times New Roman"/>
          <w:sz w:val="28"/>
          <w:szCs w:val="28"/>
        </w:rPr>
        <w:t xml:space="preserve">. </w:t>
      </w:r>
      <w:r w:rsidR="00855AAC">
        <w:rPr>
          <w:rFonts w:ascii="Times New Roman" w:hAnsi="Times New Roman" w:cs="Times New Roman"/>
          <w:sz w:val="28"/>
          <w:szCs w:val="28"/>
        </w:rPr>
        <w:t xml:space="preserve">Therefore, although there is plenty of evidence for ritual behaviour at the Minoan palaces, it is difficult to know what type of rituals were performed there </w:t>
      </w:r>
      <w:r w:rsidR="0028669E">
        <w:rPr>
          <w:rFonts w:ascii="Times New Roman" w:hAnsi="Times New Roman" w:cs="Times New Roman"/>
          <w:sz w:val="28"/>
          <w:szCs w:val="28"/>
        </w:rPr>
        <w:t xml:space="preserve">but it is evident that they were </w:t>
      </w:r>
      <w:r w:rsidR="00D46977">
        <w:rPr>
          <w:rFonts w:ascii="Times New Roman" w:hAnsi="Times New Roman" w:cs="Times New Roman"/>
          <w:sz w:val="28"/>
          <w:szCs w:val="28"/>
        </w:rPr>
        <w:t xml:space="preserve">predominantly </w:t>
      </w:r>
      <w:r w:rsidR="0028669E">
        <w:rPr>
          <w:rFonts w:ascii="Times New Roman" w:hAnsi="Times New Roman" w:cs="Times New Roman"/>
          <w:sz w:val="28"/>
          <w:szCs w:val="28"/>
        </w:rPr>
        <w:t xml:space="preserve">communal rites, as </w:t>
      </w:r>
      <w:r w:rsidR="00835F3D">
        <w:rPr>
          <w:rFonts w:ascii="Times New Roman" w:hAnsi="Times New Roman" w:cs="Times New Roman"/>
          <w:sz w:val="28"/>
          <w:szCs w:val="28"/>
        </w:rPr>
        <w:t>Turner (1982:31) states:</w:t>
      </w:r>
    </w:p>
    <w:p w14:paraId="670085DD" w14:textId="05ED6FAC" w:rsidR="001021FD" w:rsidRDefault="00835F3D" w:rsidP="00835F3D">
      <w:pPr>
        <w:ind w:left="567" w:right="567"/>
        <w:rPr>
          <w:rFonts w:ascii="Times New Roman" w:hAnsi="Times New Roman" w:cs="Times New Roman"/>
          <w:sz w:val="28"/>
          <w:szCs w:val="28"/>
        </w:rPr>
      </w:pPr>
      <w:r w:rsidRPr="00835F3D">
        <w:rPr>
          <w:rFonts w:ascii="Times New Roman" w:hAnsi="Times New Roman" w:cs="Times New Roman"/>
          <w:sz w:val="28"/>
          <w:szCs w:val="28"/>
        </w:rPr>
        <w:t>Communal participation, obligation, the passage of the whole society through crises, collective and individual, directly or by proxy, are the hallmarks of ‘the work of the gods’ and sacred human work</w:t>
      </w:r>
      <w:r>
        <w:rPr>
          <w:rFonts w:ascii="Times New Roman" w:hAnsi="Times New Roman" w:cs="Times New Roman"/>
          <w:sz w:val="28"/>
          <w:szCs w:val="28"/>
        </w:rPr>
        <w:t>.</w:t>
      </w:r>
    </w:p>
    <w:p w14:paraId="00E1CCD0" w14:textId="717B0B4C" w:rsidR="00835F3D" w:rsidRDefault="00835F3D" w:rsidP="00835F3D">
      <w:pPr>
        <w:ind w:left="567" w:right="567"/>
        <w:rPr>
          <w:rFonts w:ascii="Times New Roman" w:hAnsi="Times New Roman" w:cs="Times New Roman"/>
          <w:sz w:val="28"/>
          <w:szCs w:val="28"/>
        </w:rPr>
      </w:pPr>
    </w:p>
    <w:p w14:paraId="186D443F" w14:textId="68F8F415" w:rsidR="00835F3D" w:rsidRDefault="00835F3D" w:rsidP="00835F3D">
      <w:pPr>
        <w:spacing w:line="480" w:lineRule="auto"/>
        <w:rPr>
          <w:rFonts w:ascii="Times New Roman" w:hAnsi="Times New Roman" w:cs="Times New Roman"/>
          <w:sz w:val="28"/>
          <w:szCs w:val="28"/>
        </w:rPr>
      </w:pPr>
    </w:p>
    <w:p w14:paraId="45AD6E11" w14:textId="5112BE66" w:rsidR="004D153B" w:rsidRDefault="00B710B7" w:rsidP="007A5FE2">
      <w:pPr>
        <w:spacing w:line="480" w:lineRule="auto"/>
        <w:rPr>
          <w:rFonts w:ascii="Times New Roman" w:hAnsi="Times New Roman" w:cs="Times New Roman"/>
          <w:sz w:val="28"/>
          <w:szCs w:val="28"/>
        </w:rPr>
      </w:pPr>
      <w:r>
        <w:rPr>
          <w:rFonts w:ascii="Times New Roman" w:hAnsi="Times New Roman" w:cs="Times New Roman"/>
          <w:sz w:val="28"/>
          <w:szCs w:val="28"/>
        </w:rPr>
        <w:t xml:space="preserve">Finally, the last site where we can see evidence of ritual behaviour is in Mycenaean Greece. </w:t>
      </w:r>
      <w:r w:rsidR="00471538">
        <w:rPr>
          <w:rFonts w:ascii="Times New Roman" w:hAnsi="Times New Roman" w:cs="Times New Roman"/>
          <w:sz w:val="28"/>
          <w:szCs w:val="28"/>
        </w:rPr>
        <w:t>The Mycenaean civilisation flourishe</w:t>
      </w:r>
      <w:r w:rsidR="005015C6">
        <w:rPr>
          <w:rFonts w:ascii="Times New Roman" w:hAnsi="Times New Roman" w:cs="Times New Roman"/>
          <w:sz w:val="28"/>
          <w:szCs w:val="28"/>
        </w:rPr>
        <w:t>d</w:t>
      </w:r>
      <w:r w:rsidR="00471538">
        <w:rPr>
          <w:rFonts w:ascii="Times New Roman" w:hAnsi="Times New Roman" w:cs="Times New Roman"/>
          <w:sz w:val="28"/>
          <w:szCs w:val="28"/>
        </w:rPr>
        <w:t xml:space="preserve"> from </w:t>
      </w:r>
      <w:r w:rsidR="005015C6">
        <w:rPr>
          <w:rFonts w:ascii="Times New Roman" w:hAnsi="Times New Roman" w:cs="Times New Roman"/>
          <w:sz w:val="28"/>
          <w:szCs w:val="28"/>
        </w:rPr>
        <w:t>1600-1100BC and seem</w:t>
      </w:r>
      <w:r w:rsidR="00D46977">
        <w:rPr>
          <w:rFonts w:ascii="Times New Roman" w:hAnsi="Times New Roman" w:cs="Times New Roman"/>
          <w:sz w:val="28"/>
          <w:szCs w:val="28"/>
        </w:rPr>
        <w:t>s</w:t>
      </w:r>
      <w:r w:rsidR="005015C6">
        <w:rPr>
          <w:rFonts w:ascii="Times New Roman" w:hAnsi="Times New Roman" w:cs="Times New Roman"/>
          <w:sz w:val="28"/>
          <w:szCs w:val="28"/>
        </w:rPr>
        <w:t xml:space="preserve"> to have been heavily influenced by the Minoans. However, </w:t>
      </w:r>
      <w:r w:rsidR="004F0441">
        <w:rPr>
          <w:rFonts w:ascii="Times New Roman" w:hAnsi="Times New Roman" w:cs="Times New Roman"/>
          <w:sz w:val="28"/>
          <w:szCs w:val="28"/>
        </w:rPr>
        <w:t>once the Minoan civilisation declined many of their religious and cultural aspects were absorbed into Mycenaean culture</w:t>
      </w:r>
      <w:r w:rsidR="00A10C32">
        <w:rPr>
          <w:rFonts w:ascii="Times New Roman" w:hAnsi="Times New Roman" w:cs="Times New Roman"/>
          <w:sz w:val="28"/>
          <w:szCs w:val="28"/>
        </w:rPr>
        <w:t xml:space="preserve"> sometimes making it difficult for archaeologists to differentiate between them</w:t>
      </w:r>
      <w:r w:rsidR="00FE0F20">
        <w:rPr>
          <w:rFonts w:ascii="Times New Roman" w:hAnsi="Times New Roman" w:cs="Times New Roman"/>
          <w:sz w:val="28"/>
          <w:szCs w:val="28"/>
        </w:rPr>
        <w:t xml:space="preserve"> as Tartaron tells us:</w:t>
      </w:r>
    </w:p>
    <w:p w14:paraId="0F72BDA3" w14:textId="5A3EE706" w:rsidR="00FE0F20" w:rsidRDefault="00FE0F20" w:rsidP="00FE0F20">
      <w:pPr>
        <w:ind w:left="567" w:right="567"/>
        <w:rPr>
          <w:rFonts w:ascii="Times New Roman" w:hAnsi="Times New Roman" w:cs="Times New Roman"/>
          <w:sz w:val="28"/>
          <w:szCs w:val="28"/>
        </w:rPr>
      </w:pPr>
      <w:r w:rsidRPr="00FE0F20">
        <w:rPr>
          <w:rFonts w:ascii="Times New Roman" w:hAnsi="Times New Roman" w:cs="Times New Roman"/>
          <w:sz w:val="28"/>
          <w:szCs w:val="28"/>
        </w:rPr>
        <w:t xml:space="preserve">Mycenaean religion is harder to penetrate because there are fewer archaeological contexts and artifacts than can be assigned unambiguously a religious function, and because the Mycenaeans adopted Minoan religious iconography and cult objects but apparently </w:t>
      </w:r>
      <w:r w:rsidRPr="00FE0F20">
        <w:rPr>
          <w:rFonts w:ascii="Times New Roman" w:hAnsi="Times New Roman" w:cs="Times New Roman"/>
          <w:sz w:val="28"/>
          <w:szCs w:val="28"/>
        </w:rPr>
        <w:lastRenderedPageBreak/>
        <w:t>without harbouring the same underlying meanings or beliefs</w:t>
      </w:r>
      <w:r>
        <w:rPr>
          <w:rFonts w:ascii="Times New Roman" w:hAnsi="Times New Roman" w:cs="Times New Roman"/>
          <w:sz w:val="28"/>
          <w:szCs w:val="28"/>
        </w:rPr>
        <w:t xml:space="preserve"> (2008:115).</w:t>
      </w:r>
    </w:p>
    <w:p w14:paraId="3A31C492" w14:textId="224EE464" w:rsidR="00FE0F20" w:rsidRDefault="00FE0F20" w:rsidP="00FE0F20">
      <w:pPr>
        <w:ind w:left="567" w:right="567"/>
        <w:rPr>
          <w:rFonts w:ascii="Times New Roman" w:hAnsi="Times New Roman" w:cs="Times New Roman"/>
          <w:sz w:val="28"/>
          <w:szCs w:val="28"/>
        </w:rPr>
      </w:pPr>
    </w:p>
    <w:p w14:paraId="479C9184" w14:textId="76A57646" w:rsidR="00FE0F20" w:rsidRDefault="00B23F97" w:rsidP="00FE0F20">
      <w:pPr>
        <w:spacing w:line="480" w:lineRule="auto"/>
        <w:rPr>
          <w:rFonts w:ascii="Times New Roman" w:hAnsi="Times New Roman" w:cs="Times New Roman"/>
          <w:sz w:val="28"/>
          <w:szCs w:val="28"/>
        </w:rPr>
      </w:pPr>
      <w:r>
        <w:rPr>
          <w:rFonts w:ascii="Times New Roman" w:hAnsi="Times New Roman" w:cs="Times New Roman"/>
          <w:sz w:val="28"/>
          <w:szCs w:val="28"/>
        </w:rPr>
        <w:t xml:space="preserve">The site that will be focused on is called Ayios Konstantinos and is situated on the Methana Peninsula. The site is interesting for a couple of reasons: </w:t>
      </w:r>
      <w:r w:rsidR="005214BA">
        <w:rPr>
          <w:rFonts w:ascii="Times New Roman" w:hAnsi="Times New Roman" w:cs="Times New Roman"/>
          <w:sz w:val="28"/>
          <w:szCs w:val="28"/>
        </w:rPr>
        <w:t xml:space="preserve">its discreet position within a larger settlement, the uniqueness of the cult objects, and most importantly </w:t>
      </w:r>
      <w:r w:rsidR="00E9084F">
        <w:rPr>
          <w:rFonts w:ascii="Times New Roman" w:hAnsi="Times New Roman" w:cs="Times New Roman"/>
          <w:sz w:val="28"/>
          <w:szCs w:val="28"/>
        </w:rPr>
        <w:t xml:space="preserve">the in-situ remains </w:t>
      </w:r>
      <w:r w:rsidR="00583E06">
        <w:rPr>
          <w:rFonts w:ascii="Times New Roman" w:hAnsi="Times New Roman" w:cs="Times New Roman"/>
          <w:sz w:val="28"/>
          <w:szCs w:val="28"/>
        </w:rPr>
        <w:t xml:space="preserve">that </w:t>
      </w:r>
      <w:r w:rsidR="00E9084F">
        <w:rPr>
          <w:rFonts w:ascii="Times New Roman" w:hAnsi="Times New Roman" w:cs="Times New Roman"/>
          <w:sz w:val="28"/>
          <w:szCs w:val="28"/>
        </w:rPr>
        <w:t>mean it is possible to reconstruct ritual behaviour</w:t>
      </w:r>
      <w:r w:rsidR="00631134">
        <w:rPr>
          <w:rFonts w:ascii="Times New Roman" w:hAnsi="Times New Roman" w:cs="Times New Roman"/>
          <w:sz w:val="28"/>
          <w:szCs w:val="28"/>
        </w:rPr>
        <w:t xml:space="preserve">, something that has become more important in recent years </w:t>
      </w:r>
      <w:r w:rsidR="00E9084F">
        <w:rPr>
          <w:rFonts w:ascii="Times New Roman" w:hAnsi="Times New Roman" w:cs="Times New Roman"/>
          <w:sz w:val="28"/>
          <w:szCs w:val="28"/>
        </w:rPr>
        <w:t>(Tartaron 2008:117</w:t>
      </w:r>
      <w:r w:rsidR="00631134">
        <w:rPr>
          <w:rFonts w:ascii="Times New Roman" w:hAnsi="Times New Roman" w:cs="Times New Roman"/>
          <w:sz w:val="28"/>
          <w:szCs w:val="28"/>
        </w:rPr>
        <w:t>; Insoll 2011</w:t>
      </w:r>
      <w:r w:rsidR="00E9084F">
        <w:rPr>
          <w:rFonts w:ascii="Times New Roman" w:hAnsi="Times New Roman" w:cs="Times New Roman"/>
          <w:sz w:val="28"/>
          <w:szCs w:val="28"/>
        </w:rPr>
        <w:t>).</w:t>
      </w:r>
      <w:r w:rsidR="00FF3518">
        <w:rPr>
          <w:rFonts w:ascii="Times New Roman" w:hAnsi="Times New Roman" w:cs="Times New Roman"/>
          <w:sz w:val="28"/>
          <w:szCs w:val="28"/>
        </w:rPr>
        <w:t xml:space="preserve"> One thing that needs to be remembered is</w:t>
      </w:r>
      <w:r w:rsidR="00451007">
        <w:rPr>
          <w:rFonts w:ascii="Times New Roman" w:hAnsi="Times New Roman" w:cs="Times New Roman"/>
          <w:sz w:val="28"/>
          <w:szCs w:val="28"/>
        </w:rPr>
        <w:t xml:space="preserve"> the difference between religious and non-religious rituals. Religious rituals normally embrace a link to the divine whilst also satisfying a need in the community</w:t>
      </w:r>
      <w:r w:rsidR="00583E06">
        <w:rPr>
          <w:rFonts w:ascii="Times New Roman" w:hAnsi="Times New Roman" w:cs="Times New Roman"/>
          <w:sz w:val="28"/>
          <w:szCs w:val="28"/>
        </w:rPr>
        <w:t xml:space="preserve"> at that time</w:t>
      </w:r>
      <w:r w:rsidR="00451007">
        <w:rPr>
          <w:rFonts w:ascii="Times New Roman" w:hAnsi="Times New Roman" w:cs="Times New Roman"/>
          <w:sz w:val="28"/>
          <w:szCs w:val="28"/>
        </w:rPr>
        <w:t>. But as Verhoeven (2011:118) states, “</w:t>
      </w:r>
      <w:r w:rsidR="00451007" w:rsidRPr="00451007">
        <w:rPr>
          <w:rFonts w:ascii="Times New Roman" w:hAnsi="Times New Roman" w:cs="Times New Roman"/>
          <w:sz w:val="28"/>
          <w:szCs w:val="28"/>
        </w:rPr>
        <w:t>the distinction between the sacred and the profane, or the supernatural and the social, is often difficult to make and in many contexts even not present at all</w:t>
      </w:r>
      <w:r w:rsidR="00451007">
        <w:rPr>
          <w:rFonts w:ascii="Times New Roman" w:hAnsi="Times New Roman" w:cs="Times New Roman"/>
          <w:sz w:val="28"/>
          <w:szCs w:val="28"/>
        </w:rPr>
        <w:t xml:space="preserve">.” </w:t>
      </w:r>
      <w:r w:rsidR="0014422B">
        <w:rPr>
          <w:rFonts w:ascii="Times New Roman" w:hAnsi="Times New Roman" w:cs="Times New Roman"/>
          <w:sz w:val="28"/>
          <w:szCs w:val="28"/>
        </w:rPr>
        <w:t xml:space="preserve">When Ayios Konstantinos was excavated, plenty of ritual material was discovered such as figurines of both humans and animals, </w:t>
      </w:r>
      <w:r w:rsidR="00A4388A">
        <w:rPr>
          <w:rFonts w:ascii="Times New Roman" w:hAnsi="Times New Roman" w:cs="Times New Roman"/>
          <w:sz w:val="28"/>
          <w:szCs w:val="28"/>
        </w:rPr>
        <w:t>pottery used for feasting, and most significantly burnt animal remains. These remains are the first evidence found for ritual sacrifice in Mycenaean Greece</w:t>
      </w:r>
      <w:r w:rsidR="00886A18">
        <w:rPr>
          <w:rFonts w:ascii="Times New Roman" w:hAnsi="Times New Roman" w:cs="Times New Roman"/>
          <w:sz w:val="28"/>
          <w:szCs w:val="28"/>
        </w:rPr>
        <w:t xml:space="preserve"> (Mills 2016:13).</w:t>
      </w:r>
      <w:r w:rsidR="000D20A4">
        <w:rPr>
          <w:rFonts w:ascii="Times New Roman" w:hAnsi="Times New Roman" w:cs="Times New Roman"/>
          <w:sz w:val="28"/>
          <w:szCs w:val="28"/>
        </w:rPr>
        <w:t xml:space="preserve"> However, it is not just archaeologically that we have evidence for animal sacrifice</w:t>
      </w:r>
      <w:r w:rsidR="0096136D">
        <w:rPr>
          <w:rFonts w:ascii="Times New Roman" w:hAnsi="Times New Roman" w:cs="Times New Roman"/>
          <w:sz w:val="28"/>
          <w:szCs w:val="28"/>
        </w:rPr>
        <w:t>, we also have textual evidence</w:t>
      </w:r>
      <w:r w:rsidR="00E17FED">
        <w:rPr>
          <w:rFonts w:ascii="Times New Roman" w:hAnsi="Times New Roman" w:cs="Times New Roman"/>
          <w:sz w:val="28"/>
          <w:szCs w:val="28"/>
        </w:rPr>
        <w:t>; t</w:t>
      </w:r>
      <w:r w:rsidR="0096136D">
        <w:rPr>
          <w:rFonts w:ascii="Times New Roman" w:hAnsi="Times New Roman" w:cs="Times New Roman"/>
          <w:sz w:val="28"/>
          <w:szCs w:val="28"/>
        </w:rPr>
        <w:t xml:space="preserve">he Linear B tablets from Pylos and nodules from Thebes detail a list of animals to be sacrificed for ritual feasting (von Hofsten 2004:95). </w:t>
      </w:r>
      <w:r w:rsidR="00E17FED">
        <w:rPr>
          <w:rFonts w:ascii="Times New Roman" w:hAnsi="Times New Roman" w:cs="Times New Roman"/>
          <w:sz w:val="28"/>
          <w:szCs w:val="28"/>
        </w:rPr>
        <w:t>Sacrifice has often been associated with the divine as the remains would have been burnt in the honour of deities</w:t>
      </w:r>
      <w:r w:rsidR="006C371A">
        <w:rPr>
          <w:rFonts w:ascii="Times New Roman" w:hAnsi="Times New Roman" w:cs="Times New Roman"/>
          <w:sz w:val="28"/>
          <w:szCs w:val="28"/>
        </w:rPr>
        <w:t xml:space="preserve"> to </w:t>
      </w:r>
      <w:r w:rsidR="0077213B">
        <w:rPr>
          <w:rFonts w:ascii="Times New Roman" w:hAnsi="Times New Roman" w:cs="Times New Roman"/>
          <w:sz w:val="28"/>
          <w:szCs w:val="28"/>
        </w:rPr>
        <w:t>show the Mycenaeans devotion to them</w:t>
      </w:r>
      <w:r w:rsidR="006C371A">
        <w:rPr>
          <w:rFonts w:ascii="Times New Roman" w:hAnsi="Times New Roman" w:cs="Times New Roman"/>
          <w:sz w:val="28"/>
          <w:szCs w:val="28"/>
        </w:rPr>
        <w:t xml:space="preserve">. </w:t>
      </w:r>
      <w:r w:rsidR="00E31299">
        <w:rPr>
          <w:rFonts w:ascii="Times New Roman" w:hAnsi="Times New Roman" w:cs="Times New Roman"/>
          <w:sz w:val="28"/>
          <w:szCs w:val="28"/>
        </w:rPr>
        <w:t xml:space="preserve">However, Konsolaki (2004:75-76) disputes whether the entire complex would have </w:t>
      </w:r>
      <w:r w:rsidR="00E31299">
        <w:rPr>
          <w:rFonts w:ascii="Times New Roman" w:hAnsi="Times New Roman" w:cs="Times New Roman"/>
          <w:sz w:val="28"/>
          <w:szCs w:val="28"/>
        </w:rPr>
        <w:lastRenderedPageBreak/>
        <w:t>been dedicated to ritual behaviour and puts forward the idea that it could possibly have been an outlying sanctuary</w:t>
      </w:r>
      <w:r w:rsidR="0078116A">
        <w:rPr>
          <w:rFonts w:ascii="Times New Roman" w:hAnsi="Times New Roman" w:cs="Times New Roman"/>
          <w:sz w:val="28"/>
          <w:szCs w:val="28"/>
        </w:rPr>
        <w:t xml:space="preserve">; whilst Albers (2004:119) believes more research should be done to understand the wider context of the ritual complex in the settlement. </w:t>
      </w:r>
      <w:r w:rsidR="00584BEC">
        <w:rPr>
          <w:rFonts w:ascii="Times New Roman" w:hAnsi="Times New Roman" w:cs="Times New Roman"/>
          <w:sz w:val="28"/>
          <w:szCs w:val="28"/>
        </w:rPr>
        <w:t>Sites like that of Ayios Konstantinos are critical for understanding Mycenaean ritual behaviour, and it has become clear that ritual sacrifice was of paramount importance for forming a relationship with their deities and was therefore important to Mycenaean culture</w:t>
      </w:r>
      <w:r w:rsidR="0077213B">
        <w:rPr>
          <w:rFonts w:ascii="Times New Roman" w:hAnsi="Times New Roman" w:cs="Times New Roman"/>
          <w:sz w:val="28"/>
          <w:szCs w:val="28"/>
        </w:rPr>
        <w:t>. O</w:t>
      </w:r>
      <w:r w:rsidR="00A3726B">
        <w:rPr>
          <w:rFonts w:ascii="Times New Roman" w:hAnsi="Times New Roman" w:cs="Times New Roman"/>
          <w:sz w:val="28"/>
          <w:szCs w:val="28"/>
        </w:rPr>
        <w:t>verall, when looking at Ayios Konstantinos, Turner’s definition of ritual behaviour can be applied</w:t>
      </w:r>
      <w:r w:rsidR="0077213B">
        <w:rPr>
          <w:rFonts w:ascii="Times New Roman" w:hAnsi="Times New Roman" w:cs="Times New Roman"/>
          <w:sz w:val="28"/>
          <w:szCs w:val="28"/>
        </w:rPr>
        <w:t xml:space="preserve"> due to the presence of archaeological evidence confirming the Mycenaean commitment to formalized behaviour and also their belief in the divine</w:t>
      </w:r>
      <w:r w:rsidR="00A3726B">
        <w:rPr>
          <w:rFonts w:ascii="Times New Roman" w:hAnsi="Times New Roman" w:cs="Times New Roman"/>
          <w:sz w:val="28"/>
          <w:szCs w:val="28"/>
        </w:rPr>
        <w:t>.</w:t>
      </w:r>
    </w:p>
    <w:p w14:paraId="2558DD90" w14:textId="5D389F2C" w:rsidR="00A3726B" w:rsidRDefault="00A3726B" w:rsidP="00FE0F20">
      <w:pPr>
        <w:spacing w:line="480" w:lineRule="auto"/>
        <w:rPr>
          <w:rFonts w:ascii="Times New Roman" w:hAnsi="Times New Roman" w:cs="Times New Roman"/>
          <w:sz w:val="28"/>
          <w:szCs w:val="28"/>
        </w:rPr>
      </w:pPr>
    </w:p>
    <w:p w14:paraId="603F4E39" w14:textId="512F20FC" w:rsidR="00A3726B" w:rsidRDefault="00A11291" w:rsidP="00FE0F20">
      <w:pPr>
        <w:spacing w:line="480" w:lineRule="auto"/>
        <w:rPr>
          <w:rFonts w:ascii="Times New Roman" w:hAnsi="Times New Roman" w:cs="Times New Roman"/>
          <w:sz w:val="28"/>
          <w:szCs w:val="28"/>
        </w:rPr>
      </w:pPr>
      <w:r>
        <w:rPr>
          <w:rFonts w:ascii="Times New Roman" w:hAnsi="Times New Roman" w:cs="Times New Roman"/>
          <w:sz w:val="28"/>
          <w:szCs w:val="28"/>
        </w:rPr>
        <w:t>In conclusion, whilst Turner’s definition of ritual can easily be applied to archaeological evidence in both Minoan Crete and Mycenaean Greece, it</w:t>
      </w:r>
      <w:r w:rsidR="009C1528">
        <w:rPr>
          <w:rFonts w:ascii="Times New Roman" w:hAnsi="Times New Roman" w:cs="Times New Roman"/>
          <w:sz w:val="28"/>
          <w:szCs w:val="28"/>
        </w:rPr>
        <w:t xml:space="preserve"> does not take into account other factors such as the differences between religious and non-religious ceremonies</w:t>
      </w:r>
      <w:r w:rsidR="00785F07">
        <w:rPr>
          <w:rFonts w:ascii="Times New Roman" w:hAnsi="Times New Roman" w:cs="Times New Roman"/>
          <w:sz w:val="28"/>
          <w:szCs w:val="28"/>
        </w:rPr>
        <w:t>.</w:t>
      </w:r>
      <w:r w:rsidR="004B2550">
        <w:rPr>
          <w:rFonts w:ascii="Times New Roman" w:hAnsi="Times New Roman" w:cs="Times New Roman"/>
          <w:sz w:val="28"/>
          <w:szCs w:val="28"/>
        </w:rPr>
        <w:t xml:space="preserve"> Interestingly, it would seem von Hofsten (2004:95) has the answer to this essay:</w:t>
      </w:r>
    </w:p>
    <w:p w14:paraId="18114914" w14:textId="0AD6998C" w:rsidR="004B2550" w:rsidRDefault="004B2550" w:rsidP="004B2550">
      <w:pPr>
        <w:ind w:left="567" w:right="567"/>
        <w:rPr>
          <w:rFonts w:ascii="Times New Roman" w:hAnsi="Times New Roman" w:cs="Times New Roman"/>
          <w:sz w:val="28"/>
          <w:szCs w:val="28"/>
        </w:rPr>
      </w:pPr>
      <w:r w:rsidRPr="004B2550">
        <w:rPr>
          <w:rFonts w:ascii="Times New Roman" w:hAnsi="Times New Roman" w:cs="Times New Roman"/>
          <w:sz w:val="28"/>
          <w:szCs w:val="28"/>
        </w:rPr>
        <w:t>To what extent religious beliefs can be inferred from the archaeological material is a question to which no clear answer can be given. It is, on the other hand, generally accepted that ritual activity can to a certain extent, dependent on the availability and nature of relevant data, be reconstructed with a fair degree of certainty from the material remains.</w:t>
      </w:r>
    </w:p>
    <w:p w14:paraId="65CD3698" w14:textId="0CB461E7" w:rsidR="002D1EC8" w:rsidRDefault="002D1EC8" w:rsidP="004B2550">
      <w:pPr>
        <w:ind w:left="567" w:right="567"/>
        <w:rPr>
          <w:rFonts w:ascii="Times New Roman" w:hAnsi="Times New Roman" w:cs="Times New Roman"/>
          <w:sz w:val="28"/>
          <w:szCs w:val="28"/>
        </w:rPr>
      </w:pPr>
    </w:p>
    <w:p w14:paraId="7F1C97FB" w14:textId="06FF79D0" w:rsidR="002D1EC8" w:rsidRDefault="002D1EC8" w:rsidP="004B2550">
      <w:pPr>
        <w:ind w:left="567" w:right="567"/>
        <w:rPr>
          <w:rFonts w:ascii="Times New Roman" w:hAnsi="Times New Roman" w:cs="Times New Roman"/>
          <w:sz w:val="28"/>
          <w:szCs w:val="28"/>
        </w:rPr>
      </w:pPr>
    </w:p>
    <w:p w14:paraId="11F0DD55" w14:textId="6067C544" w:rsidR="002D1EC8" w:rsidRDefault="002D1EC8" w:rsidP="004B2550">
      <w:pPr>
        <w:ind w:left="567" w:right="567"/>
        <w:rPr>
          <w:rFonts w:ascii="Times New Roman" w:hAnsi="Times New Roman" w:cs="Times New Roman"/>
          <w:sz w:val="28"/>
          <w:szCs w:val="28"/>
        </w:rPr>
      </w:pPr>
    </w:p>
    <w:p w14:paraId="0807B52C" w14:textId="2ABE08F1" w:rsidR="002D1EC8" w:rsidRDefault="002D1EC8" w:rsidP="004B2550">
      <w:pPr>
        <w:ind w:left="567" w:right="567"/>
        <w:rPr>
          <w:rFonts w:ascii="Times New Roman" w:hAnsi="Times New Roman" w:cs="Times New Roman"/>
          <w:sz w:val="28"/>
          <w:szCs w:val="28"/>
        </w:rPr>
      </w:pPr>
    </w:p>
    <w:p w14:paraId="11405B4A" w14:textId="77777777" w:rsidR="0033402D" w:rsidRDefault="0033402D" w:rsidP="002D1EC8">
      <w:pPr>
        <w:spacing w:line="480" w:lineRule="auto"/>
        <w:rPr>
          <w:rFonts w:ascii="Times New Roman" w:hAnsi="Times New Roman" w:cs="Times New Roman"/>
          <w:sz w:val="28"/>
          <w:szCs w:val="28"/>
        </w:rPr>
      </w:pPr>
    </w:p>
    <w:p w14:paraId="7B821D1D" w14:textId="3BFDC376" w:rsidR="002D1EC8" w:rsidRDefault="002D1EC8" w:rsidP="002D1EC8">
      <w:pPr>
        <w:spacing w:line="480" w:lineRule="auto"/>
        <w:rPr>
          <w:rFonts w:ascii="Times New Roman" w:hAnsi="Times New Roman" w:cs="Times New Roman"/>
          <w:b/>
          <w:sz w:val="28"/>
          <w:szCs w:val="28"/>
          <w:u w:val="single"/>
        </w:rPr>
      </w:pPr>
      <w:bookmarkStart w:id="0" w:name="_GoBack"/>
      <w:bookmarkEnd w:id="0"/>
      <w:r>
        <w:rPr>
          <w:rFonts w:ascii="Times New Roman" w:hAnsi="Times New Roman" w:cs="Times New Roman"/>
          <w:b/>
          <w:sz w:val="28"/>
          <w:szCs w:val="28"/>
          <w:u w:val="single"/>
        </w:rPr>
        <w:lastRenderedPageBreak/>
        <w:t>Bibliography:</w:t>
      </w:r>
    </w:p>
    <w:p w14:paraId="6714AA48" w14:textId="234DC408" w:rsidR="002D1EC8" w:rsidRDefault="002D1EC8" w:rsidP="002D1EC8">
      <w:pPr>
        <w:spacing w:line="480" w:lineRule="auto"/>
        <w:rPr>
          <w:rFonts w:ascii="Times New Roman" w:hAnsi="Times New Roman" w:cs="Times New Roman"/>
          <w:sz w:val="28"/>
          <w:szCs w:val="28"/>
          <w:u w:val="single"/>
        </w:rPr>
      </w:pPr>
      <w:r>
        <w:rPr>
          <w:rFonts w:ascii="Times New Roman" w:hAnsi="Times New Roman" w:cs="Times New Roman"/>
          <w:sz w:val="28"/>
          <w:szCs w:val="28"/>
          <w:u w:val="single"/>
        </w:rPr>
        <w:t>Books:</w:t>
      </w:r>
    </w:p>
    <w:p w14:paraId="0116BBB1" w14:textId="5321E5D6" w:rsidR="0043079B" w:rsidRDefault="0043079B" w:rsidP="002D1EC8">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 xml:space="preserve">Bowie, F (2006). </w:t>
      </w:r>
      <w:r>
        <w:rPr>
          <w:rFonts w:ascii="Times New Roman" w:hAnsi="Times New Roman" w:cs="Times New Roman"/>
          <w:i/>
          <w:sz w:val="28"/>
          <w:szCs w:val="28"/>
        </w:rPr>
        <w:t>The Anthropology of Religion: An Introduction</w:t>
      </w:r>
      <w:r>
        <w:rPr>
          <w:rFonts w:ascii="Times New Roman" w:hAnsi="Times New Roman" w:cs="Times New Roman"/>
          <w:sz w:val="28"/>
          <w:szCs w:val="28"/>
        </w:rPr>
        <w:t>. Second Edition. London: Blackwell Publishing.</w:t>
      </w:r>
    </w:p>
    <w:p w14:paraId="2488DC6A" w14:textId="2B274289" w:rsidR="00CC45EC" w:rsidRPr="00743D73" w:rsidRDefault="00CC45EC" w:rsidP="00743D73">
      <w:pPr>
        <w:pStyle w:val="ListParagraph"/>
        <w:numPr>
          <w:ilvl w:val="0"/>
          <w:numId w:val="1"/>
        </w:numPr>
        <w:spacing w:line="480" w:lineRule="auto"/>
        <w:ind w:left="714" w:hanging="357"/>
        <w:rPr>
          <w:rFonts w:ascii="Times New Roman" w:hAnsi="Times New Roman" w:cs="Times New Roman"/>
          <w:sz w:val="28"/>
          <w:szCs w:val="28"/>
        </w:rPr>
      </w:pPr>
      <w:r>
        <w:rPr>
          <w:rFonts w:ascii="Times New Roman" w:hAnsi="Times New Roman" w:cs="Times New Roman"/>
          <w:sz w:val="28"/>
          <w:szCs w:val="28"/>
        </w:rPr>
        <w:t xml:space="preserve">Insoll, T (2011). </w:t>
      </w:r>
      <w:r>
        <w:rPr>
          <w:rFonts w:ascii="Times New Roman" w:hAnsi="Times New Roman" w:cs="Times New Roman"/>
          <w:i/>
          <w:sz w:val="28"/>
          <w:szCs w:val="28"/>
        </w:rPr>
        <w:t>The Oxford Handbook of the Archaeology of Ritual and Religion</w:t>
      </w:r>
      <w:r>
        <w:rPr>
          <w:rFonts w:ascii="Times New Roman" w:hAnsi="Times New Roman" w:cs="Times New Roman"/>
          <w:sz w:val="28"/>
          <w:szCs w:val="28"/>
        </w:rPr>
        <w:t>. (ed.). Oxford: Oxford University Press.</w:t>
      </w:r>
    </w:p>
    <w:p w14:paraId="06480E31" w14:textId="6C98D4F2" w:rsidR="0043079B" w:rsidRDefault="0043079B" w:rsidP="002D1EC8">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 xml:space="preserve">Johnston, S.I. (2007). </w:t>
      </w:r>
      <w:bookmarkStart w:id="1" w:name="_Hlk536044063"/>
      <w:r>
        <w:rPr>
          <w:rFonts w:ascii="Times New Roman" w:hAnsi="Times New Roman" w:cs="Times New Roman"/>
          <w:i/>
          <w:sz w:val="28"/>
          <w:szCs w:val="28"/>
        </w:rPr>
        <w:t>Ancient Religions</w:t>
      </w:r>
      <w:r>
        <w:rPr>
          <w:rFonts w:ascii="Times New Roman" w:hAnsi="Times New Roman" w:cs="Times New Roman"/>
          <w:sz w:val="28"/>
          <w:szCs w:val="28"/>
        </w:rPr>
        <w:t>.</w:t>
      </w:r>
      <w:r w:rsidR="00941613">
        <w:rPr>
          <w:rFonts w:ascii="Times New Roman" w:hAnsi="Times New Roman" w:cs="Times New Roman"/>
          <w:sz w:val="28"/>
          <w:szCs w:val="28"/>
        </w:rPr>
        <w:t xml:space="preserve"> (ed.)</w:t>
      </w:r>
      <w:r>
        <w:rPr>
          <w:rFonts w:ascii="Times New Roman" w:hAnsi="Times New Roman" w:cs="Times New Roman"/>
          <w:sz w:val="28"/>
          <w:szCs w:val="28"/>
        </w:rPr>
        <w:t xml:space="preserve"> Cambridge, Massachusetts and London, England: The Belknap Press of Harvard University Press.</w:t>
      </w:r>
    </w:p>
    <w:bookmarkEnd w:id="1"/>
    <w:p w14:paraId="1EDB237E" w14:textId="287DADFE" w:rsidR="00743D73" w:rsidRDefault="0043079B" w:rsidP="002D1EC8">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 xml:space="preserve">Kyriakidis, E (2007). </w:t>
      </w:r>
      <w:r>
        <w:rPr>
          <w:rFonts w:ascii="Times New Roman" w:hAnsi="Times New Roman" w:cs="Times New Roman"/>
          <w:i/>
          <w:sz w:val="28"/>
          <w:szCs w:val="28"/>
        </w:rPr>
        <w:t>The Archaeology of Ritual</w:t>
      </w:r>
      <w:r>
        <w:rPr>
          <w:rFonts w:ascii="Times New Roman" w:hAnsi="Times New Roman" w:cs="Times New Roman"/>
          <w:sz w:val="28"/>
          <w:szCs w:val="28"/>
        </w:rPr>
        <w:t xml:space="preserve">. </w:t>
      </w:r>
      <w:r w:rsidR="00941613">
        <w:rPr>
          <w:rFonts w:ascii="Times New Roman" w:hAnsi="Times New Roman" w:cs="Times New Roman"/>
          <w:sz w:val="28"/>
          <w:szCs w:val="28"/>
        </w:rPr>
        <w:t xml:space="preserve">(ed.). </w:t>
      </w:r>
      <w:r>
        <w:rPr>
          <w:rFonts w:ascii="Times New Roman" w:hAnsi="Times New Roman" w:cs="Times New Roman"/>
          <w:sz w:val="28"/>
          <w:szCs w:val="28"/>
        </w:rPr>
        <w:t>Los Angeles: Cotsen Institute of Archaeology.</w:t>
      </w:r>
    </w:p>
    <w:p w14:paraId="05570B6F" w14:textId="1B229E82" w:rsidR="00CC45EC" w:rsidRDefault="00CC45EC" w:rsidP="002D1EC8">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 xml:space="preserve">Mills, S. (2016). </w:t>
      </w:r>
      <w:r>
        <w:rPr>
          <w:rFonts w:ascii="Times New Roman" w:hAnsi="Times New Roman" w:cs="Times New Roman"/>
          <w:i/>
          <w:sz w:val="28"/>
          <w:szCs w:val="28"/>
        </w:rPr>
        <w:t>Auditory Archaeology: Understanding Sound and Hearing in the Past</w:t>
      </w:r>
      <w:r>
        <w:rPr>
          <w:rFonts w:ascii="Times New Roman" w:hAnsi="Times New Roman" w:cs="Times New Roman"/>
          <w:sz w:val="28"/>
          <w:szCs w:val="28"/>
        </w:rPr>
        <w:t>. New York: Routledge.</w:t>
      </w:r>
    </w:p>
    <w:p w14:paraId="7966355A" w14:textId="2B0FF7F0" w:rsidR="002D1EC8" w:rsidRDefault="002D1EC8" w:rsidP="002D1EC8">
      <w:pPr>
        <w:pStyle w:val="ListParagraph"/>
        <w:numPr>
          <w:ilvl w:val="0"/>
          <w:numId w:val="1"/>
        </w:numPr>
        <w:spacing w:line="480" w:lineRule="auto"/>
        <w:rPr>
          <w:rFonts w:ascii="Times New Roman" w:hAnsi="Times New Roman" w:cs="Times New Roman"/>
          <w:sz w:val="28"/>
          <w:szCs w:val="28"/>
        </w:rPr>
      </w:pPr>
      <w:r w:rsidRPr="0043079B">
        <w:rPr>
          <w:rFonts w:ascii="Times New Roman" w:hAnsi="Times New Roman" w:cs="Times New Roman"/>
          <w:sz w:val="28"/>
          <w:szCs w:val="28"/>
        </w:rPr>
        <w:t xml:space="preserve">Turner, V (1982). </w:t>
      </w:r>
      <w:r w:rsidRPr="0043079B">
        <w:rPr>
          <w:rFonts w:ascii="Times New Roman" w:hAnsi="Times New Roman" w:cs="Times New Roman"/>
          <w:i/>
          <w:sz w:val="28"/>
          <w:szCs w:val="28"/>
        </w:rPr>
        <w:t>From Ritual to Theatre: The Human Seriousness of Play</w:t>
      </w:r>
      <w:r w:rsidRPr="0043079B">
        <w:rPr>
          <w:rFonts w:ascii="Times New Roman" w:hAnsi="Times New Roman" w:cs="Times New Roman"/>
          <w:sz w:val="28"/>
          <w:szCs w:val="28"/>
        </w:rPr>
        <w:t>. New York:</w:t>
      </w:r>
      <w:r w:rsidR="0043079B" w:rsidRPr="0043079B">
        <w:rPr>
          <w:rFonts w:ascii="Times New Roman" w:hAnsi="Times New Roman" w:cs="Times New Roman"/>
          <w:sz w:val="28"/>
          <w:szCs w:val="28"/>
        </w:rPr>
        <w:t xml:space="preserve"> PAJ Publications.</w:t>
      </w:r>
    </w:p>
    <w:p w14:paraId="1EA769C9" w14:textId="1B804B74" w:rsidR="00CC45EC" w:rsidRDefault="00CC45EC" w:rsidP="002D1EC8">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 xml:space="preserve">Warburton, D.A (2014). ‘Minoan and Mycenean Religion’, in Christensen, L, Hammer. O and Warburton, D.A (ed.). </w:t>
      </w:r>
      <w:r>
        <w:rPr>
          <w:rFonts w:ascii="Times New Roman" w:hAnsi="Times New Roman" w:cs="Times New Roman"/>
          <w:i/>
          <w:sz w:val="28"/>
          <w:szCs w:val="28"/>
        </w:rPr>
        <w:t>The Handbook of Religions in Ancient Europe</w:t>
      </w:r>
      <w:r>
        <w:rPr>
          <w:rFonts w:ascii="Times New Roman" w:hAnsi="Times New Roman" w:cs="Times New Roman"/>
          <w:sz w:val="28"/>
          <w:szCs w:val="28"/>
        </w:rPr>
        <w:t>. New York: Routledge.</w:t>
      </w:r>
    </w:p>
    <w:p w14:paraId="0C448A1B" w14:textId="77777777" w:rsidR="00941613" w:rsidRDefault="00941613" w:rsidP="00743D73">
      <w:pPr>
        <w:spacing w:line="480" w:lineRule="auto"/>
        <w:rPr>
          <w:rFonts w:ascii="Times New Roman" w:hAnsi="Times New Roman" w:cs="Times New Roman"/>
          <w:sz w:val="28"/>
          <w:szCs w:val="28"/>
          <w:u w:val="single"/>
        </w:rPr>
      </w:pPr>
    </w:p>
    <w:p w14:paraId="6DD47C1B" w14:textId="3E2E2B6B" w:rsidR="00743D73" w:rsidRDefault="00743D73" w:rsidP="00743D73">
      <w:pPr>
        <w:spacing w:line="480" w:lineRule="auto"/>
        <w:rPr>
          <w:rFonts w:ascii="Times New Roman" w:hAnsi="Times New Roman" w:cs="Times New Roman"/>
          <w:sz w:val="28"/>
          <w:szCs w:val="28"/>
          <w:u w:val="single"/>
        </w:rPr>
      </w:pPr>
      <w:r>
        <w:rPr>
          <w:rFonts w:ascii="Times New Roman" w:hAnsi="Times New Roman" w:cs="Times New Roman"/>
          <w:sz w:val="28"/>
          <w:szCs w:val="28"/>
          <w:u w:val="single"/>
        </w:rPr>
        <w:t>Articles:</w:t>
      </w:r>
    </w:p>
    <w:p w14:paraId="21526FB2" w14:textId="7A6027B2" w:rsidR="00E222D6" w:rsidRDefault="00E222D6" w:rsidP="00E222D6">
      <w:pPr>
        <w:pStyle w:val="ListParagraph"/>
        <w:numPr>
          <w:ilvl w:val="0"/>
          <w:numId w:val="2"/>
        </w:numPr>
        <w:spacing w:line="480" w:lineRule="auto"/>
        <w:rPr>
          <w:rFonts w:ascii="Times New Roman" w:hAnsi="Times New Roman" w:cs="Times New Roman"/>
          <w:sz w:val="28"/>
          <w:szCs w:val="28"/>
        </w:rPr>
      </w:pPr>
      <w:r>
        <w:rPr>
          <w:rFonts w:ascii="Times New Roman" w:hAnsi="Times New Roman" w:cs="Times New Roman"/>
          <w:sz w:val="28"/>
          <w:szCs w:val="28"/>
        </w:rPr>
        <w:t>Peatfield, A.A.D. (1990). ‘Minoan Peak-Sanctuaries</w:t>
      </w:r>
      <w:r w:rsidR="002D2ADA">
        <w:rPr>
          <w:rFonts w:ascii="Times New Roman" w:hAnsi="Times New Roman" w:cs="Times New Roman"/>
          <w:sz w:val="28"/>
          <w:szCs w:val="28"/>
        </w:rPr>
        <w:t xml:space="preserve">: History and Society’. </w:t>
      </w:r>
      <w:r w:rsidR="002D2ADA">
        <w:rPr>
          <w:rFonts w:ascii="Times New Roman" w:hAnsi="Times New Roman" w:cs="Times New Roman"/>
          <w:i/>
          <w:sz w:val="28"/>
          <w:szCs w:val="28"/>
        </w:rPr>
        <w:t>Opuscula Atheniensia</w:t>
      </w:r>
      <w:r w:rsidR="002D2ADA">
        <w:rPr>
          <w:rFonts w:ascii="Times New Roman" w:hAnsi="Times New Roman" w:cs="Times New Roman"/>
          <w:sz w:val="28"/>
          <w:szCs w:val="28"/>
        </w:rPr>
        <w:t>. Vol.XVIII, Issue 8. Pg 117-131.</w:t>
      </w:r>
      <w:r w:rsidR="00CC45EC">
        <w:rPr>
          <w:rFonts w:ascii="Times New Roman" w:hAnsi="Times New Roman" w:cs="Times New Roman"/>
          <w:sz w:val="28"/>
          <w:szCs w:val="28"/>
        </w:rPr>
        <w:t>[20/01/19].</w:t>
      </w:r>
    </w:p>
    <w:p w14:paraId="0621E07A" w14:textId="23DB5C69" w:rsidR="00743D73" w:rsidRDefault="00743D73" w:rsidP="00E222D6">
      <w:pPr>
        <w:pStyle w:val="ListParagraph"/>
        <w:numPr>
          <w:ilvl w:val="0"/>
          <w:numId w:val="2"/>
        </w:numPr>
        <w:spacing w:line="480" w:lineRule="auto"/>
        <w:rPr>
          <w:rFonts w:ascii="Times New Roman" w:hAnsi="Times New Roman" w:cs="Times New Roman"/>
          <w:sz w:val="28"/>
          <w:szCs w:val="28"/>
        </w:rPr>
      </w:pPr>
      <w:r w:rsidRPr="00E222D6">
        <w:rPr>
          <w:rFonts w:ascii="Times New Roman" w:hAnsi="Times New Roman" w:cs="Times New Roman"/>
          <w:sz w:val="28"/>
          <w:szCs w:val="28"/>
        </w:rPr>
        <w:lastRenderedPageBreak/>
        <w:t xml:space="preserve">Schoep, I. (2010). ‘The Minoan ‘Palace-Temple’ Reconsidered: A Critical Assessment of the Spatial Concentration of Political, Religious and Economic Power in Bronze Age Crete.’ </w:t>
      </w:r>
      <w:r w:rsidRPr="00E222D6">
        <w:rPr>
          <w:rFonts w:ascii="Times New Roman" w:hAnsi="Times New Roman" w:cs="Times New Roman"/>
          <w:i/>
          <w:sz w:val="28"/>
          <w:szCs w:val="28"/>
        </w:rPr>
        <w:t>Journal of Mediterranean Archaeology</w:t>
      </w:r>
      <w:r w:rsidRPr="00E222D6">
        <w:rPr>
          <w:rFonts w:ascii="Times New Roman" w:hAnsi="Times New Roman" w:cs="Times New Roman"/>
          <w:sz w:val="28"/>
          <w:szCs w:val="28"/>
        </w:rPr>
        <w:t>. Vol.23, Issue 2. Pg 219-243. [20/01/19]. DOI: 10.1559/jmea.v23i2.219.</w:t>
      </w:r>
    </w:p>
    <w:p w14:paraId="3174F59F" w14:textId="3C72E64E" w:rsidR="00CC45EC" w:rsidRDefault="00CC45EC" w:rsidP="00E222D6">
      <w:pPr>
        <w:pStyle w:val="ListParagraph"/>
        <w:numPr>
          <w:ilvl w:val="0"/>
          <w:numId w:val="2"/>
        </w:numPr>
        <w:spacing w:line="480" w:lineRule="auto"/>
        <w:rPr>
          <w:rFonts w:ascii="Times New Roman" w:hAnsi="Times New Roman" w:cs="Times New Roman"/>
          <w:sz w:val="28"/>
          <w:szCs w:val="28"/>
        </w:rPr>
      </w:pPr>
      <w:r>
        <w:rPr>
          <w:rFonts w:ascii="Times New Roman" w:hAnsi="Times New Roman" w:cs="Times New Roman"/>
          <w:sz w:val="28"/>
          <w:szCs w:val="28"/>
        </w:rPr>
        <w:t xml:space="preserve">Tartaron, T. (2008). ‘Aegean Prehistory as World Archaeology: Recent Trends in the Archaeology of Bronze Age Greece.’ </w:t>
      </w:r>
      <w:r>
        <w:rPr>
          <w:rFonts w:ascii="Times New Roman" w:hAnsi="Times New Roman" w:cs="Times New Roman"/>
          <w:i/>
          <w:sz w:val="28"/>
          <w:szCs w:val="28"/>
        </w:rPr>
        <w:t>Journal of Archaeological Research</w:t>
      </w:r>
      <w:r>
        <w:rPr>
          <w:rFonts w:ascii="Times New Roman" w:hAnsi="Times New Roman" w:cs="Times New Roman"/>
          <w:sz w:val="28"/>
          <w:szCs w:val="28"/>
        </w:rPr>
        <w:t>. Vol. 16(2), Pg 83-161. [20/01/19]. DOI: 10.1007/a10814-007-9018-7.</w:t>
      </w:r>
    </w:p>
    <w:p w14:paraId="1EFA1687" w14:textId="02A1472D" w:rsidR="00941613" w:rsidRPr="00E222D6" w:rsidRDefault="00941613" w:rsidP="00E222D6">
      <w:pPr>
        <w:pStyle w:val="ListParagraph"/>
        <w:numPr>
          <w:ilvl w:val="0"/>
          <w:numId w:val="2"/>
        </w:numPr>
        <w:spacing w:line="480" w:lineRule="auto"/>
        <w:rPr>
          <w:rFonts w:ascii="Times New Roman" w:hAnsi="Times New Roman" w:cs="Times New Roman"/>
          <w:sz w:val="28"/>
          <w:szCs w:val="28"/>
        </w:rPr>
      </w:pPr>
      <w:r>
        <w:rPr>
          <w:rFonts w:ascii="Times New Roman" w:hAnsi="Times New Roman" w:cs="Times New Roman"/>
          <w:sz w:val="28"/>
          <w:szCs w:val="28"/>
        </w:rPr>
        <w:t xml:space="preserve">Wedde, M. (ed.) (2004) ‘Celebrations’, </w:t>
      </w:r>
      <w:r>
        <w:rPr>
          <w:rFonts w:ascii="Times New Roman" w:hAnsi="Times New Roman" w:cs="Times New Roman"/>
          <w:i/>
          <w:sz w:val="28"/>
          <w:szCs w:val="28"/>
        </w:rPr>
        <w:t>Selected Papers and Discussions from the Tenth Anniversary Symposium of the Norwegian Institute at Athens</w:t>
      </w:r>
      <w:r>
        <w:rPr>
          <w:rFonts w:ascii="Times New Roman" w:hAnsi="Times New Roman" w:cs="Times New Roman"/>
          <w:sz w:val="28"/>
          <w:szCs w:val="28"/>
        </w:rPr>
        <w:t>. Norwegian Institute at Athens, Athens, 12</w:t>
      </w:r>
      <w:r w:rsidRPr="00941613">
        <w:rPr>
          <w:rFonts w:ascii="Times New Roman" w:hAnsi="Times New Roman" w:cs="Times New Roman"/>
          <w:sz w:val="28"/>
          <w:szCs w:val="28"/>
          <w:vertAlign w:val="superscript"/>
        </w:rPr>
        <w:t>th</w:t>
      </w:r>
      <w:r>
        <w:rPr>
          <w:rFonts w:ascii="Times New Roman" w:hAnsi="Times New Roman" w:cs="Times New Roman"/>
          <w:sz w:val="28"/>
          <w:szCs w:val="28"/>
        </w:rPr>
        <w:t>-16</w:t>
      </w:r>
      <w:r w:rsidRPr="00941613">
        <w:rPr>
          <w:rFonts w:ascii="Times New Roman" w:hAnsi="Times New Roman" w:cs="Times New Roman"/>
          <w:sz w:val="28"/>
          <w:szCs w:val="28"/>
          <w:vertAlign w:val="superscript"/>
        </w:rPr>
        <w:t>th</w:t>
      </w:r>
      <w:r>
        <w:rPr>
          <w:rFonts w:ascii="Times New Roman" w:hAnsi="Times New Roman" w:cs="Times New Roman"/>
          <w:sz w:val="28"/>
          <w:szCs w:val="28"/>
        </w:rPr>
        <w:t xml:space="preserve"> May. Bergen: Norwegian Institute at Athens.</w:t>
      </w:r>
    </w:p>
    <w:sectPr w:rsidR="00941613" w:rsidRPr="00E222D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AC262" w14:textId="77777777" w:rsidR="004134FE" w:rsidRDefault="004134FE" w:rsidP="004D153B">
      <w:r>
        <w:separator/>
      </w:r>
    </w:p>
  </w:endnote>
  <w:endnote w:type="continuationSeparator" w:id="0">
    <w:p w14:paraId="734C86F7" w14:textId="77777777" w:rsidR="004134FE" w:rsidRDefault="004134FE" w:rsidP="004D1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540798"/>
      <w:docPartObj>
        <w:docPartGallery w:val="Page Numbers (Bottom of Page)"/>
        <w:docPartUnique/>
      </w:docPartObj>
    </w:sdtPr>
    <w:sdtEndPr>
      <w:rPr>
        <w:noProof/>
      </w:rPr>
    </w:sdtEndPr>
    <w:sdtContent>
      <w:p w14:paraId="18F40D15" w14:textId="4498AC74" w:rsidR="00FC5475" w:rsidRDefault="00FC54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2C0E09" w14:textId="77777777" w:rsidR="00FC5475" w:rsidRDefault="00FC5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206BB" w14:textId="77777777" w:rsidR="004134FE" w:rsidRDefault="004134FE" w:rsidP="004D153B">
      <w:r>
        <w:separator/>
      </w:r>
    </w:p>
  </w:footnote>
  <w:footnote w:type="continuationSeparator" w:id="0">
    <w:p w14:paraId="7FCF2B38" w14:textId="77777777" w:rsidR="004134FE" w:rsidRDefault="004134FE" w:rsidP="004D15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28FE6" w14:textId="0993DDE4" w:rsidR="00FC5475" w:rsidRPr="004D153B" w:rsidRDefault="00FC5475">
    <w:pPr>
      <w:pStyle w:val="Header"/>
      <w:rPr>
        <w:rFonts w:ascii="Times New Roman" w:hAnsi="Times New Roman" w:cs="Times New Roman"/>
        <w:sz w:val="28"/>
        <w:szCs w:val="28"/>
      </w:rPr>
    </w:pPr>
    <w:r w:rsidRPr="004D153B">
      <w:rPr>
        <w:rFonts w:ascii="Times New Roman" w:hAnsi="Times New Roman" w:cs="Times New Roman"/>
        <w:sz w:val="28"/>
        <w:szCs w:val="28"/>
      </w:rPr>
      <w:t>Lauren Bird-Hall</w:t>
    </w:r>
    <w:r w:rsidRPr="004D153B">
      <w:rPr>
        <w:rFonts w:ascii="Times New Roman" w:hAnsi="Times New Roman" w:cs="Times New Roman"/>
        <w:sz w:val="28"/>
        <w:szCs w:val="28"/>
      </w:rPr>
      <w:ptab w:relativeTo="margin" w:alignment="center" w:leader="none"/>
    </w:r>
    <w:r w:rsidRPr="004D153B">
      <w:rPr>
        <w:rFonts w:ascii="Times New Roman" w:hAnsi="Times New Roman" w:cs="Times New Roman"/>
        <w:sz w:val="28"/>
        <w:szCs w:val="28"/>
      </w:rPr>
      <w:t>CLCL7003</w:t>
    </w:r>
    <w:r w:rsidRPr="004D153B">
      <w:rPr>
        <w:rFonts w:ascii="Times New Roman" w:hAnsi="Times New Roman" w:cs="Times New Roman"/>
        <w:sz w:val="28"/>
        <w:szCs w:val="28"/>
      </w:rPr>
      <w:ptab w:relativeTo="margin" w:alignment="right" w:leader="none"/>
    </w:r>
    <w:r w:rsidRPr="004D153B">
      <w:rPr>
        <w:rFonts w:ascii="Times New Roman" w:hAnsi="Times New Roman" w:cs="Times New Roman"/>
        <w:sz w:val="28"/>
        <w:szCs w:val="28"/>
      </w:rPr>
      <w:t>19/01/19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AC005A"/>
    <w:multiLevelType w:val="hybridMultilevel"/>
    <w:tmpl w:val="30069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19349C"/>
    <w:multiLevelType w:val="hybridMultilevel"/>
    <w:tmpl w:val="E7C65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53B"/>
    <w:rsid w:val="000474DF"/>
    <w:rsid w:val="00081E9B"/>
    <w:rsid w:val="00083945"/>
    <w:rsid w:val="000A36C1"/>
    <w:rsid w:val="000C4F43"/>
    <w:rsid w:val="000C66B9"/>
    <w:rsid w:val="000D20A4"/>
    <w:rsid w:val="000D343C"/>
    <w:rsid w:val="0010014C"/>
    <w:rsid w:val="001021FD"/>
    <w:rsid w:val="00120459"/>
    <w:rsid w:val="0014422B"/>
    <w:rsid w:val="001A08C5"/>
    <w:rsid w:val="001C3941"/>
    <w:rsid w:val="001D3BDF"/>
    <w:rsid w:val="001E64F6"/>
    <w:rsid w:val="001E7305"/>
    <w:rsid w:val="001E7867"/>
    <w:rsid w:val="001F7F3A"/>
    <w:rsid w:val="002151A9"/>
    <w:rsid w:val="00216F60"/>
    <w:rsid w:val="002176F8"/>
    <w:rsid w:val="002448C6"/>
    <w:rsid w:val="002570A6"/>
    <w:rsid w:val="00260F84"/>
    <w:rsid w:val="00280B92"/>
    <w:rsid w:val="00284026"/>
    <w:rsid w:val="00284575"/>
    <w:rsid w:val="0028669E"/>
    <w:rsid w:val="00290994"/>
    <w:rsid w:val="002B7182"/>
    <w:rsid w:val="002C06EA"/>
    <w:rsid w:val="002C3F4D"/>
    <w:rsid w:val="002D1EC8"/>
    <w:rsid w:val="002D26E1"/>
    <w:rsid w:val="002D2ADA"/>
    <w:rsid w:val="002F733A"/>
    <w:rsid w:val="00311265"/>
    <w:rsid w:val="0033402D"/>
    <w:rsid w:val="00334AB2"/>
    <w:rsid w:val="00374F3B"/>
    <w:rsid w:val="00386C32"/>
    <w:rsid w:val="003A08FF"/>
    <w:rsid w:val="003C0E4E"/>
    <w:rsid w:val="003C6B65"/>
    <w:rsid w:val="003E422B"/>
    <w:rsid w:val="003E57DA"/>
    <w:rsid w:val="003F4FB8"/>
    <w:rsid w:val="004134FE"/>
    <w:rsid w:val="0043079B"/>
    <w:rsid w:val="00437F8B"/>
    <w:rsid w:val="00450A0E"/>
    <w:rsid w:val="00451007"/>
    <w:rsid w:val="00471538"/>
    <w:rsid w:val="00477974"/>
    <w:rsid w:val="00487370"/>
    <w:rsid w:val="0049498E"/>
    <w:rsid w:val="00495F4B"/>
    <w:rsid w:val="004A4244"/>
    <w:rsid w:val="004B2550"/>
    <w:rsid w:val="004C0B4F"/>
    <w:rsid w:val="004D153B"/>
    <w:rsid w:val="004D4770"/>
    <w:rsid w:val="004F0441"/>
    <w:rsid w:val="005009DD"/>
    <w:rsid w:val="005015C6"/>
    <w:rsid w:val="00502085"/>
    <w:rsid w:val="00502703"/>
    <w:rsid w:val="0050411C"/>
    <w:rsid w:val="00513DAC"/>
    <w:rsid w:val="00515EB0"/>
    <w:rsid w:val="00517FCF"/>
    <w:rsid w:val="005214BA"/>
    <w:rsid w:val="00550045"/>
    <w:rsid w:val="00553B96"/>
    <w:rsid w:val="00575EBC"/>
    <w:rsid w:val="0058133D"/>
    <w:rsid w:val="00583E06"/>
    <w:rsid w:val="00584370"/>
    <w:rsid w:val="00584BEC"/>
    <w:rsid w:val="005877C3"/>
    <w:rsid w:val="005B2996"/>
    <w:rsid w:val="005B59F7"/>
    <w:rsid w:val="005C7963"/>
    <w:rsid w:val="005D4EE8"/>
    <w:rsid w:val="005F0133"/>
    <w:rsid w:val="00631134"/>
    <w:rsid w:val="00650BA4"/>
    <w:rsid w:val="00683B64"/>
    <w:rsid w:val="006B3DF7"/>
    <w:rsid w:val="006C371A"/>
    <w:rsid w:val="006C7A83"/>
    <w:rsid w:val="006D027C"/>
    <w:rsid w:val="006D3910"/>
    <w:rsid w:val="006D3C4F"/>
    <w:rsid w:val="006E32E6"/>
    <w:rsid w:val="00702EC2"/>
    <w:rsid w:val="0074167C"/>
    <w:rsid w:val="00743D73"/>
    <w:rsid w:val="00761177"/>
    <w:rsid w:val="0077213B"/>
    <w:rsid w:val="0078116A"/>
    <w:rsid w:val="00785F07"/>
    <w:rsid w:val="00791710"/>
    <w:rsid w:val="007A5FE2"/>
    <w:rsid w:val="007A7D02"/>
    <w:rsid w:val="007E12A8"/>
    <w:rsid w:val="00805397"/>
    <w:rsid w:val="00835F3D"/>
    <w:rsid w:val="00835F6D"/>
    <w:rsid w:val="0084296F"/>
    <w:rsid w:val="00855AAC"/>
    <w:rsid w:val="00855EB8"/>
    <w:rsid w:val="00857EF4"/>
    <w:rsid w:val="00861F82"/>
    <w:rsid w:val="00864751"/>
    <w:rsid w:val="00877E5D"/>
    <w:rsid w:val="008801F9"/>
    <w:rsid w:val="00886A18"/>
    <w:rsid w:val="00886A5E"/>
    <w:rsid w:val="008A24D1"/>
    <w:rsid w:val="008F5DB7"/>
    <w:rsid w:val="009100D5"/>
    <w:rsid w:val="009105ED"/>
    <w:rsid w:val="0092210F"/>
    <w:rsid w:val="00927B44"/>
    <w:rsid w:val="00930614"/>
    <w:rsid w:val="0093666F"/>
    <w:rsid w:val="00941613"/>
    <w:rsid w:val="0096136D"/>
    <w:rsid w:val="0096201F"/>
    <w:rsid w:val="009743D1"/>
    <w:rsid w:val="009A7D4E"/>
    <w:rsid w:val="009B75CE"/>
    <w:rsid w:val="009C0C39"/>
    <w:rsid w:val="009C1528"/>
    <w:rsid w:val="009C354C"/>
    <w:rsid w:val="009C458B"/>
    <w:rsid w:val="009D44A3"/>
    <w:rsid w:val="00A02C78"/>
    <w:rsid w:val="00A0305C"/>
    <w:rsid w:val="00A10C32"/>
    <w:rsid w:val="00A11291"/>
    <w:rsid w:val="00A16FB7"/>
    <w:rsid w:val="00A3726B"/>
    <w:rsid w:val="00A4388A"/>
    <w:rsid w:val="00A4578E"/>
    <w:rsid w:val="00A62FE0"/>
    <w:rsid w:val="00A72FEA"/>
    <w:rsid w:val="00AD287B"/>
    <w:rsid w:val="00AE570B"/>
    <w:rsid w:val="00AF3CBC"/>
    <w:rsid w:val="00B23F97"/>
    <w:rsid w:val="00B64722"/>
    <w:rsid w:val="00B710B7"/>
    <w:rsid w:val="00BA0311"/>
    <w:rsid w:val="00BB11DE"/>
    <w:rsid w:val="00BC011D"/>
    <w:rsid w:val="00BD4AA5"/>
    <w:rsid w:val="00BE2A57"/>
    <w:rsid w:val="00BF1087"/>
    <w:rsid w:val="00C06036"/>
    <w:rsid w:val="00C33C17"/>
    <w:rsid w:val="00C52F6E"/>
    <w:rsid w:val="00C622FE"/>
    <w:rsid w:val="00C626CF"/>
    <w:rsid w:val="00C65517"/>
    <w:rsid w:val="00C80840"/>
    <w:rsid w:val="00C80EA1"/>
    <w:rsid w:val="00C96AFB"/>
    <w:rsid w:val="00CA11A6"/>
    <w:rsid w:val="00CC45EC"/>
    <w:rsid w:val="00CE48EF"/>
    <w:rsid w:val="00CF74D6"/>
    <w:rsid w:val="00CF7CFE"/>
    <w:rsid w:val="00D270F7"/>
    <w:rsid w:val="00D3442A"/>
    <w:rsid w:val="00D46977"/>
    <w:rsid w:val="00D64485"/>
    <w:rsid w:val="00D80983"/>
    <w:rsid w:val="00D8573D"/>
    <w:rsid w:val="00DA3C55"/>
    <w:rsid w:val="00DC40E0"/>
    <w:rsid w:val="00E0302F"/>
    <w:rsid w:val="00E049F5"/>
    <w:rsid w:val="00E17FED"/>
    <w:rsid w:val="00E222D6"/>
    <w:rsid w:val="00E27B6A"/>
    <w:rsid w:val="00E31299"/>
    <w:rsid w:val="00E57155"/>
    <w:rsid w:val="00E646BF"/>
    <w:rsid w:val="00E871A7"/>
    <w:rsid w:val="00E9084F"/>
    <w:rsid w:val="00E927F4"/>
    <w:rsid w:val="00EA624E"/>
    <w:rsid w:val="00EC28BA"/>
    <w:rsid w:val="00EF3D2D"/>
    <w:rsid w:val="00F04AAF"/>
    <w:rsid w:val="00F27B9E"/>
    <w:rsid w:val="00F40376"/>
    <w:rsid w:val="00F42D1E"/>
    <w:rsid w:val="00F4573B"/>
    <w:rsid w:val="00F57BEB"/>
    <w:rsid w:val="00F6443E"/>
    <w:rsid w:val="00F65856"/>
    <w:rsid w:val="00F90B73"/>
    <w:rsid w:val="00F92022"/>
    <w:rsid w:val="00FA0BC8"/>
    <w:rsid w:val="00FB2765"/>
    <w:rsid w:val="00FC53DF"/>
    <w:rsid w:val="00FC5475"/>
    <w:rsid w:val="00FD532B"/>
    <w:rsid w:val="00FE0F20"/>
    <w:rsid w:val="00FE2C39"/>
    <w:rsid w:val="00FE472A"/>
    <w:rsid w:val="00FF3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FC28"/>
  <w15:chartTrackingRefBased/>
  <w15:docId w15:val="{58B54BAD-928B-4B50-BE73-4576DA73E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right="-335"/>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153B"/>
    <w:pPr>
      <w:tabs>
        <w:tab w:val="center" w:pos="4513"/>
        <w:tab w:val="right" w:pos="9026"/>
      </w:tabs>
    </w:pPr>
  </w:style>
  <w:style w:type="character" w:customStyle="1" w:styleId="HeaderChar">
    <w:name w:val="Header Char"/>
    <w:basedOn w:val="DefaultParagraphFont"/>
    <w:link w:val="Header"/>
    <w:uiPriority w:val="99"/>
    <w:rsid w:val="004D153B"/>
  </w:style>
  <w:style w:type="paragraph" w:styleId="Footer">
    <w:name w:val="footer"/>
    <w:basedOn w:val="Normal"/>
    <w:link w:val="FooterChar"/>
    <w:uiPriority w:val="99"/>
    <w:unhideWhenUsed/>
    <w:rsid w:val="004D153B"/>
    <w:pPr>
      <w:tabs>
        <w:tab w:val="center" w:pos="4513"/>
        <w:tab w:val="right" w:pos="9026"/>
      </w:tabs>
    </w:pPr>
  </w:style>
  <w:style w:type="character" w:customStyle="1" w:styleId="FooterChar">
    <w:name w:val="Footer Char"/>
    <w:basedOn w:val="DefaultParagraphFont"/>
    <w:link w:val="Footer"/>
    <w:uiPriority w:val="99"/>
    <w:rsid w:val="004D153B"/>
  </w:style>
  <w:style w:type="paragraph" w:styleId="ListParagraph">
    <w:name w:val="List Paragraph"/>
    <w:basedOn w:val="Normal"/>
    <w:uiPriority w:val="34"/>
    <w:qFormat/>
    <w:rsid w:val="002D1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4982</TotalTime>
  <Pages>11</Pages>
  <Words>2662</Words>
  <Characters>14512</Characters>
  <Application>Microsoft Office Word</Application>
  <DocSecurity>0</DocSecurity>
  <Lines>259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Hall</dc:creator>
  <cp:keywords/>
  <dc:description/>
  <cp:lastModifiedBy>Lauren Hall</cp:lastModifiedBy>
  <cp:revision>149</cp:revision>
  <dcterms:created xsi:type="dcterms:W3CDTF">2019-01-19T16:22:00Z</dcterms:created>
  <dcterms:modified xsi:type="dcterms:W3CDTF">2019-01-23T22:32:00Z</dcterms:modified>
</cp:coreProperties>
</file>