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11T00:00:00Z">
                                      <w:dateFormat w:val="M/d/yyyy"/>
                                      <w:lid w:val="en-US"/>
                                      <w:storeMappedDataAs w:val="dateTime"/>
                                      <w:calendar w:val="gregorian"/>
                                    </w:date>
                                  </w:sdtPr>
                                  <w:sdtEndPr/>
                                  <w:sdtContent>
                                    <w:p w14:paraId="410F75A1" w14:textId="0C168153" w:rsidR="003A12C8" w:rsidRDefault="00737817">
                                      <w:pPr>
                                        <w:pStyle w:val="NoSpacing"/>
                                        <w:jc w:val="right"/>
                                        <w:rPr>
                                          <w:color w:val="FFFFFF" w:themeColor="background1"/>
                                          <w:sz w:val="28"/>
                                          <w:szCs w:val="28"/>
                                        </w:rPr>
                                      </w:pPr>
                                      <w:r>
                                        <w:rPr>
                                          <w:color w:val="FFFFFF" w:themeColor="background1"/>
                                          <w:sz w:val="28"/>
                                          <w:szCs w:val="28"/>
                                        </w:rPr>
                                        <w:t>11/10/2025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11T00:00:00Z">
                                <w:dateFormat w:val="M/d/yyyy"/>
                                <w:lid w:val="en-US"/>
                                <w:storeMappedDataAs w:val="dateTime"/>
                                <w:calendar w:val="gregorian"/>
                              </w:date>
                            </w:sdtPr>
                            <w:sdtEndPr/>
                            <w:sdtContent>
                              <w:p w14:paraId="410F75A1" w14:textId="0C168153" w:rsidR="003A12C8" w:rsidRDefault="00737817">
                                <w:pPr>
                                  <w:pStyle w:val="NoSpacing"/>
                                  <w:jc w:val="right"/>
                                  <w:rPr>
                                    <w:color w:val="FFFFFF" w:themeColor="background1"/>
                                    <w:sz w:val="28"/>
                                    <w:szCs w:val="28"/>
                                  </w:rPr>
                                </w:pPr>
                                <w:r>
                                  <w:rPr>
                                    <w:color w:val="FFFFFF" w:themeColor="background1"/>
                                    <w:sz w:val="28"/>
                                    <w:szCs w:val="28"/>
                                  </w:rPr>
                                  <w:t>11/10/2025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7C77B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7C77B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D4A3D38" w:rsidR="003A12C8" w:rsidRDefault="003A12C8">
                                <w:r>
                                  <w:t xml:space="preserve">Student </w:t>
                                </w:r>
                                <w:r w:rsidR="008A0F59">
                                  <w:t>Name: Abdullah Karakan</w:t>
                                </w:r>
                              </w:p>
                              <w:p w14:paraId="108ECBE2" w14:textId="4151079D" w:rsidR="003A12C8" w:rsidRDefault="003A12C8">
                                <w:r>
                                  <w:t>Student ID:</w:t>
                                </w:r>
                                <w:r w:rsidR="008A0F59">
                                  <w:t>2514523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D4A3D38" w:rsidR="003A12C8" w:rsidRDefault="003A12C8">
                          <w:r>
                            <w:t xml:space="preserve">Student </w:t>
                          </w:r>
                          <w:r w:rsidR="008A0F59">
                            <w:t>Name: Abdullah Karakan</w:t>
                          </w:r>
                        </w:p>
                        <w:p w14:paraId="108ECBE2" w14:textId="4151079D" w:rsidR="003A12C8" w:rsidRDefault="003A12C8">
                          <w:r>
                            <w:t>Student ID:</w:t>
                          </w:r>
                          <w:r w:rsidR="008A0F59">
                            <w:t>2514523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7C77B8">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7C77B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7C77B8">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7C77B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09EF8E31" w14:textId="77777777" w:rsidR="00D112E8" w:rsidRDefault="00D112E8" w:rsidP="00D112E8">
      <w:pPr>
        <w:pStyle w:val="NormalWeb"/>
      </w:pPr>
      <w:r>
        <w:rPr>
          <w:rStyle w:val="Strong"/>
          <w:rFonts w:eastAsiaTheme="majorEastAsia"/>
        </w:rPr>
        <w:t>Essential Academic and Employment Skills</w:t>
      </w:r>
    </w:p>
    <w:p w14:paraId="462EB129" w14:textId="77777777" w:rsidR="00D112E8" w:rsidRDefault="00D112E8" w:rsidP="00D112E8">
      <w:pPr>
        <w:pStyle w:val="NormalWeb"/>
      </w:pPr>
      <w:r>
        <w:t xml:space="preserve">Developing strong academic and employment skills is essential for success in both higher education and the workplace. One of the most important skills is </w:t>
      </w:r>
      <w:r>
        <w:rPr>
          <w:rStyle w:val="Strong"/>
          <w:rFonts w:eastAsiaTheme="majorEastAsia"/>
        </w:rPr>
        <w:t>critical thinking</w:t>
      </w:r>
      <w:r>
        <w:t>, which allows individuals to analyse information, evaluate arguments, and solve problems effectively. Critical thinking enhances decision-making and is particularly valuable in careers that require research, analysis, or strategic planning. For example, students who critically assess sources for assignments develop the ability to distinguish credible information from unreliable content. This skill directly translates into the workplace, where making informed, logical decisions can significantly impact project outcomes [1].</w:t>
      </w:r>
    </w:p>
    <w:p w14:paraId="084F570D" w14:textId="77777777" w:rsidR="00D112E8" w:rsidRDefault="00D112E8" w:rsidP="00D112E8">
      <w:pPr>
        <w:pStyle w:val="NormalWeb"/>
      </w:pPr>
      <w:r>
        <w:t xml:space="preserve">Another essential skill is </w:t>
      </w:r>
      <w:r>
        <w:rPr>
          <w:rStyle w:val="Strong"/>
          <w:rFonts w:eastAsiaTheme="majorEastAsia"/>
        </w:rPr>
        <w:t>communication</w:t>
      </w:r>
      <w:r>
        <w:t>. Effective written and verbal communication helps students present ideas clearly and collaborate with peers. In professional settings, it ensures smooth teamwork, effective client interactions, and successful presentations. Strong communication skills also support networking and professional growth. For instance, clear reporting and email communication can prevent misunderstandings and increase efficiency in workplace projects. Developing these skills early provides a solid foundation for future professional relationships and career advancement [2].</w:t>
      </w:r>
    </w:p>
    <w:p w14:paraId="66CB4970" w14:textId="77777777" w:rsidR="00D112E8" w:rsidRDefault="00D112E8" w:rsidP="00D112E8">
      <w:pPr>
        <w:pStyle w:val="NormalWeb"/>
      </w:pPr>
      <w:r>
        <w:rPr>
          <w:rStyle w:val="Strong"/>
          <w:rFonts w:eastAsiaTheme="majorEastAsia"/>
        </w:rPr>
        <w:t>Time management and organisation</w:t>
      </w:r>
      <w:r>
        <w:t xml:space="preserve"> are also key skills for both academic and professional success. Academic studies often involve juggling multiple assignments and deadlines, while employment requires balancing projects and prioritising tasks efficiently. Students who learn to manage time effectively can reduce stress, improve performance, and meet deadlines consistently. Similarly, organisational skills such as planning, scheduling, and goal setting help ensure productivity and efficiency in professional life. These skills are particularly important in high-pressure work environments where deadlines and resources must be carefully managed [3].</w:t>
      </w:r>
    </w:p>
    <w:p w14:paraId="1FCD44FA" w14:textId="77777777" w:rsidR="00D112E8" w:rsidRDefault="00D112E8" w:rsidP="00D112E8">
      <w:pPr>
        <w:pStyle w:val="NormalWeb"/>
      </w:pPr>
      <w:r>
        <w:t xml:space="preserve">In today’s digital age, </w:t>
      </w:r>
      <w:r>
        <w:rPr>
          <w:rStyle w:val="Strong"/>
          <w:rFonts w:eastAsiaTheme="majorEastAsia"/>
        </w:rPr>
        <w:t>digital literacy</w:t>
      </w:r>
      <w:r>
        <w:t xml:space="preserve"> has become indispensable. Proficiency in software tools, online research, and digital communication platforms enables students to access resources efficiently and prepares them for technology-driven careers. Digital literacy also supports remote learning and virtual collaboration, which are increasingly common in modern workplaces. Furthermore, staying up to date with emerging digital tools can provide a competitive edge in any career [4].</w:t>
      </w:r>
    </w:p>
    <w:p w14:paraId="20DBE4E4" w14:textId="77777777" w:rsidR="00D112E8" w:rsidRDefault="00D112E8" w:rsidP="00D112E8">
      <w:pPr>
        <w:pStyle w:val="NormalWeb"/>
      </w:pPr>
      <w:r>
        <w:t xml:space="preserve">Finally, </w:t>
      </w:r>
      <w:r>
        <w:rPr>
          <w:rStyle w:val="Strong"/>
          <w:rFonts w:eastAsiaTheme="majorEastAsia"/>
        </w:rPr>
        <w:t>adaptability and lifelong learning</w:t>
      </w:r>
      <w:r>
        <w:t xml:space="preserve"> are critical. The ability to embrace new challenges, learn from experiences, and continuously improve ensures personal and professional growth. Careers are evolving rapidly due to technological advancements, and </w:t>
      </w:r>
      <w:r>
        <w:lastRenderedPageBreak/>
        <w:t>employees who can adapt to new roles, tools, or work environments remain competitive and valuable. Developing a mindset of continuous learning also encourages innovation and creativity, which are highly sought after in today’s dynamic job market [5].</w:t>
      </w:r>
    </w:p>
    <w:p w14:paraId="08AFFFB1" w14:textId="77777777" w:rsidR="005F3785" w:rsidRPr="005F3785" w:rsidRDefault="005F3785" w:rsidP="005F3785">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3785">
        <w:rPr>
          <w:rFonts w:ascii="Times New Roman" w:eastAsia="Times New Roman" w:hAnsi="Times New Roman" w:cs="Times New Roman"/>
          <w:b/>
          <w:bCs/>
          <w:kern w:val="0"/>
          <w:lang w:eastAsia="en-GB"/>
          <w14:ligatures w14:val="none"/>
        </w:rPr>
        <w:t>References</w:t>
      </w:r>
    </w:p>
    <w:p w14:paraId="44AC1AE6" w14:textId="77777777" w:rsidR="000B78F0" w:rsidRDefault="005F3785" w:rsidP="005F3785">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3785">
        <w:rPr>
          <w:rFonts w:ascii="Times New Roman" w:eastAsia="Times New Roman" w:hAnsi="Times New Roman" w:cs="Times New Roman"/>
          <w:kern w:val="0"/>
          <w:lang w:eastAsia="en-GB"/>
          <w14:ligatures w14:val="none"/>
        </w:rPr>
        <w:t xml:space="preserve">[1] J. Moon, </w:t>
      </w:r>
      <w:r w:rsidRPr="005F3785">
        <w:rPr>
          <w:rFonts w:ascii="Times New Roman" w:eastAsia="Times New Roman" w:hAnsi="Times New Roman" w:cs="Times New Roman"/>
          <w:i/>
          <w:iCs/>
          <w:kern w:val="0"/>
          <w:lang w:eastAsia="en-GB"/>
          <w14:ligatures w14:val="none"/>
        </w:rPr>
        <w:t>Critical Thinking: An Exploration of Theory and Practice</w:t>
      </w:r>
      <w:r w:rsidRPr="005F3785">
        <w:rPr>
          <w:rFonts w:ascii="Times New Roman" w:eastAsia="Times New Roman" w:hAnsi="Times New Roman" w:cs="Times New Roman"/>
          <w:kern w:val="0"/>
          <w:lang w:eastAsia="en-GB"/>
          <w14:ligatures w14:val="none"/>
        </w:rPr>
        <w:t>, London, U.K.: Routledge, 2008</w:t>
      </w:r>
      <w:sdt>
        <w:sdtPr>
          <w:rPr>
            <w:rFonts w:ascii="Times New Roman" w:eastAsia="Times New Roman" w:hAnsi="Times New Roman" w:cs="Times New Roman"/>
            <w:kern w:val="0"/>
            <w:lang w:eastAsia="en-GB"/>
            <w14:ligatures w14:val="none"/>
          </w:rPr>
          <w:id w:val="-1454628199"/>
          <w:citation/>
        </w:sdtPr>
        <w:sdtContent>
          <w:r w:rsidR="005C36E0">
            <w:rPr>
              <w:rFonts w:ascii="Times New Roman" w:eastAsia="Times New Roman" w:hAnsi="Times New Roman" w:cs="Times New Roman"/>
              <w:kern w:val="0"/>
              <w:lang w:eastAsia="en-GB"/>
              <w14:ligatures w14:val="none"/>
            </w:rPr>
            <w:fldChar w:fldCharType="begin"/>
          </w:r>
          <w:r w:rsidR="005C36E0">
            <w:rPr>
              <w:rFonts w:ascii="Times New Roman" w:eastAsia="Times New Roman" w:hAnsi="Times New Roman" w:cs="Times New Roman"/>
              <w:kern w:val="0"/>
              <w:lang w:eastAsia="en-GB"/>
              <w14:ligatures w14:val="none"/>
            </w:rPr>
            <w:instrText xml:space="preserve"> CITATION Jen \l 2057 </w:instrText>
          </w:r>
          <w:r w:rsidR="005C36E0">
            <w:rPr>
              <w:rFonts w:ascii="Times New Roman" w:eastAsia="Times New Roman" w:hAnsi="Times New Roman" w:cs="Times New Roman"/>
              <w:kern w:val="0"/>
              <w:lang w:eastAsia="en-GB"/>
              <w14:ligatures w14:val="none"/>
            </w:rPr>
            <w:fldChar w:fldCharType="separate"/>
          </w:r>
          <w:r w:rsidR="005C36E0">
            <w:rPr>
              <w:rFonts w:ascii="Times New Roman" w:eastAsia="Times New Roman" w:hAnsi="Times New Roman" w:cs="Times New Roman"/>
              <w:noProof/>
              <w:kern w:val="0"/>
              <w:lang w:eastAsia="en-GB"/>
              <w14:ligatures w14:val="none"/>
            </w:rPr>
            <w:t xml:space="preserve"> </w:t>
          </w:r>
          <w:r w:rsidR="005C36E0" w:rsidRPr="005C36E0">
            <w:rPr>
              <w:rFonts w:ascii="Times New Roman" w:eastAsia="Times New Roman" w:hAnsi="Times New Roman" w:cs="Times New Roman"/>
              <w:noProof/>
              <w:kern w:val="0"/>
              <w:lang w:eastAsia="en-GB"/>
              <w14:ligatures w14:val="none"/>
            </w:rPr>
            <w:t>[1]</w:t>
          </w:r>
          <w:r w:rsidR="005C36E0">
            <w:rPr>
              <w:rFonts w:ascii="Times New Roman" w:eastAsia="Times New Roman" w:hAnsi="Times New Roman" w:cs="Times New Roman"/>
              <w:kern w:val="0"/>
              <w:lang w:eastAsia="en-GB"/>
              <w14:ligatures w14:val="none"/>
            </w:rPr>
            <w:fldChar w:fldCharType="end"/>
          </w:r>
        </w:sdtContent>
      </w:sdt>
    </w:p>
    <w:p w14:paraId="630C28D5" w14:textId="77777777" w:rsidR="000B78F0" w:rsidRDefault="005F3785" w:rsidP="005F3785">
      <w:pPr>
        <w:spacing w:before="100" w:beforeAutospacing="1" w:after="100" w:afterAutospacing="1" w:line="240" w:lineRule="auto"/>
        <w:rPr>
          <w:rFonts w:ascii="Times New Roman" w:eastAsia="Times New Roman" w:hAnsi="Times New Roman" w:cs="Times New Roman"/>
          <w:color w:val="0000FF"/>
          <w:kern w:val="0"/>
          <w:u w:val="single"/>
          <w:lang w:eastAsia="en-GB"/>
          <w14:ligatures w14:val="none"/>
        </w:rPr>
      </w:pPr>
      <w:r w:rsidRPr="005F3785">
        <w:rPr>
          <w:rFonts w:ascii="Times New Roman" w:eastAsia="Times New Roman" w:hAnsi="Times New Roman" w:cs="Times New Roman"/>
          <w:kern w:val="0"/>
          <w:lang w:eastAsia="en-GB"/>
          <w14:ligatures w14:val="none"/>
        </w:rPr>
        <w:br/>
        <w:t xml:space="preserve">[2] P. Race, </w:t>
      </w:r>
      <w:r w:rsidRPr="005F3785">
        <w:rPr>
          <w:rFonts w:ascii="Times New Roman" w:eastAsia="Times New Roman" w:hAnsi="Times New Roman" w:cs="Times New Roman"/>
          <w:i/>
          <w:iCs/>
          <w:kern w:val="0"/>
          <w:lang w:eastAsia="en-GB"/>
          <w14:ligatures w14:val="none"/>
        </w:rPr>
        <w:t>The Lecturer’s Toolkit: A Practical Guide to Learning, Teaching &amp; Assessment</w:t>
      </w:r>
      <w:r w:rsidRPr="005F3785">
        <w:rPr>
          <w:rFonts w:ascii="Times New Roman" w:eastAsia="Times New Roman" w:hAnsi="Times New Roman" w:cs="Times New Roman"/>
          <w:kern w:val="0"/>
          <w:lang w:eastAsia="en-GB"/>
          <w14:ligatures w14:val="none"/>
        </w:rPr>
        <w:t xml:space="preserve">, 4th ed., London, U.K.: Routledge, 2020. </w:t>
      </w:r>
      <w:hyperlink r:id="rId8" w:history="1">
        <w:r w:rsidR="000B78F0" w:rsidRPr="00790022">
          <w:rPr>
            <w:rStyle w:val="Hyperlink"/>
            <w:rFonts w:ascii="Times New Roman" w:eastAsia="Times New Roman" w:hAnsi="Times New Roman" w:cs="Times New Roman"/>
            <w:kern w:val="0"/>
            <w:lang w:eastAsia="en-GB"/>
            <w14:ligatures w14:val="none"/>
          </w:rPr>
          <w:t>https://www.taylorfrancis.com/books/mono/10.4324/9781315767277/lecturer-toolkit-phil-race</w:t>
        </w:r>
      </w:hyperlink>
    </w:p>
    <w:p w14:paraId="39396605" w14:textId="77777777" w:rsidR="000B78F0" w:rsidRDefault="005F3785" w:rsidP="005F3785">
      <w:pPr>
        <w:spacing w:before="100" w:beforeAutospacing="1" w:after="100" w:afterAutospacing="1" w:line="240" w:lineRule="auto"/>
      </w:pPr>
      <w:r w:rsidRPr="005F3785">
        <w:rPr>
          <w:rFonts w:ascii="Times New Roman" w:eastAsia="Times New Roman" w:hAnsi="Times New Roman" w:cs="Times New Roman"/>
          <w:kern w:val="0"/>
          <w:lang w:eastAsia="en-GB"/>
          <w14:ligatures w14:val="none"/>
        </w:rPr>
        <w:br/>
        <w:t xml:space="preserve">[3] “Employability Skills Framework,” Australian Government Department of Education, 2023. [Online]. Available: </w:t>
      </w:r>
      <w:hyperlink r:id="rId9" w:tgtFrame="_new" w:history="1">
        <w:r w:rsidRPr="005F3785">
          <w:rPr>
            <w:rFonts w:ascii="Times New Roman" w:eastAsia="Times New Roman" w:hAnsi="Times New Roman" w:cs="Times New Roman"/>
            <w:color w:val="0000FF"/>
            <w:kern w:val="0"/>
            <w:u w:val="single"/>
            <w:lang w:eastAsia="en-GB"/>
            <w14:ligatures w14:val="none"/>
          </w:rPr>
          <w:t>https://lincs.ed.gov/state-resources/federal-initiatives/employability-skills-framework</w:t>
        </w:r>
      </w:hyperlink>
    </w:p>
    <w:p w14:paraId="4C4F0EB6" w14:textId="47AED743" w:rsidR="00212DC4" w:rsidRDefault="005F3785" w:rsidP="005F3785">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3785">
        <w:rPr>
          <w:rFonts w:ascii="Times New Roman" w:eastAsia="Times New Roman" w:hAnsi="Times New Roman" w:cs="Times New Roman"/>
          <w:kern w:val="0"/>
          <w:lang w:eastAsia="en-GB"/>
          <w14:ligatures w14:val="none"/>
        </w:rPr>
        <w:br/>
        <w:t xml:space="preserve">[4] S. Smith, “Digital Literacy in the Workplace,” </w:t>
      </w:r>
      <w:r w:rsidRPr="005F3785">
        <w:rPr>
          <w:rFonts w:ascii="Times New Roman" w:eastAsia="Times New Roman" w:hAnsi="Times New Roman" w:cs="Times New Roman"/>
          <w:i/>
          <w:iCs/>
          <w:kern w:val="0"/>
          <w:lang w:eastAsia="en-GB"/>
          <w14:ligatures w14:val="none"/>
        </w:rPr>
        <w:t>Journal of Educational Technology</w:t>
      </w:r>
      <w:r w:rsidRPr="005F3785">
        <w:rPr>
          <w:rFonts w:ascii="Times New Roman" w:eastAsia="Times New Roman" w:hAnsi="Times New Roman" w:cs="Times New Roman"/>
          <w:kern w:val="0"/>
          <w:lang w:eastAsia="en-GB"/>
          <w14:ligatures w14:val="none"/>
        </w:rPr>
        <w:t xml:space="preserve">, vol. 15, no. 2, pp. 45–52, 2022. [Online]. Available: </w:t>
      </w:r>
      <w:hyperlink r:id="rId10" w:history="1">
        <w:r w:rsidR="00212DC4" w:rsidRPr="00F42A41">
          <w:rPr>
            <w:rStyle w:val="Hyperlink"/>
            <w:rFonts w:ascii="Times New Roman" w:eastAsia="Times New Roman" w:hAnsi="Times New Roman" w:cs="Times New Roman"/>
            <w:kern w:val="0"/>
            <w:lang w:eastAsia="en-GB"/>
            <w14:ligatures w14:val="none"/>
          </w:rPr>
          <w:t>https://www.emerald.com/jd/article-pdf/78/7/371/2712526.pdf</w:t>
        </w:r>
      </w:hyperlink>
    </w:p>
    <w:p w14:paraId="62F0EB63" w14:textId="7B7B829F" w:rsidR="005F3785" w:rsidRPr="005F3785" w:rsidRDefault="005F3785" w:rsidP="005F3785">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3785">
        <w:rPr>
          <w:rFonts w:ascii="Times New Roman" w:eastAsia="Times New Roman" w:hAnsi="Times New Roman" w:cs="Times New Roman"/>
          <w:kern w:val="0"/>
          <w:lang w:eastAsia="en-GB"/>
          <w14:ligatures w14:val="none"/>
        </w:rPr>
        <w:br/>
        <w:t xml:space="preserve">[5] R. Brown, </w:t>
      </w:r>
      <w:r w:rsidRPr="005F3785">
        <w:rPr>
          <w:rFonts w:ascii="Times New Roman" w:eastAsia="Times New Roman" w:hAnsi="Times New Roman" w:cs="Times New Roman"/>
          <w:i/>
          <w:iCs/>
          <w:kern w:val="0"/>
          <w:lang w:eastAsia="en-GB"/>
          <w14:ligatures w14:val="none"/>
        </w:rPr>
        <w:t>Lifelong Learning and Adaptability</w:t>
      </w:r>
      <w:r w:rsidRPr="005F3785">
        <w:rPr>
          <w:rFonts w:ascii="Times New Roman" w:eastAsia="Times New Roman" w:hAnsi="Times New Roman" w:cs="Times New Roman"/>
          <w:kern w:val="0"/>
          <w:lang w:eastAsia="en-GB"/>
          <w14:ligatures w14:val="none"/>
        </w:rPr>
        <w:t xml:space="preserve">, New York, NY, USA: Springer, 2019. [Online]. Available: </w:t>
      </w:r>
      <w:hyperlink r:id="rId11" w:tgtFrame="_new" w:history="1">
        <w:r w:rsidRPr="005F3785">
          <w:rPr>
            <w:rFonts w:ascii="Times New Roman" w:eastAsia="Times New Roman" w:hAnsi="Times New Roman" w:cs="Times New Roman"/>
            <w:color w:val="0000FF"/>
            <w:kern w:val="0"/>
            <w:u w:val="single"/>
            <w:lang w:eastAsia="en-GB"/>
            <w14:ligatures w14:val="none"/>
          </w:rPr>
          <w:t>https://www.scilit.com/publications/14ee640971cc5e47132b5852fd85f095</w:t>
        </w:r>
      </w:hyperlink>
    </w:p>
    <w:p w14:paraId="0F7A6BCD" w14:textId="77777777" w:rsidR="00BE1AC3" w:rsidRPr="00BE1AC3" w:rsidRDefault="00BE1AC3" w:rsidP="00BE1AC3"/>
    <w:bookmarkStart w:id="4" w:name="_Hlk213669873" w:displacedByCustomXml="next"/>
    <w:sdt>
      <w:sdtPr>
        <w:rPr>
          <w:rFonts w:asciiTheme="minorHAnsi" w:eastAsiaTheme="minorEastAsia" w:hAnsiTheme="minorHAnsi" w:cstheme="minorBidi"/>
          <w:kern w:val="2"/>
          <w:lang w:eastAsia="zh-CN"/>
          <w14:ligatures w14:val="standardContextual"/>
        </w:rPr>
        <w:id w:val="-172334722"/>
        <w:docPartObj>
          <w:docPartGallery w:val="Bibliographies"/>
          <w:docPartUnique/>
        </w:docPartObj>
      </w:sdtPr>
      <w:sdtEndPr/>
      <w:sdtContent>
        <w:bookmarkEnd w:id="4" w:displacedByCustomXml="prev"/>
        <w:p w14:paraId="08412DFB" w14:textId="553373DB" w:rsidR="00EE475B" w:rsidRDefault="00EE475B" w:rsidP="00BE1AC3">
          <w:pPr>
            <w:pStyle w:val="NormalWeb"/>
          </w:pPr>
        </w:p>
        <w:p w14:paraId="30ABD9FE" w14:textId="478DA04B" w:rsidR="00B46DE5" w:rsidRDefault="00B46DE5" w:rsidP="00B46DE5">
          <w:pPr>
            <w:pStyle w:val="Heading3"/>
          </w:pPr>
        </w:p>
        <w:p w14:paraId="4346D16A" w14:textId="66B652D1" w:rsidR="00791791" w:rsidRPr="00791791" w:rsidRDefault="007C77B8" w:rsidP="00075F92"/>
      </w:sdtContent>
    </w:sdt>
    <w:p w14:paraId="17A8DCDC" w14:textId="77777777" w:rsidR="00791791" w:rsidRPr="0033403F" w:rsidRDefault="00791791" w:rsidP="0033403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FBA61C4" w14:textId="77777777" w:rsidR="004B3167" w:rsidRPr="004B3167" w:rsidRDefault="004B3167" w:rsidP="004B3167"/>
    <w:p w14:paraId="2B288AF4" w14:textId="1D6BEF87" w:rsidR="0054391F" w:rsidRPr="00496BD7" w:rsidRDefault="0054391F" w:rsidP="00496BD7">
      <w:pPr>
        <w:pStyle w:val="Heading3"/>
        <w:rPr>
          <w:sz w:val="24"/>
          <w:szCs w:val="24"/>
        </w:rPr>
      </w:pPr>
      <w:r w:rsidRPr="00496BD7">
        <w:rPr>
          <w:sz w:val="24"/>
          <w:szCs w:val="24"/>
        </w:rPr>
        <w:lastRenderedPageBreak/>
        <w:tab/>
      </w:r>
      <w:r w:rsidRPr="00496BD7">
        <w:rPr>
          <w:sz w:val="24"/>
          <w:szCs w:val="24"/>
        </w:rPr>
        <w:tab/>
      </w:r>
      <w:bookmarkStart w:id="5" w:name="_Toc193117234"/>
      <w:r w:rsidRPr="00496BD7">
        <w:rPr>
          <w:sz w:val="24"/>
          <w:szCs w:val="24"/>
        </w:rPr>
        <w:t>Task 1 (b): Evaluation of Task 1 (a) based on Similarity report</w:t>
      </w:r>
      <w:bookmarkEnd w:id="5"/>
    </w:p>
    <w:p w14:paraId="5E066775" w14:textId="729ED653" w:rsidR="0054391F" w:rsidRPr="00496BD7" w:rsidRDefault="0054391F" w:rsidP="0054391F">
      <w:pPr>
        <w:pStyle w:val="Heading2"/>
        <w:ind w:firstLine="720"/>
        <w:rPr>
          <w:sz w:val="24"/>
          <w:szCs w:val="24"/>
        </w:rPr>
      </w:pPr>
      <w:bookmarkStart w:id="6" w:name="_Toc193117235"/>
      <w:r w:rsidRPr="00496BD7">
        <w:rPr>
          <w:sz w:val="24"/>
          <w:szCs w:val="24"/>
        </w:rPr>
        <w:t>Task 2: Collaborative Mind Map and Individual Poster</w:t>
      </w:r>
      <w:bookmarkEnd w:id="6"/>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117236"/>
      <w:r w:rsidRPr="00496BD7">
        <w:rPr>
          <w:sz w:val="24"/>
          <w:szCs w:val="24"/>
        </w:rPr>
        <w:t>Mind Map (Collaborative)</w:t>
      </w:r>
      <w:bookmarkEnd w:id="7"/>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8" w:name="_Toc193117237"/>
      <w:r w:rsidRPr="00496BD7">
        <w:rPr>
          <w:sz w:val="24"/>
          <w:szCs w:val="24"/>
        </w:rPr>
        <w:t>Poster (Individual)</w:t>
      </w:r>
      <w:bookmarkEnd w:id="8"/>
    </w:p>
    <w:p w14:paraId="15D09D3C" w14:textId="3B777049" w:rsidR="0054391F" w:rsidRPr="00496BD7" w:rsidRDefault="0054391F" w:rsidP="00496BD7">
      <w:pPr>
        <w:pStyle w:val="Heading2"/>
        <w:ind w:firstLine="720"/>
        <w:rPr>
          <w:sz w:val="24"/>
          <w:szCs w:val="24"/>
        </w:rPr>
      </w:pPr>
      <w:bookmarkStart w:id="9" w:name="_Toc193117238"/>
      <w:r w:rsidRPr="00496BD7">
        <w:rPr>
          <w:sz w:val="24"/>
          <w:szCs w:val="24"/>
        </w:rPr>
        <w:t>Task 3: Virtual Collaboration</w:t>
      </w:r>
      <w:r w:rsidR="0010457E">
        <w:rPr>
          <w:sz w:val="24"/>
          <w:szCs w:val="24"/>
        </w:rPr>
        <w:t xml:space="preserve"> and RefWorks</w:t>
      </w:r>
      <w:bookmarkEnd w:id="9"/>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10" w:name="_Toc193117239"/>
      <w:r w:rsidRPr="00496BD7">
        <w:rPr>
          <w:sz w:val="24"/>
          <w:szCs w:val="24"/>
        </w:rPr>
        <w:t>Report on Virtual Collaboration</w:t>
      </w:r>
      <w:bookmarkEnd w:id="10"/>
    </w:p>
    <w:p w14:paraId="46D9ED19" w14:textId="61F40315" w:rsidR="00F30BFB" w:rsidRPr="00F30BFB" w:rsidRDefault="00F30BFB" w:rsidP="00F30BFB">
      <w:r>
        <w:tab/>
      </w:r>
      <w:r>
        <w:tab/>
      </w:r>
      <w:r>
        <w:tab/>
      </w:r>
      <w:r w:rsidRPr="00F30BFB">
        <w:rPr>
          <w:color w:val="FF0000"/>
        </w:rPr>
        <w:t>Put your Chosen topic here</w:t>
      </w:r>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1" w:name="_Toc193117240"/>
      <w:r w:rsidRPr="00496BD7">
        <w:rPr>
          <w:sz w:val="24"/>
          <w:szCs w:val="24"/>
        </w:rPr>
        <w:t>Step-by-step process of using RefWorks with visuals</w:t>
      </w:r>
      <w:bookmarkEnd w:id="11"/>
    </w:p>
    <w:p w14:paraId="56417E1F" w14:textId="791950F9" w:rsidR="0054391F" w:rsidRPr="00496BD7" w:rsidRDefault="0054391F" w:rsidP="00496BD7">
      <w:pPr>
        <w:pStyle w:val="Heading2"/>
        <w:ind w:firstLine="720"/>
        <w:rPr>
          <w:sz w:val="24"/>
          <w:szCs w:val="24"/>
        </w:rPr>
      </w:pPr>
      <w:bookmarkStart w:id="12" w:name="_Toc193117241"/>
      <w:r w:rsidRPr="00496BD7">
        <w:rPr>
          <w:sz w:val="24"/>
          <w:szCs w:val="24"/>
        </w:rPr>
        <w:t>Task 4: E-Portfolio Creation and Evaluation</w:t>
      </w:r>
      <w:bookmarkEnd w:id="12"/>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2"/>
      <w:r w:rsidRPr="00496BD7">
        <w:rPr>
          <w:sz w:val="24"/>
          <w:szCs w:val="24"/>
        </w:rPr>
        <w:t>Task 4 (a): E-Portfolio Creation</w:t>
      </w:r>
      <w:bookmarkEnd w:id="13"/>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4" w:name="_Toc193117243"/>
      <w:r w:rsidRPr="00496BD7">
        <w:rPr>
          <w:sz w:val="24"/>
          <w:szCs w:val="24"/>
        </w:rPr>
        <w:t>Task 4 (b): Illustrative Review of E-Portfolio tool Selection</w:t>
      </w:r>
      <w:bookmarkEnd w:id="14"/>
    </w:p>
    <w:p w14:paraId="0F8B0C1A" w14:textId="77777777" w:rsidR="003A12C8" w:rsidRPr="00496BD7" w:rsidRDefault="003A12C8" w:rsidP="003A12C8">
      <w:pPr>
        <w:pStyle w:val="Heading1"/>
        <w:rPr>
          <w:sz w:val="24"/>
          <w:szCs w:val="24"/>
        </w:rPr>
      </w:pPr>
      <w:bookmarkStart w:id="15" w:name="_Toc193117244"/>
      <w:r w:rsidRPr="00496BD7">
        <w:rPr>
          <w:sz w:val="24"/>
          <w:szCs w:val="24"/>
        </w:rPr>
        <w:t>Conclusion</w:t>
      </w:r>
      <w:bookmarkEnd w:id="15"/>
    </w:p>
    <w:p w14:paraId="2FB37AAF" w14:textId="77777777" w:rsidR="00E4306D" w:rsidRDefault="003A12C8" w:rsidP="00E4306D">
      <w:pPr>
        <w:pStyle w:val="Heading1"/>
        <w:rPr>
          <w:sz w:val="24"/>
          <w:szCs w:val="24"/>
        </w:rPr>
      </w:pPr>
      <w:bookmarkStart w:id="16" w:name="_Toc193117245"/>
      <w:r w:rsidRPr="00E4306D">
        <w:rPr>
          <w:sz w:val="24"/>
          <w:szCs w:val="24"/>
        </w:rPr>
        <w:t>References</w:t>
      </w:r>
      <w:bookmarkEnd w:id="16"/>
    </w:p>
    <w:p w14:paraId="233159EA" w14:textId="77777777" w:rsidR="00E4306D" w:rsidRPr="00E4300C" w:rsidRDefault="00E4306D" w:rsidP="00E4300C">
      <w:pPr>
        <w:pStyle w:val="Heading2"/>
        <w:rPr>
          <w:sz w:val="24"/>
          <w:szCs w:val="24"/>
        </w:rPr>
      </w:pPr>
      <w:r>
        <w:tab/>
      </w:r>
      <w:bookmarkStart w:id="17" w:name="_Toc193117246"/>
      <w:r w:rsidRPr="00E4300C">
        <w:rPr>
          <w:sz w:val="24"/>
          <w:szCs w:val="24"/>
        </w:rPr>
        <w:t>Task 1 References:</w:t>
      </w:r>
      <w:bookmarkEnd w:id="17"/>
    </w:p>
    <w:p w14:paraId="1FBF65E5" w14:textId="77777777" w:rsidR="0008022E" w:rsidRPr="0008022E" w:rsidRDefault="0008022E" w:rsidP="0008022E"/>
    <w:p w14:paraId="4E4FB363" w14:textId="62A1CBDB" w:rsidR="0008022E" w:rsidRPr="0008022E" w:rsidRDefault="0008022E" w:rsidP="0008022E">
      <w:r>
        <w:tab/>
      </w:r>
    </w:p>
    <w:p w14:paraId="01E1CD84" w14:textId="0E968CD1" w:rsidR="005C3522" w:rsidRDefault="00E4306D" w:rsidP="00B536C0">
      <w:pPr>
        <w:pStyle w:val="Heading2"/>
        <w:rPr>
          <w:sz w:val="24"/>
          <w:szCs w:val="24"/>
        </w:rPr>
      </w:pPr>
      <w:r>
        <w:tab/>
      </w:r>
      <w:bookmarkStart w:id="18" w:name="_Toc193117247"/>
      <w:r w:rsidRPr="00E4300C">
        <w:rPr>
          <w:sz w:val="24"/>
          <w:szCs w:val="24"/>
        </w:rPr>
        <w:t>Task 3 References:</w:t>
      </w:r>
      <w:bookmarkEnd w:id="18"/>
    </w:p>
    <w:p w14:paraId="1164F2B6" w14:textId="77777777" w:rsidR="00B536C0" w:rsidRDefault="00B536C0" w:rsidP="00B536C0"/>
    <w:p w14:paraId="279EAC75" w14:textId="77777777" w:rsidR="00B536C0" w:rsidRDefault="00B536C0" w:rsidP="00B536C0"/>
    <w:p w14:paraId="09B14521" w14:textId="77777777" w:rsidR="00B536C0" w:rsidRDefault="00B536C0" w:rsidP="00B536C0"/>
    <w:p w14:paraId="08E8E518" w14:textId="77777777" w:rsidR="00B536C0" w:rsidRDefault="00B536C0" w:rsidP="00B536C0"/>
    <w:p w14:paraId="774EC77D" w14:textId="0C5A67EA" w:rsidR="0079673D" w:rsidRPr="0079673D" w:rsidRDefault="0079673D" w:rsidP="004B3167">
      <w:pPr>
        <w:rPr>
          <w:rFonts w:ascii="Times New Roman" w:eastAsia="Times New Roman" w:hAnsi="Times New Roman" w:cs="Times New Roman"/>
          <w:kern w:val="0"/>
          <w:lang w:eastAsia="en-GB"/>
          <w14:ligatures w14:val="none"/>
        </w:rPr>
      </w:pPr>
      <w:bookmarkStart w:id="19" w:name="_Hlk213663615"/>
    </w:p>
    <w:p w14:paraId="1E734BBC" w14:textId="382D14EB" w:rsidR="001655EE" w:rsidRDefault="001655EE" w:rsidP="00164F4B">
      <w:pPr>
        <w:spacing w:before="100" w:beforeAutospacing="1" w:after="100" w:afterAutospacing="1" w:line="240" w:lineRule="auto"/>
        <w:rPr>
          <w:rFonts w:ascii="Times New Roman" w:eastAsia="Times New Roman" w:hAnsi="Times New Roman" w:cs="Times New Roman"/>
          <w:kern w:val="0"/>
          <w:lang w:eastAsia="en-GB"/>
          <w14:ligatures w14:val="none"/>
        </w:rPr>
      </w:pPr>
    </w:p>
    <w:bookmarkEnd w:id="19"/>
    <w:p w14:paraId="16B6924E" w14:textId="586CC666" w:rsidR="005E73D7" w:rsidRDefault="005E73D7" w:rsidP="005E73D7">
      <w:pPr>
        <w:pStyle w:val="Heading1"/>
      </w:pPr>
    </w:p>
    <w:p w14:paraId="383A2D5A" w14:textId="77777777" w:rsidR="00164F4B" w:rsidRPr="001655EE" w:rsidRDefault="00164F4B" w:rsidP="00164F4B">
      <w:pPr>
        <w:spacing w:before="100" w:beforeAutospacing="1" w:after="100" w:afterAutospacing="1" w:line="240" w:lineRule="auto"/>
        <w:rPr>
          <w:rFonts w:ascii="Times New Roman" w:eastAsia="Times New Roman" w:hAnsi="Times New Roman" w:cs="Times New Roman"/>
          <w:kern w:val="0"/>
          <w:lang w:eastAsia="en-GB"/>
          <w14:ligatures w14:val="none"/>
        </w:rPr>
      </w:pPr>
    </w:p>
    <w:sdt>
      <w:sdtPr>
        <w:rPr>
          <w:rFonts w:asciiTheme="minorHAnsi" w:eastAsiaTheme="minorEastAsia" w:hAnsiTheme="minorHAnsi" w:cstheme="minorBidi"/>
          <w:color w:val="auto"/>
          <w:sz w:val="24"/>
          <w:szCs w:val="24"/>
        </w:rPr>
        <w:id w:val="-2132928560"/>
        <w:docPartObj>
          <w:docPartGallery w:val="Bibliographies"/>
          <w:docPartUnique/>
        </w:docPartObj>
      </w:sdtPr>
      <w:sdtEndPr/>
      <w:sdtContent>
        <w:p w14:paraId="65FD33B1" w14:textId="762A0564" w:rsidR="002A65DC" w:rsidRDefault="002A65DC">
          <w:pPr>
            <w:pStyle w:val="Heading1"/>
          </w:pPr>
        </w:p>
        <w:p w14:paraId="3DB4EC16" w14:textId="5C54A5D0" w:rsidR="002A65DC" w:rsidRDefault="007C77B8"/>
      </w:sdtContent>
    </w:sdt>
    <w:p w14:paraId="75BB9027" w14:textId="77777777" w:rsidR="00B536C0" w:rsidRDefault="00B536C0" w:rsidP="00B536C0"/>
    <w:p w14:paraId="17B70954" w14:textId="77777777" w:rsidR="00B536C0" w:rsidRDefault="00B536C0" w:rsidP="00B536C0"/>
    <w:p w14:paraId="2E08FBA0" w14:textId="77777777" w:rsidR="00B536C0" w:rsidRPr="00B536C0" w:rsidRDefault="00B536C0" w:rsidP="00B536C0"/>
    <w:sectPr w:rsidR="00B536C0" w:rsidRPr="00B536C0" w:rsidSect="003A12C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EC199" w14:textId="77777777" w:rsidR="00D264E1" w:rsidRDefault="00D264E1" w:rsidP="00E4306D">
      <w:pPr>
        <w:spacing w:after="0" w:line="240" w:lineRule="auto"/>
      </w:pPr>
      <w:r>
        <w:separator/>
      </w:r>
    </w:p>
  </w:endnote>
  <w:endnote w:type="continuationSeparator" w:id="0">
    <w:p w14:paraId="3EDF333C" w14:textId="77777777" w:rsidR="00D264E1" w:rsidRDefault="00D264E1"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30C56" w14:textId="77777777" w:rsidR="00B536C0" w:rsidRDefault="00B536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74535" w14:textId="77777777" w:rsidR="00B536C0" w:rsidRDefault="00B536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A9A9D" w14:textId="77777777" w:rsidR="00B536C0" w:rsidRDefault="00B53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36B0A" w14:textId="77777777" w:rsidR="00D264E1" w:rsidRDefault="00D264E1" w:rsidP="00E4306D">
      <w:pPr>
        <w:spacing w:after="0" w:line="240" w:lineRule="auto"/>
      </w:pPr>
      <w:r>
        <w:separator/>
      </w:r>
    </w:p>
  </w:footnote>
  <w:footnote w:type="continuationSeparator" w:id="0">
    <w:p w14:paraId="43E9F385" w14:textId="77777777" w:rsidR="00D264E1" w:rsidRDefault="00D264E1" w:rsidP="00E43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A12F7" w14:textId="77777777" w:rsidR="00B536C0" w:rsidRDefault="00B536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B1AD0" w14:textId="77777777" w:rsidR="00B536C0" w:rsidRDefault="00B536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C47CB" w14:textId="77777777" w:rsidR="00B536C0" w:rsidRDefault="00B536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21364"/>
    <w:rsid w:val="00075F92"/>
    <w:rsid w:val="00080089"/>
    <w:rsid w:val="0008022E"/>
    <w:rsid w:val="000B78F0"/>
    <w:rsid w:val="000E415C"/>
    <w:rsid w:val="0010457E"/>
    <w:rsid w:val="00151305"/>
    <w:rsid w:val="00164F4B"/>
    <w:rsid w:val="001655EE"/>
    <w:rsid w:val="00194A51"/>
    <w:rsid w:val="001C30C0"/>
    <w:rsid w:val="001F2D39"/>
    <w:rsid w:val="00212DC4"/>
    <w:rsid w:val="00221BCE"/>
    <w:rsid w:val="00256D35"/>
    <w:rsid w:val="0026507E"/>
    <w:rsid w:val="002A65DC"/>
    <w:rsid w:val="0033403F"/>
    <w:rsid w:val="00395B1D"/>
    <w:rsid w:val="003A12C8"/>
    <w:rsid w:val="004051A1"/>
    <w:rsid w:val="00420142"/>
    <w:rsid w:val="00450EA4"/>
    <w:rsid w:val="00480328"/>
    <w:rsid w:val="00496BD7"/>
    <w:rsid w:val="004B3167"/>
    <w:rsid w:val="004E4B88"/>
    <w:rsid w:val="00515629"/>
    <w:rsid w:val="0054391F"/>
    <w:rsid w:val="0054519A"/>
    <w:rsid w:val="005A4D65"/>
    <w:rsid w:val="005C3522"/>
    <w:rsid w:val="005C36E0"/>
    <w:rsid w:val="005C7CCD"/>
    <w:rsid w:val="005E73D7"/>
    <w:rsid w:val="005F3785"/>
    <w:rsid w:val="005F68DA"/>
    <w:rsid w:val="00635CD3"/>
    <w:rsid w:val="0069234C"/>
    <w:rsid w:val="006934D2"/>
    <w:rsid w:val="006D0BC1"/>
    <w:rsid w:val="00737817"/>
    <w:rsid w:val="0075148B"/>
    <w:rsid w:val="007674BC"/>
    <w:rsid w:val="00783AD5"/>
    <w:rsid w:val="00791791"/>
    <w:rsid w:val="0079673D"/>
    <w:rsid w:val="007B0A7B"/>
    <w:rsid w:val="007C77B8"/>
    <w:rsid w:val="007F0D4A"/>
    <w:rsid w:val="00823F7B"/>
    <w:rsid w:val="008A0F59"/>
    <w:rsid w:val="008A433A"/>
    <w:rsid w:val="008A7CDE"/>
    <w:rsid w:val="008C0805"/>
    <w:rsid w:val="00950314"/>
    <w:rsid w:val="00983893"/>
    <w:rsid w:val="009D1544"/>
    <w:rsid w:val="00AA0EA6"/>
    <w:rsid w:val="00AB7E95"/>
    <w:rsid w:val="00B46DE5"/>
    <w:rsid w:val="00B536C0"/>
    <w:rsid w:val="00BA47D2"/>
    <w:rsid w:val="00BE1AC3"/>
    <w:rsid w:val="00C71B08"/>
    <w:rsid w:val="00C727EA"/>
    <w:rsid w:val="00C85EF2"/>
    <w:rsid w:val="00CD10D7"/>
    <w:rsid w:val="00D112E8"/>
    <w:rsid w:val="00D264E1"/>
    <w:rsid w:val="00D649B9"/>
    <w:rsid w:val="00D72BF0"/>
    <w:rsid w:val="00D91C37"/>
    <w:rsid w:val="00E3267F"/>
    <w:rsid w:val="00E4300C"/>
    <w:rsid w:val="00E4306D"/>
    <w:rsid w:val="00E77D02"/>
    <w:rsid w:val="00E81DA3"/>
    <w:rsid w:val="00EB3A8D"/>
    <w:rsid w:val="00EE475B"/>
    <w:rsid w:val="00F14534"/>
    <w:rsid w:val="00F30BFB"/>
    <w:rsid w:val="00F561BA"/>
    <w:rsid w:val="00F62AAA"/>
    <w:rsid w:val="00F97801"/>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Emphasis">
    <w:name w:val="Emphasis"/>
    <w:basedOn w:val="DefaultParagraphFont"/>
    <w:uiPriority w:val="20"/>
    <w:qFormat/>
    <w:rsid w:val="008C0805"/>
    <w:rPr>
      <w:i/>
      <w:iCs/>
    </w:rPr>
  </w:style>
  <w:style w:type="character" w:styleId="Strong">
    <w:name w:val="Strong"/>
    <w:basedOn w:val="DefaultParagraphFont"/>
    <w:uiPriority w:val="22"/>
    <w:qFormat/>
    <w:rsid w:val="005F68DA"/>
    <w:rPr>
      <w:b/>
      <w:bCs/>
    </w:rPr>
  </w:style>
  <w:style w:type="paragraph" w:styleId="Bibliography">
    <w:name w:val="Bibliography"/>
    <w:basedOn w:val="Normal"/>
    <w:next w:val="Normal"/>
    <w:uiPriority w:val="37"/>
    <w:unhideWhenUsed/>
    <w:rsid w:val="00823F7B"/>
  </w:style>
  <w:style w:type="paragraph" w:styleId="NormalWeb">
    <w:name w:val="Normal (Web)"/>
    <w:basedOn w:val="Normal"/>
    <w:uiPriority w:val="99"/>
    <w:unhideWhenUsed/>
    <w:rsid w:val="00EE475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5440">
      <w:bodyDiv w:val="1"/>
      <w:marLeft w:val="0"/>
      <w:marRight w:val="0"/>
      <w:marTop w:val="0"/>
      <w:marBottom w:val="0"/>
      <w:divBdr>
        <w:top w:val="none" w:sz="0" w:space="0" w:color="auto"/>
        <w:left w:val="none" w:sz="0" w:space="0" w:color="auto"/>
        <w:bottom w:val="none" w:sz="0" w:space="0" w:color="auto"/>
        <w:right w:val="none" w:sz="0" w:space="0" w:color="auto"/>
      </w:divBdr>
    </w:div>
    <w:div w:id="173228377">
      <w:bodyDiv w:val="1"/>
      <w:marLeft w:val="0"/>
      <w:marRight w:val="0"/>
      <w:marTop w:val="0"/>
      <w:marBottom w:val="0"/>
      <w:divBdr>
        <w:top w:val="none" w:sz="0" w:space="0" w:color="auto"/>
        <w:left w:val="none" w:sz="0" w:space="0" w:color="auto"/>
        <w:bottom w:val="none" w:sz="0" w:space="0" w:color="auto"/>
        <w:right w:val="none" w:sz="0" w:space="0" w:color="auto"/>
      </w:divBdr>
    </w:div>
    <w:div w:id="202988665">
      <w:bodyDiv w:val="1"/>
      <w:marLeft w:val="0"/>
      <w:marRight w:val="0"/>
      <w:marTop w:val="0"/>
      <w:marBottom w:val="0"/>
      <w:divBdr>
        <w:top w:val="none" w:sz="0" w:space="0" w:color="auto"/>
        <w:left w:val="none" w:sz="0" w:space="0" w:color="auto"/>
        <w:bottom w:val="none" w:sz="0" w:space="0" w:color="auto"/>
        <w:right w:val="none" w:sz="0" w:space="0" w:color="auto"/>
      </w:divBdr>
    </w:div>
    <w:div w:id="967591200">
      <w:bodyDiv w:val="1"/>
      <w:marLeft w:val="0"/>
      <w:marRight w:val="0"/>
      <w:marTop w:val="0"/>
      <w:marBottom w:val="0"/>
      <w:divBdr>
        <w:top w:val="none" w:sz="0" w:space="0" w:color="auto"/>
        <w:left w:val="none" w:sz="0" w:space="0" w:color="auto"/>
        <w:bottom w:val="none" w:sz="0" w:space="0" w:color="auto"/>
        <w:right w:val="none" w:sz="0" w:space="0" w:color="auto"/>
      </w:divBdr>
    </w:div>
    <w:div w:id="1257011676">
      <w:bodyDiv w:val="1"/>
      <w:marLeft w:val="0"/>
      <w:marRight w:val="0"/>
      <w:marTop w:val="0"/>
      <w:marBottom w:val="0"/>
      <w:divBdr>
        <w:top w:val="none" w:sz="0" w:space="0" w:color="auto"/>
        <w:left w:val="none" w:sz="0" w:space="0" w:color="auto"/>
        <w:bottom w:val="none" w:sz="0" w:space="0" w:color="auto"/>
        <w:right w:val="none" w:sz="0" w:space="0" w:color="auto"/>
      </w:divBdr>
    </w:div>
    <w:div w:id="1318920253">
      <w:bodyDiv w:val="1"/>
      <w:marLeft w:val="0"/>
      <w:marRight w:val="0"/>
      <w:marTop w:val="0"/>
      <w:marBottom w:val="0"/>
      <w:divBdr>
        <w:top w:val="none" w:sz="0" w:space="0" w:color="auto"/>
        <w:left w:val="none" w:sz="0" w:space="0" w:color="auto"/>
        <w:bottom w:val="none" w:sz="0" w:space="0" w:color="auto"/>
        <w:right w:val="none" w:sz="0" w:space="0" w:color="auto"/>
      </w:divBdr>
    </w:div>
    <w:div w:id="1377582452">
      <w:bodyDiv w:val="1"/>
      <w:marLeft w:val="0"/>
      <w:marRight w:val="0"/>
      <w:marTop w:val="0"/>
      <w:marBottom w:val="0"/>
      <w:divBdr>
        <w:top w:val="none" w:sz="0" w:space="0" w:color="auto"/>
        <w:left w:val="none" w:sz="0" w:space="0" w:color="auto"/>
        <w:bottom w:val="none" w:sz="0" w:space="0" w:color="auto"/>
        <w:right w:val="none" w:sz="0" w:space="0" w:color="auto"/>
      </w:divBdr>
    </w:div>
    <w:div w:id="1744832029">
      <w:bodyDiv w:val="1"/>
      <w:marLeft w:val="0"/>
      <w:marRight w:val="0"/>
      <w:marTop w:val="0"/>
      <w:marBottom w:val="0"/>
      <w:divBdr>
        <w:top w:val="none" w:sz="0" w:space="0" w:color="auto"/>
        <w:left w:val="none" w:sz="0" w:space="0" w:color="auto"/>
        <w:bottom w:val="none" w:sz="0" w:space="0" w:color="auto"/>
        <w:right w:val="none" w:sz="0" w:space="0" w:color="auto"/>
      </w:divBdr>
    </w:div>
    <w:div w:id="205005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books/mono/10.4324/9781315767277/lecturer-toolkit-phil-rac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lit.com/publications/14ee640971cc5e47132b5852fd85f095?utm_source=chatgpt.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merald.com/jd/article-pdf/78/7/371/2712526.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ncs.ed.gov/state-resources/federal-initiatives/employability-skills-framework?utm_source=chatgp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{3AA727D7-68A4-408C-AD5B-B310B0306902}</b:Guid>
    <b:URL>https://www.taylorfrancis.com/books/mono/10.4324/9781315767277/lecturer-toolkit-phil-race</b:URL>
    <b:RefOrder>2</b:RefOrder>
  </b:Source>
  <b:Source>
    <b:Tag>htt1</b:Tag>
    <b:SourceType>InternetSite</b:SourceType>
    <b:Guid>{8A58D6E3-07FB-4610-9D51-FF0791F73815}</b:Guid>
    <b:URL>https://www.taylorfrancis.com/books/mono/10.4324/9780203944882/critical-thinking-jennifer-moon</b:URL>
    <b:RefOrder>3</b:RefOrder>
  </b:Source>
  <b:Source>
    <b:Tag>htt2</b:Tag>
    <b:SourceType>InternetSite</b:SourceType>
    <b:Guid>{7D7F74BC-314F-42B1-B7F2-7DD7EFD28948}</b:Guid>
    <b:URL>https://www.education.gov.au/employability-skills-framework</b:URL>
    <b:RefOrder>4</b:RefOrder>
  </b:Source>
  <b:Source>
    <b:Tag>htt3</b:Tag>
    <b:SourceType>InternetSite</b:SourceType>
    <b:Guid>{4C348575-D559-494C-985E-1F0FBB704932}</b:Guid>
    <b:URL>https://www.taylorfrancis.com/books/mono/10.4324/9780203944882/critical-thinking-jennifer-moon</b:URL>
    <b:RefOrder>5</b:RefOrder>
  </b:Source>
  <b:Source>
    <b:Tag>Jen</b:Tag>
    <b:SourceType>InternetSite</b:SourceType>
    <b:Guid>{90A7CD3B-571D-4F7E-B8BC-37F1A8674392}</b:Guid>
    <b:Author>
      <b:Author>
        <b:NameList>
          <b:Person>
            <b:Last>Moon</b:Last>
            <b:First>Jennifer</b:First>
          </b:Person>
        </b:NameList>
      </b:Author>
    </b:Author>
    <b:Title>www.taylorfrancis.com</b:Title>
    <b:URL>. h [1]ttps://www.taylorfrancis.com/books/mono/10.4324/9780203944882/critical-thinking-jennifer-moon</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BB9DF3-8017-40FD-BA03-9E2CFBD26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1036</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Abdullah Karakan</cp:lastModifiedBy>
  <cp:revision>2</cp:revision>
  <dcterms:created xsi:type="dcterms:W3CDTF">2025-11-11T23:29:00Z</dcterms:created>
  <dcterms:modified xsi:type="dcterms:W3CDTF">2025-11-11T23:29:00Z</dcterms:modified>
</cp:coreProperties>
</file>